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E994CE">
      <w:pPr>
        <w:ind w:left="660"/>
        <w:rPr>
          <w:rFonts w:hint="eastAsia" w:ascii="楷体_GB2312" w:eastAsia="楷体_GB2312"/>
          <w:bCs/>
          <w:i w:val="0"/>
          <w:iCs w:val="0"/>
          <w:color w:val="auto"/>
          <w:sz w:val="30"/>
          <w:highlight w:val="none"/>
        </w:rPr>
      </w:pPr>
      <w:r>
        <w:rPr>
          <w:rFonts w:hint="eastAsia" w:ascii="楷体_GB2312" w:eastAsia="楷体_GB2312"/>
          <w:bCs/>
          <w:i w:val="0"/>
          <w:iCs w:val="0"/>
          <w:color w:val="auto"/>
          <w:sz w:val="30"/>
          <w:highlight w:val="none"/>
        </w:rPr>
        <w:t xml:space="preserve"> </w:t>
      </w:r>
    </w:p>
    <w:p w14:paraId="5920F98F">
      <w:pPr>
        <w:ind w:left="660"/>
        <w:rPr>
          <w:rFonts w:ascii="楷体_GB2312" w:eastAsia="楷体_GB2312"/>
          <w:bCs/>
          <w:i w:val="0"/>
          <w:iCs w:val="0"/>
          <w:color w:val="auto"/>
          <w:sz w:val="30"/>
          <w:highlight w:val="none"/>
        </w:rPr>
      </w:pPr>
    </w:p>
    <w:p w14:paraId="6CF60BF7">
      <w:pPr>
        <w:jc w:val="center"/>
        <w:rPr>
          <w:rFonts w:ascii="黑体" w:hAnsi="华文中宋" w:eastAsia="黑体"/>
          <w:bCs/>
          <w:i w:val="0"/>
          <w:iCs w:val="0"/>
          <w:color w:val="auto"/>
          <w:spacing w:val="20"/>
          <w:sz w:val="72"/>
          <w:szCs w:val="72"/>
          <w:highlight w:val="none"/>
        </w:rPr>
      </w:pPr>
      <w:r>
        <w:rPr>
          <w:rFonts w:hint="eastAsia" w:ascii="黑体" w:hAnsi="华文中宋" w:eastAsia="黑体"/>
          <w:bCs/>
          <w:i w:val="0"/>
          <w:iCs w:val="0"/>
          <w:color w:val="auto"/>
          <w:spacing w:val="20"/>
          <w:sz w:val="72"/>
          <w:szCs w:val="72"/>
          <w:highlight w:val="none"/>
        </w:rPr>
        <w:t>无锡市惠山区政府采购</w:t>
      </w:r>
    </w:p>
    <w:p w14:paraId="6D3BE0E1">
      <w:pPr>
        <w:rPr>
          <w:rFonts w:ascii="华文中宋" w:hAnsi="华文中宋" w:eastAsia="华文中宋"/>
          <w:bCs/>
          <w:i w:val="0"/>
          <w:iCs w:val="0"/>
          <w:color w:val="auto"/>
          <w:sz w:val="30"/>
          <w:highlight w:val="none"/>
        </w:rPr>
      </w:pPr>
    </w:p>
    <w:p w14:paraId="174AFCB3">
      <w:pPr>
        <w:rPr>
          <w:rFonts w:ascii="华文中宋" w:hAnsi="华文中宋" w:eastAsia="华文中宋"/>
          <w:bCs/>
          <w:i w:val="0"/>
          <w:iCs w:val="0"/>
          <w:color w:val="auto"/>
          <w:sz w:val="30"/>
          <w:highlight w:val="none"/>
        </w:rPr>
      </w:pPr>
    </w:p>
    <w:p w14:paraId="48965F8C">
      <w:pPr>
        <w:rPr>
          <w:rFonts w:ascii="华文中宋" w:hAnsi="华文中宋" w:eastAsia="华文中宋"/>
          <w:bCs/>
          <w:i w:val="0"/>
          <w:iCs w:val="0"/>
          <w:color w:val="auto"/>
          <w:sz w:val="30"/>
          <w:highlight w:val="none"/>
        </w:rPr>
      </w:pPr>
    </w:p>
    <w:p w14:paraId="56D00B84">
      <w:pPr>
        <w:jc w:val="center"/>
        <w:rPr>
          <w:rFonts w:ascii="黑体" w:hAnsi="华文中宋" w:eastAsia="黑体"/>
          <w:bCs/>
          <w:i w:val="0"/>
          <w:iCs w:val="0"/>
          <w:color w:val="auto"/>
          <w:spacing w:val="20"/>
          <w:sz w:val="48"/>
          <w:szCs w:val="48"/>
          <w:highlight w:val="none"/>
        </w:rPr>
      </w:pPr>
      <w:r>
        <w:rPr>
          <w:rFonts w:hint="eastAsia" w:ascii="黑体" w:hAnsi="华文中宋" w:eastAsia="黑体"/>
          <w:bCs/>
          <w:i w:val="0"/>
          <w:iCs w:val="0"/>
          <w:color w:val="auto"/>
          <w:spacing w:val="20"/>
          <w:sz w:val="48"/>
          <w:szCs w:val="48"/>
          <w:highlight w:val="none"/>
        </w:rPr>
        <w:t>公</w:t>
      </w:r>
      <w:r>
        <w:rPr>
          <w:rFonts w:ascii="黑体" w:hAnsi="华文中宋" w:eastAsia="黑体"/>
          <w:bCs/>
          <w:i w:val="0"/>
          <w:iCs w:val="0"/>
          <w:color w:val="auto"/>
          <w:spacing w:val="20"/>
          <w:sz w:val="48"/>
          <w:szCs w:val="48"/>
          <w:highlight w:val="none"/>
        </w:rPr>
        <w:t xml:space="preserve">   </w:t>
      </w:r>
      <w:r>
        <w:rPr>
          <w:rFonts w:hint="eastAsia" w:ascii="黑体" w:hAnsi="华文中宋" w:eastAsia="黑体"/>
          <w:bCs/>
          <w:i w:val="0"/>
          <w:iCs w:val="0"/>
          <w:color w:val="auto"/>
          <w:spacing w:val="20"/>
          <w:sz w:val="48"/>
          <w:szCs w:val="48"/>
          <w:highlight w:val="none"/>
        </w:rPr>
        <w:t>开</w:t>
      </w:r>
    </w:p>
    <w:p w14:paraId="217823F0">
      <w:pPr>
        <w:jc w:val="center"/>
        <w:rPr>
          <w:rFonts w:ascii="黑体" w:hAnsi="华文中宋" w:eastAsia="黑体"/>
          <w:bCs/>
          <w:i w:val="0"/>
          <w:iCs w:val="0"/>
          <w:color w:val="auto"/>
          <w:spacing w:val="20"/>
          <w:sz w:val="52"/>
          <w:szCs w:val="52"/>
          <w:highlight w:val="none"/>
        </w:rPr>
      </w:pPr>
      <w:r>
        <w:rPr>
          <w:i w:val="0"/>
          <w:iCs w:val="0"/>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rTa301QAAAAkBAAAPAAAAAAAAAAEAIAAAACIAAABkcnMv&#10;ZG93bnJldi54bWxQSwECFAAUAAAACACHTuJANJWOks0BAACsAwAADgAAAAAAAAABACAAAAAkAQAA&#10;ZHJzL2Uyb0RvYy54bWxQSwUGAAAAAAYABgBZAQAAYwUAAAAA&#10;">
                <v:fill on="t" focussize="0,0"/>
                <v:stroke color="#000000" joinstyle="round"/>
                <v:imagedata o:title=""/>
                <o:lock v:ext="edit" aspectratio="f"/>
              </v:line>
            </w:pict>
          </mc:Fallback>
        </mc:AlternateContent>
      </w:r>
      <w:r>
        <w:rPr>
          <w:rFonts w:hint="eastAsia" w:ascii="黑体" w:hAnsi="华文中宋" w:eastAsia="黑体"/>
          <w:bCs/>
          <w:i w:val="0"/>
          <w:iCs w:val="0"/>
          <w:color w:val="auto"/>
          <w:spacing w:val="20"/>
          <w:sz w:val="52"/>
          <w:szCs w:val="52"/>
          <w:highlight w:val="none"/>
        </w:rPr>
        <w:t>招</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标</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文</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件</w:t>
      </w:r>
    </w:p>
    <w:p w14:paraId="6C824E72">
      <w:pPr>
        <w:rPr>
          <w:rFonts w:ascii="华文中宋" w:hAnsi="华文中宋" w:eastAsia="华文中宋"/>
          <w:bCs/>
          <w:i w:val="0"/>
          <w:iCs w:val="0"/>
          <w:color w:val="auto"/>
          <w:sz w:val="30"/>
          <w:highlight w:val="none"/>
        </w:rPr>
      </w:pPr>
      <w:r>
        <w:rPr>
          <w:rFonts w:hint="eastAsia" w:ascii="华文中宋" w:hAnsi="华文中宋" w:eastAsia="华文中宋"/>
          <w:bCs/>
          <w:i w:val="0"/>
          <w:iCs w:val="0"/>
          <w:color w:val="auto"/>
          <w:sz w:val="30"/>
          <w:highlight w:val="none"/>
        </w:rPr>
        <w:t xml:space="preserve">   </w:t>
      </w:r>
    </w:p>
    <w:p w14:paraId="7D6EB698">
      <w:pPr>
        <w:tabs>
          <w:tab w:val="left" w:pos="9921"/>
        </w:tabs>
        <w:jc w:val="center"/>
        <w:rPr>
          <w:rFonts w:ascii="华文中宋" w:hAnsi="华文中宋" w:eastAsia="华文中宋"/>
          <w:bCs/>
          <w:i w:val="0"/>
          <w:iCs w:val="0"/>
          <w:color w:val="auto"/>
          <w:sz w:val="30"/>
          <w:highlight w:val="none"/>
        </w:rPr>
      </w:pPr>
      <w:r>
        <w:rPr>
          <w:rFonts w:hint="eastAsia" w:ascii="华文中宋" w:hAnsi="华文中宋" w:eastAsia="华文中宋"/>
          <w:bCs/>
          <w:i w:val="0"/>
          <w:iCs w:val="0"/>
          <w:color w:val="auto"/>
          <w:sz w:val="30"/>
          <w:highlight w:val="none"/>
        </w:rPr>
        <w:t>（全流程电子化）</w:t>
      </w:r>
    </w:p>
    <w:p w14:paraId="7D5A5C52">
      <w:pPr>
        <w:jc w:val="left"/>
        <w:rPr>
          <w:rFonts w:ascii="华文中宋" w:hAnsi="华文中宋" w:eastAsia="华文中宋"/>
          <w:bCs/>
          <w:i w:val="0"/>
          <w:iCs w:val="0"/>
          <w:color w:val="auto"/>
          <w:sz w:val="30"/>
          <w:highlight w:val="none"/>
        </w:rPr>
      </w:pPr>
    </w:p>
    <w:p w14:paraId="06576FF4">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rPr>
        <w:tab/>
      </w:r>
      <w:r>
        <w:rPr>
          <w:rFonts w:hint="eastAsia" w:ascii="黑体" w:hAnsi="华文中宋" w:eastAsia="黑体"/>
          <w:bCs/>
          <w:i w:val="0"/>
          <w:iCs w:val="0"/>
          <w:color w:val="auto"/>
          <w:sz w:val="30"/>
          <w:szCs w:val="30"/>
          <w:highlight w:val="none"/>
        </w:rPr>
        <w:t xml:space="preserve">  采购项目编号：</w:t>
      </w:r>
      <w:r>
        <w:rPr>
          <w:rFonts w:hint="eastAsia" w:ascii="黑体" w:hAnsi="华文中宋" w:eastAsia="黑体"/>
          <w:bCs/>
          <w:i w:val="0"/>
          <w:iCs w:val="0"/>
          <w:color w:val="auto"/>
          <w:sz w:val="30"/>
          <w:szCs w:val="30"/>
          <w:highlight w:val="none"/>
          <w:lang w:eastAsia="zh-CN"/>
        </w:rPr>
        <w:t>JSZC-320206-JZCG-G2026-0051</w:t>
      </w:r>
    </w:p>
    <w:p w14:paraId="536301D1">
      <w:pPr>
        <w:keepNext w:val="0"/>
        <w:keepLines w:val="0"/>
        <w:pageBreakBefore w:val="0"/>
        <w:widowControl w:val="0"/>
        <w:kinsoku/>
        <w:wordWrap/>
        <w:overflowPunct/>
        <w:topLinePunct w:val="0"/>
        <w:autoSpaceDE/>
        <w:autoSpaceDN/>
        <w:bidi w:val="0"/>
        <w:adjustRightInd/>
        <w:snapToGrid/>
        <w:spacing w:line="600" w:lineRule="exact"/>
        <w:ind w:left="4200" w:hanging="4200"/>
        <w:textAlignment w:val="auto"/>
        <w:rPr>
          <w:rFonts w:hint="eastAsia"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 xml:space="preserve">             采购项目名称：</w:t>
      </w:r>
      <w:r>
        <w:rPr>
          <w:rFonts w:hint="eastAsia" w:ascii="黑体" w:hAnsi="华文中宋" w:eastAsia="黑体" w:cs="Times New Roman"/>
          <w:bCs/>
          <w:i w:val="0"/>
          <w:iCs w:val="0"/>
          <w:color w:val="auto"/>
          <w:sz w:val="30"/>
          <w:szCs w:val="30"/>
          <w:highlight w:val="none"/>
          <w:lang w:eastAsia="zh-CN"/>
        </w:rPr>
        <w:t>石塘湾消防站智能化专项采购项目</w:t>
      </w:r>
      <w:r>
        <w:rPr>
          <w:rFonts w:hint="eastAsia" w:ascii="黑体" w:hAnsi="华文中宋" w:eastAsia="黑体"/>
          <w:bCs/>
          <w:i w:val="0"/>
          <w:iCs w:val="0"/>
          <w:color w:val="auto"/>
          <w:sz w:val="30"/>
          <w:szCs w:val="30"/>
          <w:highlight w:val="none"/>
        </w:rPr>
        <w:t xml:space="preserve">      </w:t>
      </w:r>
    </w:p>
    <w:p w14:paraId="0007AF90">
      <w:pPr>
        <w:keepNext w:val="0"/>
        <w:keepLines w:val="0"/>
        <w:pageBreakBefore w:val="0"/>
        <w:widowControl w:val="0"/>
        <w:kinsoku/>
        <w:wordWrap/>
        <w:overflowPunct/>
        <w:topLinePunct w:val="0"/>
        <w:autoSpaceDE/>
        <w:autoSpaceDN/>
        <w:bidi w:val="0"/>
        <w:adjustRightInd/>
        <w:snapToGrid/>
        <w:spacing w:line="600" w:lineRule="exact"/>
        <w:ind w:left="2098" w:hanging="1800"/>
        <w:textAlignment w:val="auto"/>
        <w:rPr>
          <w:rFonts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lang w:val="en-US" w:eastAsia="zh-CN"/>
        </w:rPr>
        <w:t xml:space="preserve">         </w:t>
      </w:r>
      <w:r>
        <w:rPr>
          <w:rFonts w:hint="eastAsia" w:ascii="黑体" w:hAnsi="华文中宋" w:eastAsia="黑体"/>
          <w:bCs/>
          <w:i w:val="0"/>
          <w:iCs w:val="0"/>
          <w:color w:val="auto"/>
          <w:sz w:val="30"/>
          <w:szCs w:val="30"/>
          <w:highlight w:val="none"/>
        </w:rPr>
        <w:t>集中采购机构</w:t>
      </w:r>
      <w:r>
        <w:rPr>
          <w:rFonts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rPr>
        <w:t>无锡市惠山区政府采购中心</w:t>
      </w:r>
    </w:p>
    <w:p w14:paraId="5233D220">
      <w:pPr>
        <w:rPr>
          <w:rFonts w:ascii="华文中宋" w:hAnsi="华文中宋" w:eastAsia="华文中宋"/>
          <w:bCs/>
          <w:i w:val="0"/>
          <w:iCs w:val="0"/>
          <w:color w:val="auto"/>
          <w:sz w:val="30"/>
          <w:highlight w:val="none"/>
        </w:rPr>
      </w:pPr>
    </w:p>
    <w:p w14:paraId="4E7FF0BC">
      <w:pPr>
        <w:rPr>
          <w:rFonts w:ascii="华文中宋" w:hAnsi="华文中宋" w:eastAsia="华文中宋"/>
          <w:bCs/>
          <w:i w:val="0"/>
          <w:iCs w:val="0"/>
          <w:color w:val="auto"/>
          <w:sz w:val="30"/>
          <w:highlight w:val="none"/>
        </w:rPr>
      </w:pPr>
    </w:p>
    <w:p w14:paraId="7E98028C">
      <w:pPr>
        <w:rPr>
          <w:rFonts w:hint="eastAsia" w:ascii="华文中宋" w:hAnsi="华文中宋" w:eastAsia="华文中宋"/>
          <w:bCs/>
          <w:i w:val="0"/>
          <w:iCs w:val="0"/>
          <w:color w:val="auto"/>
          <w:sz w:val="30"/>
          <w:highlight w:val="none"/>
        </w:rPr>
      </w:pPr>
    </w:p>
    <w:p w14:paraId="0A56BA7C">
      <w:pPr>
        <w:rPr>
          <w:rFonts w:ascii="华文中宋" w:hAnsi="华文中宋" w:eastAsia="华文中宋"/>
          <w:bCs/>
          <w:i w:val="0"/>
          <w:iCs w:val="0"/>
          <w:color w:val="auto"/>
          <w:sz w:val="30"/>
          <w:highlight w:val="none"/>
        </w:rPr>
      </w:pPr>
    </w:p>
    <w:p w14:paraId="4E85487D">
      <w:pPr>
        <w:rPr>
          <w:rFonts w:ascii="华文中宋" w:hAnsi="华文中宋" w:eastAsia="华文中宋"/>
          <w:bCs/>
          <w:i w:val="0"/>
          <w:iCs w:val="0"/>
          <w:color w:val="auto"/>
          <w:sz w:val="30"/>
          <w:highlight w:val="none"/>
        </w:rPr>
      </w:pPr>
    </w:p>
    <w:p w14:paraId="6EC27DFB">
      <w:pPr>
        <w:jc w:val="center"/>
        <w:rPr>
          <w:rFonts w:ascii="黑体" w:hAnsi="华文中宋" w:eastAsia="黑体"/>
          <w:bCs/>
          <w:i w:val="0"/>
          <w:iCs w:val="0"/>
          <w:color w:val="auto"/>
          <w:sz w:val="44"/>
          <w:szCs w:val="44"/>
          <w:highlight w:val="none"/>
        </w:rPr>
      </w:pPr>
      <w:r>
        <w:rPr>
          <w:rFonts w:hint="eastAsia" w:ascii="黑体" w:hAnsi="华文中宋" w:eastAsia="黑体"/>
          <w:bCs/>
          <w:i w:val="0"/>
          <w:iCs w:val="0"/>
          <w:color w:val="auto"/>
          <w:sz w:val="44"/>
          <w:szCs w:val="44"/>
          <w:highlight w:val="none"/>
        </w:rPr>
        <w:t>二○二</w:t>
      </w:r>
      <w:r>
        <w:rPr>
          <w:rFonts w:hint="eastAsia" w:ascii="黑体" w:hAnsi="华文中宋" w:eastAsia="黑体"/>
          <w:bCs/>
          <w:i w:val="0"/>
          <w:iCs w:val="0"/>
          <w:color w:val="auto"/>
          <w:sz w:val="44"/>
          <w:szCs w:val="44"/>
          <w:highlight w:val="none"/>
          <w:lang w:eastAsia="zh-CN"/>
        </w:rPr>
        <w:t>六</w:t>
      </w:r>
      <w:r>
        <w:rPr>
          <w:rFonts w:hint="eastAsia" w:ascii="黑体" w:hAnsi="华文中宋" w:eastAsia="黑体"/>
          <w:bCs/>
          <w:i w:val="0"/>
          <w:iCs w:val="0"/>
          <w:color w:val="auto"/>
          <w:sz w:val="44"/>
          <w:szCs w:val="44"/>
          <w:highlight w:val="none"/>
        </w:rPr>
        <w:t>年</w:t>
      </w:r>
      <w:r>
        <w:rPr>
          <w:rFonts w:hint="eastAsia" w:ascii="黑体" w:hAnsi="华文中宋" w:eastAsia="黑体"/>
          <w:bCs/>
          <w:i w:val="0"/>
          <w:iCs w:val="0"/>
          <w:color w:val="auto"/>
          <w:sz w:val="44"/>
          <w:szCs w:val="44"/>
          <w:highlight w:val="none"/>
          <w:lang w:val="en-US" w:eastAsia="zh-CN"/>
        </w:rPr>
        <w:t>八</w:t>
      </w:r>
      <w:r>
        <w:rPr>
          <w:rFonts w:hint="eastAsia" w:ascii="黑体" w:hAnsi="华文中宋" w:eastAsia="黑体"/>
          <w:bCs/>
          <w:i w:val="0"/>
          <w:iCs w:val="0"/>
          <w:color w:val="auto"/>
          <w:sz w:val="44"/>
          <w:szCs w:val="44"/>
          <w:highlight w:val="none"/>
        </w:rPr>
        <w:t>月</w:t>
      </w:r>
    </w:p>
    <w:p w14:paraId="77E7597B">
      <w:pPr>
        <w:jc w:val="center"/>
        <w:rPr>
          <w:rFonts w:ascii="黑体" w:eastAsia="黑体"/>
          <w:bCs/>
          <w:i w:val="0"/>
          <w:iCs w:val="0"/>
          <w:color w:val="auto"/>
          <w:sz w:val="44"/>
          <w:highlight w:val="none"/>
        </w:rPr>
      </w:pPr>
    </w:p>
    <w:p w14:paraId="2C5C7547">
      <w:pPr>
        <w:rPr>
          <w:rFonts w:ascii="华文新魏" w:eastAsia="华文新魏"/>
          <w:bCs/>
          <w:i w:val="0"/>
          <w:iCs w:val="0"/>
          <w:color w:val="auto"/>
          <w:sz w:val="44"/>
          <w:highlight w:val="none"/>
        </w:rPr>
      </w:pPr>
    </w:p>
    <w:p w14:paraId="49FDD10A">
      <w:pPr>
        <w:jc w:val="center"/>
        <w:rPr>
          <w:rStyle w:val="235"/>
          <w:rFonts w:hint="eastAsia" w:eastAsia="黑体"/>
          <w:bCs/>
          <w:i w:val="0"/>
          <w:iCs w:val="0"/>
          <w:color w:val="auto"/>
          <w:sz w:val="48"/>
          <w:highlight w:val="none"/>
        </w:rPr>
        <w:sectPr>
          <w:pgSz w:w="11906" w:h="16838"/>
          <w:pgMar w:top="1134" w:right="1134" w:bottom="1134" w:left="1134" w:header="851" w:footer="794" w:gutter="0"/>
          <w:cols w:space="425" w:num="1"/>
          <w:docGrid w:type="lines" w:linePitch="312" w:charSpace="0"/>
        </w:sectPr>
      </w:pPr>
    </w:p>
    <w:p w14:paraId="3F459B5B">
      <w:pPr>
        <w:jc w:val="center"/>
        <w:rPr>
          <w:rStyle w:val="235"/>
          <w:rFonts w:eastAsia="黑体"/>
          <w:bCs/>
          <w:i w:val="0"/>
          <w:iCs w:val="0"/>
          <w:color w:val="auto"/>
          <w:sz w:val="48"/>
          <w:highlight w:val="none"/>
        </w:rPr>
      </w:pPr>
      <w:r>
        <w:rPr>
          <w:rStyle w:val="235"/>
          <w:rFonts w:hint="eastAsia" w:eastAsia="黑体"/>
          <w:bCs/>
          <w:i w:val="0"/>
          <w:iCs w:val="0"/>
          <w:color w:val="auto"/>
          <w:sz w:val="48"/>
          <w:highlight w:val="none"/>
        </w:rPr>
        <w:t>目</w:t>
      </w:r>
      <w:r>
        <w:rPr>
          <w:rStyle w:val="235"/>
          <w:rFonts w:eastAsia="黑体"/>
          <w:bCs/>
          <w:i w:val="0"/>
          <w:iCs w:val="0"/>
          <w:color w:val="auto"/>
          <w:sz w:val="48"/>
          <w:highlight w:val="none"/>
        </w:rPr>
        <w:t xml:space="preserve">     </w:t>
      </w:r>
      <w:r>
        <w:rPr>
          <w:rStyle w:val="235"/>
          <w:rFonts w:hint="eastAsia" w:eastAsia="黑体"/>
          <w:bCs/>
          <w:i w:val="0"/>
          <w:iCs w:val="0"/>
          <w:color w:val="auto"/>
          <w:sz w:val="48"/>
          <w:highlight w:val="none"/>
        </w:rPr>
        <w:t>录</w:t>
      </w:r>
    </w:p>
    <w:p w14:paraId="20DB1218">
      <w:pPr>
        <w:jc w:val="center"/>
        <w:rPr>
          <w:rFonts w:hint="eastAsia" w:ascii="黑体" w:eastAsia="黑体"/>
          <w:bCs/>
          <w:i w:val="0"/>
          <w:iCs w:val="0"/>
          <w:color w:val="auto"/>
          <w:sz w:val="30"/>
          <w:highlight w:val="none"/>
        </w:rPr>
      </w:pPr>
    </w:p>
    <w:p w14:paraId="4166EEC7">
      <w:pPr>
        <w:jc w:val="center"/>
        <w:rPr>
          <w:rFonts w:hint="eastAsia" w:ascii="黑体" w:eastAsia="黑体"/>
          <w:bCs/>
          <w:i w:val="0"/>
          <w:iCs w:val="0"/>
          <w:color w:val="auto"/>
          <w:sz w:val="30"/>
          <w:highlight w:val="none"/>
        </w:rPr>
      </w:pPr>
    </w:p>
    <w:p w14:paraId="2C8BC231">
      <w:pPr>
        <w:jc w:val="center"/>
        <w:rPr>
          <w:rFonts w:hint="eastAsia" w:ascii="黑体" w:eastAsia="黑体"/>
          <w:bCs/>
          <w:i w:val="0"/>
          <w:iCs w:val="0"/>
          <w:color w:val="auto"/>
          <w:sz w:val="30"/>
          <w:highlight w:val="none"/>
        </w:rPr>
      </w:pPr>
    </w:p>
    <w:p w14:paraId="06EC0BF3">
      <w:pPr>
        <w:jc w:val="center"/>
        <w:rPr>
          <w:rFonts w:ascii="黑体" w:eastAsia="黑体"/>
          <w:bCs/>
          <w:i w:val="0"/>
          <w:iCs w:val="0"/>
          <w:color w:val="auto"/>
          <w:sz w:val="30"/>
          <w:highlight w:val="none"/>
        </w:rPr>
      </w:pPr>
    </w:p>
    <w:p w14:paraId="060118DE">
      <w:pPr>
        <w:pStyle w:val="218"/>
        <w:tabs>
          <w:tab w:val="right" w:leader="dot" w:pos="9911"/>
        </w:tabs>
        <w:spacing w:line="720" w:lineRule="auto"/>
        <w:ind w:firstLine="480"/>
        <w:rPr>
          <w:rFonts w:ascii="宋体" w:hAnsi="宋体"/>
          <w:i w:val="0"/>
          <w:iCs w:val="0"/>
          <w:color w:val="auto"/>
          <w:sz w:val="32"/>
          <w:szCs w:val="32"/>
          <w:highlight w:val="none"/>
        </w:rPr>
      </w:pPr>
      <w:r>
        <w:rPr>
          <w:rFonts w:ascii="宋体" w:hAnsi="宋体"/>
          <w:bCs/>
          <w:i w:val="0"/>
          <w:iCs w:val="0"/>
          <w:color w:val="auto"/>
          <w:sz w:val="32"/>
          <w:szCs w:val="32"/>
          <w:highlight w:val="none"/>
        </w:rPr>
        <w:fldChar w:fldCharType="begin"/>
      </w:r>
      <w:r>
        <w:rPr>
          <w:rFonts w:ascii="宋体" w:hAnsi="宋体"/>
          <w:bCs/>
          <w:i w:val="0"/>
          <w:iCs w:val="0"/>
          <w:color w:val="auto"/>
          <w:sz w:val="32"/>
          <w:szCs w:val="32"/>
          <w:highlight w:val="none"/>
        </w:rPr>
        <w:instrText xml:space="preserve"> TOC \o "1-1" \h \z \u </w:instrText>
      </w:r>
      <w:r>
        <w:rPr>
          <w:rFonts w:ascii="宋体" w:hAnsi="宋体"/>
          <w:bCs/>
          <w:i w:val="0"/>
          <w:iCs w:val="0"/>
          <w:color w:val="auto"/>
          <w:sz w:val="32"/>
          <w:szCs w:val="32"/>
          <w:highlight w:val="none"/>
        </w:rPr>
        <w:fldChar w:fldCharType="separate"/>
      </w: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"_Toc61444671"</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一．投标邀请函</w:t>
      </w:r>
      <w:r>
        <w:rPr>
          <w:rFonts w:ascii="宋体" w:hAnsi="宋体"/>
          <w:i w:val="0"/>
          <w:iCs w:val="0"/>
          <w:color w:val="auto"/>
          <w:sz w:val="32"/>
          <w:szCs w:val="32"/>
          <w:highlight w:val="none"/>
        </w:rPr>
        <w:tab/>
      </w:r>
      <w:r>
        <w:rPr>
          <w:rFonts w:ascii="宋体" w:hAnsi="宋体"/>
          <w:i w:val="0"/>
          <w:iCs w:val="0"/>
          <w:color w:val="auto"/>
          <w:sz w:val="32"/>
          <w:szCs w:val="32"/>
          <w:highlight w:val="none"/>
        </w:rPr>
        <w:fldChar w:fldCharType="begin"/>
      </w:r>
      <w:r>
        <w:rPr>
          <w:rFonts w:ascii="宋体" w:hAnsi="宋体"/>
          <w:i w:val="0"/>
          <w:iCs w:val="0"/>
          <w:color w:val="auto"/>
          <w:sz w:val="32"/>
          <w:szCs w:val="32"/>
          <w:highlight w:val="none"/>
        </w:rPr>
        <w:instrText xml:space="preserve"> PAGEREF _Toc61444671 \h </w:instrText>
      </w:r>
      <w:r>
        <w:rPr>
          <w:rFonts w:ascii="宋体" w:hAnsi="宋体"/>
          <w:i w:val="0"/>
          <w:iCs w:val="0"/>
          <w:color w:val="auto"/>
          <w:sz w:val="32"/>
          <w:szCs w:val="32"/>
          <w:highlight w:val="none"/>
        </w:rPr>
        <w:fldChar w:fldCharType="separate"/>
      </w:r>
      <w:r>
        <w:rPr>
          <w:rFonts w:ascii="宋体" w:hAnsi="宋体"/>
          <w:i w:val="0"/>
          <w:iCs w:val="0"/>
          <w:color w:val="auto"/>
          <w:sz w:val="32"/>
          <w:szCs w:val="32"/>
          <w:highlight w:val="none"/>
        </w:rPr>
        <w:t>2</w:t>
      </w:r>
      <w:r>
        <w:rPr>
          <w:rFonts w:ascii="宋体" w:hAnsi="宋体"/>
          <w:i w:val="0"/>
          <w:iCs w:val="0"/>
          <w:color w:val="auto"/>
          <w:sz w:val="32"/>
          <w:szCs w:val="32"/>
          <w:highlight w:val="none"/>
        </w:rPr>
        <w:fldChar w:fldCharType="end"/>
      </w:r>
      <w:r>
        <w:rPr>
          <w:rStyle w:val="237"/>
          <w:rFonts w:ascii="宋体" w:hAnsi="宋体"/>
          <w:i w:val="0"/>
          <w:iCs w:val="0"/>
          <w:color w:val="auto"/>
          <w:sz w:val="32"/>
          <w:szCs w:val="32"/>
          <w:highlight w:val="none"/>
        </w:rPr>
        <w:fldChar w:fldCharType="end"/>
      </w:r>
    </w:p>
    <w:p w14:paraId="0C83014C">
      <w:pPr>
        <w:pStyle w:val="218"/>
        <w:tabs>
          <w:tab w:val="right" w:leader="dot" w:pos="9911"/>
        </w:tabs>
        <w:spacing w:line="720" w:lineRule="auto"/>
        <w:ind w:firstLine="480"/>
        <w:rPr>
          <w:rFonts w:ascii="宋体" w:hAnsi="宋体"/>
          <w:i w:val="0"/>
          <w:iCs w:val="0"/>
          <w:color w:val="auto"/>
          <w:sz w:val="32"/>
          <w:szCs w:val="32"/>
          <w:highlight w:val="none"/>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"_Toc61444672"</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二．投标人须知</w:t>
      </w:r>
      <w:r>
        <w:rPr>
          <w:rFonts w:ascii="宋体" w:hAnsi="宋体"/>
          <w:i w:val="0"/>
          <w:iCs w:val="0"/>
          <w:color w:val="auto"/>
          <w:sz w:val="32"/>
          <w:szCs w:val="32"/>
          <w:highlight w:val="none"/>
        </w:rPr>
        <w:tab/>
      </w:r>
      <w:r>
        <w:rPr>
          <w:rFonts w:hint="eastAsia" w:ascii="宋体" w:hAnsi="宋体"/>
          <w:i w:val="0"/>
          <w:iCs w:val="0"/>
          <w:color w:val="auto"/>
          <w:sz w:val="32"/>
          <w:szCs w:val="32"/>
          <w:highlight w:val="none"/>
        </w:rPr>
        <w:t>5</w:t>
      </w:r>
      <w:r>
        <w:rPr>
          <w:rStyle w:val="237"/>
          <w:rFonts w:ascii="宋体" w:hAnsi="宋体"/>
          <w:i w:val="0"/>
          <w:iCs w:val="0"/>
          <w:color w:val="auto"/>
          <w:sz w:val="32"/>
          <w:szCs w:val="32"/>
          <w:highlight w:val="none"/>
        </w:rPr>
        <w:fldChar w:fldCharType="end"/>
      </w:r>
    </w:p>
    <w:p w14:paraId="5C0883FC">
      <w:pPr>
        <w:pStyle w:val="218"/>
        <w:tabs>
          <w:tab w:val="right" w:leader="dot" w:pos="9911"/>
        </w:tabs>
        <w:spacing w:line="720" w:lineRule="auto"/>
        <w:ind w:firstLine="480"/>
        <w:rPr>
          <w:rFonts w:ascii="宋体" w:hAnsi="宋体"/>
          <w:i w:val="0"/>
          <w:iCs w:val="0"/>
          <w:color w:val="auto"/>
          <w:sz w:val="32"/>
          <w:szCs w:val="32"/>
          <w:highlight w:val="none"/>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"_Toc61444673"</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三．项目</w:t>
      </w:r>
      <w:r>
        <w:rPr>
          <w:rStyle w:val="237"/>
          <w:rFonts w:hint="eastAsia" w:ascii="宋体" w:hAnsi="宋体"/>
          <w:i w:val="0"/>
          <w:iCs w:val="0"/>
          <w:color w:val="auto"/>
          <w:sz w:val="32"/>
          <w:szCs w:val="32"/>
          <w:highlight w:val="none"/>
          <w:lang w:eastAsia="zh-CN"/>
        </w:rPr>
        <w:t>需求</w:t>
      </w:r>
      <w:r>
        <w:rPr>
          <w:rFonts w:ascii="宋体" w:hAnsi="宋体"/>
          <w:i w:val="0"/>
          <w:iCs w:val="0"/>
          <w:color w:val="auto"/>
          <w:sz w:val="32"/>
          <w:szCs w:val="32"/>
          <w:highlight w:val="none"/>
        </w:rPr>
        <w:tab/>
      </w:r>
      <w:r>
        <w:rPr>
          <w:rFonts w:hint="eastAsia" w:ascii="宋体" w:hAnsi="宋体"/>
          <w:i w:val="0"/>
          <w:iCs w:val="0"/>
          <w:color w:val="auto"/>
          <w:sz w:val="32"/>
          <w:szCs w:val="32"/>
          <w:highlight w:val="none"/>
        </w:rPr>
        <w:t>1</w:t>
      </w:r>
      <w:r>
        <w:rPr>
          <w:rFonts w:hint="eastAsia" w:ascii="宋体" w:hAnsi="宋体"/>
          <w:i w:val="0"/>
          <w:iCs w:val="0"/>
          <w:color w:val="auto"/>
          <w:sz w:val="32"/>
          <w:szCs w:val="32"/>
          <w:highlight w:val="none"/>
          <w:lang w:val="en-US" w:eastAsia="zh-CN"/>
        </w:rPr>
        <w:t>9</w:t>
      </w:r>
      <w:r>
        <w:rPr>
          <w:rStyle w:val="237"/>
          <w:rFonts w:ascii="宋体" w:hAnsi="宋体"/>
          <w:i w:val="0"/>
          <w:iCs w:val="0"/>
          <w:color w:val="auto"/>
          <w:sz w:val="32"/>
          <w:szCs w:val="32"/>
          <w:highlight w:val="none"/>
        </w:rPr>
        <w:fldChar w:fldCharType="end"/>
      </w:r>
    </w:p>
    <w:p w14:paraId="06112E67">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"_Toc61444674"</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四．合同书（格式文本）</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5</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0</w:t>
      </w:r>
    </w:p>
    <w:p w14:paraId="06DADFAE">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"_Toc61444675"</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五．</w:t>
      </w:r>
      <w:r>
        <w:rPr>
          <w:rStyle w:val="237"/>
          <w:rFonts w:hint="eastAsia" w:ascii="宋体" w:hAnsi="宋体"/>
          <w:i w:val="0"/>
          <w:iCs w:val="0"/>
          <w:color w:val="auto"/>
          <w:sz w:val="32"/>
          <w:szCs w:val="32"/>
          <w:highlight w:val="none"/>
          <w:lang w:eastAsia="zh-CN"/>
        </w:rPr>
        <w:t>评分方法与评分标准</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7</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5</w:t>
      </w:r>
    </w:p>
    <w:p w14:paraId="781FCDB7">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"_Toc61444676"</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六</w:t>
      </w:r>
      <w:r>
        <w:rPr>
          <w:rStyle w:val="237"/>
          <w:rFonts w:ascii="宋体" w:hAnsi="宋体"/>
          <w:i w:val="0"/>
          <w:iCs w:val="0"/>
          <w:color w:val="auto"/>
          <w:sz w:val="32"/>
          <w:szCs w:val="32"/>
          <w:highlight w:val="none"/>
        </w:rPr>
        <w:t>.</w:t>
      </w:r>
      <w:r>
        <w:rPr>
          <w:rStyle w:val="237"/>
          <w:rFonts w:hint="eastAsia" w:ascii="宋体" w:hAnsi="宋体"/>
          <w:i w:val="0"/>
          <w:iCs w:val="0"/>
          <w:color w:val="auto"/>
          <w:sz w:val="32"/>
          <w:szCs w:val="32"/>
          <w:highlight w:val="none"/>
          <w:lang w:val="en-US" w:eastAsia="zh-CN"/>
        </w:rPr>
        <w:t xml:space="preserve"> </w:t>
      </w:r>
      <w:r>
        <w:rPr>
          <w:rStyle w:val="237"/>
          <w:rFonts w:hint="eastAsia" w:ascii="宋体" w:hAnsi="宋体"/>
          <w:i w:val="0"/>
          <w:iCs w:val="0"/>
          <w:color w:val="auto"/>
          <w:sz w:val="32"/>
          <w:szCs w:val="32"/>
          <w:highlight w:val="none"/>
          <w:lang w:eastAsia="zh-CN"/>
        </w:rPr>
        <w:t>投标文件内容与格式</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8</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3</w:t>
      </w:r>
    </w:p>
    <w:p w14:paraId="5E95A5E5">
      <w:pPr>
        <w:tabs>
          <w:tab w:val="center" w:pos="5200"/>
          <w:tab w:val="left" w:pos="7980"/>
        </w:tabs>
        <w:spacing w:line="720" w:lineRule="auto"/>
        <w:ind w:firstLine="480"/>
        <w:jc w:val="left"/>
        <w:rPr>
          <w:rFonts w:ascii="宋体"/>
          <w:bCs/>
          <w:i w:val="0"/>
          <w:iCs w:val="0"/>
          <w:color w:val="auto"/>
          <w:sz w:val="28"/>
          <w:szCs w:val="28"/>
          <w:highlight w:val="none"/>
        </w:rPr>
      </w:pPr>
      <w:r>
        <w:rPr>
          <w:rFonts w:ascii="宋体" w:hAnsi="宋体"/>
          <w:bCs/>
          <w:i w:val="0"/>
          <w:iCs w:val="0"/>
          <w:color w:val="auto"/>
          <w:sz w:val="32"/>
          <w:szCs w:val="32"/>
          <w:highlight w:val="none"/>
        </w:rPr>
        <w:tab/>
      </w:r>
      <w:r>
        <w:rPr>
          <w:rFonts w:ascii="宋体" w:hAnsi="宋体"/>
          <w:bCs/>
          <w:i w:val="0"/>
          <w:iCs w:val="0"/>
          <w:color w:val="auto"/>
          <w:sz w:val="32"/>
          <w:szCs w:val="32"/>
          <w:highlight w:val="none"/>
        </w:rPr>
        <w:fldChar w:fldCharType="end"/>
      </w:r>
      <w:r>
        <w:rPr>
          <w:rFonts w:ascii="宋体"/>
          <w:bCs/>
          <w:i w:val="0"/>
          <w:iCs w:val="0"/>
          <w:color w:val="auto"/>
          <w:sz w:val="28"/>
          <w:szCs w:val="28"/>
          <w:highlight w:val="none"/>
        </w:rPr>
        <w:t xml:space="preserve"> </w:t>
      </w:r>
      <w:r>
        <w:rPr>
          <w:rFonts w:ascii="宋体"/>
          <w:bCs/>
          <w:i w:val="0"/>
          <w:iCs w:val="0"/>
          <w:color w:val="auto"/>
          <w:sz w:val="28"/>
          <w:szCs w:val="28"/>
          <w:highlight w:val="none"/>
        </w:rPr>
        <w:tab/>
      </w:r>
    </w:p>
    <w:p w14:paraId="09DD5BE6">
      <w:pPr>
        <w:tabs>
          <w:tab w:val="left" w:pos="1888"/>
        </w:tabs>
        <w:spacing w:line="720" w:lineRule="auto"/>
        <w:rPr>
          <w:rFonts w:hint="eastAsia" w:ascii="宋体" w:eastAsia="宋体"/>
          <w:bCs/>
          <w:i w:val="0"/>
          <w:iCs w:val="0"/>
          <w:color w:val="auto"/>
          <w:sz w:val="30"/>
          <w:highlight w:val="none"/>
          <w:lang w:eastAsia="zh-CN"/>
        </w:rPr>
      </w:pPr>
      <w:r>
        <w:rPr>
          <w:rFonts w:hint="eastAsia" w:ascii="宋体"/>
          <w:bCs/>
          <w:i w:val="0"/>
          <w:iCs w:val="0"/>
          <w:color w:val="auto"/>
          <w:sz w:val="30"/>
          <w:highlight w:val="none"/>
          <w:lang w:eastAsia="zh-CN"/>
        </w:rPr>
        <w:tab/>
      </w:r>
    </w:p>
    <w:p w14:paraId="1D34F527">
      <w:pPr>
        <w:rPr>
          <w:rFonts w:hint="eastAsia" w:ascii="宋体"/>
          <w:bCs/>
          <w:i w:val="0"/>
          <w:iCs w:val="0"/>
          <w:color w:val="auto"/>
          <w:sz w:val="32"/>
          <w:highlight w:val="none"/>
        </w:rPr>
      </w:pPr>
    </w:p>
    <w:p w14:paraId="166B38BF">
      <w:pPr>
        <w:pStyle w:val="186"/>
        <w:keepLines w:val="0"/>
        <w:pageBreakBefore/>
        <w:kinsoku/>
        <w:wordWrap/>
        <w:overflowPunct/>
        <w:topLinePunct w:val="0"/>
        <w:autoSpaceDE/>
        <w:autoSpaceDN/>
        <w:bidi w:val="0"/>
        <w:adjustRightInd/>
        <w:snapToGrid/>
        <w:textAlignment w:val="auto"/>
        <w:rPr>
          <w:rFonts w:ascii="黑体" w:hAnsi="黑体" w:eastAsia="黑体"/>
          <w:b w:val="0"/>
          <w:i w:val="0"/>
          <w:iCs w:val="0"/>
          <w:color w:val="auto"/>
          <w:sz w:val="32"/>
          <w:szCs w:val="32"/>
          <w:highlight w:val="none"/>
        </w:rPr>
      </w:pPr>
      <w:bookmarkStart w:id="0" w:name="报价方须知前附表"/>
      <w:bookmarkEnd w:id="0"/>
      <w:bookmarkStart w:id="1" w:name="_Toc61444671"/>
      <w:r>
        <w:rPr>
          <w:rFonts w:hint="eastAsia" w:ascii="黑体" w:hAnsi="黑体" w:eastAsia="黑体"/>
          <w:b w:val="0"/>
          <w:i w:val="0"/>
          <w:iCs w:val="0"/>
          <w:color w:val="auto"/>
          <w:sz w:val="32"/>
          <w:szCs w:val="32"/>
          <w:highlight w:val="none"/>
        </w:rPr>
        <w:t>一．投标邀请函</w:t>
      </w:r>
      <w:bookmarkEnd w:id="1"/>
    </w:p>
    <w:p w14:paraId="4E31492E">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我中心受</w:t>
      </w:r>
      <w:r>
        <w:rPr>
          <w:rFonts w:hint="eastAsia" w:ascii="宋体" w:hAnsi="宋体"/>
          <w:color w:val="auto"/>
          <w:sz w:val="24"/>
          <w:highlight w:val="none"/>
          <w:lang w:eastAsia="zh-CN"/>
        </w:rPr>
        <w:t>无锡市惠山区洛社镇人民政府</w:t>
      </w:r>
      <w:r>
        <w:rPr>
          <w:rFonts w:hint="eastAsia" w:ascii="宋体" w:hAnsi="宋体"/>
          <w:bCs/>
          <w:i w:val="0"/>
          <w:iCs w:val="0"/>
          <w:color w:val="auto"/>
          <w:sz w:val="24"/>
          <w:szCs w:val="24"/>
          <w:highlight w:val="none"/>
        </w:rPr>
        <w:t>的委托，对</w:t>
      </w:r>
      <w:r>
        <w:rPr>
          <w:rFonts w:hint="eastAsia" w:ascii="宋体" w:hAnsi="宋体"/>
          <w:bCs/>
          <w:i w:val="0"/>
          <w:iCs w:val="0"/>
          <w:color w:val="auto"/>
          <w:sz w:val="24"/>
          <w:szCs w:val="24"/>
          <w:highlight w:val="none"/>
          <w:lang w:eastAsia="zh-CN"/>
        </w:rPr>
        <w:t>石塘湾消防站智能化专项采购项目</w:t>
      </w:r>
      <w:r>
        <w:rPr>
          <w:rFonts w:hint="eastAsia" w:ascii="宋体" w:hAnsi="宋体"/>
          <w:bCs/>
          <w:i w:val="0"/>
          <w:iCs w:val="0"/>
          <w:color w:val="auto"/>
          <w:sz w:val="24"/>
          <w:szCs w:val="24"/>
          <w:highlight w:val="none"/>
        </w:rPr>
        <w:t>进行公开招标采购，欢迎符合相关条件的供应商参加投标并提请注意下列相关事项：</w:t>
      </w:r>
    </w:p>
    <w:p w14:paraId="1F1420A0">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r>
        <w:rPr>
          <w:rFonts w:hint="eastAsia" w:ascii="黑体" w:hAnsi="黑体" w:eastAsia="黑体" w:cs="黑体"/>
          <w:bCs/>
          <w:i w:val="0"/>
          <w:iCs w:val="0"/>
          <w:color w:val="auto"/>
          <w:sz w:val="24"/>
          <w:szCs w:val="24"/>
          <w:highlight w:val="none"/>
          <w:lang w:eastAsia="zh-CN"/>
        </w:rPr>
        <w:t>（一）</w:t>
      </w:r>
      <w:r>
        <w:rPr>
          <w:rFonts w:hint="eastAsia" w:ascii="黑体" w:hAnsi="黑体" w:eastAsia="黑体" w:cs="黑体"/>
          <w:bCs/>
          <w:i w:val="0"/>
          <w:iCs w:val="0"/>
          <w:color w:val="auto"/>
          <w:sz w:val="24"/>
          <w:szCs w:val="24"/>
          <w:highlight w:val="none"/>
        </w:rPr>
        <w:t>招标项目信息</w:t>
      </w:r>
    </w:p>
    <w:p w14:paraId="39D190E8">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1.</w:t>
      </w:r>
      <w:r>
        <w:rPr>
          <w:rFonts w:hint="eastAsia" w:ascii="宋体" w:hAnsi="宋体"/>
          <w:bCs/>
          <w:i w:val="0"/>
          <w:iCs w:val="0"/>
          <w:color w:val="auto"/>
          <w:sz w:val="24"/>
          <w:szCs w:val="24"/>
          <w:highlight w:val="none"/>
        </w:rPr>
        <w:t>项目名称：</w:t>
      </w:r>
      <w:r>
        <w:rPr>
          <w:rFonts w:hint="eastAsia" w:ascii="宋体" w:hAnsi="宋体"/>
          <w:bCs/>
          <w:i w:val="0"/>
          <w:iCs w:val="0"/>
          <w:color w:val="auto"/>
          <w:sz w:val="24"/>
          <w:szCs w:val="24"/>
          <w:highlight w:val="none"/>
          <w:lang w:eastAsia="zh-CN"/>
        </w:rPr>
        <w:t>石塘湾消防站智能化专项采购项目</w:t>
      </w:r>
    </w:p>
    <w:p w14:paraId="702E160E">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2.</w:t>
      </w:r>
      <w:r>
        <w:rPr>
          <w:rFonts w:hint="eastAsia" w:ascii="宋体" w:hAnsi="宋体"/>
          <w:bCs/>
          <w:i w:val="0"/>
          <w:iCs w:val="0"/>
          <w:color w:val="auto"/>
          <w:sz w:val="24"/>
          <w:szCs w:val="24"/>
          <w:highlight w:val="none"/>
        </w:rPr>
        <w:t>项目编号：</w:t>
      </w:r>
      <w:r>
        <w:rPr>
          <w:rFonts w:hint="eastAsia" w:ascii="宋体" w:hAnsi="宋体"/>
          <w:bCs/>
          <w:i w:val="0"/>
          <w:iCs w:val="0"/>
          <w:color w:val="auto"/>
          <w:sz w:val="24"/>
          <w:szCs w:val="24"/>
          <w:highlight w:val="none"/>
          <w:lang w:eastAsia="zh-CN"/>
        </w:rPr>
        <w:t>JSZC-320206-JZCG-G2026-0051</w:t>
      </w:r>
    </w:p>
    <w:p w14:paraId="4206B7F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eastAsia="宋体" w:cs="Times New Roman"/>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3.项目预算：</w:t>
      </w:r>
      <w:r>
        <w:rPr>
          <w:rFonts w:hint="eastAsia" w:ascii="宋体" w:hAnsi="宋体" w:cs="Times New Roman"/>
          <w:bCs/>
          <w:i w:val="0"/>
          <w:iCs w:val="0"/>
          <w:color w:val="auto"/>
          <w:sz w:val="24"/>
          <w:szCs w:val="24"/>
          <w:highlight w:val="none"/>
          <w:lang w:val="en-US" w:eastAsia="zh-CN"/>
        </w:rPr>
        <w:t>380</w:t>
      </w:r>
      <w:r>
        <w:rPr>
          <w:rFonts w:hint="eastAsia" w:ascii="宋体" w:hAnsi="宋体" w:eastAsia="宋体" w:cs="Times New Roman"/>
          <w:bCs/>
          <w:i w:val="0"/>
          <w:iCs w:val="0"/>
          <w:color w:val="auto"/>
          <w:sz w:val="24"/>
          <w:szCs w:val="24"/>
          <w:highlight w:val="none"/>
          <w:lang w:val="en-US" w:eastAsia="zh-CN"/>
        </w:rPr>
        <w:t>万元</w:t>
      </w:r>
    </w:p>
    <w:p w14:paraId="3C155431">
      <w:pPr>
        <w:keepNext w:val="0"/>
        <w:keepLines w:val="0"/>
        <w:pageBreakBefore w:val="0"/>
        <w:kinsoku/>
        <w:wordWrap/>
        <w:overflowPunct/>
        <w:topLinePunct w:val="0"/>
        <w:autoSpaceDE/>
        <w:autoSpaceDN/>
        <w:bidi w:val="0"/>
        <w:adjustRightInd/>
        <w:snapToGrid/>
        <w:spacing w:line="500" w:lineRule="exact"/>
        <w:ind w:firstLine="540"/>
        <w:textAlignment w:val="auto"/>
        <w:rPr>
          <w:rFonts w:hint="default" w:ascii="宋体" w:hAnsi="宋体" w:eastAsia="宋体" w:cs="Times New Roman"/>
          <w:bCs/>
          <w:i w:val="0"/>
          <w:iCs w:val="0"/>
          <w:color w:val="auto"/>
          <w:sz w:val="24"/>
          <w:szCs w:val="24"/>
          <w:highlight w:val="none"/>
          <w:lang w:val="en-US" w:eastAsia="zh-CN"/>
        </w:rPr>
      </w:pPr>
      <w:r>
        <w:rPr>
          <w:rFonts w:hint="eastAsia" w:ascii="宋体" w:hAnsi="宋体" w:eastAsia="宋体" w:cs="Times New Roman"/>
          <w:bCs/>
          <w:i w:val="0"/>
          <w:iCs w:val="0"/>
          <w:color w:val="auto"/>
          <w:sz w:val="24"/>
          <w:szCs w:val="24"/>
          <w:highlight w:val="none"/>
          <w:lang w:val="en-US" w:eastAsia="zh-CN"/>
        </w:rPr>
        <w:t>4.最高限价：</w:t>
      </w:r>
      <w:r>
        <w:rPr>
          <w:rFonts w:hint="eastAsia" w:ascii="宋体" w:hAnsi="宋体" w:cs="宋体"/>
          <w:color w:val="auto"/>
          <w:sz w:val="24"/>
          <w:szCs w:val="24"/>
          <w:highlight w:val="none"/>
        </w:rPr>
        <w:t>338</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2975</w:t>
      </w:r>
      <w:r>
        <w:rPr>
          <w:rFonts w:hint="eastAsia" w:ascii="宋体" w:hAnsi="宋体" w:eastAsia="宋体" w:cs="Times New Roman"/>
          <w:bCs/>
          <w:i w:val="0"/>
          <w:iCs w:val="0"/>
          <w:color w:val="auto"/>
          <w:sz w:val="24"/>
          <w:szCs w:val="24"/>
          <w:highlight w:val="none"/>
          <w:lang w:val="en-US" w:eastAsia="zh-CN"/>
        </w:rPr>
        <w:t>万元</w:t>
      </w:r>
    </w:p>
    <w:p w14:paraId="22AA801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5.采购方式：公开招标</w:t>
      </w:r>
    </w:p>
    <w:p w14:paraId="60790812">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eastAsia="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6.</w:t>
      </w:r>
      <w:r>
        <w:rPr>
          <w:rFonts w:hint="eastAsia" w:ascii="宋体" w:hAnsi="宋体"/>
          <w:bCs/>
          <w:i w:val="0"/>
          <w:iCs w:val="0"/>
          <w:color w:val="auto"/>
          <w:sz w:val="24"/>
          <w:szCs w:val="24"/>
          <w:highlight w:val="none"/>
        </w:rPr>
        <w:t>采购人：</w:t>
      </w:r>
      <w:r>
        <w:rPr>
          <w:rFonts w:hint="eastAsia" w:ascii="宋体" w:hAnsi="宋体"/>
          <w:color w:val="auto"/>
          <w:sz w:val="24"/>
          <w:highlight w:val="none"/>
          <w:lang w:eastAsia="zh-CN"/>
        </w:rPr>
        <w:t>无锡市惠山区洛社镇人民政府</w:t>
      </w:r>
    </w:p>
    <w:p w14:paraId="3955A453">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7.</w:t>
      </w:r>
      <w:r>
        <w:rPr>
          <w:rFonts w:hint="eastAsia" w:ascii="宋体" w:hAnsi="宋体"/>
          <w:bCs/>
          <w:i w:val="0"/>
          <w:iCs w:val="0"/>
          <w:color w:val="auto"/>
          <w:sz w:val="24"/>
          <w:szCs w:val="24"/>
          <w:highlight w:val="none"/>
        </w:rPr>
        <w:t>本项目标的所属行业</w:t>
      </w:r>
      <w:r>
        <w:rPr>
          <w:rFonts w:hint="eastAsia" w:ascii="宋体" w:hAnsi="宋体"/>
          <w:color w:val="auto"/>
          <w:sz w:val="24"/>
          <w:highlight w:val="none"/>
          <w:lang w:eastAsia="zh-CN"/>
        </w:rPr>
        <w:t>：工业</w:t>
      </w:r>
    </w:p>
    <w:p w14:paraId="04D6D39A">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eastAsia="宋体"/>
          <w:bCs/>
          <w:i w:val="0"/>
          <w:iCs w:val="0"/>
          <w:color w:val="auto"/>
          <w:sz w:val="24"/>
          <w:szCs w:val="24"/>
          <w:highlight w:val="none"/>
          <w:lang w:eastAsia="zh-CN"/>
        </w:rPr>
      </w:pPr>
      <w:r>
        <w:rPr>
          <w:rFonts w:hint="eastAsia" w:ascii="宋体" w:hAnsi="宋体"/>
          <w:bCs/>
          <w:i w:val="0"/>
          <w:iCs w:val="0"/>
          <w:color w:val="auto"/>
          <w:sz w:val="24"/>
          <w:szCs w:val="24"/>
          <w:highlight w:val="none"/>
          <w:lang w:val="en-US" w:eastAsia="zh-CN"/>
        </w:rPr>
        <w:t>8.</w:t>
      </w:r>
      <w:r>
        <w:rPr>
          <w:rFonts w:hint="eastAsia" w:ascii="宋体" w:hAnsi="宋体"/>
          <w:bCs/>
          <w:i w:val="0"/>
          <w:iCs w:val="0"/>
          <w:color w:val="auto"/>
          <w:sz w:val="24"/>
          <w:szCs w:val="24"/>
          <w:highlight w:val="none"/>
        </w:rPr>
        <w:t>本项目是否专门面向中小企业：</w:t>
      </w:r>
      <w:r>
        <w:rPr>
          <w:rFonts w:hint="eastAsia" w:ascii="宋体" w:hAnsi="宋体"/>
          <w:bCs/>
          <w:i w:val="0"/>
          <w:iCs w:val="0"/>
          <w:color w:val="auto"/>
          <w:sz w:val="24"/>
          <w:szCs w:val="24"/>
          <w:highlight w:val="none"/>
          <w:lang w:eastAsia="zh-CN"/>
        </w:rPr>
        <w:t>否</w:t>
      </w:r>
    </w:p>
    <w:p w14:paraId="4EA7D2A5">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r>
        <w:rPr>
          <w:rFonts w:hint="eastAsia" w:ascii="黑体" w:hAnsi="黑体" w:eastAsia="黑体" w:cs="黑体"/>
          <w:bCs/>
          <w:i w:val="0"/>
          <w:iCs w:val="0"/>
          <w:color w:val="auto"/>
          <w:sz w:val="24"/>
          <w:szCs w:val="24"/>
          <w:highlight w:val="none"/>
          <w:lang w:eastAsia="zh-CN"/>
        </w:rPr>
        <w:t>（二）</w:t>
      </w:r>
      <w:r>
        <w:rPr>
          <w:rFonts w:hint="eastAsia" w:ascii="黑体" w:hAnsi="黑体" w:eastAsia="黑体" w:cs="黑体"/>
          <w:bCs/>
          <w:i w:val="0"/>
          <w:iCs w:val="0"/>
          <w:color w:val="auto"/>
          <w:sz w:val="24"/>
          <w:szCs w:val="24"/>
          <w:highlight w:val="none"/>
        </w:rPr>
        <w:t>投标人资格要求</w:t>
      </w:r>
    </w:p>
    <w:p w14:paraId="60351812">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1.</w:t>
      </w:r>
      <w:r>
        <w:rPr>
          <w:rFonts w:hint="eastAsia" w:ascii="宋体" w:hAnsi="宋体"/>
          <w:bCs/>
          <w:i w:val="0"/>
          <w:iCs w:val="0"/>
          <w:color w:val="auto"/>
          <w:sz w:val="24"/>
          <w:szCs w:val="24"/>
          <w:highlight w:val="none"/>
        </w:rPr>
        <w:t>具备《中华人民共和国政府采购法》第二十二条第一款规定的条件；</w:t>
      </w:r>
    </w:p>
    <w:p w14:paraId="6568FD8B">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2.</w:t>
      </w:r>
      <w:r>
        <w:rPr>
          <w:rFonts w:hint="eastAsia" w:ascii="宋体" w:hAnsi="宋体"/>
          <w:bCs/>
          <w:i w:val="0"/>
          <w:iCs w:val="0"/>
          <w:color w:val="auto"/>
          <w:sz w:val="24"/>
          <w:szCs w:val="24"/>
          <w:highlight w:val="none"/>
        </w:rPr>
        <w:t>未被“信用中国”网站（www.creditchina.gov.cn）、中国政府采购网(www.ccgp.gov.cn)列入失信被执行人、重大税收违法案件当事人名单、政府采购严重违法失</w:t>
      </w:r>
      <w:r>
        <w:rPr>
          <w:rFonts w:hint="eastAsia" w:ascii="宋体" w:hAnsi="宋体"/>
          <w:bCs/>
          <w:i w:val="0"/>
          <w:iCs w:val="0"/>
          <w:color w:val="auto"/>
          <w:sz w:val="24"/>
          <w:szCs w:val="24"/>
          <w:highlight w:val="none"/>
          <w:lang w:val="en-US" w:eastAsia="zh-CN"/>
        </w:rPr>
        <w:t>信行为记录名单；</w:t>
      </w:r>
    </w:p>
    <w:p w14:paraId="7DC1221F">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3.具备采购人根据招标项目的特殊要求规定的以下特定资质：</w:t>
      </w:r>
    </w:p>
    <w:p w14:paraId="1B85018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（1）本项目不接受联合体投标。</w:t>
      </w:r>
    </w:p>
    <w:p w14:paraId="1C661FBC">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bookmarkStart w:id="2" w:name="_Toc61444672"/>
      <w:r>
        <w:rPr>
          <w:rFonts w:hint="eastAsia" w:ascii="黑体" w:hAnsi="黑体" w:eastAsia="黑体" w:cs="黑体"/>
          <w:bCs/>
          <w:i w:val="0"/>
          <w:iCs w:val="0"/>
          <w:color w:val="auto"/>
          <w:sz w:val="24"/>
          <w:szCs w:val="24"/>
          <w:highlight w:val="none"/>
          <w:lang w:eastAsia="zh-CN"/>
        </w:rPr>
        <w:t>（三）获取招标文件</w:t>
      </w:r>
    </w:p>
    <w:p w14:paraId="41A52F79">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cs="宋体"/>
          <w:i w:val="0"/>
          <w:iCs w:val="0"/>
          <w:color w:val="auto"/>
          <w:sz w:val="24"/>
          <w:szCs w:val="24"/>
          <w:highlight w:val="none"/>
        </w:rPr>
      </w:pPr>
      <w:r>
        <w:rPr>
          <w:rFonts w:hint="eastAsia" w:ascii="宋体" w:hAnsi="宋体"/>
          <w:bCs/>
          <w:i w:val="0"/>
          <w:iCs w:val="0"/>
          <w:color w:val="auto"/>
          <w:sz w:val="24"/>
          <w:szCs w:val="24"/>
          <w:highlight w:val="none"/>
        </w:rPr>
        <w:t>1.时间：本招标文件有效获取期自招标文件公告发布之日起5个工作日，（有效获取期内的）每天上午</w:t>
      </w:r>
      <w:r>
        <w:rPr>
          <w:rFonts w:hint="eastAsia" w:ascii="宋体" w:hAnsi="宋体" w:cs="宋体"/>
          <w:i w:val="0"/>
          <w:iCs w:val="0"/>
          <w:color w:val="auto"/>
          <w:sz w:val="24"/>
          <w:szCs w:val="24"/>
          <w:highlight w:val="none"/>
        </w:rPr>
        <w:t>00:00至12:00，下午12:00至23:59（北京时间，法定节假日除外）。</w:t>
      </w:r>
    </w:p>
    <w:p w14:paraId="2E539942">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2.地点：</w:t>
      </w:r>
      <w:r>
        <w:rPr>
          <w:rFonts w:ascii="宋体" w:hAnsi="宋体"/>
          <w:i w:val="0"/>
          <w:iCs w:val="0"/>
          <w:color w:val="auto"/>
          <w:sz w:val="24"/>
          <w:szCs w:val="24"/>
          <w:highlight w:val="none"/>
        </w:rPr>
        <w:t>“江苏省政府采购（苏采云）平台”</w:t>
      </w:r>
      <w:r>
        <w:rPr>
          <w:rFonts w:hint="eastAsia" w:ascii="宋体" w:hAnsi="宋体"/>
          <w:i w:val="0"/>
          <w:iCs w:val="0"/>
          <w:color w:val="auto"/>
          <w:sz w:val="24"/>
          <w:szCs w:val="24"/>
          <w:highlight w:val="none"/>
        </w:rPr>
        <w:t>。</w:t>
      </w:r>
    </w:p>
    <w:p w14:paraId="055E6FDB">
      <w:pPr>
        <w:keepNext w:val="0"/>
        <w:keepLines w:val="0"/>
        <w:pageBreakBefore w:val="0"/>
        <w:kinsoku/>
        <w:wordWrap/>
        <w:overflowPunct/>
        <w:topLinePunct w:val="0"/>
        <w:autoSpaceDE/>
        <w:autoSpaceDN/>
        <w:bidi w:val="0"/>
        <w:adjustRightInd/>
        <w:snapToGrid/>
        <w:spacing w:line="500" w:lineRule="exact"/>
        <w:ind w:firstLine="540"/>
        <w:textAlignment w:val="auto"/>
        <w:rPr>
          <w:rStyle w:val="239"/>
          <w:i w:val="0"/>
          <w:iCs w:val="0"/>
          <w:color w:val="auto"/>
          <w:highlight w:val="none"/>
        </w:rPr>
      </w:pPr>
      <w:r>
        <w:rPr>
          <w:rFonts w:hint="eastAsia" w:ascii="宋体" w:hAnsi="宋体"/>
          <w:bCs/>
          <w:i w:val="0"/>
          <w:iCs w:val="0"/>
          <w:color w:val="auto"/>
          <w:sz w:val="24"/>
          <w:szCs w:val="24"/>
          <w:highlight w:val="none"/>
        </w:rPr>
        <w:t>3.方式：请有投标意向的供应商在招标文件有效获取期内及时至</w:t>
      </w:r>
      <w:r>
        <w:rPr>
          <w:rFonts w:ascii="宋体" w:hAnsi="宋体"/>
          <w:i w:val="0"/>
          <w:iCs w:val="0"/>
          <w:color w:val="auto"/>
          <w:sz w:val="24"/>
          <w:szCs w:val="24"/>
          <w:highlight w:val="none"/>
        </w:rPr>
        <w:t>“江苏省政府采购（苏采云）平台”获取</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在招标文件有效获取期限内，从</w:t>
      </w:r>
      <w:r>
        <w:rPr>
          <w:rFonts w:ascii="宋体" w:hAnsi="宋体"/>
          <w:i w:val="0"/>
          <w:iCs w:val="0"/>
          <w:color w:val="auto"/>
          <w:sz w:val="24"/>
          <w:szCs w:val="24"/>
          <w:highlight w:val="none"/>
        </w:rPr>
        <w:t>“江苏省政府采购（苏采云）平台”获取的</w:t>
      </w:r>
      <w:r>
        <w:rPr>
          <w:rFonts w:hint="eastAsia" w:ascii="宋体" w:hAnsi="宋体"/>
          <w:bCs/>
          <w:i w:val="0"/>
          <w:iCs w:val="0"/>
          <w:color w:val="auto"/>
          <w:sz w:val="24"/>
          <w:szCs w:val="24"/>
          <w:highlight w:val="none"/>
        </w:rPr>
        <w:t>招标文件，视为依法获取的招标文件。</w:t>
      </w:r>
    </w:p>
    <w:p w14:paraId="6B22589C">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4.售价：本项目招标文件免费。</w:t>
      </w:r>
    </w:p>
    <w:p w14:paraId="05F25815">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i w:val="0"/>
          <w:iCs w:val="0"/>
          <w:color w:val="auto"/>
          <w:sz w:val="24"/>
          <w:szCs w:val="24"/>
          <w:highlight w:val="none"/>
        </w:rPr>
      </w:pPr>
      <w:r>
        <w:rPr>
          <w:rFonts w:hint="eastAsia" w:ascii="黑体" w:hAnsi="黑体" w:eastAsia="黑体" w:cs="黑体"/>
          <w:i w:val="0"/>
          <w:iCs w:val="0"/>
          <w:color w:val="auto"/>
          <w:sz w:val="24"/>
          <w:szCs w:val="24"/>
          <w:highlight w:val="none"/>
          <w:lang w:eastAsia="zh-CN"/>
        </w:rPr>
        <w:t>（四）提交投标文件截至时间、开标时间和地点</w:t>
      </w:r>
    </w:p>
    <w:p w14:paraId="0F045EBF">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1.时间：202</w:t>
      </w:r>
      <w:r>
        <w:rPr>
          <w:rFonts w:hint="eastAsia" w:ascii="宋体" w:hAnsi="宋体"/>
          <w:i w:val="0"/>
          <w:iCs w:val="0"/>
          <w:color w:val="auto"/>
          <w:sz w:val="24"/>
          <w:szCs w:val="24"/>
          <w:highlight w:val="none"/>
          <w:lang w:val="en-US" w:eastAsia="zh-CN"/>
        </w:rPr>
        <w:t>6</w:t>
      </w:r>
      <w:r>
        <w:rPr>
          <w:rFonts w:hint="eastAsia" w:ascii="宋体" w:hAnsi="宋体"/>
          <w:i w:val="0"/>
          <w:iCs w:val="0"/>
          <w:color w:val="auto"/>
          <w:sz w:val="24"/>
          <w:szCs w:val="24"/>
          <w:highlight w:val="none"/>
        </w:rPr>
        <w:t>年</w:t>
      </w:r>
      <w:r>
        <w:rPr>
          <w:rFonts w:hint="eastAsia" w:ascii="宋体" w:hAnsi="宋体"/>
          <w:i w:val="0"/>
          <w:iCs w:val="0"/>
          <w:color w:val="auto"/>
          <w:sz w:val="24"/>
          <w:szCs w:val="24"/>
          <w:highlight w:val="none"/>
          <w:lang w:val="en-US" w:eastAsia="zh-CN"/>
        </w:rPr>
        <w:t>9</w:t>
      </w:r>
      <w:r>
        <w:rPr>
          <w:rFonts w:hint="eastAsia" w:ascii="宋体" w:hAnsi="宋体" w:eastAsia="宋体" w:cs="Times New Roman"/>
          <w:i w:val="0"/>
          <w:iCs w:val="0"/>
          <w:color w:val="auto"/>
          <w:sz w:val="24"/>
          <w:szCs w:val="24"/>
          <w:highlight w:val="none"/>
        </w:rPr>
        <w:t>月</w:t>
      </w:r>
      <w:r>
        <w:rPr>
          <w:rFonts w:hint="eastAsia" w:ascii="宋体" w:hAnsi="宋体" w:cs="Times New Roman"/>
          <w:i w:val="0"/>
          <w:iCs w:val="0"/>
          <w:color w:val="auto"/>
          <w:sz w:val="24"/>
          <w:szCs w:val="24"/>
          <w:highlight w:val="none"/>
          <w:lang w:val="en-US" w:eastAsia="zh-CN"/>
        </w:rPr>
        <w:t>22</w:t>
      </w:r>
      <w:r>
        <w:rPr>
          <w:rFonts w:hint="eastAsia" w:ascii="宋体" w:hAnsi="宋体" w:eastAsia="宋体" w:cs="Times New Roman"/>
          <w:i w:val="0"/>
          <w:iCs w:val="0"/>
          <w:color w:val="auto"/>
          <w:sz w:val="24"/>
          <w:szCs w:val="24"/>
          <w:highlight w:val="none"/>
        </w:rPr>
        <w:t>日</w:t>
      </w:r>
      <w:r>
        <w:rPr>
          <w:rFonts w:hint="eastAsia" w:ascii="宋体" w:hAnsi="宋体" w:eastAsia="宋体" w:cs="Times New Roman"/>
          <w:i w:val="0"/>
          <w:iCs w:val="0"/>
          <w:color w:val="auto"/>
          <w:sz w:val="24"/>
          <w:szCs w:val="24"/>
          <w:highlight w:val="none"/>
          <w:lang w:val="en-US" w:eastAsia="zh-CN"/>
        </w:rPr>
        <w:t>1</w:t>
      </w:r>
      <w:r>
        <w:rPr>
          <w:rFonts w:hint="eastAsia" w:ascii="宋体" w:hAnsi="宋体" w:cs="Times New Roman"/>
          <w:i w:val="0"/>
          <w:iCs w:val="0"/>
          <w:color w:val="auto"/>
          <w:sz w:val="24"/>
          <w:szCs w:val="24"/>
          <w:highlight w:val="none"/>
          <w:lang w:val="en-US" w:eastAsia="zh-CN"/>
        </w:rPr>
        <w:t>4</w:t>
      </w:r>
      <w:r>
        <w:rPr>
          <w:rFonts w:hint="eastAsia" w:ascii="宋体" w:hAnsi="宋体"/>
          <w:bCs/>
          <w:i w:val="0"/>
          <w:iCs w:val="0"/>
          <w:color w:val="auto"/>
          <w:sz w:val="24"/>
          <w:szCs w:val="24"/>
          <w:highlight w:val="none"/>
        </w:rPr>
        <w:t>点</w:t>
      </w:r>
      <w:r>
        <w:rPr>
          <w:rFonts w:hint="eastAsia" w:ascii="宋体" w:hAnsi="宋体"/>
          <w:bCs/>
          <w:i w:val="0"/>
          <w:iCs w:val="0"/>
          <w:color w:val="auto"/>
          <w:sz w:val="24"/>
          <w:szCs w:val="24"/>
          <w:highlight w:val="none"/>
          <w:lang w:val="en-US" w:eastAsia="zh-CN"/>
        </w:rPr>
        <w:t>15</w:t>
      </w:r>
      <w:r>
        <w:rPr>
          <w:rFonts w:hint="eastAsia" w:ascii="宋体" w:hAnsi="宋体"/>
          <w:bCs/>
          <w:i w:val="0"/>
          <w:iCs w:val="0"/>
          <w:color w:val="auto"/>
          <w:sz w:val="24"/>
          <w:szCs w:val="24"/>
          <w:highlight w:val="none"/>
        </w:rPr>
        <w:t>分（北京时间）</w:t>
      </w:r>
    </w:p>
    <w:p w14:paraId="4AD92FF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.地点：“江苏省政府采购（苏采云）平台”网上开标大厅。</w:t>
      </w:r>
    </w:p>
    <w:p w14:paraId="0E03180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（五）公告期限</w:t>
      </w:r>
    </w:p>
    <w:p w14:paraId="1422FF5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（招标公告及招标文件公告期限）自本公告发布之日起5个工作日。</w:t>
      </w:r>
    </w:p>
    <w:p w14:paraId="77BD5EF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（六）本项目联系方式</w:t>
      </w:r>
    </w:p>
    <w:p w14:paraId="321778D2">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1.采购人信息</w:t>
      </w:r>
    </w:p>
    <w:p w14:paraId="7B79AC6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rPr>
        <w:t>名    称：</w:t>
      </w:r>
      <w:r>
        <w:rPr>
          <w:rFonts w:hint="eastAsia" w:ascii="宋体" w:hAnsi="宋体"/>
          <w:bCs/>
          <w:i w:val="0"/>
          <w:iCs w:val="0"/>
          <w:color w:val="auto"/>
          <w:sz w:val="24"/>
          <w:szCs w:val="24"/>
          <w:highlight w:val="none"/>
          <w:lang w:eastAsia="zh-CN"/>
        </w:rPr>
        <w:t>无锡市惠山区洛社镇人民政府</w:t>
      </w:r>
    </w:p>
    <w:p w14:paraId="4E1DCA1B">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 xml:space="preserve">地  </w:t>
      </w:r>
      <w:r>
        <w:rPr>
          <w:rFonts w:hint="eastAsia" w:ascii="宋体" w:hAnsi="宋体" w:eastAsia="宋体" w:cs="宋体"/>
          <w:i w:val="0"/>
          <w:iCs w:val="0"/>
          <w:color w:val="auto"/>
          <w:sz w:val="24"/>
          <w:szCs w:val="24"/>
          <w:highlight w:val="none"/>
          <w:lang w:eastAsia="zh-CN"/>
        </w:rPr>
        <w:t xml:space="preserve">  址：无锡市惠山区洛社镇新兴西路5号</w:t>
      </w:r>
    </w:p>
    <w:p w14:paraId="7B37942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联</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eastAsia="zh-CN"/>
        </w:rPr>
        <w:t>系</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eastAsia="zh-CN"/>
        </w:rPr>
        <w:t>人：朱静</w:t>
      </w:r>
    </w:p>
    <w:p w14:paraId="1CAC99F2">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eastAsia="zh-CN"/>
        </w:rPr>
        <w:t>联系方式：</w:t>
      </w:r>
      <w:bookmarkStart w:id="3" w:name="_Toc28359009"/>
      <w:bookmarkStart w:id="4" w:name="_Toc28359086"/>
      <w:r>
        <w:rPr>
          <w:rFonts w:hint="eastAsia" w:ascii="宋体" w:hAnsi="宋体" w:eastAsia="宋体" w:cs="宋体"/>
          <w:i w:val="0"/>
          <w:iCs w:val="0"/>
          <w:color w:val="auto"/>
          <w:sz w:val="24"/>
          <w:szCs w:val="24"/>
          <w:highlight w:val="none"/>
          <w:lang w:eastAsia="zh-CN"/>
        </w:rPr>
        <w:t>0510-83302978</w:t>
      </w:r>
    </w:p>
    <w:p w14:paraId="74042BB6">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2.</w:t>
      </w:r>
      <w:bookmarkEnd w:id="3"/>
      <w:bookmarkEnd w:id="4"/>
      <w:r>
        <w:rPr>
          <w:rFonts w:hint="eastAsia" w:ascii="宋体" w:hAnsi="宋体" w:cs="宋体"/>
          <w:i w:val="0"/>
          <w:iCs w:val="0"/>
          <w:color w:val="auto"/>
          <w:sz w:val="24"/>
          <w:szCs w:val="24"/>
          <w:highlight w:val="none"/>
        </w:rPr>
        <w:t>采购代理机构信息</w:t>
      </w:r>
    </w:p>
    <w:p w14:paraId="368B869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rPr>
        <w:t>名    称：无锡市</w:t>
      </w:r>
      <w:r>
        <w:rPr>
          <w:rFonts w:hint="eastAsia" w:ascii="宋体" w:hAnsi="宋体" w:cs="宋体"/>
          <w:i w:val="0"/>
          <w:iCs w:val="0"/>
          <w:color w:val="auto"/>
          <w:sz w:val="24"/>
          <w:szCs w:val="24"/>
          <w:highlight w:val="none"/>
          <w:lang w:eastAsia="zh-CN"/>
        </w:rPr>
        <w:t>惠山区政府采购中心</w:t>
      </w:r>
    </w:p>
    <w:p w14:paraId="2E76302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地    址：</w:t>
      </w:r>
      <w:r>
        <w:rPr>
          <w:rFonts w:hint="eastAsia" w:ascii="宋体" w:hAnsi="宋体" w:cs="宋体"/>
          <w:i w:val="0"/>
          <w:iCs w:val="0"/>
          <w:color w:val="auto"/>
          <w:sz w:val="24"/>
          <w:szCs w:val="24"/>
          <w:highlight w:val="none"/>
          <w:lang w:eastAsia="zh-CN"/>
        </w:rPr>
        <w:t>无锡市惠山区政和大道</w:t>
      </w:r>
      <w:r>
        <w:rPr>
          <w:rFonts w:hint="eastAsia" w:ascii="宋体" w:hAnsi="宋体" w:cs="宋体"/>
          <w:i w:val="0"/>
          <w:iCs w:val="0"/>
          <w:color w:val="auto"/>
          <w:sz w:val="24"/>
          <w:szCs w:val="24"/>
          <w:highlight w:val="none"/>
          <w:lang w:val="en-US" w:eastAsia="zh-CN"/>
        </w:rPr>
        <w:t>209号</w:t>
      </w:r>
    </w:p>
    <w:p w14:paraId="373FED9C">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联 系 人：</w:t>
      </w:r>
      <w:r>
        <w:rPr>
          <w:rFonts w:hint="eastAsia" w:ascii="宋体" w:hAnsi="宋体"/>
          <w:bCs/>
          <w:i w:val="0"/>
          <w:iCs w:val="0"/>
          <w:color w:val="auto"/>
          <w:sz w:val="24"/>
          <w:szCs w:val="24"/>
          <w:highlight w:val="none"/>
          <w:lang w:eastAsia="zh-CN"/>
        </w:rPr>
        <w:t>马胜</w:t>
      </w:r>
    </w:p>
    <w:p w14:paraId="6B4A980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联</w:t>
      </w:r>
      <w:r>
        <w:rPr>
          <w:rFonts w:hint="eastAsia" w:ascii="宋体" w:hAnsi="宋体" w:eastAsia="宋体" w:cs="宋体"/>
          <w:i w:val="0"/>
          <w:iCs w:val="0"/>
          <w:color w:val="auto"/>
          <w:sz w:val="24"/>
          <w:szCs w:val="24"/>
          <w:highlight w:val="none"/>
          <w:lang w:val="en-US" w:eastAsia="zh-CN"/>
        </w:rPr>
        <w:t>系方式：0510-83596131</w:t>
      </w:r>
    </w:p>
    <w:p w14:paraId="7AF303A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（七）其他</w:t>
      </w:r>
    </w:p>
    <w:p w14:paraId="1462C43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（一）供应商“账号注册”及CA办理</w:t>
      </w:r>
    </w:p>
    <w:p w14:paraId="156B09E9">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1.请有意参加本项</w:t>
      </w:r>
      <w:r>
        <w:rPr>
          <w:rFonts w:ascii="宋体" w:hAnsi="宋体"/>
          <w:i w:val="0"/>
          <w:iCs w:val="0"/>
          <w:color w:val="auto"/>
          <w:sz w:val="24"/>
          <w:szCs w:val="24"/>
          <w:highlight w:val="none"/>
        </w:rPr>
        <w:t>目采购活动的供应商按以下流程进行操作：</w:t>
      </w:r>
    </w:p>
    <w:p w14:paraId="122DC44B">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（1）访问“江苏政府采购网”点击“苏采云”或者直接通过http://jszfcg.jsczt.cn/进入界面。</w:t>
      </w:r>
    </w:p>
    <w:p w14:paraId="792E42C8">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）办理</w:t>
      </w:r>
      <w:r>
        <w:rPr>
          <w:rFonts w:hint="eastAsia" w:ascii="宋体" w:hAnsi="宋体"/>
          <w:i w:val="0"/>
          <w:iCs w:val="0"/>
          <w:color w:val="auto"/>
          <w:sz w:val="24"/>
          <w:szCs w:val="24"/>
          <w:highlight w:val="none"/>
        </w:rPr>
        <w:t>“意源”CA数字证书和“方正”电子签章</w:t>
      </w:r>
      <w:r>
        <w:rPr>
          <w:rFonts w:ascii="宋体" w:hAnsi="宋体"/>
          <w:i w:val="0"/>
          <w:iCs w:val="0"/>
          <w:color w:val="auto"/>
          <w:sz w:val="24"/>
          <w:szCs w:val="24"/>
          <w:highlight w:val="none"/>
        </w:rPr>
        <w:t>（办理地址：</w:t>
      </w:r>
      <w:r>
        <w:rPr>
          <w:rFonts w:hint="eastAsia" w:ascii="宋体" w:hAnsi="宋体"/>
          <w:i w:val="0"/>
          <w:iCs w:val="0"/>
          <w:color w:val="auto"/>
          <w:sz w:val="24"/>
          <w:szCs w:val="24"/>
          <w:highlight w:val="none"/>
        </w:rPr>
        <w:t>无锡市滨湖区观山路</w:t>
      </w:r>
      <w:r>
        <w:rPr>
          <w:rFonts w:ascii="宋体" w:hAnsi="宋体"/>
          <w:i w:val="0"/>
          <w:iCs w:val="0"/>
          <w:color w:val="auto"/>
          <w:sz w:val="24"/>
          <w:szCs w:val="24"/>
          <w:highlight w:val="none"/>
        </w:rPr>
        <w:t>199</w:t>
      </w:r>
      <w:r>
        <w:rPr>
          <w:rFonts w:hint="eastAsia" w:ascii="宋体" w:hAnsi="宋体"/>
          <w:i w:val="0"/>
          <w:iCs w:val="0"/>
          <w:color w:val="auto"/>
          <w:sz w:val="24"/>
          <w:szCs w:val="24"/>
          <w:highlight w:val="none"/>
        </w:rPr>
        <w:t>号</w:t>
      </w:r>
      <w:r>
        <w:rPr>
          <w:rFonts w:ascii="宋体" w:hAnsi="宋体"/>
          <w:i w:val="0"/>
          <w:iCs w:val="0"/>
          <w:color w:val="auto"/>
          <w:sz w:val="24"/>
          <w:szCs w:val="24"/>
          <w:highlight w:val="none"/>
        </w:rPr>
        <w:t>12</w:t>
      </w:r>
      <w:r>
        <w:rPr>
          <w:rFonts w:hint="eastAsia" w:ascii="宋体" w:hAnsi="宋体"/>
          <w:i w:val="0"/>
          <w:iCs w:val="0"/>
          <w:color w:val="auto"/>
          <w:sz w:val="24"/>
          <w:szCs w:val="24"/>
          <w:highlight w:val="none"/>
        </w:rPr>
        <w:t>号楼</w:t>
      </w:r>
      <w:r>
        <w:rPr>
          <w:rFonts w:hint="eastAsia" w:ascii="宋体" w:hAnsi="宋体"/>
          <w:i w:val="0"/>
          <w:iCs w:val="0"/>
          <w:color w:val="auto"/>
          <w:sz w:val="24"/>
          <w:szCs w:val="24"/>
          <w:highlight w:val="none"/>
          <w:lang w:eastAsia="zh-CN"/>
        </w:rPr>
        <w:t>一</w:t>
      </w:r>
      <w:r>
        <w:rPr>
          <w:rFonts w:hint="eastAsia" w:ascii="宋体" w:hAnsi="宋体"/>
          <w:i w:val="0"/>
          <w:iCs w:val="0"/>
          <w:color w:val="auto"/>
          <w:sz w:val="24"/>
          <w:szCs w:val="24"/>
          <w:highlight w:val="none"/>
        </w:rPr>
        <w:t>楼</w:t>
      </w:r>
      <w:r>
        <w:rPr>
          <w:rFonts w:hint="eastAsia" w:ascii="宋体" w:hAnsi="宋体"/>
          <w:i w:val="0"/>
          <w:iCs w:val="0"/>
          <w:color w:val="auto"/>
          <w:sz w:val="24"/>
          <w:szCs w:val="24"/>
          <w:highlight w:val="none"/>
          <w:lang w:val="en-US" w:eastAsia="zh-CN"/>
        </w:rPr>
        <w:t>D区</w:t>
      </w:r>
      <w:r>
        <w:rPr>
          <w:rFonts w:ascii="宋体" w:hAnsi="宋体"/>
          <w:i w:val="0"/>
          <w:iCs w:val="0"/>
          <w:color w:val="auto"/>
          <w:sz w:val="24"/>
          <w:szCs w:val="24"/>
          <w:highlight w:val="none"/>
        </w:rPr>
        <w:t>），办理指南链接：http://jsxcmm.com/help/help.html。</w:t>
      </w:r>
    </w:p>
    <w:p w14:paraId="01FCA3CE">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）CA驱动下载：</w:t>
      </w:r>
    </w:p>
    <w:p w14:paraId="60B81C30">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账号登陆页面，点击“驱动下载”链接中的“政务CA、方正签章控件驱动安装包及安装说明”可以直接下载驱动安装包，安装包中附有驱动安装手册。</w:t>
      </w:r>
    </w:p>
    <w:p w14:paraId="1DF0E758">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技术服务电话：</w:t>
      </w:r>
      <w:r>
        <w:rPr>
          <w:rFonts w:hint="eastAsia" w:ascii="宋体" w:hAnsi="宋体"/>
          <w:i w:val="0"/>
          <w:iCs w:val="0"/>
          <w:color w:val="auto"/>
          <w:sz w:val="24"/>
          <w:szCs w:val="24"/>
          <w:highlight w:val="none"/>
        </w:rPr>
        <w:t>0510-81827781</w:t>
      </w:r>
      <w:r>
        <w:rPr>
          <w:rFonts w:ascii="宋体" w:hAnsi="宋体"/>
          <w:i w:val="0"/>
          <w:iCs w:val="0"/>
          <w:color w:val="auto"/>
          <w:sz w:val="24"/>
          <w:szCs w:val="24"/>
          <w:highlight w:val="none"/>
        </w:rPr>
        <w:t>（服务时间：工作日</w:t>
      </w:r>
      <w:r>
        <w:rPr>
          <w:rFonts w:hint="eastAsia" w:ascii="宋体" w:hAnsi="宋体"/>
          <w:i w:val="0"/>
          <w:iCs w:val="0"/>
          <w:color w:val="auto"/>
          <w:sz w:val="24"/>
          <w:szCs w:val="24"/>
          <w:highlight w:val="none"/>
        </w:rPr>
        <w:t xml:space="preserve"> 9:00-11:30,13:00-17:00</w:t>
      </w:r>
      <w:r>
        <w:rPr>
          <w:rFonts w:ascii="宋体" w:hAnsi="宋体"/>
          <w:i w:val="0"/>
          <w:iCs w:val="0"/>
          <w:color w:val="auto"/>
          <w:sz w:val="24"/>
          <w:szCs w:val="24"/>
          <w:highlight w:val="none"/>
        </w:rPr>
        <w:t>）</w:t>
      </w:r>
    </w:p>
    <w:p w14:paraId="1D3FA5FE">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完成</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账号注册</w:t>
      </w:r>
      <w:r>
        <w:rPr>
          <w:rFonts w:ascii="宋体" w:hAnsi="宋体"/>
          <w:i w:val="0"/>
          <w:iCs w:val="0"/>
          <w:color w:val="auto"/>
          <w:sz w:val="24"/>
          <w:szCs w:val="24"/>
          <w:highlight w:val="none"/>
        </w:rPr>
        <w:t>的供应商方可</w:t>
      </w:r>
      <w:r>
        <w:rPr>
          <w:rFonts w:hint="eastAsia" w:ascii="宋体" w:hAnsi="宋体"/>
          <w:i w:val="0"/>
          <w:iCs w:val="0"/>
          <w:color w:val="auto"/>
          <w:sz w:val="24"/>
          <w:szCs w:val="24"/>
          <w:highlight w:val="none"/>
        </w:rPr>
        <w:t>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中进行CA绑定。登录</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，插入CA后，点击【账号设置】——【绑定CA】。</w:t>
      </w:r>
    </w:p>
    <w:p w14:paraId="7CA7443D">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供应商应按上述要求提供相关材料信息，所提供的材料应均是真实的、准确的，若有违背，供应商自行承担由此而产生的一切后果。</w:t>
      </w:r>
    </w:p>
    <w:p w14:paraId="55BCAE6F">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如供应商未按上述要求操作，由此所产生的损失及风险由供应商自行承担。具体操作步骤详见</w:t>
      </w:r>
      <w:r>
        <w:rPr>
          <w:rFonts w:hint="eastAsia" w:ascii="宋体" w:hAnsi="宋体"/>
          <w:i w:val="0"/>
          <w:iCs w:val="0"/>
          <w:color w:val="auto"/>
          <w:sz w:val="24"/>
          <w:szCs w:val="24"/>
          <w:highlight w:val="none"/>
        </w:rPr>
        <w:t>《“苏采云”系统供应商操作手册》</w:t>
      </w:r>
      <w:r>
        <w:rPr>
          <w:rFonts w:ascii="宋体" w:hAnsi="宋体"/>
          <w:i w:val="0"/>
          <w:iCs w:val="0"/>
          <w:color w:val="auto"/>
          <w:sz w:val="24"/>
          <w:szCs w:val="24"/>
          <w:highlight w:val="none"/>
        </w:rPr>
        <w:t>（以下简称</w:t>
      </w:r>
      <w:r>
        <w:rPr>
          <w:rFonts w:hint="eastAsia" w:ascii="宋体" w:hAnsi="宋体"/>
          <w:i w:val="0"/>
          <w:iCs w:val="0"/>
          <w:color w:val="auto"/>
          <w:sz w:val="24"/>
          <w:szCs w:val="24"/>
          <w:highlight w:val="none"/>
        </w:rPr>
        <w:t>《操作手册》</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下载地址：无锡市政府采购网——资料下载——</w:t>
      </w:r>
      <w:r>
        <w:rPr>
          <w:rFonts w:hint="eastAsia" w:ascii="宋体" w:hAnsi="宋体"/>
          <w:i w:val="0"/>
          <w:iCs w:val="0"/>
          <w:color w:val="auto"/>
          <w:sz w:val="24"/>
          <w:szCs w:val="24"/>
          <w:highlight w:val="none"/>
        </w:rPr>
        <w:t>苏采云——</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HYPERLINK "http://cz.wuxi.gov.cn/doc/2023/10/11/4080287.shtml" \t "_blank" \o "\“苏采云\”系统供应商操作手册"</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“苏采云”系统供应商操作手册</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w:t>
      </w:r>
    </w:p>
    <w:p w14:paraId="72F11BF5">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bCs/>
          <w:i w:val="0"/>
          <w:iCs w:val="0"/>
          <w:color w:val="auto"/>
          <w:sz w:val="24"/>
          <w:szCs w:val="24"/>
          <w:highlight w:val="none"/>
        </w:rPr>
        <w:t>技术支持QQ：孙先生：442456465；王先生：1476328133</w:t>
      </w:r>
      <w:r>
        <w:rPr>
          <w:rFonts w:hint="eastAsia" w:ascii="宋体" w:hAnsi="宋体"/>
          <w:bCs/>
          <w:i w:val="0"/>
          <w:iCs w:val="0"/>
          <w:color w:val="auto"/>
          <w:sz w:val="24"/>
          <w:szCs w:val="24"/>
          <w:highlight w:val="none"/>
        </w:rPr>
        <w:t>。</w:t>
      </w:r>
    </w:p>
    <w:p w14:paraId="2737107A">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jc w:val="left"/>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（二）完成项目参与，获取招标文件</w:t>
      </w:r>
    </w:p>
    <w:p w14:paraId="099E7162">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供应商可在项目</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公告附件中查看</w:t>
      </w:r>
      <w:r>
        <w:rPr>
          <w:rFonts w:hint="eastAsia" w:ascii="宋体" w:hAnsi="宋体"/>
          <w:i w:val="0"/>
          <w:iCs w:val="0"/>
          <w:color w:val="auto"/>
          <w:sz w:val="24"/>
          <w:szCs w:val="24"/>
          <w:highlight w:val="none"/>
        </w:rPr>
        <w:t>公开招标</w:t>
      </w:r>
      <w:r>
        <w:rPr>
          <w:rFonts w:ascii="宋体" w:hAnsi="宋体"/>
          <w:i w:val="0"/>
          <w:iCs w:val="0"/>
          <w:color w:val="auto"/>
          <w:sz w:val="24"/>
          <w:szCs w:val="24"/>
          <w:highlight w:val="none"/>
        </w:rPr>
        <w:t>文件，如确定参加本次</w:t>
      </w:r>
      <w:r>
        <w:rPr>
          <w:rFonts w:hint="eastAsia" w:ascii="宋体" w:hAnsi="宋体"/>
          <w:i w:val="0"/>
          <w:iCs w:val="0"/>
          <w:color w:val="auto"/>
          <w:sz w:val="24"/>
          <w:szCs w:val="24"/>
          <w:highlight w:val="none"/>
        </w:rPr>
        <w:t>采购</w:t>
      </w:r>
      <w:r>
        <w:rPr>
          <w:rFonts w:ascii="宋体" w:hAnsi="宋体"/>
          <w:i w:val="0"/>
          <w:iCs w:val="0"/>
          <w:color w:val="auto"/>
          <w:sz w:val="24"/>
          <w:szCs w:val="24"/>
          <w:highlight w:val="none"/>
        </w:rPr>
        <w:t>活动，必须在</w:t>
      </w:r>
      <w:r>
        <w:rPr>
          <w:rFonts w:hint="eastAsia" w:ascii="宋体" w:hAnsi="宋体"/>
          <w:bCs/>
          <w:i w:val="0"/>
          <w:iCs w:val="0"/>
          <w:color w:val="auto"/>
          <w:sz w:val="24"/>
          <w:szCs w:val="24"/>
          <w:highlight w:val="none"/>
        </w:rPr>
        <w:t>招标文件提供期限</w:t>
      </w:r>
      <w:r>
        <w:rPr>
          <w:rFonts w:ascii="宋体" w:hAnsi="宋体"/>
          <w:i w:val="0"/>
          <w:iCs w:val="0"/>
          <w:color w:val="auto"/>
          <w:sz w:val="24"/>
          <w:szCs w:val="24"/>
          <w:highlight w:val="none"/>
        </w:rPr>
        <w:t>内</w:t>
      </w:r>
      <w:r>
        <w:rPr>
          <w:rFonts w:hint="eastAsia" w:ascii="宋体" w:hAnsi="宋体"/>
          <w:i w:val="0"/>
          <w:iCs w:val="0"/>
          <w:color w:val="auto"/>
          <w:sz w:val="24"/>
          <w:szCs w:val="24"/>
          <w:highlight w:val="none"/>
        </w:rPr>
        <w:t>从</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中下载文件（“项目参与”——“</w:t>
      </w:r>
      <w:r>
        <w:rPr>
          <w:rFonts w:hint="eastAsia" w:ascii="宋体" w:hAnsi="宋体"/>
          <w:i w:val="0"/>
          <w:iCs w:val="0"/>
          <w:color w:val="auto"/>
          <w:sz w:val="24"/>
          <w:szCs w:val="24"/>
          <w:highlight w:val="none"/>
        </w:rPr>
        <w:t>采购项目参与</w:t>
      </w:r>
      <w:r>
        <w:rPr>
          <w:rFonts w:ascii="宋体" w:hAnsi="宋体"/>
          <w:i w:val="0"/>
          <w:iCs w:val="0"/>
          <w:color w:val="auto"/>
          <w:sz w:val="24"/>
          <w:szCs w:val="24"/>
          <w:highlight w:val="none"/>
        </w:rPr>
        <w:t>”找到需要获取</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文件的项目，点击“我要参与”——“参与投标”</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下载文件</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），完成项目</w:t>
      </w:r>
      <w:r>
        <w:rPr>
          <w:rFonts w:hint="eastAsia" w:ascii="宋体" w:hAnsi="宋体"/>
          <w:i w:val="0"/>
          <w:iCs w:val="0"/>
          <w:color w:val="auto"/>
          <w:sz w:val="24"/>
          <w:szCs w:val="24"/>
          <w:highlight w:val="none"/>
        </w:rPr>
        <w:t>参与</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将</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w:t>
      </w:r>
      <w:r>
        <w:rPr>
          <w:rFonts w:ascii="宋体" w:hAnsi="宋体"/>
          <w:i w:val="0"/>
          <w:iCs w:val="0"/>
          <w:color w:val="auto"/>
          <w:sz w:val="24"/>
          <w:szCs w:val="24"/>
          <w:highlight w:val="none"/>
        </w:rPr>
        <w:t>下载的</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（后缀名为“.kedt”）</w:t>
      </w:r>
      <w:r>
        <w:rPr>
          <w:rFonts w:ascii="宋体" w:hAnsi="宋体"/>
          <w:i w:val="0"/>
          <w:iCs w:val="0"/>
          <w:color w:val="auto"/>
          <w:sz w:val="24"/>
          <w:szCs w:val="24"/>
          <w:highlight w:val="none"/>
        </w:rPr>
        <w:t>导入到“政府采购客户端”，离线按要求</w:t>
      </w:r>
      <w:r>
        <w:rPr>
          <w:rFonts w:hint="eastAsia" w:ascii="宋体" w:hAnsi="宋体"/>
          <w:i w:val="0"/>
          <w:iCs w:val="0"/>
          <w:color w:val="auto"/>
          <w:sz w:val="24"/>
          <w:szCs w:val="24"/>
          <w:highlight w:val="none"/>
        </w:rPr>
        <w:t>编制</w:t>
      </w:r>
      <w:r>
        <w:rPr>
          <w:rFonts w:ascii="宋体" w:hAnsi="宋体"/>
          <w:i w:val="0"/>
          <w:iCs w:val="0"/>
          <w:color w:val="auto"/>
          <w:sz w:val="24"/>
          <w:szCs w:val="24"/>
          <w:highlight w:val="none"/>
        </w:rPr>
        <w:t>并加密</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（使用“CA数字证书”），</w:t>
      </w:r>
      <w:r>
        <w:rPr>
          <w:rFonts w:ascii="宋体" w:hAnsi="宋体"/>
          <w:i w:val="0"/>
          <w:iCs w:val="0"/>
          <w:color w:val="auto"/>
          <w:sz w:val="24"/>
          <w:szCs w:val="24"/>
          <w:highlight w:val="none"/>
        </w:rPr>
        <w:t>导出加密的</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（后缀名为zip，不得超过150M）并在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上传该加密的</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文件，对</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文件各项内容做出实质性响应，否则其</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文件无效。</w:t>
      </w:r>
    </w:p>
    <w:p w14:paraId="1C133D71">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（三）有关本次采购的事项若存在变动或修改，敬请及时关注</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在“江苏政府采购网”发布的更正公告。</w:t>
      </w:r>
    </w:p>
    <w:p w14:paraId="2056DE28">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宋体" w:hAnsi="宋体"/>
          <w:bCs/>
          <w:i w:val="0"/>
          <w:iCs w:val="0"/>
          <w:color w:val="auto"/>
          <w:sz w:val="24"/>
          <w:szCs w:val="24"/>
          <w:highlight w:val="none"/>
          <w:shd w:val="clear" w:color="FFFFFF" w:fill="D9D9D9"/>
        </w:rPr>
      </w:pPr>
      <w:r>
        <w:rPr>
          <w:rFonts w:hint="eastAsia" w:ascii="宋体" w:hAnsi="宋体"/>
          <w:bCs/>
          <w:i w:val="0"/>
          <w:iCs w:val="0"/>
          <w:color w:val="auto"/>
          <w:sz w:val="24"/>
          <w:szCs w:val="24"/>
          <w:highlight w:val="none"/>
        </w:rPr>
        <w:t>（四）本次采购不收取投标保证金。</w:t>
      </w:r>
    </w:p>
    <w:bookmarkEnd w:id="2"/>
    <w:p w14:paraId="19F00936">
      <w:pPr>
        <w:pStyle w:val="186"/>
        <w:pageBreakBefore/>
        <w:rPr>
          <w:rFonts w:ascii="黑体" w:eastAsia="黑体"/>
          <w:bCs w:val="0"/>
          <w:i w:val="0"/>
          <w:iCs w:val="0"/>
          <w:color w:val="auto"/>
          <w:sz w:val="28"/>
          <w:szCs w:val="28"/>
          <w:highlight w:val="none"/>
        </w:rPr>
      </w:pPr>
      <w:bookmarkStart w:id="5" w:name="_Toc61444836"/>
      <w:r>
        <w:rPr>
          <w:rFonts w:hint="eastAsia" w:ascii="黑体" w:hAnsi="黑体" w:eastAsia="黑体"/>
          <w:b w:val="0"/>
          <w:i w:val="0"/>
          <w:iCs w:val="0"/>
          <w:color w:val="auto"/>
          <w:sz w:val="32"/>
          <w:szCs w:val="32"/>
          <w:highlight w:val="none"/>
          <w:lang w:eastAsia="zh-CN"/>
        </w:rPr>
        <w:t>第二章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rPr>
        <w:t>投标人须知</w:t>
      </w:r>
      <w:bookmarkEnd w:id="5"/>
    </w:p>
    <w:p w14:paraId="5C4CADAC">
      <w:pPr>
        <w:pStyle w:val="360"/>
        <w:keepNext w:val="0"/>
        <w:keepLines w:val="0"/>
        <w:spacing w:before="0" w:after="0" w:line="500" w:lineRule="exact"/>
        <w:ind w:left="834" w:hanging="454"/>
        <w:jc w:val="center"/>
        <w:rPr>
          <w:rFonts w:hint="eastAsia"/>
          <w:i w:val="0"/>
          <w:iCs w:val="0"/>
          <w:color w:val="auto"/>
          <w:sz w:val="32"/>
          <w:szCs w:val="32"/>
          <w:highlight w:val="none"/>
        </w:rPr>
      </w:pPr>
      <w:bookmarkStart w:id="6" w:name="_Toc513029203"/>
      <w:bookmarkStart w:id="7" w:name="_Toc120614214"/>
      <w:bookmarkStart w:id="8" w:name="_Toc16938519"/>
      <w:bookmarkStart w:id="9" w:name="_Toc20823275"/>
      <w:r>
        <w:rPr>
          <w:rFonts w:hint="eastAsia"/>
          <w:i w:val="0"/>
          <w:iCs w:val="0"/>
          <w:color w:val="auto"/>
          <w:sz w:val="32"/>
          <w:szCs w:val="32"/>
          <w:highlight w:val="none"/>
        </w:rPr>
        <w:t>一、总则</w:t>
      </w:r>
      <w:bookmarkEnd w:id="6"/>
      <w:bookmarkEnd w:id="7"/>
      <w:bookmarkEnd w:id="8"/>
      <w:bookmarkEnd w:id="9"/>
    </w:p>
    <w:p w14:paraId="0AC8AD17">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 w:name="_Hlt16619475"/>
      <w:bookmarkEnd w:id="10"/>
      <w:bookmarkStart w:id="11" w:name="_Toc20823276"/>
      <w:bookmarkStart w:id="12" w:name="_Toc513029204"/>
      <w:bookmarkStart w:id="13" w:name="_Toc16938520"/>
      <w:r>
        <w:rPr>
          <w:rFonts w:hint="eastAsia" w:ascii="宋体" w:hAnsi="宋体" w:eastAsia="宋体"/>
          <w:bCs w:val="0"/>
          <w:i w:val="0"/>
          <w:iCs w:val="0"/>
          <w:color w:val="auto"/>
          <w:sz w:val="24"/>
          <w:szCs w:val="24"/>
          <w:highlight w:val="none"/>
        </w:rPr>
        <w:t>1.招标方式</w:t>
      </w:r>
      <w:bookmarkEnd w:id="11"/>
      <w:bookmarkEnd w:id="12"/>
      <w:bookmarkEnd w:id="13"/>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4" w:name="_Toc16938521"/>
      <w:bookmarkStart w:id="15" w:name="_Toc20823277"/>
      <w:bookmarkStart w:id="16" w:name="_Toc513029205"/>
      <w:r>
        <w:rPr>
          <w:rFonts w:hint="eastAsia" w:ascii="宋体" w:hAnsi="宋体" w:eastAsia="宋体"/>
          <w:bCs w:val="0"/>
          <w:i w:val="0"/>
          <w:iCs w:val="0"/>
          <w:color w:val="auto"/>
          <w:sz w:val="24"/>
          <w:szCs w:val="24"/>
          <w:highlight w:val="none"/>
        </w:rPr>
        <w:t>2.</w:t>
      </w:r>
      <w:bookmarkEnd w:id="14"/>
      <w:bookmarkEnd w:id="15"/>
      <w:bookmarkEnd w:id="16"/>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7" w:name="_Toc20823278"/>
      <w:bookmarkStart w:id="18" w:name="_Toc16938522"/>
      <w:bookmarkStart w:id="19" w:name="_Toc513029206"/>
      <w:r>
        <w:rPr>
          <w:rFonts w:hint="eastAsia" w:ascii="宋体" w:hAnsi="宋体" w:eastAsia="宋体"/>
          <w:bCs w:val="0"/>
          <w:i w:val="0"/>
          <w:iCs w:val="0"/>
          <w:color w:val="auto"/>
          <w:sz w:val="24"/>
          <w:szCs w:val="24"/>
          <w:highlight w:val="none"/>
        </w:rPr>
        <w:t>3.适用法律</w:t>
      </w:r>
      <w:bookmarkEnd w:id="17"/>
      <w:bookmarkEnd w:id="18"/>
      <w:bookmarkEnd w:id="19"/>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0" w:name="_Toc20823279"/>
      <w:bookmarkStart w:id="21" w:name="_Toc16938523"/>
      <w:bookmarkStart w:id="22" w:name="_Toc513029207"/>
      <w:bookmarkStart w:id="23" w:name="_Toc462564067"/>
      <w:r>
        <w:rPr>
          <w:rFonts w:hint="eastAsia" w:ascii="宋体" w:hAnsi="宋体" w:eastAsia="宋体"/>
          <w:bCs w:val="0"/>
          <w:i w:val="0"/>
          <w:iCs w:val="0"/>
          <w:color w:val="auto"/>
          <w:sz w:val="24"/>
          <w:szCs w:val="24"/>
          <w:highlight w:val="none"/>
        </w:rPr>
        <w:t>4.投标费用</w:t>
      </w:r>
      <w:bookmarkEnd w:id="20"/>
      <w:bookmarkEnd w:id="21"/>
      <w:bookmarkEnd w:id="22"/>
      <w:bookmarkEnd w:id="23"/>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7EF8A8E2">
      <w:pPr>
        <w:pStyle w:val="360"/>
        <w:keepNext w:val="0"/>
        <w:keepLines w:val="0"/>
        <w:spacing w:before="0" w:after="0" w:line="500" w:lineRule="exact"/>
        <w:jc w:val="center"/>
        <w:rPr>
          <w:rFonts w:hint="eastAsia"/>
          <w:i w:val="0"/>
          <w:iCs w:val="0"/>
          <w:color w:val="auto"/>
          <w:sz w:val="32"/>
          <w:szCs w:val="32"/>
          <w:highlight w:val="none"/>
        </w:rPr>
      </w:pPr>
      <w:bookmarkStart w:id="24" w:name="_Toc20823281"/>
      <w:bookmarkStart w:id="25" w:name="_Toc120614215"/>
      <w:bookmarkStart w:id="26" w:name="_Toc16938525"/>
      <w:bookmarkStart w:id="27" w:name="_Toc513029209"/>
      <w:r>
        <w:rPr>
          <w:rFonts w:hint="eastAsia"/>
          <w:i w:val="0"/>
          <w:iCs w:val="0"/>
          <w:color w:val="auto"/>
          <w:sz w:val="32"/>
          <w:szCs w:val="32"/>
          <w:highlight w:val="none"/>
        </w:rPr>
        <w:t>二、招标文件</w:t>
      </w:r>
      <w:bookmarkEnd w:id="24"/>
      <w:bookmarkEnd w:id="25"/>
      <w:bookmarkEnd w:id="26"/>
      <w:bookmarkEnd w:id="27"/>
    </w:p>
    <w:p w14:paraId="7C98BEF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8" w:name="_Toc20823282"/>
      <w:bookmarkStart w:id="29" w:name="_Toc16938526"/>
      <w:bookmarkStart w:id="30" w:name="_Toc513029210"/>
      <w:r>
        <w:rPr>
          <w:rFonts w:hint="eastAsia" w:ascii="宋体" w:hAnsi="宋体" w:eastAsia="宋体"/>
          <w:bCs w:val="0"/>
          <w:i w:val="0"/>
          <w:iCs w:val="0"/>
          <w:color w:val="auto"/>
          <w:sz w:val="24"/>
          <w:szCs w:val="24"/>
          <w:highlight w:val="none"/>
        </w:rPr>
        <w:t>6.招标文件构成</w:t>
      </w:r>
      <w:bookmarkEnd w:id="28"/>
      <w:bookmarkEnd w:id="29"/>
      <w:bookmarkEnd w:id="30"/>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1" w:name="_Toc513029211"/>
      <w:bookmarkStart w:id="32" w:name="_Toc462564070"/>
      <w:bookmarkStart w:id="33" w:name="_Toc16938527"/>
      <w:bookmarkStart w:id="34" w:name="_Toc20823283"/>
      <w:r>
        <w:rPr>
          <w:rFonts w:hint="eastAsia" w:ascii="宋体" w:hAnsi="宋体" w:eastAsia="宋体"/>
          <w:bCs w:val="0"/>
          <w:i w:val="0"/>
          <w:iCs w:val="0"/>
          <w:color w:val="auto"/>
          <w:sz w:val="24"/>
          <w:szCs w:val="24"/>
          <w:highlight w:val="none"/>
        </w:rPr>
        <w:t>7.招标文件的澄清</w:t>
      </w:r>
      <w:bookmarkEnd w:id="31"/>
      <w:bookmarkEnd w:id="32"/>
      <w:bookmarkEnd w:id="33"/>
      <w:bookmarkEnd w:id="34"/>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不将</w:t>
      </w:r>
      <w:r>
        <w:rPr>
          <w:rFonts w:hint="eastAsia" w:ascii="宋体" w:hAnsi="宋体"/>
          <w:bCs/>
          <w:i w:val="0"/>
          <w:iCs w:val="0"/>
          <w:color w:val="auto"/>
          <w:sz w:val="24"/>
          <w:szCs w:val="24"/>
          <w:highlight w:val="none"/>
        </w:rPr>
        <w:t>召开开标前</w:t>
      </w:r>
      <w:r>
        <w:rPr>
          <w:rFonts w:hint="eastAsia" w:ascii="宋体" w:hAnsi="宋体"/>
          <w:bCs/>
          <w:i w:val="0"/>
          <w:iCs w:val="0"/>
          <w:color w:val="auto"/>
          <w:sz w:val="24"/>
          <w:szCs w:val="24"/>
          <w:highlight w:val="none"/>
          <w:lang w:eastAsia="zh-CN"/>
        </w:rPr>
        <w:t>现场</w:t>
      </w:r>
      <w:r>
        <w:rPr>
          <w:rFonts w:hint="eastAsia" w:ascii="宋体" w:hAnsi="宋体"/>
          <w:bCs/>
          <w:i w:val="0"/>
          <w:iCs w:val="0"/>
          <w:color w:val="auto"/>
          <w:sz w:val="24"/>
          <w:szCs w:val="24"/>
          <w:highlight w:val="none"/>
        </w:rPr>
        <w:t>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5" w:name="_Toc20823284"/>
      <w:bookmarkStart w:id="36" w:name="_Toc513029212"/>
      <w:bookmarkStart w:id="37" w:name="_Toc462564071"/>
      <w:bookmarkStart w:id="38" w:name="_Toc16938528"/>
      <w:r>
        <w:rPr>
          <w:rFonts w:hint="eastAsia" w:ascii="宋体" w:hAnsi="宋体" w:eastAsia="宋体"/>
          <w:bCs w:val="0"/>
          <w:i w:val="0"/>
          <w:iCs w:val="0"/>
          <w:color w:val="auto"/>
          <w:sz w:val="24"/>
          <w:szCs w:val="24"/>
          <w:highlight w:val="none"/>
        </w:rPr>
        <w:t>8.招标文件的修改</w:t>
      </w:r>
      <w:bookmarkEnd w:id="35"/>
      <w:bookmarkEnd w:id="36"/>
      <w:bookmarkEnd w:id="37"/>
      <w:bookmarkEnd w:id="38"/>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42B28D51">
      <w:pPr>
        <w:pStyle w:val="360"/>
        <w:keepNext w:val="0"/>
        <w:keepLines w:val="0"/>
        <w:spacing w:before="0" w:after="0" w:line="500" w:lineRule="exact"/>
        <w:jc w:val="center"/>
        <w:rPr>
          <w:rFonts w:hint="eastAsia"/>
          <w:i w:val="0"/>
          <w:iCs w:val="0"/>
          <w:color w:val="auto"/>
          <w:sz w:val="32"/>
          <w:szCs w:val="32"/>
          <w:highlight w:val="none"/>
        </w:rPr>
      </w:pPr>
      <w:bookmarkStart w:id="39" w:name="_Toc20823285"/>
      <w:bookmarkStart w:id="40" w:name="_Toc16938529"/>
      <w:bookmarkStart w:id="41" w:name="_Toc513029213"/>
      <w:bookmarkStart w:id="42" w:name="_Toc120614216"/>
      <w:bookmarkStart w:id="43" w:name="_Toc462564072"/>
      <w:r>
        <w:rPr>
          <w:rFonts w:hint="eastAsia"/>
          <w:i w:val="0"/>
          <w:iCs w:val="0"/>
          <w:color w:val="auto"/>
          <w:sz w:val="32"/>
          <w:szCs w:val="32"/>
          <w:highlight w:val="none"/>
        </w:rPr>
        <w:t>三、投标文件的编制</w:t>
      </w:r>
      <w:bookmarkEnd w:id="39"/>
      <w:bookmarkEnd w:id="40"/>
      <w:bookmarkEnd w:id="41"/>
      <w:bookmarkEnd w:id="42"/>
      <w:bookmarkEnd w:id="43"/>
    </w:p>
    <w:p w14:paraId="6CA59F8B">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4" w:name="_Toc513029214"/>
      <w:bookmarkStart w:id="45" w:name="_Toc20823286"/>
      <w:bookmarkStart w:id="46" w:name="_Toc16938530"/>
      <w:bookmarkStart w:id="47" w:name="_Toc462564073"/>
      <w:r>
        <w:rPr>
          <w:rFonts w:hint="eastAsia" w:ascii="宋体" w:hAnsi="宋体" w:eastAsia="宋体"/>
          <w:bCs w:val="0"/>
          <w:i w:val="0"/>
          <w:iCs w:val="0"/>
          <w:color w:val="auto"/>
          <w:sz w:val="24"/>
          <w:szCs w:val="24"/>
          <w:highlight w:val="none"/>
        </w:rPr>
        <w:t>9.投标文件的语言及度量衡单位</w:t>
      </w:r>
      <w:bookmarkEnd w:id="44"/>
      <w:bookmarkEnd w:id="45"/>
      <w:bookmarkEnd w:id="46"/>
      <w:bookmarkEnd w:id="47"/>
    </w:p>
    <w:p w14:paraId="2D5E73C5">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9.1投标人提交的投标文件以及投标人与</w:t>
      </w:r>
      <w:r>
        <w:rPr>
          <w:rFonts w:hint="eastAsia" w:ascii="宋体" w:hAnsi="宋体" w:eastAsia="宋体" w:cs="Times New Roman"/>
          <w:bCs/>
          <w:color w:val="auto"/>
          <w:sz w:val="24"/>
          <w:szCs w:val="24"/>
          <w:highlight w:val="none"/>
          <w:lang w:val="zh-CN" w:eastAsia="zh-CN"/>
        </w:rPr>
        <w:t>采购中心</w:t>
      </w:r>
      <w:r>
        <w:rPr>
          <w:rFonts w:hint="eastAsia" w:ascii="宋体" w:hAnsi="宋体" w:eastAsia="宋体" w:cs="Times New Roman"/>
          <w:bCs/>
          <w:color w:val="auto"/>
          <w:sz w:val="24"/>
          <w:szCs w:val="24"/>
          <w:highlight w:val="none"/>
          <w:lang w:val="zh-CN"/>
        </w:rPr>
        <w:t>就有关投标的所有来往通知、函件和文件均应使用简体中文（规格、型号辅助符号例外）。</w:t>
      </w:r>
    </w:p>
    <w:p w14:paraId="1C4F21FB">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9.2除技术性能另有规定外，投标文件所使用的度量衡单位，均须采用国家法定计量单位。</w:t>
      </w:r>
    </w:p>
    <w:p w14:paraId="0AD17D3B">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9.3投标文件由投标人按给定格式如实填写(编写)，须有法人(盖章)、法定代表人或法定代表人授权代表签字或盖章，方为有效，未尽事宜可自行补充。</w:t>
      </w:r>
    </w:p>
    <w:p w14:paraId="573030F0">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9.4如无特别说明，投标人报价一律以人民币为投标结算货币，结算单位为“元”。</w:t>
      </w:r>
    </w:p>
    <w:p w14:paraId="2B66418E">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9.5投标文件格式部分，应由投标人按给定格式提供，不得更改。</w:t>
      </w:r>
    </w:p>
    <w:p w14:paraId="7ADF886F">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9.6.投标人在制作电子投标文件时，请正确关联到对应页，在评审过程中，评审专家如因在相对应页面找不到该相关联的文件，由此产生的后果由投标人自行承担。</w:t>
      </w:r>
    </w:p>
    <w:p w14:paraId="396A4407">
      <w:pPr>
        <w:spacing w:line="500" w:lineRule="exact"/>
        <w:ind w:firstLine="480"/>
        <w:rPr>
          <w:rFonts w:hint="eastAsia" w:ascii="宋体" w:hAnsi="宋体" w:cs="Times New Roman"/>
          <w:i w:val="0"/>
          <w:iCs w:val="0"/>
          <w:color w:val="auto"/>
          <w:sz w:val="24"/>
          <w:szCs w:val="24"/>
          <w:highlight w:val="none"/>
          <w:lang w:val="zh-CN"/>
        </w:rPr>
      </w:pPr>
      <w:r>
        <w:rPr>
          <w:rFonts w:hint="eastAsia" w:ascii="宋体" w:hAnsi="宋体" w:cs="Times New Roman"/>
          <w:i w:val="0"/>
          <w:iCs w:val="0"/>
          <w:color w:val="auto"/>
          <w:sz w:val="24"/>
          <w:szCs w:val="24"/>
          <w:highlight w:val="none"/>
          <w:lang w:val="zh-CN"/>
        </w:rPr>
        <w:t>9.7投标费用自理。</w:t>
      </w:r>
    </w:p>
    <w:p w14:paraId="38708D96">
      <w:pPr>
        <w:spacing w:line="500" w:lineRule="exact"/>
        <w:ind w:firstLine="480"/>
        <w:rPr>
          <w:rFonts w:hint="eastAsia" w:ascii="宋体" w:hAnsi="宋体" w:cs="Times New Roman"/>
          <w:b/>
          <w:bCs/>
          <w:i w:val="0"/>
          <w:iCs w:val="0"/>
          <w:color w:val="auto"/>
          <w:sz w:val="24"/>
          <w:szCs w:val="24"/>
          <w:highlight w:val="none"/>
        </w:rPr>
      </w:pPr>
      <w:r>
        <w:rPr>
          <w:rFonts w:hint="eastAsia" w:ascii="宋体" w:hAnsi="宋体" w:cs="Times New Roman"/>
          <w:b/>
          <w:bCs/>
          <w:i w:val="0"/>
          <w:iCs w:val="0"/>
          <w:color w:val="auto"/>
          <w:sz w:val="24"/>
          <w:szCs w:val="24"/>
          <w:highlight w:val="none"/>
          <w:lang w:val="en-US" w:eastAsia="zh-CN"/>
        </w:rPr>
        <w:t>9.8</w:t>
      </w:r>
      <w:r>
        <w:rPr>
          <w:rFonts w:hint="eastAsia" w:ascii="宋体" w:hAnsi="宋体" w:cs="Times New Roman"/>
          <w:b/>
          <w:bCs/>
          <w:i w:val="0"/>
          <w:iCs w:val="0"/>
          <w:color w:val="auto"/>
          <w:sz w:val="24"/>
          <w:szCs w:val="24"/>
          <w:highlight w:val="none"/>
        </w:rPr>
        <w:t>本项目技术文件为暗标，采用暗标形式，须按下列格式编制，否则视为无效投标文件：</w:t>
      </w:r>
    </w:p>
    <w:p w14:paraId="50F490A1">
      <w:pPr>
        <w:spacing w:line="500" w:lineRule="exact"/>
        <w:ind w:firstLine="480"/>
        <w:rPr>
          <w:rFonts w:hint="eastAsia" w:ascii="宋体" w:hAnsi="宋体" w:cs="Times New Roman"/>
          <w:b/>
          <w:bCs/>
          <w:i w:val="0"/>
          <w:iCs w:val="0"/>
          <w:color w:val="auto"/>
          <w:sz w:val="24"/>
          <w:szCs w:val="24"/>
          <w:highlight w:val="none"/>
        </w:rPr>
      </w:pPr>
      <w:r>
        <w:rPr>
          <w:rFonts w:hint="eastAsia" w:ascii="宋体" w:hAnsi="宋体" w:cs="Times New Roman"/>
          <w:b/>
          <w:bCs/>
          <w:i w:val="0"/>
          <w:iCs w:val="0"/>
          <w:color w:val="auto"/>
          <w:sz w:val="24"/>
          <w:szCs w:val="24"/>
          <w:highlight w:val="none"/>
        </w:rPr>
        <w:t>（1）技术文件编制应按规定的格式制作，版面整洁、字迹清楚、不得涂改、不得标注。</w:t>
      </w:r>
    </w:p>
    <w:p w14:paraId="515D41DC">
      <w:pPr>
        <w:spacing w:line="500" w:lineRule="exact"/>
        <w:ind w:firstLine="480"/>
        <w:rPr>
          <w:rFonts w:hint="eastAsia" w:ascii="宋体" w:hAnsi="宋体" w:cs="Times New Roman"/>
          <w:b/>
          <w:bCs/>
          <w:i w:val="0"/>
          <w:iCs w:val="0"/>
          <w:color w:val="auto"/>
          <w:sz w:val="24"/>
          <w:szCs w:val="24"/>
          <w:highlight w:val="none"/>
        </w:rPr>
      </w:pPr>
      <w:r>
        <w:rPr>
          <w:rFonts w:hint="eastAsia" w:ascii="宋体" w:hAnsi="宋体" w:cs="Times New Roman"/>
          <w:b/>
          <w:bCs/>
          <w:i w:val="0"/>
          <w:iCs w:val="0"/>
          <w:color w:val="auto"/>
          <w:sz w:val="24"/>
          <w:szCs w:val="24"/>
          <w:highlight w:val="none"/>
        </w:rPr>
        <w:t>（2）技术文件所有内容不得出现投标供应商名称、人员姓名，不得出现能显示企业特征或其他提示性的标记或标识，也不得采用任何不符合常规、有别于其他投标供应商的特殊做法。技术文件中的效果图、照片、图片的颜色以及图中的字体、字号、颜色均不作限制要求，但不得出现能体现投标供应商身份的信息。</w:t>
      </w:r>
    </w:p>
    <w:p w14:paraId="01B478CE">
      <w:pPr>
        <w:spacing w:line="500" w:lineRule="exact"/>
        <w:ind w:firstLine="480"/>
        <w:rPr>
          <w:rFonts w:hint="eastAsia" w:ascii="宋体" w:hAnsi="宋体" w:cs="Times New Roman"/>
          <w:b/>
          <w:bCs/>
          <w:i w:val="0"/>
          <w:iCs w:val="0"/>
          <w:color w:val="auto"/>
          <w:sz w:val="24"/>
          <w:szCs w:val="24"/>
          <w:highlight w:val="none"/>
        </w:rPr>
      </w:pPr>
      <w:r>
        <w:rPr>
          <w:rFonts w:hint="eastAsia" w:ascii="宋体" w:hAnsi="宋体" w:cs="Times New Roman"/>
          <w:b/>
          <w:bCs/>
          <w:i w:val="0"/>
          <w:iCs w:val="0"/>
          <w:color w:val="auto"/>
          <w:sz w:val="24"/>
          <w:szCs w:val="24"/>
          <w:highlight w:val="none"/>
        </w:rPr>
        <w:t>（3）字体、段落、页码（页眉、页脚）、页面布局的设置：</w:t>
      </w:r>
    </w:p>
    <w:p w14:paraId="038B2F30">
      <w:pPr>
        <w:spacing w:line="500" w:lineRule="exact"/>
        <w:ind w:firstLine="480"/>
        <w:rPr>
          <w:rFonts w:hint="eastAsia" w:ascii="宋体" w:hAnsi="宋体" w:cs="Times New Roman"/>
          <w:b/>
          <w:bCs/>
          <w:i w:val="0"/>
          <w:iCs w:val="0"/>
          <w:color w:val="auto"/>
          <w:sz w:val="24"/>
          <w:szCs w:val="24"/>
          <w:highlight w:val="none"/>
        </w:rPr>
      </w:pPr>
      <w:r>
        <w:rPr>
          <w:rFonts w:hint="eastAsia" w:ascii="宋体" w:hAnsi="宋体" w:cs="Times New Roman"/>
          <w:b/>
          <w:bCs/>
          <w:i w:val="0"/>
          <w:iCs w:val="0"/>
          <w:color w:val="auto"/>
          <w:sz w:val="24"/>
          <w:szCs w:val="24"/>
          <w:highlight w:val="none"/>
        </w:rPr>
        <w:t>①字体：一级标题为宋体黑色二号字，其余正文均采用宋体黑色小四号字体，不得出现手写，不得有空白页。</w:t>
      </w:r>
    </w:p>
    <w:p w14:paraId="0D9DE855">
      <w:pPr>
        <w:spacing w:line="500" w:lineRule="exact"/>
        <w:ind w:firstLine="480"/>
        <w:rPr>
          <w:rFonts w:hint="eastAsia" w:ascii="宋体" w:hAnsi="宋体" w:cs="Times New Roman"/>
          <w:b/>
          <w:bCs/>
          <w:i w:val="0"/>
          <w:iCs w:val="0"/>
          <w:color w:val="auto"/>
          <w:sz w:val="24"/>
          <w:szCs w:val="24"/>
          <w:highlight w:val="none"/>
        </w:rPr>
      </w:pPr>
      <w:r>
        <w:rPr>
          <w:rFonts w:hint="eastAsia" w:ascii="宋体" w:hAnsi="宋体" w:cs="Times New Roman"/>
          <w:b/>
          <w:bCs/>
          <w:i w:val="0"/>
          <w:iCs w:val="0"/>
          <w:color w:val="auto"/>
          <w:sz w:val="24"/>
          <w:szCs w:val="24"/>
          <w:highlight w:val="none"/>
        </w:rPr>
        <w:t>②段落：使用1.5倍行间距、字间距标准、每段段前空两格。</w:t>
      </w:r>
    </w:p>
    <w:p w14:paraId="7DE6CF92">
      <w:pPr>
        <w:spacing w:line="500" w:lineRule="exact"/>
        <w:ind w:firstLine="480"/>
        <w:rPr>
          <w:rFonts w:hint="eastAsia" w:ascii="宋体" w:hAnsi="宋体" w:cs="Times New Roman"/>
          <w:b/>
          <w:bCs/>
          <w:i w:val="0"/>
          <w:iCs w:val="0"/>
          <w:color w:val="auto"/>
          <w:sz w:val="24"/>
          <w:szCs w:val="24"/>
          <w:highlight w:val="none"/>
        </w:rPr>
      </w:pPr>
      <w:r>
        <w:rPr>
          <w:rFonts w:hint="eastAsia" w:ascii="宋体" w:hAnsi="宋体" w:cs="Times New Roman"/>
          <w:b/>
          <w:bCs/>
          <w:i w:val="0"/>
          <w:iCs w:val="0"/>
          <w:color w:val="auto"/>
          <w:sz w:val="24"/>
          <w:szCs w:val="24"/>
          <w:highlight w:val="none"/>
        </w:rPr>
        <w:t>③页码（页眉、页脚）：不得设置页码、页眉、页脚。</w:t>
      </w:r>
    </w:p>
    <w:p w14:paraId="1651F52D">
      <w:pPr>
        <w:spacing w:line="500" w:lineRule="exact"/>
        <w:ind w:firstLine="480"/>
        <w:rPr>
          <w:rFonts w:hint="eastAsia" w:ascii="宋体" w:hAnsi="宋体" w:cs="Times New Roman"/>
          <w:b/>
          <w:bCs/>
          <w:i w:val="0"/>
          <w:iCs w:val="0"/>
          <w:color w:val="auto"/>
          <w:sz w:val="24"/>
          <w:szCs w:val="24"/>
          <w:highlight w:val="none"/>
          <w:lang w:val="zh-CN"/>
        </w:rPr>
      </w:pPr>
      <w:r>
        <w:rPr>
          <w:rFonts w:hint="eastAsia" w:ascii="宋体" w:hAnsi="宋体" w:cs="Times New Roman"/>
          <w:b/>
          <w:bCs/>
          <w:i w:val="0"/>
          <w:iCs w:val="0"/>
          <w:color w:val="auto"/>
          <w:sz w:val="24"/>
          <w:szCs w:val="24"/>
          <w:highlight w:val="none"/>
        </w:rPr>
        <w:t>④页面布局：A4纸，纸张方向纵向、页面底色白色，分栏为一栏。</w:t>
      </w:r>
    </w:p>
    <w:p w14:paraId="63A53DCB">
      <w:pPr>
        <w:spacing w:line="500" w:lineRule="exact"/>
        <w:ind w:firstLine="480"/>
        <w:rPr>
          <w:rFonts w:hint="eastAsia" w:ascii="宋体" w:hAnsi="宋体" w:cs="Times New Roman"/>
          <w:i w:val="0"/>
          <w:iCs w:val="0"/>
          <w:color w:val="auto"/>
          <w:sz w:val="24"/>
          <w:szCs w:val="24"/>
          <w:highlight w:val="none"/>
        </w:rPr>
      </w:pPr>
      <w:bookmarkStart w:id="48" w:name="_Toc20823287"/>
      <w:bookmarkStart w:id="49" w:name="_Toc462564074"/>
      <w:bookmarkStart w:id="50" w:name="_Toc16938531"/>
      <w:bookmarkStart w:id="51" w:name="_Toc513029215"/>
      <w:r>
        <w:rPr>
          <w:rFonts w:hint="eastAsia" w:ascii="宋体" w:hAnsi="宋体" w:cs="Times New Roman"/>
          <w:i w:val="0"/>
          <w:iCs w:val="0"/>
          <w:color w:val="auto"/>
          <w:sz w:val="24"/>
          <w:szCs w:val="24"/>
          <w:highlight w:val="none"/>
        </w:rPr>
        <w:t>10.投标文件构成</w:t>
      </w:r>
      <w:bookmarkEnd w:id="48"/>
      <w:bookmarkEnd w:id="49"/>
      <w:bookmarkEnd w:id="50"/>
      <w:bookmarkEnd w:id="51"/>
    </w:p>
    <w:p w14:paraId="7B1EB53B">
      <w:pPr>
        <w:spacing w:line="500" w:lineRule="exact"/>
        <w:ind w:firstLine="480"/>
        <w:rPr>
          <w:rFonts w:ascii="宋体" w:hAnsi="宋体"/>
          <w:i w:val="0"/>
          <w:iCs w:val="0"/>
          <w:color w:val="auto"/>
          <w:sz w:val="24"/>
          <w:szCs w:val="24"/>
          <w:highlight w:val="none"/>
        </w:rPr>
      </w:pPr>
      <w:r>
        <w:rPr>
          <w:rFonts w:hint="eastAsia" w:ascii="宋体" w:hAnsi="宋体" w:cs="Times New Roman"/>
          <w:i w:val="0"/>
          <w:iCs w:val="0"/>
          <w:color w:val="auto"/>
          <w:sz w:val="24"/>
          <w:szCs w:val="24"/>
          <w:highlight w:val="none"/>
        </w:rPr>
        <w:t>10.1投标人编写的投标文件应包括资格证明文件、符合性证明文件（投标函、承诺书、开标一览表、分项报价表</w:t>
      </w:r>
      <w:r>
        <w:rPr>
          <w:rFonts w:hint="eastAsia" w:ascii="宋体" w:hAnsi="宋体" w:eastAsia="宋体" w:cs="Times New Roman"/>
          <w:bCs/>
          <w:i w:val="0"/>
          <w:iCs w:val="0"/>
          <w:color w:val="auto"/>
          <w:sz w:val="24"/>
          <w:szCs w:val="24"/>
          <w:highlight w:val="none"/>
        </w:rPr>
        <w:t>、投标偏离表、《采购需求》中如有要求须提供的证明文件等）、其他证明文件（《评标方法与评标标准》中涉及的证明文</w:t>
      </w:r>
      <w:r>
        <w:rPr>
          <w:rFonts w:hint="eastAsia" w:ascii="宋体" w:hAnsi="宋体"/>
          <w:i w:val="0"/>
          <w:iCs w:val="0"/>
          <w:color w:val="auto"/>
          <w:sz w:val="24"/>
          <w:szCs w:val="24"/>
          <w:highlight w:val="none"/>
        </w:rPr>
        <w:t>件、其他投标人认为应附的文件）等内容。</w:t>
      </w:r>
    </w:p>
    <w:p w14:paraId="03D97D9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10.2投标人所须提供的相关证明文件和要求以及投标文件的部分格式要求，详见第六章《投标文件内容与格式》。</w:t>
      </w:r>
    </w:p>
    <w:p w14:paraId="1E71E36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10.3如标书制作工具中格式和内容与招标文件不一致的，请以招标文件为准。</w:t>
      </w:r>
    </w:p>
    <w:p w14:paraId="4F6C149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2" w:name="_Hlt26668975"/>
      <w:bookmarkEnd w:id="52"/>
      <w:bookmarkStart w:id="53" w:name="_Hlt26954838"/>
      <w:bookmarkEnd w:id="53"/>
      <w:bookmarkStart w:id="54" w:name="_Hlt26670360"/>
      <w:bookmarkEnd w:id="54"/>
      <w:bookmarkStart w:id="55" w:name="_Toc49090509"/>
      <w:bookmarkStart w:id="56" w:name="_Toc14577357"/>
      <w:bookmarkStart w:id="57" w:name="_Toc513029219"/>
      <w:bookmarkStart w:id="58" w:name="_Toc14577354"/>
      <w:bookmarkStart w:id="59" w:name="_Toc513029216"/>
      <w:bookmarkStart w:id="60" w:name="_Toc49090507"/>
      <w:r>
        <w:rPr>
          <w:rFonts w:hint="eastAsia" w:ascii="宋体" w:hAnsi="宋体" w:eastAsia="宋体"/>
          <w:bCs w:val="0"/>
          <w:i w:val="0"/>
          <w:iCs w:val="0"/>
          <w:color w:val="auto"/>
          <w:sz w:val="24"/>
          <w:szCs w:val="24"/>
          <w:highlight w:val="none"/>
        </w:rPr>
        <w:t>11.证明投标人及投标标的符合招标文件规定的文件</w:t>
      </w:r>
      <w:bookmarkEnd w:id="55"/>
      <w:bookmarkEnd w:id="56"/>
      <w:bookmarkEnd w:id="57"/>
    </w:p>
    <w:bookmarkEnd w:id="58"/>
    <w:bookmarkEnd w:id="59"/>
    <w:bookmarkEnd w:id="60"/>
    <w:p w14:paraId="09C9178E">
      <w:pPr>
        <w:spacing w:line="500" w:lineRule="exact"/>
        <w:ind w:firstLine="480"/>
        <w:rPr>
          <w:rFonts w:hint="eastAsia" w:ascii="宋体" w:hAnsi="宋体"/>
          <w:bCs/>
          <w:i w:val="0"/>
          <w:iCs w:val="0"/>
          <w:color w:val="auto"/>
          <w:sz w:val="24"/>
          <w:szCs w:val="24"/>
          <w:highlight w:val="none"/>
        </w:rPr>
      </w:pPr>
      <w:bookmarkStart w:id="61" w:name="_Toc14577355"/>
      <w:bookmarkStart w:id="62" w:name="_Toc49090508"/>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3" w:name="_Toc14577359"/>
      <w:bookmarkStart w:id="64" w:name="_Toc49090510"/>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63"/>
    <w:bookmarkEnd w:id="64"/>
    <w:p w14:paraId="5AD02F31">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61"/>
      <w:bookmarkEnd w:id="62"/>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5" w:name="_Hlt26954840"/>
      <w:bookmarkEnd w:id="65"/>
      <w:r>
        <w:rPr>
          <w:rFonts w:hint="eastAsia" w:ascii="宋体" w:hAnsi="宋体"/>
          <w:i w:val="0"/>
          <w:iCs w:val="0"/>
          <w:color w:val="auto"/>
          <w:sz w:val="24"/>
          <w:szCs w:val="24"/>
          <w:highlight w:val="none"/>
        </w:rPr>
        <w:t>标人应按照招标文件规定格式填报</w:t>
      </w:r>
      <w:bookmarkStart w:id="66" w:name="_Hlt26670399"/>
      <w:bookmarkEnd w:id="66"/>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7" w:name="_Hlt26670403"/>
      <w:bookmarkEnd w:id="67"/>
      <w:bookmarkStart w:id="68" w:name="_Hlt26954848"/>
      <w:bookmarkEnd w:id="68"/>
      <w:bookmarkStart w:id="69" w:name="_Hlt26954844"/>
      <w:bookmarkEnd w:id="69"/>
      <w:bookmarkStart w:id="70" w:name="_Hlt26670425"/>
      <w:bookmarkEnd w:id="70"/>
      <w:bookmarkStart w:id="71" w:name="_Hlt26954846"/>
      <w:bookmarkEnd w:id="71"/>
      <w:bookmarkStart w:id="72" w:name="_Hlt26954842"/>
      <w:bookmarkEnd w:id="72"/>
      <w:bookmarkStart w:id="73" w:name="_Hlt26670482"/>
      <w:bookmarkEnd w:id="73"/>
      <w:bookmarkStart w:id="74" w:name="_Hlt26954731"/>
      <w:bookmarkEnd w:id="74"/>
      <w:bookmarkStart w:id="75" w:name="_Hlt26668983"/>
      <w:bookmarkEnd w:id="75"/>
      <w:bookmarkStart w:id="76" w:name="_Hlt26670486"/>
      <w:bookmarkEnd w:id="76"/>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7" w:name="_Hlt26954734"/>
      <w:bookmarkEnd w:id="77"/>
      <w:bookmarkStart w:id="78" w:name="_Hlt26954850"/>
      <w:bookmarkEnd w:id="78"/>
      <w:bookmarkStart w:id="79" w:name="_Hlt26670489"/>
      <w:bookmarkEnd w:id="79"/>
      <w:bookmarkStart w:id="80" w:name="_Toc14577360"/>
      <w:bookmarkStart w:id="81" w:name="_Toc49090511"/>
      <w:r>
        <w:rPr>
          <w:rFonts w:hint="eastAsia" w:ascii="宋体" w:hAnsi="宋体" w:eastAsia="宋体"/>
          <w:bCs w:val="0"/>
          <w:i w:val="0"/>
          <w:iCs w:val="0"/>
          <w:color w:val="auto"/>
          <w:sz w:val="24"/>
          <w:szCs w:val="24"/>
          <w:highlight w:val="none"/>
        </w:rPr>
        <w:t>15.投标有效期</w:t>
      </w:r>
      <w:bookmarkEnd w:id="80"/>
      <w:bookmarkEnd w:id="81"/>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8428FA5">
      <w:pPr>
        <w:pStyle w:val="360"/>
        <w:keepNext w:val="0"/>
        <w:keepLines w:val="0"/>
        <w:spacing w:before="0" w:after="0" w:line="500" w:lineRule="exact"/>
        <w:jc w:val="center"/>
        <w:rPr>
          <w:rFonts w:hint="eastAsia"/>
          <w:i w:val="0"/>
          <w:iCs w:val="0"/>
          <w:color w:val="auto"/>
          <w:sz w:val="32"/>
          <w:szCs w:val="32"/>
          <w:highlight w:val="none"/>
        </w:rPr>
      </w:pPr>
      <w:bookmarkStart w:id="82" w:name="_Hlt26954852"/>
      <w:bookmarkEnd w:id="82"/>
      <w:bookmarkStart w:id="83" w:name="_Hlt26954739"/>
      <w:bookmarkEnd w:id="83"/>
      <w:bookmarkStart w:id="84" w:name="_Toc120614217"/>
      <w:bookmarkStart w:id="85" w:name="_Toc513029224"/>
      <w:bookmarkStart w:id="86" w:name="_Toc20823296"/>
      <w:bookmarkStart w:id="87" w:name="_Toc16938540"/>
      <w:r>
        <w:rPr>
          <w:rFonts w:hint="eastAsia"/>
          <w:i w:val="0"/>
          <w:iCs w:val="0"/>
          <w:color w:val="auto"/>
          <w:sz w:val="32"/>
          <w:szCs w:val="32"/>
          <w:highlight w:val="none"/>
        </w:rPr>
        <w:t>四、投标文件的递交</w:t>
      </w:r>
      <w:bookmarkEnd w:id="84"/>
      <w:bookmarkEnd w:id="85"/>
      <w:bookmarkEnd w:id="86"/>
      <w:bookmarkEnd w:id="87"/>
    </w:p>
    <w:p w14:paraId="0087F770">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8" w:name="_Toc462564084"/>
      <w:bookmarkStart w:id="89" w:name="_Toc16938541"/>
      <w:bookmarkStart w:id="90" w:name="_Toc513029225"/>
      <w:bookmarkStart w:id="91" w:name="_Toc20823297"/>
      <w:r>
        <w:rPr>
          <w:rFonts w:hint="eastAsia" w:ascii="宋体" w:hAnsi="宋体" w:eastAsia="宋体"/>
          <w:bCs w:val="0"/>
          <w:i w:val="0"/>
          <w:iCs w:val="0"/>
          <w:color w:val="auto"/>
          <w:sz w:val="24"/>
          <w:szCs w:val="24"/>
          <w:highlight w:val="none"/>
        </w:rPr>
        <w:t>17.投标文件</w:t>
      </w:r>
      <w:bookmarkEnd w:id="88"/>
      <w:bookmarkEnd w:id="89"/>
      <w:bookmarkEnd w:id="90"/>
      <w:bookmarkEnd w:id="91"/>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51"/>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92" w:name="_Toc513029226"/>
      <w:bookmarkStart w:id="93" w:name="_Toc20823298"/>
      <w:bookmarkStart w:id="94" w:name="_Toc16938542"/>
    </w:p>
    <w:p w14:paraId="2ECB804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92"/>
      <w:bookmarkEnd w:id="93"/>
      <w:bookmarkEnd w:id="94"/>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5" w:name="_Toc513029227"/>
      <w:bookmarkStart w:id="96" w:name="_Toc20823299"/>
      <w:bookmarkStart w:id="97" w:name="_Toc16938543"/>
      <w:r>
        <w:rPr>
          <w:rFonts w:hint="eastAsia" w:ascii="宋体" w:hAnsi="宋体" w:eastAsia="宋体"/>
          <w:bCs w:val="0"/>
          <w:i w:val="0"/>
          <w:iCs w:val="0"/>
          <w:color w:val="auto"/>
          <w:sz w:val="24"/>
          <w:szCs w:val="24"/>
          <w:highlight w:val="none"/>
        </w:rPr>
        <w:t>19.投标文件</w:t>
      </w:r>
      <w:bookmarkEnd w:id="95"/>
      <w:bookmarkEnd w:id="96"/>
      <w:bookmarkEnd w:id="97"/>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8" w:name="_Toc513029228"/>
      <w:bookmarkStart w:id="99" w:name="_Toc16938544"/>
      <w:bookmarkStart w:id="100" w:name="_Toc20823300"/>
      <w:r>
        <w:rPr>
          <w:rFonts w:hint="eastAsia" w:ascii="宋体" w:hAnsi="宋体" w:eastAsia="宋体"/>
          <w:bCs w:val="0"/>
          <w:i w:val="0"/>
          <w:iCs w:val="0"/>
          <w:color w:val="auto"/>
          <w:sz w:val="24"/>
          <w:szCs w:val="24"/>
          <w:highlight w:val="none"/>
        </w:rPr>
        <w:t>20.投标文件的撤回和修改</w:t>
      </w:r>
      <w:bookmarkEnd w:id="98"/>
      <w:bookmarkEnd w:id="99"/>
      <w:bookmarkEnd w:id="100"/>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54843FFE">
      <w:pPr>
        <w:pStyle w:val="360"/>
        <w:keepNext w:val="0"/>
        <w:keepLines w:val="0"/>
        <w:spacing w:before="0" w:after="0" w:line="500" w:lineRule="exact"/>
        <w:jc w:val="center"/>
        <w:rPr>
          <w:rFonts w:hint="eastAsia"/>
          <w:i w:val="0"/>
          <w:iCs w:val="0"/>
          <w:color w:val="auto"/>
          <w:sz w:val="32"/>
          <w:szCs w:val="32"/>
          <w:highlight w:val="none"/>
        </w:rPr>
      </w:pPr>
      <w:bookmarkStart w:id="101" w:name="_Toc513029229"/>
      <w:bookmarkStart w:id="102" w:name="_Toc20823301"/>
      <w:bookmarkStart w:id="103" w:name="_Toc16938545"/>
      <w:bookmarkStart w:id="104" w:name="_Toc120614218"/>
      <w:r>
        <w:rPr>
          <w:rFonts w:hint="eastAsia"/>
          <w:i w:val="0"/>
          <w:iCs w:val="0"/>
          <w:color w:val="auto"/>
          <w:sz w:val="32"/>
          <w:szCs w:val="32"/>
          <w:highlight w:val="none"/>
        </w:rPr>
        <w:t>五、开标与评标</w:t>
      </w:r>
      <w:bookmarkEnd w:id="101"/>
      <w:bookmarkEnd w:id="102"/>
      <w:bookmarkEnd w:id="103"/>
      <w:bookmarkEnd w:id="104"/>
    </w:p>
    <w:p w14:paraId="5B13937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5" w:name="_Toc20823302"/>
      <w:bookmarkStart w:id="106" w:name="_Toc513029230"/>
      <w:bookmarkStart w:id="107" w:name="_Toc16938546"/>
      <w:r>
        <w:rPr>
          <w:rFonts w:hint="eastAsia" w:ascii="宋体" w:hAnsi="宋体" w:eastAsia="宋体"/>
          <w:bCs w:val="0"/>
          <w:i w:val="0"/>
          <w:iCs w:val="0"/>
          <w:color w:val="auto"/>
          <w:sz w:val="24"/>
          <w:szCs w:val="24"/>
          <w:highlight w:val="none"/>
        </w:rPr>
        <w:t>21.开标</w:t>
      </w:r>
      <w:bookmarkEnd w:id="105"/>
      <w:bookmarkEnd w:id="106"/>
      <w:bookmarkEnd w:id="107"/>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8" w:name="_Toc513029231"/>
      <w:bookmarkStart w:id="109" w:name="_Toc20823303"/>
      <w:bookmarkStart w:id="110" w:name="_Toc16938547"/>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8"/>
    <w:bookmarkEnd w:id="109"/>
    <w:bookmarkEnd w:id="110"/>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1" w:name="_Toc16938548"/>
      <w:bookmarkStart w:id="112" w:name="_Toc20823304"/>
      <w:bookmarkStart w:id="113" w:name="_Toc513029232"/>
      <w:r>
        <w:rPr>
          <w:rFonts w:hint="eastAsia" w:ascii="宋体" w:hAnsi="宋体" w:eastAsia="宋体"/>
          <w:bCs w:val="0"/>
          <w:i w:val="0"/>
          <w:iCs w:val="0"/>
          <w:color w:val="auto"/>
          <w:sz w:val="24"/>
          <w:szCs w:val="24"/>
          <w:highlight w:val="none"/>
        </w:rPr>
        <w:t>24.投标文件的澄清</w:t>
      </w:r>
      <w:bookmarkEnd w:id="111"/>
      <w:bookmarkEnd w:id="112"/>
      <w:bookmarkEnd w:id="113"/>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4" w:name="_Toc20823305"/>
      <w:bookmarkStart w:id="115" w:name="_Toc513029233"/>
      <w:bookmarkStart w:id="116" w:name="_Toc16938549"/>
      <w:r>
        <w:rPr>
          <w:rFonts w:hint="eastAsia" w:ascii="宋体" w:hAnsi="宋体" w:eastAsia="宋体"/>
          <w:bCs w:val="0"/>
          <w:i w:val="0"/>
          <w:iCs w:val="0"/>
          <w:color w:val="auto"/>
          <w:sz w:val="24"/>
          <w:szCs w:val="24"/>
          <w:highlight w:val="none"/>
        </w:rPr>
        <w:t>25.对投标文件的初审</w:t>
      </w:r>
      <w:bookmarkEnd w:id="114"/>
      <w:bookmarkEnd w:id="115"/>
      <w:bookmarkEnd w:id="116"/>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7" w:name="_Toc16938550"/>
      <w:bookmarkStart w:id="118" w:name="_Toc20823306"/>
      <w:bookmarkStart w:id="119" w:name="_Toc513029234"/>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7"/>
      <w:bookmarkEnd w:id="118"/>
      <w:bookmarkEnd w:id="119"/>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20" w:name="_Toc16938551"/>
      <w:bookmarkStart w:id="121" w:name="_Toc20823307"/>
      <w:bookmarkStart w:id="122" w:name="_Toc513029235"/>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14FDC5B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1D371B1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00DF8C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4361B8D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（3）投标（响应）报价低于采购项目最高限价45%的，即投标（响应）报价＜采购项目最高限价×45%；</w:t>
      </w:r>
    </w:p>
    <w:p w14:paraId="31E643F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（4）评审委员会基于专业判断，认为供应商报价过低，有可能影响产品质量或者不能诚信履约的其他情形。</w:t>
      </w:r>
    </w:p>
    <w:p w14:paraId="485F2E5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采购人可以结合具体项目实际情况，提高上述第1项至第3项中启动异常低价投标（响应）审查的数值标准，但是最高不得超过65%。</w:t>
      </w:r>
    </w:p>
    <w:p w14:paraId="518C6EA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相关法律法规对供应商报价有规定的，从其规定。</w:t>
      </w:r>
    </w:p>
    <w:p w14:paraId="507BC06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338B622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EFDF3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C89FC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4E2D447">
      <w:pPr>
        <w:spacing w:line="500" w:lineRule="exact"/>
        <w:ind w:firstLine="480"/>
        <w:rPr>
          <w:rFonts w:hint="eastAsia" w:ascii="宋体" w:hAnsi="宋体"/>
          <w:bCs/>
          <w:i w:val="0"/>
          <w:iCs w:val="0"/>
          <w:color w:val="auto"/>
          <w:sz w:val="24"/>
          <w:szCs w:val="24"/>
          <w:highlight w:val="none"/>
        </w:rPr>
      </w:pPr>
      <w:r>
        <w:rPr>
          <w:rFonts w:hint="eastAsia"/>
          <w:color w:val="auto"/>
          <w:sz w:val="24"/>
          <w:szCs w:val="24"/>
        </w:rPr>
        <w:t>财政部门在投诉处理、监督检查中发现评审委员会未按规定对异常低价开展审查的，依法予以纠正并追究评审专家的法律责任。</w:t>
      </w:r>
    </w:p>
    <w:p w14:paraId="22F18AF5">
      <w:pPr>
        <w:spacing w:line="500" w:lineRule="exact"/>
        <w:ind w:firstLine="480"/>
        <w:rPr>
          <w:rFonts w:hint="eastAsia" w:ascii="宋体" w:hAnsi="宋体" w:eastAsia="宋体"/>
          <w:bCs/>
          <w:i w:val="0"/>
          <w:iCs w:val="0"/>
          <w:color w:val="auto"/>
          <w:sz w:val="24"/>
          <w:szCs w:val="24"/>
          <w:highlight w:val="none"/>
          <w:lang w:eastAsia="zh-CN"/>
        </w:rPr>
      </w:pPr>
      <w:r>
        <w:rPr>
          <w:rFonts w:hint="eastAsia" w:ascii="宋体" w:hAnsi="宋体"/>
          <w:bCs/>
          <w:i w:val="0"/>
          <w:iCs w:val="0"/>
          <w:color w:val="auto"/>
          <w:sz w:val="24"/>
          <w:szCs w:val="24"/>
          <w:highlight w:val="none"/>
        </w:rPr>
        <w:t>26.1.23投标文件内容不全或不符合招标文件中规定的其它实质性要求和条件的</w:t>
      </w:r>
      <w:r>
        <w:rPr>
          <w:rFonts w:hint="eastAsia" w:ascii="宋体" w:hAnsi="宋体"/>
          <w:bCs/>
          <w:i w:val="0"/>
          <w:iCs w:val="0"/>
          <w:color w:val="auto"/>
          <w:sz w:val="24"/>
          <w:szCs w:val="24"/>
          <w:highlight w:val="none"/>
          <w:lang w:eastAsia="zh-CN"/>
        </w:rPr>
        <w:t>。</w:t>
      </w:r>
    </w:p>
    <w:p w14:paraId="6E7E99B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58A7056E">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46E5AEE1">
      <w:pPr>
        <w:pStyle w:val="360"/>
        <w:keepNext w:val="0"/>
        <w:keepLines w:val="0"/>
        <w:spacing w:before="0" w:after="0" w:line="500" w:lineRule="exact"/>
        <w:jc w:val="center"/>
        <w:rPr>
          <w:rFonts w:hint="eastAsia"/>
          <w:i w:val="0"/>
          <w:iCs w:val="0"/>
          <w:color w:val="auto"/>
          <w:sz w:val="32"/>
          <w:szCs w:val="32"/>
          <w:highlight w:val="none"/>
        </w:rPr>
      </w:pPr>
      <w:bookmarkStart w:id="123" w:name="_Toc120614219"/>
      <w:r>
        <w:rPr>
          <w:rFonts w:hint="eastAsia"/>
          <w:i w:val="0"/>
          <w:iCs w:val="0"/>
          <w:color w:val="auto"/>
          <w:sz w:val="32"/>
          <w:szCs w:val="32"/>
          <w:highlight w:val="none"/>
        </w:rPr>
        <w:t>六、</w:t>
      </w:r>
      <w:bookmarkEnd w:id="120"/>
      <w:bookmarkEnd w:id="121"/>
      <w:bookmarkEnd w:id="122"/>
      <w:r>
        <w:rPr>
          <w:rFonts w:hint="eastAsia"/>
          <w:i w:val="0"/>
          <w:iCs w:val="0"/>
          <w:color w:val="auto"/>
          <w:sz w:val="32"/>
          <w:szCs w:val="32"/>
          <w:highlight w:val="none"/>
        </w:rPr>
        <w:t>定标</w:t>
      </w:r>
      <w:bookmarkEnd w:id="123"/>
    </w:p>
    <w:p w14:paraId="1095B432">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24" w:name="_Toc513029238"/>
      <w:bookmarkStart w:id="125" w:name="_Toc16938554"/>
      <w:bookmarkStart w:id="126" w:name="_Toc20823310"/>
      <w:r>
        <w:rPr>
          <w:rFonts w:hint="eastAsia" w:ascii="宋体" w:hAnsi="宋体" w:eastAsia="宋体"/>
          <w:bCs w:val="0"/>
          <w:i w:val="0"/>
          <w:iCs w:val="0"/>
          <w:color w:val="auto"/>
          <w:sz w:val="24"/>
          <w:szCs w:val="24"/>
          <w:highlight w:val="none"/>
        </w:rPr>
        <w:t>27、</w:t>
      </w:r>
      <w:bookmarkEnd w:id="124"/>
      <w:r>
        <w:rPr>
          <w:rFonts w:hint="eastAsia" w:ascii="宋体" w:hAnsi="宋体" w:eastAsia="宋体"/>
          <w:bCs w:val="0"/>
          <w:i w:val="0"/>
          <w:iCs w:val="0"/>
          <w:color w:val="auto"/>
          <w:sz w:val="24"/>
          <w:szCs w:val="24"/>
          <w:highlight w:val="none"/>
        </w:rPr>
        <w:t>确定</w:t>
      </w:r>
      <w:bookmarkEnd w:id="125"/>
      <w:bookmarkEnd w:id="126"/>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7"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7"/>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F81155E">
      <w:pPr>
        <w:pStyle w:val="360"/>
        <w:keepNext w:val="0"/>
        <w:keepLines w:val="0"/>
        <w:spacing w:before="0" w:after="0" w:line="500" w:lineRule="exact"/>
        <w:jc w:val="center"/>
        <w:rPr>
          <w:rFonts w:hint="eastAsia"/>
          <w:i w:val="0"/>
          <w:iCs w:val="0"/>
          <w:color w:val="auto"/>
          <w:sz w:val="32"/>
          <w:szCs w:val="32"/>
          <w:highlight w:val="none"/>
        </w:rPr>
      </w:pPr>
      <w:bookmarkStart w:id="128" w:name="_Toc120614220"/>
      <w:bookmarkStart w:id="129" w:name="_Toc16938552"/>
      <w:bookmarkStart w:id="130" w:name="_Toc20823308"/>
      <w:bookmarkStart w:id="131" w:name="_Toc513029236"/>
      <w:r>
        <w:rPr>
          <w:rFonts w:hint="eastAsia"/>
          <w:i w:val="0"/>
          <w:iCs w:val="0"/>
          <w:color w:val="auto"/>
          <w:sz w:val="32"/>
          <w:szCs w:val="32"/>
          <w:highlight w:val="none"/>
        </w:rPr>
        <w:t>七、授予合同</w:t>
      </w:r>
      <w:bookmarkEnd w:id="128"/>
    </w:p>
    <w:bookmarkEnd w:id="129"/>
    <w:bookmarkEnd w:id="130"/>
    <w:bookmarkEnd w:id="131"/>
    <w:p w14:paraId="78ED804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b/>
          <w:bCs w:val="0"/>
          <w:i w:val="0"/>
          <w:iCs w:val="0"/>
          <w:color w:val="auto"/>
          <w:sz w:val="24"/>
          <w:szCs w:val="24"/>
          <w:highlight w:val="none"/>
          <w:lang w:val="en-US" w:eastAsia="zh-CN"/>
        </w:rPr>
      </w:pPr>
      <w:r>
        <w:rPr>
          <w:rFonts w:hint="eastAsia" w:ascii="宋体" w:hAnsi="宋体"/>
          <w:b/>
          <w:bCs w:val="0"/>
          <w:i w:val="0"/>
          <w:iCs w:val="0"/>
          <w:color w:val="auto"/>
          <w:sz w:val="24"/>
          <w:szCs w:val="24"/>
          <w:highlight w:val="none"/>
          <w:lang w:val="en-US" w:eastAsia="zh-CN"/>
        </w:rPr>
        <w:t>31.服务（包含与服务相关的货物）的追加</w:t>
      </w:r>
    </w:p>
    <w:p w14:paraId="6F428A40">
      <w:pPr>
        <w:spacing w:line="500" w:lineRule="exact"/>
        <w:ind w:firstLine="480"/>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BF91588">
      <w:pPr>
        <w:spacing w:line="400" w:lineRule="exact"/>
        <w:jc w:val="center"/>
        <w:rPr>
          <w:rFonts w:hint="eastAsia" w:ascii="黑体" w:eastAsia="黑体"/>
          <w:bCs/>
          <w:i w:val="0"/>
          <w:iCs w:val="0"/>
          <w:color w:val="auto"/>
          <w:sz w:val="30"/>
          <w:szCs w:val="30"/>
          <w:highlight w:val="none"/>
        </w:rPr>
      </w:pPr>
    </w:p>
    <w:p w14:paraId="7218823F">
      <w:pPr>
        <w:spacing w:line="360" w:lineRule="auto"/>
        <w:rPr>
          <w:rFonts w:hint="eastAsia" w:ascii="黑体" w:eastAsia="黑体"/>
          <w:bCs/>
          <w:i w:val="0"/>
          <w:iCs w:val="0"/>
          <w:color w:val="auto"/>
          <w:sz w:val="30"/>
          <w:szCs w:val="30"/>
          <w:highlight w:val="none"/>
        </w:rPr>
      </w:pPr>
    </w:p>
    <w:p w14:paraId="5F2A3C9F">
      <w:pPr>
        <w:pStyle w:val="186"/>
        <w:pageBreakBefore/>
        <w:rPr>
          <w:rFonts w:hint="eastAsia" w:ascii="黑体" w:eastAsia="黑体"/>
          <w:i w:val="0"/>
          <w:iCs w:val="0"/>
          <w:color w:val="auto"/>
          <w:sz w:val="30"/>
          <w:szCs w:val="30"/>
          <w:highlight w:val="none"/>
          <w:lang w:eastAsia="zh-CN"/>
        </w:rPr>
      </w:pPr>
      <w:bookmarkStart w:id="132" w:name="_Toc61444673"/>
      <w:r>
        <w:rPr>
          <w:rFonts w:hint="eastAsia" w:ascii="黑体" w:hAnsi="黑体" w:eastAsia="黑体"/>
          <w:b w:val="0"/>
          <w:i w:val="0"/>
          <w:iCs w:val="0"/>
          <w:color w:val="auto"/>
          <w:sz w:val="32"/>
          <w:szCs w:val="32"/>
          <w:highlight w:val="none"/>
          <w:lang w:eastAsia="zh-CN"/>
        </w:rPr>
        <w:t>第三章</w:t>
      </w:r>
      <w:r>
        <w:rPr>
          <w:rFonts w:hint="eastAsia" w:ascii="黑体" w:hAnsi="黑体" w:eastAsia="黑体"/>
          <w:b w:val="0"/>
          <w:i w:val="0"/>
          <w:iCs w:val="0"/>
          <w:color w:val="auto"/>
          <w:sz w:val="32"/>
          <w:szCs w:val="32"/>
          <w:highlight w:val="none"/>
          <w:lang w:val="en-US" w:eastAsia="zh-CN"/>
        </w:rPr>
        <w:t xml:space="preserve">  </w:t>
      </w:r>
      <w:bookmarkEnd w:id="132"/>
      <w:r>
        <w:rPr>
          <w:rFonts w:hint="eastAsia" w:ascii="黑体" w:hAnsi="黑体" w:eastAsia="黑体"/>
          <w:b w:val="0"/>
          <w:i w:val="0"/>
          <w:iCs w:val="0"/>
          <w:color w:val="auto"/>
          <w:sz w:val="32"/>
          <w:szCs w:val="32"/>
          <w:highlight w:val="none"/>
          <w:lang w:eastAsia="zh-CN"/>
        </w:rPr>
        <w:t>项目需求</w:t>
      </w:r>
    </w:p>
    <w:p w14:paraId="5D00AE37">
      <w:pPr>
        <w:spacing w:line="360" w:lineRule="auto"/>
        <w:ind w:firstLine="600"/>
        <w:jc w:val="center"/>
        <w:rPr>
          <w:rFonts w:ascii="黑体" w:hAnsi="黑体" w:eastAsia="黑体"/>
          <w:i w:val="0"/>
          <w:iCs w:val="0"/>
          <w:color w:val="auto"/>
          <w:sz w:val="24"/>
          <w:szCs w:val="24"/>
          <w:highlight w:val="none"/>
        </w:rPr>
      </w:pPr>
      <w:bookmarkStart w:id="133" w:name="_Toc61444674"/>
      <w:r>
        <w:rPr>
          <w:rFonts w:hint="eastAsia" w:ascii="黑体" w:hAnsi="黑体" w:eastAsia="黑体"/>
          <w:i w:val="0"/>
          <w:iCs w:val="0"/>
          <w:color w:val="auto"/>
          <w:sz w:val="24"/>
          <w:szCs w:val="24"/>
          <w:highlight w:val="none"/>
        </w:rPr>
        <w:t>第一部分  项目技术要求</w:t>
      </w:r>
    </w:p>
    <w:p w14:paraId="6E86F48D">
      <w:pPr>
        <w:pStyle w:val="355"/>
        <w:keepNext w:val="0"/>
        <w:keepLines w:val="0"/>
        <w:pageBreakBefore w:val="0"/>
        <w:numPr>
          <w:ilvl w:val="1"/>
          <w:numId w:val="0"/>
        </w:numPr>
        <w:kinsoku/>
        <w:wordWrap/>
        <w:overflowPunct/>
        <w:topLinePunct w:val="0"/>
        <w:autoSpaceDE/>
        <w:autoSpaceDN/>
        <w:bidi w:val="0"/>
        <w:adjustRightInd/>
        <w:snapToGrid/>
        <w:spacing w:line="400" w:lineRule="exact"/>
        <w:ind w:firstLine="482"/>
        <w:rPr>
          <w:rFonts w:hint="eastAsia" w:ascii="宋体" w:eastAsia="宋体" w:cs="宋体"/>
          <w:color w:val="auto"/>
          <w:sz w:val="24"/>
          <w:szCs w:val="24"/>
          <w:highlight w:val="none"/>
        </w:rPr>
      </w:pPr>
      <w:r>
        <w:rPr>
          <w:rFonts w:hint="eastAsia" w:ascii="宋体" w:eastAsia="宋体" w:cs="宋体"/>
          <w:b/>
          <w:bCs/>
          <w:color w:val="auto"/>
          <w:sz w:val="24"/>
          <w:szCs w:val="24"/>
          <w:highlight w:val="none"/>
        </w:rPr>
        <w:t>本项目属性：货物类。</w:t>
      </w:r>
    </w:p>
    <w:p w14:paraId="16785E0E">
      <w:pPr>
        <w:keepNext w:val="0"/>
        <w:keepLines w:val="0"/>
        <w:pageBreakBefore w:val="0"/>
        <w:kinsoku/>
        <w:wordWrap/>
        <w:overflowPunct/>
        <w:topLinePunct w:val="0"/>
        <w:autoSpaceDE/>
        <w:autoSpaceDN/>
        <w:bidi w:val="0"/>
        <w:adjustRightInd/>
        <w:snapToGrid/>
        <w:spacing w:after="5" w:line="400" w:lineRule="exact"/>
        <w:ind w:firstLine="480"/>
        <w:rPr>
          <w:rFonts w:hint="eastAsia" w:ascii="宋体" w:hAnsi="宋体" w:cs="宋体"/>
          <w:b/>
          <w:bCs/>
          <w:color w:val="auto"/>
          <w:sz w:val="24"/>
          <w:highlight w:val="none"/>
        </w:rPr>
      </w:pPr>
      <w:r>
        <w:rPr>
          <w:rFonts w:hint="eastAsia" w:ascii="宋体" w:hAnsi="宋体" w:cs="宋体"/>
          <w:b/>
          <w:bCs/>
          <w:color w:val="auto"/>
          <w:sz w:val="24"/>
          <w:highlight w:val="none"/>
        </w:rPr>
        <w:t>本项目核心产品为：单兵装备管理舱。</w:t>
      </w:r>
    </w:p>
    <w:p w14:paraId="62CA42F3">
      <w:pPr>
        <w:keepNext w:val="0"/>
        <w:keepLines w:val="0"/>
        <w:pageBreakBefore w:val="0"/>
        <w:kinsoku/>
        <w:wordWrap/>
        <w:overflowPunct/>
        <w:topLinePunct w:val="0"/>
        <w:autoSpaceDE/>
        <w:autoSpaceDN/>
        <w:bidi w:val="0"/>
        <w:adjustRightInd/>
        <w:snapToGrid/>
        <w:spacing w:after="5" w:line="400" w:lineRule="exact"/>
        <w:ind w:firstLine="480"/>
        <w:rPr>
          <w:rFonts w:hint="eastAsia" w:ascii="宋体" w:hAnsi="宋体" w:cs="宋体"/>
          <w:b/>
          <w:bCs/>
          <w:color w:val="auto"/>
          <w:sz w:val="24"/>
          <w:highlight w:val="none"/>
        </w:rPr>
      </w:pPr>
      <w:r>
        <w:rPr>
          <w:rFonts w:hint="eastAsia" w:ascii="宋体" w:hAnsi="宋体" w:cs="宋体"/>
          <w:b/>
          <w:bCs/>
          <w:color w:val="auto"/>
          <w:sz w:val="24"/>
          <w:highlight w:val="none"/>
        </w:rPr>
        <w:t>本项目是否专门面向中小（微）企业（含监狱企业、残疾人福利性单位）：否。</w:t>
      </w:r>
    </w:p>
    <w:p w14:paraId="45D70654">
      <w:pPr>
        <w:keepNext w:val="0"/>
        <w:keepLines w:val="0"/>
        <w:pageBreakBefore w:val="0"/>
        <w:kinsoku/>
        <w:wordWrap/>
        <w:overflowPunct/>
        <w:topLinePunct w:val="0"/>
        <w:autoSpaceDE/>
        <w:autoSpaceDN/>
        <w:bidi w:val="0"/>
        <w:adjustRightInd/>
        <w:snapToGrid/>
        <w:spacing w:after="5" w:line="400" w:lineRule="exact"/>
        <w:ind w:firstLine="480"/>
        <w:rPr>
          <w:rFonts w:hint="eastAsia" w:ascii="宋体" w:hAnsi="宋体" w:cs="宋体"/>
          <w:b/>
          <w:bCs/>
          <w:color w:val="auto"/>
          <w:sz w:val="24"/>
          <w:highlight w:val="none"/>
        </w:rPr>
      </w:pPr>
      <w:r>
        <w:rPr>
          <w:rFonts w:hint="eastAsia" w:ascii="宋体" w:hAnsi="宋体" w:cs="宋体"/>
          <w:b/>
          <w:bCs/>
          <w:color w:val="auto"/>
          <w:sz w:val="24"/>
          <w:highlight w:val="none"/>
        </w:rPr>
        <w:t>本项目标的所属行业：</w:t>
      </w:r>
      <w:r>
        <w:rPr>
          <w:rFonts w:hint="eastAsia" w:ascii="宋体" w:hAnsi="宋体" w:cs="宋体"/>
          <w:color w:val="auto"/>
          <w:sz w:val="24"/>
          <w:highlight w:val="none"/>
        </w:rPr>
        <w:t>根据中小企业划型标准规定（工信部联企业〔2011〕300号）规定，本项目标的所属行业为“工业”。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cs="宋体"/>
          <w:b/>
          <w:bCs/>
          <w:color w:val="auto"/>
          <w:sz w:val="24"/>
          <w:highlight w:val="none"/>
        </w:rPr>
        <w:t xml:space="preserve"> </w:t>
      </w:r>
    </w:p>
    <w:p w14:paraId="5EE01655">
      <w:pPr>
        <w:keepNext w:val="0"/>
        <w:keepLines w:val="0"/>
        <w:pageBreakBefore w:val="0"/>
        <w:kinsoku/>
        <w:wordWrap/>
        <w:overflowPunct/>
        <w:topLinePunct w:val="0"/>
        <w:autoSpaceDE/>
        <w:autoSpaceDN/>
        <w:bidi w:val="0"/>
        <w:adjustRightInd/>
        <w:snapToGrid/>
        <w:spacing w:after="5" w:line="400" w:lineRule="exact"/>
        <w:ind w:firstLine="480"/>
        <w:rPr>
          <w:rFonts w:hint="eastAsia" w:ascii="宋体" w:hAnsi="宋体" w:cs="宋体"/>
          <w:b/>
          <w:bCs/>
          <w:color w:val="auto"/>
          <w:sz w:val="24"/>
          <w:highlight w:val="none"/>
        </w:rPr>
      </w:pPr>
      <w:r>
        <w:rPr>
          <w:rFonts w:hint="eastAsia" w:ascii="宋体" w:hAnsi="宋体" w:cs="宋体"/>
          <w:b/>
          <w:bCs/>
          <w:color w:val="auto"/>
          <w:sz w:val="24"/>
          <w:highlight w:val="none"/>
        </w:rPr>
        <w:t>本项目不接受进口产品投标。</w:t>
      </w:r>
    </w:p>
    <w:p w14:paraId="23B93CD7">
      <w:pPr>
        <w:keepNext w:val="0"/>
        <w:keepLines w:val="0"/>
        <w:pageBreakBefore w:val="0"/>
        <w:kinsoku/>
        <w:wordWrap/>
        <w:overflowPunct/>
        <w:topLinePunct w:val="0"/>
        <w:autoSpaceDE/>
        <w:autoSpaceDN/>
        <w:bidi w:val="0"/>
        <w:adjustRightInd/>
        <w:snapToGrid/>
        <w:spacing w:after="5" w:line="400" w:lineRule="exact"/>
        <w:ind w:firstLine="480"/>
        <w:rPr>
          <w:rFonts w:hint="eastAsia" w:ascii="宋体" w:hAnsi="宋体" w:cs="宋体"/>
          <w:color w:val="auto"/>
          <w:sz w:val="24"/>
          <w:highlight w:val="none"/>
        </w:rPr>
      </w:pPr>
      <w:r>
        <w:rPr>
          <w:rFonts w:hint="eastAsia" w:ascii="宋体" w:hAnsi="宋体" w:cs="宋体"/>
          <w:b/>
          <w:bCs/>
          <w:color w:val="auto"/>
          <w:sz w:val="24"/>
          <w:highlight w:val="none"/>
        </w:rPr>
        <w:t>★</w:t>
      </w:r>
      <w:r>
        <w:rPr>
          <w:rFonts w:hint="eastAsia" w:ascii="宋体" w:hAnsi="宋体" w:cs="宋体"/>
          <w:color w:val="auto"/>
          <w:sz w:val="24"/>
          <w:highlight w:val="none"/>
        </w:rPr>
        <w:t>投标供应商所投内容必须满足以下要求，不得有负偏离，若不满足视为无效投标文件</w:t>
      </w:r>
      <w:r>
        <w:rPr>
          <w:rFonts w:hint="eastAsia" w:ascii="宋体" w:hAnsi="宋体" w:cs="宋体"/>
          <w:color w:val="auto"/>
          <w:sz w:val="24"/>
          <w:highlight w:val="none"/>
        </w:rPr>
        <w:t>。</w:t>
      </w:r>
    </w:p>
    <w:p w14:paraId="67639DE2">
      <w:pPr>
        <w:keepNext w:val="0"/>
        <w:keepLines w:val="0"/>
        <w:pageBreakBefore w:val="0"/>
        <w:kinsoku/>
        <w:wordWrap/>
        <w:overflowPunct/>
        <w:topLinePunct w:val="0"/>
        <w:autoSpaceDE/>
        <w:autoSpaceDN/>
        <w:bidi w:val="0"/>
        <w:adjustRightInd/>
        <w:snapToGrid/>
        <w:spacing w:after="5" w:line="4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项目需求如下：</w:t>
      </w:r>
    </w:p>
    <w:p w14:paraId="1E17FA21">
      <w:pPr>
        <w:keepNext w:val="0"/>
        <w:keepLines w:val="0"/>
        <w:pageBreakBefore w:val="0"/>
        <w:kinsoku/>
        <w:wordWrap/>
        <w:overflowPunct/>
        <w:topLinePunct w:val="0"/>
        <w:autoSpaceDE/>
        <w:autoSpaceDN/>
        <w:bidi w:val="0"/>
        <w:adjustRightInd/>
        <w:snapToGrid/>
        <w:spacing w:after="5" w:line="400" w:lineRule="exact"/>
        <w:ind w:firstLine="482"/>
        <w:rPr>
          <w:rFonts w:hint="eastAsia" w:ascii="宋体" w:hAnsi="宋体" w:cs="宋体"/>
          <w:b/>
          <w:bCs/>
          <w:color w:val="auto"/>
          <w:sz w:val="24"/>
          <w:highlight w:val="none"/>
        </w:rPr>
      </w:pPr>
      <w:r>
        <w:rPr>
          <w:rFonts w:hint="eastAsia" w:ascii="宋体" w:hAnsi="宋体" w:cs="宋体"/>
          <w:b/>
          <w:bCs/>
          <w:color w:val="auto"/>
          <w:sz w:val="24"/>
          <w:highlight w:val="none"/>
        </w:rPr>
        <w:t>（一）项目基本情况：</w:t>
      </w:r>
    </w:p>
    <w:p w14:paraId="3461C11B">
      <w:pPr>
        <w:keepNext w:val="0"/>
        <w:keepLines w:val="0"/>
        <w:pageBreakBefore w:val="0"/>
        <w:kinsoku/>
        <w:wordWrap/>
        <w:overflowPunct/>
        <w:topLinePunct w:val="0"/>
        <w:autoSpaceDE/>
        <w:autoSpaceDN/>
        <w:bidi w:val="0"/>
        <w:adjustRightInd/>
        <w:snapToGrid/>
        <w:spacing w:after="5"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1.项目名称：石塘湾消防站智能化专项采购项目。</w:t>
      </w:r>
    </w:p>
    <w:p w14:paraId="51E36A90">
      <w:pPr>
        <w:pStyle w:val="275"/>
        <w:keepNext w:val="0"/>
        <w:keepLines w:val="0"/>
        <w:pageBreakBefore w:val="0"/>
        <w:tabs>
          <w:tab w:val="left" w:pos="1080"/>
        </w:tabs>
        <w:kinsoku/>
        <w:wordWrap/>
        <w:overflowPunct/>
        <w:topLinePunct w:val="0"/>
        <w:autoSpaceDE/>
        <w:autoSpaceDN/>
        <w:bidi w:val="0"/>
        <w:adjustRightInd/>
        <w:snapToGrid/>
        <w:spacing w:line="400" w:lineRule="exact"/>
        <w:ind w:firstLine="480"/>
        <w:rPr>
          <w:rFonts w:hint="eastAsia" w:ascii="宋体" w:hAnsi="宋体" w:cs="宋体"/>
          <w:color w:val="auto"/>
          <w:sz w:val="24"/>
          <w:highlight w:val="none"/>
        </w:rPr>
      </w:pPr>
      <w:r>
        <w:rPr>
          <w:rFonts w:hint="eastAsia" w:ascii="宋体" w:hAnsi="宋体" w:cs="宋体"/>
          <w:color w:val="auto"/>
          <w:sz w:val="24"/>
          <w:szCs w:val="24"/>
          <w:highlight w:val="none"/>
        </w:rPr>
        <w:t>2.项目预算：</w:t>
      </w:r>
      <w:r>
        <w:rPr>
          <w:rFonts w:hint="eastAsia" w:ascii="宋体" w:hAnsi="宋体" w:cs="宋体"/>
          <w:color w:val="auto"/>
          <w:sz w:val="24"/>
          <w:highlight w:val="none"/>
          <w:lang w:val="en-US" w:eastAsia="zh-CN"/>
        </w:rPr>
        <w:t>380</w:t>
      </w:r>
      <w:r>
        <w:rPr>
          <w:rFonts w:hint="eastAsia" w:ascii="宋体" w:hAnsi="宋体" w:cs="宋体"/>
          <w:color w:val="auto"/>
          <w:sz w:val="24"/>
          <w:szCs w:val="24"/>
          <w:highlight w:val="none"/>
        </w:rPr>
        <w:t>万元。</w:t>
      </w:r>
    </w:p>
    <w:p w14:paraId="3E8D84AC">
      <w:pPr>
        <w:pStyle w:val="275"/>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3.最高限价：338</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2975万元。投标供应商投标报价不得超过上述最高限价，否则按无效标处理。</w:t>
      </w:r>
    </w:p>
    <w:p w14:paraId="1DA8A824">
      <w:pPr>
        <w:pStyle w:val="275"/>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4.履约地点：</w:t>
      </w:r>
      <w:r>
        <w:rPr>
          <w:rFonts w:hint="eastAsia" w:ascii="宋体" w:hAnsi="宋体" w:cs="宋体"/>
          <w:bCs/>
          <w:color w:val="auto"/>
          <w:sz w:val="24"/>
          <w:szCs w:val="24"/>
          <w:highlight w:val="none"/>
        </w:rPr>
        <w:t>本项目履约地点为</w:t>
      </w:r>
      <w:r>
        <w:rPr>
          <w:rFonts w:hint="eastAsia" w:ascii="宋体" w:hAnsi="宋体" w:cs="宋体"/>
          <w:color w:val="auto"/>
          <w:sz w:val="24"/>
          <w:szCs w:val="24"/>
          <w:highlight w:val="none"/>
        </w:rPr>
        <w:t>无锡市惠山区</w:t>
      </w:r>
      <w:r>
        <w:rPr>
          <w:rFonts w:hint="eastAsia" w:ascii="宋体" w:hAnsi="宋体" w:cs="宋体"/>
          <w:color w:val="auto"/>
          <w:sz w:val="24"/>
          <w:highlight w:val="none"/>
        </w:rPr>
        <w:t>石塘湾消防站</w:t>
      </w:r>
      <w:r>
        <w:rPr>
          <w:rFonts w:hint="eastAsia" w:ascii="宋体" w:hAnsi="宋体" w:cs="宋体"/>
          <w:bCs/>
          <w:color w:val="auto"/>
          <w:sz w:val="24"/>
          <w:szCs w:val="24"/>
          <w:highlight w:val="none"/>
        </w:rPr>
        <w:t>，具体以采购人需求为准。中标供应商须按采购人要求将货物送至指定地点（含可能的分布区域），并分地点完成安装调试。</w:t>
      </w:r>
    </w:p>
    <w:p w14:paraId="64269F9E">
      <w:pPr>
        <w:pStyle w:val="275"/>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5.采购范围：</w:t>
      </w:r>
      <w:r>
        <w:rPr>
          <w:rFonts w:hint="eastAsia" w:ascii="宋体" w:hAnsi="宋体" w:cs="宋体"/>
          <w:color w:val="auto"/>
          <w:sz w:val="24"/>
          <w:highlight w:val="none"/>
        </w:rPr>
        <w:t>石塘湾消防站</w:t>
      </w:r>
      <w:r>
        <w:rPr>
          <w:rFonts w:hint="eastAsia" w:ascii="宋体" w:hAnsi="宋体" w:cs="宋体"/>
          <w:color w:val="auto"/>
          <w:sz w:val="24"/>
          <w:szCs w:val="24"/>
          <w:highlight w:val="none"/>
        </w:rPr>
        <w:t>消防智能化专项设备</w:t>
      </w:r>
      <w:r>
        <w:rPr>
          <w:rFonts w:hint="eastAsia" w:ascii="宋体" w:hAnsi="宋体" w:cs="宋体"/>
          <w:bCs/>
          <w:color w:val="auto"/>
          <w:sz w:val="24"/>
          <w:highlight w:val="none"/>
        </w:rPr>
        <w:t>采购</w:t>
      </w:r>
      <w:r>
        <w:rPr>
          <w:rFonts w:hint="eastAsia" w:ascii="宋体" w:hAnsi="宋体" w:cs="宋体"/>
          <w:color w:val="auto"/>
          <w:sz w:val="24"/>
          <w:szCs w:val="24"/>
          <w:highlight w:val="none"/>
        </w:rPr>
        <w:t>，采购内容包括但不限于演习工作站、无人机</w:t>
      </w:r>
      <w:r>
        <w:rPr>
          <w:rFonts w:hint="eastAsia" w:ascii="宋体" w:hAnsi="宋体" w:cs="宋体"/>
          <w:color w:val="auto"/>
          <w:sz w:val="24"/>
          <w:szCs w:val="24"/>
          <w:highlight w:val="none"/>
          <w:lang w:val="en-US" w:eastAsia="zh-CN"/>
        </w:rPr>
        <w:t>及配套服务</w:t>
      </w:r>
      <w:r>
        <w:rPr>
          <w:rFonts w:hint="eastAsia" w:ascii="宋体" w:hAnsi="宋体" w:cs="宋体"/>
          <w:color w:val="auto"/>
          <w:sz w:val="24"/>
          <w:szCs w:val="24"/>
          <w:highlight w:val="none"/>
        </w:rPr>
        <w:t>、水带养护机器人、单兵装备、消防快速出警（一短三快）、指挥信息网、体能考试系统（长跑），供应商负责本次采购清单范围内所有货物</w:t>
      </w:r>
      <w:r>
        <w:rPr>
          <w:rFonts w:hint="eastAsia" w:ascii="宋体" w:hAnsi="宋体" w:cs="宋体"/>
          <w:color w:val="auto"/>
          <w:sz w:val="24"/>
          <w:szCs w:val="24"/>
          <w:highlight w:val="none"/>
          <w:lang w:val="en-US" w:eastAsia="zh-CN"/>
        </w:rPr>
        <w:t>及其配套附件</w:t>
      </w:r>
      <w:r>
        <w:rPr>
          <w:rFonts w:hint="eastAsia" w:ascii="宋体" w:hAnsi="宋体" w:cs="宋体"/>
          <w:color w:val="auto"/>
          <w:sz w:val="24"/>
          <w:szCs w:val="24"/>
          <w:highlight w:val="none"/>
        </w:rPr>
        <w:t>的供货、安装、调试、对接测试、试运行、技术培训、质保及售后等</w:t>
      </w:r>
      <w:r>
        <w:rPr>
          <w:rFonts w:hint="eastAsia" w:ascii="宋体" w:hAnsi="宋体" w:cs="宋体"/>
          <w:bCs/>
          <w:color w:val="auto"/>
          <w:sz w:val="24"/>
          <w:highlight w:val="none"/>
        </w:rPr>
        <w:t>（具体内容及要求详见“采购清单”）</w:t>
      </w:r>
      <w:r>
        <w:rPr>
          <w:rFonts w:hint="eastAsia" w:ascii="宋体" w:hAnsi="宋体" w:cs="宋体"/>
          <w:color w:val="auto"/>
          <w:sz w:val="24"/>
          <w:szCs w:val="24"/>
          <w:highlight w:val="none"/>
        </w:rPr>
        <w:t>。</w:t>
      </w:r>
    </w:p>
    <w:p w14:paraId="1303B15E">
      <w:pPr>
        <w:pStyle w:val="275"/>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6.质量标准：</w:t>
      </w:r>
      <w:r>
        <w:rPr>
          <w:rFonts w:hint="eastAsia" w:ascii="宋体" w:hAnsi="宋体" w:cs="宋体"/>
          <w:color w:val="auto"/>
          <w:sz w:val="24"/>
          <w:highlight w:val="none"/>
        </w:rPr>
        <w:t>所供货物须为原厂原包装正品，达到国家及行业标准，满足采购需求，一次性验收合格</w:t>
      </w:r>
      <w:r>
        <w:rPr>
          <w:rFonts w:hint="eastAsia" w:ascii="宋体" w:hAnsi="宋体" w:cs="宋体"/>
          <w:color w:val="auto"/>
          <w:sz w:val="24"/>
          <w:szCs w:val="24"/>
          <w:highlight w:val="none"/>
        </w:rPr>
        <w:t>。</w:t>
      </w:r>
    </w:p>
    <w:p w14:paraId="1A26CEC1">
      <w:pPr>
        <w:pStyle w:val="275"/>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7.完工期限</w:t>
      </w:r>
      <w:r>
        <w:rPr>
          <w:rFonts w:hint="eastAsia" w:ascii="宋体" w:hAnsi="宋体" w:cs="宋体"/>
          <w:color w:val="auto"/>
          <w:sz w:val="24"/>
          <w:szCs w:val="24"/>
          <w:highlight w:val="none"/>
          <w:lang w:val="zh-CN"/>
        </w:rPr>
        <w:t>：</w:t>
      </w:r>
      <w:r>
        <w:rPr>
          <w:rFonts w:hint="eastAsia" w:ascii="宋体" w:hAnsi="宋体" w:cs="宋体"/>
          <w:color w:val="auto"/>
          <w:sz w:val="24"/>
          <w:highlight w:val="none"/>
        </w:rPr>
        <w:t>接到通知</w:t>
      </w:r>
      <w:r>
        <w:rPr>
          <w:rFonts w:hint="eastAsia" w:ascii="宋体" w:hAnsi="宋体" w:cs="宋体"/>
          <w:color w:val="auto"/>
          <w:sz w:val="24"/>
          <w:highlight w:val="none"/>
        </w:rPr>
        <w:t>后</w:t>
      </w:r>
      <w:r>
        <w:rPr>
          <w:rFonts w:hint="eastAsia" w:ascii="宋体" w:hAnsi="宋体" w:cs="宋体"/>
          <w:color w:val="auto"/>
          <w:sz w:val="24"/>
          <w:highlight w:val="none"/>
          <w:lang w:val="en-US" w:eastAsia="zh-CN"/>
        </w:rPr>
        <w:t>60</w:t>
      </w:r>
      <w:r>
        <w:rPr>
          <w:rFonts w:hint="eastAsia" w:ascii="宋体" w:hAnsi="宋体" w:cs="宋体"/>
          <w:color w:val="auto"/>
          <w:sz w:val="24"/>
          <w:highlight w:val="none"/>
        </w:rPr>
        <w:t>日历天内完成全部货物的供货、安装调试、对接测试以及与之配套的辅助工作，交付采购人使用（具体开始时间根据采购人通知为准）</w:t>
      </w:r>
      <w:r>
        <w:rPr>
          <w:rFonts w:hint="eastAsia" w:ascii="宋体" w:hAnsi="宋体" w:cs="宋体"/>
          <w:bCs/>
          <w:color w:val="auto"/>
          <w:sz w:val="24"/>
          <w:highlight w:val="none"/>
        </w:rPr>
        <w:t>。逾期违约金：因供货方导致完工期限延误，每延误一天支付2000元违约金；逾期超过20日历天的，采购人有权无条件终止合同。</w:t>
      </w:r>
    </w:p>
    <w:p w14:paraId="3162F401">
      <w:pPr>
        <w:pStyle w:val="275"/>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8.项目整体免费质保期：</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年，</w:t>
      </w:r>
      <w:r>
        <w:rPr>
          <w:rFonts w:hint="eastAsia" w:ascii="宋体" w:hAnsi="宋体" w:cs="宋体"/>
          <w:color w:val="auto"/>
          <w:sz w:val="24"/>
          <w:szCs w:val="24"/>
          <w:highlight w:val="none"/>
        </w:rPr>
        <w:t>自最终验收合格、交付使用之日起计算</w:t>
      </w:r>
      <w:r>
        <w:rPr>
          <w:rFonts w:hint="eastAsia" w:ascii="宋体" w:hAnsi="宋体" w:cs="宋体"/>
          <w:color w:val="auto"/>
          <w:sz w:val="24"/>
          <w:szCs w:val="24"/>
          <w:highlight w:val="none"/>
        </w:rPr>
        <w:t>。</w:t>
      </w:r>
    </w:p>
    <w:p w14:paraId="670604B2">
      <w:pPr>
        <w:pStyle w:val="275"/>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9.标的物明细表</w:t>
      </w:r>
      <w:r>
        <w:rPr>
          <w:rFonts w:hint="eastAsia" w:ascii="宋体" w:hAnsi="宋体" w:cs="宋体"/>
          <w:color w:val="auto"/>
          <w:sz w:val="24"/>
          <w:szCs w:val="24"/>
          <w:highlight w:val="none"/>
        </w:rPr>
        <w:t>：本项目货物采购标的及对应的中小企业划分标准所属行业如下表。投标供应商可按照下表在《中小企业声明函》《明细报价表》</w:t>
      </w:r>
      <w:r>
        <w:rPr>
          <w:rFonts w:hint="eastAsia" w:ascii="宋体" w:hAnsi="宋体" w:cs="宋体"/>
          <w:color w:val="auto"/>
          <w:sz w:val="24"/>
          <w:highlight w:val="none"/>
        </w:rPr>
        <w:t>《关于符合本国产品标准的声明函》</w:t>
      </w:r>
      <w:r>
        <w:rPr>
          <w:rFonts w:hint="eastAsia" w:ascii="宋体" w:hAnsi="宋体" w:cs="宋体"/>
          <w:color w:val="auto"/>
          <w:sz w:val="24"/>
          <w:szCs w:val="24"/>
          <w:highlight w:val="none"/>
        </w:rPr>
        <w:t>中</w:t>
      </w:r>
      <w:r>
        <w:rPr>
          <w:rFonts w:hint="eastAsia" w:ascii="宋体" w:hAnsi="宋体" w:cs="宋体"/>
          <w:color w:val="auto"/>
          <w:sz w:val="24"/>
          <w:szCs w:val="24"/>
          <w:highlight w:val="none"/>
        </w:rPr>
        <w:t>进行逐一列明并填报。</w:t>
      </w:r>
      <w:r>
        <w:rPr>
          <w:rFonts w:hint="eastAsia" w:ascii="宋体" w:hAnsi="宋体" w:cs="宋体"/>
          <w:color w:val="auto"/>
          <w:sz w:val="24"/>
          <w:szCs w:val="24"/>
          <w:highlight w:val="none"/>
        </w:rPr>
        <w:t>《明细报价表》中</w:t>
      </w:r>
      <w:r>
        <w:rPr>
          <w:rFonts w:hint="eastAsia" w:ascii="宋体" w:hAnsi="宋体" w:cs="宋体"/>
          <w:color w:val="auto"/>
          <w:sz w:val="24"/>
          <w:szCs w:val="24"/>
          <w:highlight w:val="none"/>
        </w:rPr>
        <w:t>如有清单遗漏，视作无效投标。</w:t>
      </w:r>
    </w:p>
    <w:tbl>
      <w:tblPr>
        <w:tblStyle w:val="31"/>
        <w:tblW w:w="9749" w:type="dxa"/>
        <w:jc w:val="center"/>
        <w:tblLayout w:type="fixed"/>
        <w:tblCellMar>
          <w:top w:w="0" w:type="dxa"/>
          <w:left w:w="108" w:type="dxa"/>
          <w:bottom w:w="0" w:type="dxa"/>
          <w:right w:w="108" w:type="dxa"/>
        </w:tblCellMar>
      </w:tblPr>
      <w:tblGrid>
        <w:gridCol w:w="710"/>
        <w:gridCol w:w="2609"/>
        <w:gridCol w:w="1950"/>
        <w:gridCol w:w="1586"/>
        <w:gridCol w:w="1447"/>
        <w:gridCol w:w="1447"/>
      </w:tblGrid>
      <w:tr w14:paraId="2EF4953B">
        <w:tblPrEx>
          <w:tblCellMar>
            <w:top w:w="0" w:type="dxa"/>
            <w:left w:w="108" w:type="dxa"/>
            <w:bottom w:w="0" w:type="dxa"/>
            <w:right w:w="108" w:type="dxa"/>
          </w:tblCellMar>
        </w:tblPrEx>
        <w:trPr>
          <w:trHeight w:val="422"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005781F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序号</w:t>
            </w:r>
          </w:p>
        </w:tc>
        <w:tc>
          <w:tcPr>
            <w:tcW w:w="2609" w:type="dxa"/>
            <w:tcBorders>
              <w:top w:val="single" w:color="000000" w:sz="4" w:space="0"/>
              <w:left w:val="single" w:color="000000" w:sz="4" w:space="0"/>
              <w:bottom w:val="single" w:color="000000" w:sz="4" w:space="0"/>
              <w:right w:val="single" w:color="000000" w:sz="4" w:space="0"/>
            </w:tcBorders>
            <w:vAlign w:val="center"/>
          </w:tcPr>
          <w:p w14:paraId="59961EA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标的名称</w:t>
            </w:r>
          </w:p>
        </w:tc>
        <w:tc>
          <w:tcPr>
            <w:tcW w:w="1950" w:type="dxa"/>
            <w:tcBorders>
              <w:top w:val="single" w:color="000000" w:sz="4" w:space="0"/>
              <w:left w:val="single" w:color="000000" w:sz="4" w:space="0"/>
              <w:bottom w:val="single" w:color="000000" w:sz="4" w:space="0"/>
              <w:right w:val="single" w:color="000000" w:sz="4" w:space="0"/>
            </w:tcBorders>
            <w:vAlign w:val="center"/>
          </w:tcPr>
          <w:p w14:paraId="6FD74D7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规格及技术参数</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5D28984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所属行业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294369B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是否属于CCC认证产品</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57602BF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b/>
                <w:bCs/>
                <w:color w:val="auto"/>
                <w:szCs w:val="21"/>
                <w:highlight w:val="none"/>
                <w:lang w:bidi="ar"/>
              </w:rPr>
            </w:pPr>
            <w:r>
              <w:rPr>
                <w:rFonts w:hint="eastAsia" w:ascii="宋体" w:hAnsi="宋体" w:cs="宋体"/>
                <w:b/>
                <w:bCs/>
                <w:color w:val="auto"/>
                <w:szCs w:val="21"/>
                <w:highlight w:val="none"/>
                <w:lang w:val="en-US" w:eastAsia="zh-CN" w:bidi="ar"/>
              </w:rPr>
              <w:t>是否属于强制节能产品</w:t>
            </w:r>
          </w:p>
        </w:tc>
      </w:tr>
      <w:tr w14:paraId="6BDEB5D5">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01388C2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1</w:t>
            </w:r>
          </w:p>
        </w:tc>
        <w:tc>
          <w:tcPr>
            <w:tcW w:w="2609" w:type="dxa"/>
            <w:tcBorders>
              <w:top w:val="single" w:color="000000" w:sz="4" w:space="0"/>
              <w:left w:val="single" w:color="000000" w:sz="4" w:space="0"/>
              <w:bottom w:val="single" w:color="000000" w:sz="4" w:space="0"/>
              <w:right w:val="single" w:color="000000" w:sz="4" w:space="0"/>
            </w:tcBorders>
            <w:vAlign w:val="center"/>
          </w:tcPr>
          <w:p w14:paraId="2F33126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网络演习显示设备</w:t>
            </w:r>
          </w:p>
        </w:tc>
        <w:tc>
          <w:tcPr>
            <w:tcW w:w="1950" w:type="dxa"/>
            <w:tcBorders>
              <w:top w:val="single" w:color="000000" w:sz="4" w:space="0"/>
              <w:left w:val="single" w:color="000000" w:sz="4" w:space="0"/>
              <w:bottom w:val="single" w:color="000000" w:sz="4" w:space="0"/>
              <w:right w:val="single" w:color="000000" w:sz="4" w:space="0"/>
            </w:tcBorders>
            <w:vAlign w:val="center"/>
          </w:tcPr>
          <w:p w14:paraId="4562B651">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66828A82">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7899302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b/>
                <w:bCs/>
                <w:color w:val="auto"/>
                <w:szCs w:val="21"/>
                <w:highlight w:val="none"/>
              </w:rPr>
            </w:pPr>
            <w:r>
              <w:rPr>
                <w:rFonts w:hint="eastAsia" w:ascii="宋体" w:hAnsi="宋体" w:eastAsia="宋体" w:cs="宋体"/>
                <w:b/>
                <w:bCs/>
                <w:i w:val="0"/>
                <w:iCs w:val="0"/>
                <w:color w:val="auto"/>
                <w:kern w:val="0"/>
                <w:sz w:val="22"/>
                <w:szCs w:val="22"/>
                <w:highlight w:val="none"/>
                <w:u w:val="none"/>
                <w:lang w:val="en-US" w:eastAsia="zh-CN" w:bidi="ar"/>
              </w:rPr>
              <w:t>是</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68EB744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b/>
                <w:bCs/>
                <w:color w:val="auto"/>
                <w:szCs w:val="21"/>
                <w:highlight w:val="none"/>
              </w:rPr>
            </w:pPr>
            <w:r>
              <w:rPr>
                <w:rFonts w:hint="eastAsia" w:ascii="宋体" w:hAnsi="宋体" w:eastAsia="宋体" w:cs="宋体"/>
                <w:b/>
                <w:bCs/>
                <w:i w:val="0"/>
                <w:iCs w:val="0"/>
                <w:color w:val="auto"/>
                <w:kern w:val="0"/>
                <w:sz w:val="22"/>
                <w:szCs w:val="22"/>
                <w:highlight w:val="none"/>
                <w:u w:val="none"/>
                <w:lang w:val="en-US" w:eastAsia="zh-CN" w:bidi="ar"/>
              </w:rPr>
              <w:t>是</w:t>
            </w:r>
          </w:p>
        </w:tc>
      </w:tr>
      <w:tr w14:paraId="484E2EC7">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75CF5A0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2</w:t>
            </w:r>
          </w:p>
        </w:tc>
        <w:tc>
          <w:tcPr>
            <w:tcW w:w="2609" w:type="dxa"/>
            <w:tcBorders>
              <w:top w:val="single" w:color="000000" w:sz="4" w:space="0"/>
              <w:left w:val="single" w:color="000000" w:sz="4" w:space="0"/>
              <w:bottom w:val="single" w:color="000000" w:sz="4" w:space="0"/>
              <w:right w:val="single" w:color="000000" w:sz="4" w:space="0"/>
            </w:tcBorders>
            <w:vAlign w:val="center"/>
          </w:tcPr>
          <w:p w14:paraId="41B6CFA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NAS网络存储</w:t>
            </w:r>
          </w:p>
        </w:tc>
        <w:tc>
          <w:tcPr>
            <w:tcW w:w="1950" w:type="dxa"/>
            <w:tcBorders>
              <w:top w:val="single" w:color="000000" w:sz="4" w:space="0"/>
              <w:left w:val="single" w:color="000000" w:sz="4" w:space="0"/>
              <w:bottom w:val="single" w:color="000000" w:sz="4" w:space="0"/>
              <w:right w:val="single" w:color="000000" w:sz="4" w:space="0"/>
            </w:tcBorders>
            <w:vAlign w:val="center"/>
          </w:tcPr>
          <w:p w14:paraId="75E7C69F">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4B78F2BE">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55F4C09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005A8E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3E350F07">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1E70FBB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3</w:t>
            </w:r>
          </w:p>
        </w:tc>
        <w:tc>
          <w:tcPr>
            <w:tcW w:w="2609" w:type="dxa"/>
            <w:tcBorders>
              <w:top w:val="single" w:color="000000" w:sz="4" w:space="0"/>
              <w:left w:val="single" w:color="000000" w:sz="4" w:space="0"/>
              <w:bottom w:val="single" w:color="000000" w:sz="4" w:space="0"/>
              <w:right w:val="single" w:color="000000" w:sz="4" w:space="0"/>
            </w:tcBorders>
            <w:vAlign w:val="center"/>
          </w:tcPr>
          <w:p w14:paraId="3DB8F1F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综合实战指挥</w:t>
            </w:r>
            <w:r>
              <w:rPr>
                <w:rFonts w:hint="eastAsia" w:ascii="宋体" w:hAnsi="宋体" w:cs="宋体"/>
                <w:snapToGrid w:val="0"/>
                <w:color w:val="auto"/>
                <w:szCs w:val="21"/>
                <w:highlight w:val="none"/>
                <w:lang w:eastAsia="zh-CN" w:bidi="ar"/>
              </w:rPr>
              <w:t>－</w:t>
            </w:r>
            <w:r>
              <w:rPr>
                <w:rFonts w:hint="eastAsia" w:ascii="宋体" w:hAnsi="宋体" w:cs="宋体"/>
                <w:snapToGrid w:val="0"/>
                <w:color w:val="auto"/>
                <w:szCs w:val="21"/>
                <w:highlight w:val="none"/>
                <w:lang w:bidi="ar"/>
              </w:rPr>
              <w:t>自动机场服务</w:t>
            </w:r>
          </w:p>
        </w:tc>
        <w:tc>
          <w:tcPr>
            <w:tcW w:w="1950" w:type="dxa"/>
            <w:tcBorders>
              <w:top w:val="single" w:color="000000" w:sz="4" w:space="0"/>
              <w:left w:val="single" w:color="000000" w:sz="4" w:space="0"/>
              <w:bottom w:val="single" w:color="000000" w:sz="4" w:space="0"/>
              <w:right w:val="single" w:color="000000" w:sz="4" w:space="0"/>
            </w:tcBorders>
            <w:vAlign w:val="center"/>
          </w:tcPr>
          <w:p w14:paraId="0D981BB6">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03EA1401">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199C5FC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695E77D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743032D9">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2DED962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bidi="ar"/>
              </w:rPr>
              <w:t>4</w:t>
            </w:r>
          </w:p>
        </w:tc>
        <w:tc>
          <w:tcPr>
            <w:tcW w:w="2609" w:type="dxa"/>
            <w:tcBorders>
              <w:top w:val="single" w:color="000000" w:sz="4" w:space="0"/>
              <w:left w:val="single" w:color="000000" w:sz="4" w:space="0"/>
              <w:bottom w:val="single" w:color="000000" w:sz="4" w:space="0"/>
              <w:right w:val="single" w:color="000000" w:sz="4" w:space="0"/>
            </w:tcBorders>
            <w:vAlign w:val="center"/>
          </w:tcPr>
          <w:p w14:paraId="30E0119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专业飞手及咨询报告服务</w:t>
            </w:r>
          </w:p>
        </w:tc>
        <w:tc>
          <w:tcPr>
            <w:tcW w:w="1950" w:type="dxa"/>
            <w:tcBorders>
              <w:top w:val="single" w:color="000000" w:sz="4" w:space="0"/>
              <w:left w:val="single" w:color="000000" w:sz="4" w:space="0"/>
              <w:bottom w:val="single" w:color="000000" w:sz="4" w:space="0"/>
              <w:right w:val="single" w:color="000000" w:sz="4" w:space="0"/>
            </w:tcBorders>
            <w:vAlign w:val="center"/>
          </w:tcPr>
          <w:p w14:paraId="1B567850">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4F0F81F6">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610916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B8E78A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6FF622B4">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297B960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bidi="ar"/>
              </w:rPr>
              <w:t>5</w:t>
            </w:r>
          </w:p>
        </w:tc>
        <w:tc>
          <w:tcPr>
            <w:tcW w:w="2609" w:type="dxa"/>
            <w:tcBorders>
              <w:top w:val="single" w:color="000000" w:sz="4" w:space="0"/>
              <w:left w:val="single" w:color="000000" w:sz="4" w:space="0"/>
              <w:bottom w:val="single" w:color="000000" w:sz="4" w:space="0"/>
              <w:right w:val="single" w:color="000000" w:sz="4" w:space="0"/>
            </w:tcBorders>
            <w:vAlign w:val="center"/>
          </w:tcPr>
          <w:p w14:paraId="3374064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综合实战指挥-无人机机场服务</w:t>
            </w:r>
          </w:p>
        </w:tc>
        <w:tc>
          <w:tcPr>
            <w:tcW w:w="1950" w:type="dxa"/>
            <w:tcBorders>
              <w:top w:val="single" w:color="000000" w:sz="4" w:space="0"/>
              <w:left w:val="single" w:color="000000" w:sz="4" w:space="0"/>
              <w:bottom w:val="single" w:color="000000" w:sz="4" w:space="0"/>
              <w:right w:val="single" w:color="000000" w:sz="4" w:space="0"/>
            </w:tcBorders>
            <w:vAlign w:val="center"/>
          </w:tcPr>
          <w:p w14:paraId="5B0243D7">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5868853F">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7AFC748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7757787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34751D9A">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67D57C0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bidi="ar"/>
              </w:rPr>
              <w:t>6</w:t>
            </w:r>
          </w:p>
        </w:tc>
        <w:tc>
          <w:tcPr>
            <w:tcW w:w="2609" w:type="dxa"/>
            <w:tcBorders>
              <w:top w:val="single" w:color="000000" w:sz="4" w:space="0"/>
              <w:left w:val="single" w:color="000000" w:sz="4" w:space="0"/>
              <w:bottom w:val="single" w:color="000000" w:sz="4" w:space="0"/>
              <w:right w:val="single" w:color="000000" w:sz="4" w:space="0"/>
            </w:tcBorders>
            <w:vAlign w:val="center"/>
          </w:tcPr>
          <w:p w14:paraId="7760B86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单兵图传内攻记录仪</w:t>
            </w:r>
          </w:p>
        </w:tc>
        <w:tc>
          <w:tcPr>
            <w:tcW w:w="1950" w:type="dxa"/>
            <w:tcBorders>
              <w:top w:val="single" w:color="000000" w:sz="4" w:space="0"/>
              <w:left w:val="single" w:color="000000" w:sz="4" w:space="0"/>
              <w:bottom w:val="single" w:color="000000" w:sz="4" w:space="0"/>
              <w:right w:val="single" w:color="000000" w:sz="4" w:space="0"/>
            </w:tcBorders>
            <w:vAlign w:val="center"/>
          </w:tcPr>
          <w:p w14:paraId="77875115">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2EEDB105">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5DF6176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70C9342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54284A33">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26FD83B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bidi="ar"/>
              </w:rPr>
              <w:t>7</w:t>
            </w:r>
          </w:p>
        </w:tc>
        <w:tc>
          <w:tcPr>
            <w:tcW w:w="2609" w:type="dxa"/>
            <w:tcBorders>
              <w:top w:val="single" w:color="000000" w:sz="4" w:space="0"/>
              <w:left w:val="single" w:color="000000" w:sz="4" w:space="0"/>
              <w:bottom w:val="single" w:color="000000" w:sz="4" w:space="0"/>
              <w:right w:val="single" w:color="000000" w:sz="4" w:space="0"/>
            </w:tcBorders>
            <w:vAlign w:val="center"/>
          </w:tcPr>
          <w:p w14:paraId="3A2E9A5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导播图传终端模块（现场指挥部、导播台）</w:t>
            </w:r>
          </w:p>
        </w:tc>
        <w:tc>
          <w:tcPr>
            <w:tcW w:w="1950" w:type="dxa"/>
            <w:tcBorders>
              <w:top w:val="single" w:color="000000" w:sz="4" w:space="0"/>
              <w:left w:val="single" w:color="000000" w:sz="4" w:space="0"/>
              <w:bottom w:val="single" w:color="000000" w:sz="4" w:space="0"/>
              <w:right w:val="single" w:color="000000" w:sz="4" w:space="0"/>
            </w:tcBorders>
            <w:vAlign w:val="center"/>
          </w:tcPr>
          <w:p w14:paraId="59240F13">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1E2AD5BA">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0E791C4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16029BC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180DB0A2">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4690B7F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bidi="ar"/>
              </w:rPr>
              <w:t>8</w:t>
            </w:r>
          </w:p>
        </w:tc>
        <w:tc>
          <w:tcPr>
            <w:tcW w:w="2609" w:type="dxa"/>
            <w:tcBorders>
              <w:top w:val="single" w:color="000000" w:sz="4" w:space="0"/>
              <w:left w:val="single" w:color="000000" w:sz="4" w:space="0"/>
              <w:bottom w:val="single" w:color="000000" w:sz="4" w:space="0"/>
              <w:right w:val="single" w:color="000000" w:sz="4" w:space="0"/>
            </w:tcBorders>
            <w:vAlign w:val="center"/>
          </w:tcPr>
          <w:p w14:paraId="682642A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多功能无人机管控操作移动终端</w:t>
            </w:r>
          </w:p>
        </w:tc>
        <w:tc>
          <w:tcPr>
            <w:tcW w:w="1950" w:type="dxa"/>
            <w:tcBorders>
              <w:top w:val="single" w:color="000000" w:sz="4" w:space="0"/>
              <w:left w:val="single" w:color="000000" w:sz="4" w:space="0"/>
              <w:bottom w:val="single" w:color="000000" w:sz="4" w:space="0"/>
              <w:right w:val="single" w:color="000000" w:sz="4" w:space="0"/>
            </w:tcBorders>
            <w:vAlign w:val="center"/>
          </w:tcPr>
          <w:p w14:paraId="6D0B3DC9">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1A47DF8B">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36BF6A2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3B7CD64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287B3C64">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686F184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bidi="ar"/>
              </w:rPr>
              <w:t>9</w:t>
            </w:r>
          </w:p>
        </w:tc>
        <w:tc>
          <w:tcPr>
            <w:tcW w:w="2609" w:type="dxa"/>
            <w:tcBorders>
              <w:top w:val="single" w:color="000000" w:sz="4" w:space="0"/>
              <w:left w:val="single" w:color="000000" w:sz="4" w:space="0"/>
              <w:bottom w:val="single" w:color="000000" w:sz="4" w:space="0"/>
              <w:right w:val="single" w:color="000000" w:sz="4" w:space="0"/>
            </w:tcBorders>
            <w:vAlign w:val="center"/>
          </w:tcPr>
          <w:p w14:paraId="3E4E87B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水带养护机器人</w:t>
            </w:r>
          </w:p>
        </w:tc>
        <w:tc>
          <w:tcPr>
            <w:tcW w:w="1950" w:type="dxa"/>
            <w:tcBorders>
              <w:top w:val="single" w:color="000000" w:sz="4" w:space="0"/>
              <w:left w:val="single" w:color="000000" w:sz="4" w:space="0"/>
              <w:bottom w:val="single" w:color="000000" w:sz="4" w:space="0"/>
              <w:right w:val="single" w:color="000000" w:sz="4" w:space="0"/>
            </w:tcBorders>
            <w:vAlign w:val="center"/>
          </w:tcPr>
          <w:p w14:paraId="11E0AFBC">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76BCE942">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67C4115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6D4F913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6B76FBC4">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18CA726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10</w:t>
            </w:r>
          </w:p>
        </w:tc>
        <w:tc>
          <w:tcPr>
            <w:tcW w:w="2609" w:type="dxa"/>
            <w:tcBorders>
              <w:top w:val="single" w:color="000000" w:sz="4" w:space="0"/>
              <w:left w:val="single" w:color="000000" w:sz="4" w:space="0"/>
              <w:bottom w:val="single" w:color="000000" w:sz="4" w:space="0"/>
              <w:right w:val="single" w:color="000000" w:sz="4" w:space="0"/>
            </w:tcBorders>
            <w:vAlign w:val="center"/>
          </w:tcPr>
          <w:p w14:paraId="3FBB56D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单兵装备管理舱</w:t>
            </w:r>
          </w:p>
        </w:tc>
        <w:tc>
          <w:tcPr>
            <w:tcW w:w="1950" w:type="dxa"/>
            <w:tcBorders>
              <w:top w:val="single" w:color="000000" w:sz="4" w:space="0"/>
              <w:left w:val="single" w:color="000000" w:sz="4" w:space="0"/>
              <w:bottom w:val="single" w:color="000000" w:sz="4" w:space="0"/>
              <w:right w:val="single" w:color="000000" w:sz="4" w:space="0"/>
            </w:tcBorders>
            <w:vAlign w:val="center"/>
          </w:tcPr>
          <w:p w14:paraId="1E5059CA">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3387B359">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3361655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75CD73D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6E1C06BB">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7F6957E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11</w:t>
            </w:r>
          </w:p>
        </w:tc>
        <w:tc>
          <w:tcPr>
            <w:tcW w:w="2609" w:type="dxa"/>
            <w:tcBorders>
              <w:top w:val="single" w:color="000000" w:sz="4" w:space="0"/>
              <w:left w:val="single" w:color="000000" w:sz="4" w:space="0"/>
              <w:bottom w:val="single" w:color="000000" w:sz="4" w:space="0"/>
              <w:right w:val="single" w:color="000000" w:sz="4" w:space="0"/>
            </w:tcBorders>
            <w:vAlign w:val="center"/>
          </w:tcPr>
          <w:p w14:paraId="5C5D258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单兵战备养护舱控制系统上位机</w:t>
            </w:r>
          </w:p>
        </w:tc>
        <w:tc>
          <w:tcPr>
            <w:tcW w:w="1950" w:type="dxa"/>
            <w:tcBorders>
              <w:top w:val="single" w:color="000000" w:sz="4" w:space="0"/>
              <w:left w:val="single" w:color="000000" w:sz="4" w:space="0"/>
              <w:bottom w:val="single" w:color="000000" w:sz="4" w:space="0"/>
              <w:right w:val="single" w:color="000000" w:sz="4" w:space="0"/>
            </w:tcBorders>
            <w:vAlign w:val="center"/>
          </w:tcPr>
          <w:p w14:paraId="1353E9EF">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22EEB8F5">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24D9265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2BBB18E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6B49EE47">
        <w:tblPrEx>
          <w:tblCellMar>
            <w:top w:w="0" w:type="dxa"/>
            <w:left w:w="108" w:type="dxa"/>
            <w:bottom w:w="0" w:type="dxa"/>
            <w:right w:w="108" w:type="dxa"/>
          </w:tblCellMar>
        </w:tblPrEx>
        <w:trPr>
          <w:trHeight w:val="90"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4AE2E42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12</w:t>
            </w:r>
          </w:p>
        </w:tc>
        <w:tc>
          <w:tcPr>
            <w:tcW w:w="2609" w:type="dxa"/>
            <w:tcBorders>
              <w:top w:val="single" w:color="000000" w:sz="4" w:space="0"/>
              <w:left w:val="single" w:color="000000" w:sz="4" w:space="0"/>
              <w:bottom w:val="single" w:color="000000" w:sz="4" w:space="0"/>
              <w:right w:val="single" w:color="000000" w:sz="4" w:space="0"/>
            </w:tcBorders>
            <w:noWrap/>
            <w:vAlign w:val="center"/>
          </w:tcPr>
          <w:p w14:paraId="2CAC6BF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灭火救援装备智能充电柜</w:t>
            </w:r>
          </w:p>
        </w:tc>
        <w:tc>
          <w:tcPr>
            <w:tcW w:w="1950" w:type="dxa"/>
            <w:tcBorders>
              <w:top w:val="single" w:color="000000" w:sz="4" w:space="0"/>
              <w:left w:val="single" w:color="000000" w:sz="4" w:space="0"/>
              <w:bottom w:val="single" w:color="000000" w:sz="4" w:space="0"/>
              <w:right w:val="single" w:color="000000" w:sz="4" w:space="0"/>
            </w:tcBorders>
            <w:vAlign w:val="center"/>
          </w:tcPr>
          <w:p w14:paraId="4A62D6C9">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6E00C98D">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6E92C3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1F2D799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36E02BA6">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3647BE6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13</w:t>
            </w:r>
          </w:p>
        </w:tc>
        <w:tc>
          <w:tcPr>
            <w:tcW w:w="2609" w:type="dxa"/>
            <w:tcBorders>
              <w:top w:val="single" w:color="000000" w:sz="4" w:space="0"/>
              <w:left w:val="single" w:color="000000" w:sz="4" w:space="0"/>
              <w:bottom w:val="single" w:color="000000" w:sz="4" w:space="0"/>
              <w:right w:val="single" w:color="000000" w:sz="4" w:space="0"/>
            </w:tcBorders>
            <w:vAlign w:val="center"/>
          </w:tcPr>
          <w:p w14:paraId="52BD12F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气瓶收纳柜</w:t>
            </w:r>
          </w:p>
        </w:tc>
        <w:tc>
          <w:tcPr>
            <w:tcW w:w="1950" w:type="dxa"/>
            <w:tcBorders>
              <w:top w:val="single" w:color="000000" w:sz="4" w:space="0"/>
              <w:left w:val="single" w:color="000000" w:sz="4" w:space="0"/>
              <w:bottom w:val="single" w:color="000000" w:sz="4" w:space="0"/>
              <w:right w:val="single" w:color="000000" w:sz="4" w:space="0"/>
            </w:tcBorders>
            <w:vAlign w:val="center"/>
          </w:tcPr>
          <w:p w14:paraId="57C6255D">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72112B37">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1FF8704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572CCF3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433E579D">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22B8291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14</w:t>
            </w:r>
          </w:p>
        </w:tc>
        <w:tc>
          <w:tcPr>
            <w:tcW w:w="2609" w:type="dxa"/>
            <w:tcBorders>
              <w:top w:val="single" w:color="000000" w:sz="4" w:space="0"/>
              <w:left w:val="single" w:color="000000" w:sz="4" w:space="0"/>
              <w:bottom w:val="single" w:color="000000" w:sz="4" w:space="0"/>
              <w:right w:val="single" w:color="000000" w:sz="4" w:space="0"/>
            </w:tcBorders>
            <w:vAlign w:val="center"/>
          </w:tcPr>
          <w:p w14:paraId="282B879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一短三快对接</w:t>
            </w:r>
          </w:p>
        </w:tc>
        <w:tc>
          <w:tcPr>
            <w:tcW w:w="1950" w:type="dxa"/>
            <w:tcBorders>
              <w:top w:val="single" w:color="000000" w:sz="4" w:space="0"/>
              <w:left w:val="single" w:color="000000" w:sz="4" w:space="0"/>
              <w:bottom w:val="single" w:color="000000" w:sz="4" w:space="0"/>
              <w:right w:val="single" w:color="000000" w:sz="4" w:space="0"/>
            </w:tcBorders>
            <w:vAlign w:val="center"/>
          </w:tcPr>
          <w:p w14:paraId="6A547868">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23005DB7">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3C18779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C563EE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468E3A1A">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38E7214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15</w:t>
            </w:r>
          </w:p>
        </w:tc>
        <w:tc>
          <w:tcPr>
            <w:tcW w:w="2609" w:type="dxa"/>
            <w:tcBorders>
              <w:top w:val="single" w:color="000000" w:sz="4" w:space="0"/>
              <w:left w:val="single" w:color="000000" w:sz="4" w:space="0"/>
              <w:bottom w:val="single" w:color="000000" w:sz="4" w:space="0"/>
              <w:right w:val="single" w:color="000000" w:sz="4" w:space="0"/>
            </w:tcBorders>
            <w:vAlign w:val="center"/>
          </w:tcPr>
          <w:p w14:paraId="4D18085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背夹收纳柜</w:t>
            </w:r>
          </w:p>
        </w:tc>
        <w:tc>
          <w:tcPr>
            <w:tcW w:w="1950" w:type="dxa"/>
            <w:tcBorders>
              <w:top w:val="single" w:color="000000" w:sz="4" w:space="0"/>
              <w:left w:val="single" w:color="000000" w:sz="4" w:space="0"/>
              <w:bottom w:val="single" w:color="000000" w:sz="4" w:space="0"/>
              <w:right w:val="single" w:color="000000" w:sz="4" w:space="0"/>
            </w:tcBorders>
            <w:vAlign w:val="center"/>
          </w:tcPr>
          <w:p w14:paraId="7E115ABD">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54C8E406">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1D80DC9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1489C0F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4049E519">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740E957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16</w:t>
            </w:r>
          </w:p>
        </w:tc>
        <w:tc>
          <w:tcPr>
            <w:tcW w:w="2609" w:type="dxa"/>
            <w:tcBorders>
              <w:top w:val="single" w:color="000000" w:sz="4" w:space="0"/>
              <w:left w:val="single" w:color="000000" w:sz="4" w:space="0"/>
              <w:bottom w:val="single" w:color="000000" w:sz="4" w:space="0"/>
              <w:right w:val="single" w:color="000000" w:sz="4" w:space="0"/>
            </w:tcBorders>
            <w:vAlign w:val="center"/>
          </w:tcPr>
          <w:p w14:paraId="64F46BC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战斗服架控制盒</w:t>
            </w:r>
          </w:p>
        </w:tc>
        <w:tc>
          <w:tcPr>
            <w:tcW w:w="1950" w:type="dxa"/>
            <w:tcBorders>
              <w:top w:val="single" w:color="000000" w:sz="4" w:space="0"/>
              <w:left w:val="single" w:color="000000" w:sz="4" w:space="0"/>
              <w:bottom w:val="single" w:color="000000" w:sz="4" w:space="0"/>
              <w:right w:val="single" w:color="000000" w:sz="4" w:space="0"/>
            </w:tcBorders>
            <w:vAlign w:val="center"/>
          </w:tcPr>
          <w:p w14:paraId="7504F8CF">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3CAE5D69">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21EECF7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3236833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7FF9E587">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20C3880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17</w:t>
            </w:r>
          </w:p>
        </w:tc>
        <w:tc>
          <w:tcPr>
            <w:tcW w:w="2609" w:type="dxa"/>
            <w:tcBorders>
              <w:top w:val="single" w:color="000000" w:sz="4" w:space="0"/>
              <w:left w:val="single" w:color="000000" w:sz="4" w:space="0"/>
              <w:bottom w:val="single" w:color="000000" w:sz="4" w:space="0"/>
              <w:right w:val="single" w:color="000000" w:sz="4" w:space="0"/>
            </w:tcBorders>
            <w:vAlign w:val="center"/>
          </w:tcPr>
          <w:p w14:paraId="7B6E994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接处警终端</w:t>
            </w:r>
          </w:p>
        </w:tc>
        <w:tc>
          <w:tcPr>
            <w:tcW w:w="1950" w:type="dxa"/>
            <w:tcBorders>
              <w:top w:val="single" w:color="000000" w:sz="4" w:space="0"/>
              <w:left w:val="single" w:color="000000" w:sz="4" w:space="0"/>
              <w:bottom w:val="single" w:color="000000" w:sz="4" w:space="0"/>
              <w:right w:val="single" w:color="000000" w:sz="4" w:space="0"/>
            </w:tcBorders>
            <w:vAlign w:val="center"/>
          </w:tcPr>
          <w:p w14:paraId="40884417">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438E88C4">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3689DA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b/>
                <w:bCs/>
                <w:color w:val="auto"/>
                <w:szCs w:val="21"/>
                <w:highlight w:val="none"/>
              </w:rPr>
            </w:pPr>
            <w:r>
              <w:rPr>
                <w:rFonts w:hint="eastAsia" w:ascii="宋体" w:hAnsi="宋体" w:eastAsia="宋体" w:cs="宋体"/>
                <w:b/>
                <w:bCs/>
                <w:i w:val="0"/>
                <w:iCs w:val="0"/>
                <w:color w:val="auto"/>
                <w:kern w:val="0"/>
                <w:sz w:val="22"/>
                <w:szCs w:val="22"/>
                <w:highlight w:val="none"/>
                <w:u w:val="none"/>
                <w:lang w:val="en-US" w:eastAsia="zh-CN" w:bidi="ar"/>
              </w:rPr>
              <w:t>是</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1ABAFE1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b/>
                <w:bCs/>
                <w:color w:val="auto"/>
                <w:szCs w:val="21"/>
                <w:highlight w:val="none"/>
              </w:rPr>
            </w:pPr>
            <w:r>
              <w:rPr>
                <w:rFonts w:hint="eastAsia" w:ascii="宋体" w:hAnsi="宋体" w:eastAsia="宋体" w:cs="宋体"/>
                <w:b/>
                <w:bCs/>
                <w:i w:val="0"/>
                <w:iCs w:val="0"/>
                <w:color w:val="auto"/>
                <w:kern w:val="0"/>
                <w:sz w:val="22"/>
                <w:szCs w:val="22"/>
                <w:highlight w:val="none"/>
                <w:u w:val="none"/>
                <w:lang w:val="en-US" w:eastAsia="zh-CN" w:bidi="ar"/>
              </w:rPr>
              <w:t>是</w:t>
            </w:r>
          </w:p>
        </w:tc>
      </w:tr>
      <w:tr w14:paraId="2336D1CF">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442DEE3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18</w:t>
            </w:r>
          </w:p>
        </w:tc>
        <w:tc>
          <w:tcPr>
            <w:tcW w:w="2609" w:type="dxa"/>
            <w:tcBorders>
              <w:top w:val="single" w:color="000000" w:sz="4" w:space="0"/>
              <w:left w:val="single" w:color="000000" w:sz="4" w:space="0"/>
              <w:bottom w:val="single" w:color="000000" w:sz="4" w:space="0"/>
              <w:right w:val="single" w:color="000000" w:sz="4" w:space="0"/>
            </w:tcBorders>
            <w:vAlign w:val="center"/>
          </w:tcPr>
          <w:p w14:paraId="0828971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消防智能联动主机</w:t>
            </w:r>
          </w:p>
        </w:tc>
        <w:tc>
          <w:tcPr>
            <w:tcW w:w="1950" w:type="dxa"/>
            <w:tcBorders>
              <w:top w:val="single" w:color="000000" w:sz="4" w:space="0"/>
              <w:left w:val="single" w:color="000000" w:sz="4" w:space="0"/>
              <w:bottom w:val="single" w:color="000000" w:sz="4" w:space="0"/>
              <w:right w:val="single" w:color="000000" w:sz="4" w:space="0"/>
            </w:tcBorders>
            <w:vAlign w:val="center"/>
          </w:tcPr>
          <w:p w14:paraId="1A2994C3">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3FE83952">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23A1935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20C389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516D09C0">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6B7B020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19</w:t>
            </w:r>
          </w:p>
        </w:tc>
        <w:tc>
          <w:tcPr>
            <w:tcW w:w="2609" w:type="dxa"/>
            <w:tcBorders>
              <w:top w:val="single" w:color="000000" w:sz="4" w:space="0"/>
              <w:left w:val="single" w:color="000000" w:sz="4" w:space="0"/>
              <w:bottom w:val="single" w:color="000000" w:sz="4" w:space="0"/>
              <w:right w:val="single" w:color="000000" w:sz="4" w:space="0"/>
            </w:tcBorders>
            <w:vAlign w:val="center"/>
          </w:tcPr>
          <w:p w14:paraId="4E0B9C7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智能联动控制小主机含运行软件（软件定制）</w:t>
            </w:r>
          </w:p>
        </w:tc>
        <w:tc>
          <w:tcPr>
            <w:tcW w:w="1950" w:type="dxa"/>
            <w:tcBorders>
              <w:top w:val="single" w:color="000000" w:sz="4" w:space="0"/>
              <w:left w:val="single" w:color="000000" w:sz="4" w:space="0"/>
              <w:bottom w:val="single" w:color="000000" w:sz="4" w:space="0"/>
              <w:right w:val="single" w:color="000000" w:sz="4" w:space="0"/>
            </w:tcBorders>
            <w:vAlign w:val="center"/>
          </w:tcPr>
          <w:p w14:paraId="6832136B">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59817D90">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54C481C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226BFCC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5DD61D19">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75888AB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20</w:t>
            </w:r>
          </w:p>
        </w:tc>
        <w:tc>
          <w:tcPr>
            <w:tcW w:w="2609" w:type="dxa"/>
            <w:tcBorders>
              <w:top w:val="single" w:color="000000" w:sz="4" w:space="0"/>
              <w:left w:val="single" w:color="000000" w:sz="4" w:space="0"/>
              <w:bottom w:val="single" w:color="000000" w:sz="4" w:space="0"/>
              <w:right w:val="single" w:color="000000" w:sz="4" w:space="0"/>
            </w:tcBorders>
            <w:vAlign w:val="center"/>
          </w:tcPr>
          <w:p w14:paraId="48194F6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警情等级五色警灯</w:t>
            </w:r>
          </w:p>
        </w:tc>
        <w:tc>
          <w:tcPr>
            <w:tcW w:w="1950" w:type="dxa"/>
            <w:tcBorders>
              <w:top w:val="single" w:color="000000" w:sz="4" w:space="0"/>
              <w:left w:val="single" w:color="000000" w:sz="4" w:space="0"/>
              <w:bottom w:val="single" w:color="000000" w:sz="4" w:space="0"/>
              <w:right w:val="single" w:color="000000" w:sz="4" w:space="0"/>
            </w:tcBorders>
            <w:vAlign w:val="center"/>
          </w:tcPr>
          <w:p w14:paraId="68855930">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0049AFAF">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5AE8673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61B1D4C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152717F7">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35A6D1C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21</w:t>
            </w:r>
          </w:p>
        </w:tc>
        <w:tc>
          <w:tcPr>
            <w:tcW w:w="2609" w:type="dxa"/>
            <w:tcBorders>
              <w:top w:val="single" w:color="000000" w:sz="4" w:space="0"/>
              <w:left w:val="single" w:color="000000" w:sz="4" w:space="0"/>
              <w:bottom w:val="single" w:color="000000" w:sz="4" w:space="0"/>
              <w:right w:val="single" w:color="000000" w:sz="4" w:space="0"/>
            </w:tcBorders>
            <w:vAlign w:val="center"/>
          </w:tcPr>
          <w:p w14:paraId="56BD7E8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倒计时宣传显示器</w:t>
            </w:r>
          </w:p>
        </w:tc>
        <w:tc>
          <w:tcPr>
            <w:tcW w:w="1950" w:type="dxa"/>
            <w:tcBorders>
              <w:top w:val="single" w:color="000000" w:sz="4" w:space="0"/>
              <w:left w:val="single" w:color="000000" w:sz="4" w:space="0"/>
              <w:bottom w:val="single" w:color="000000" w:sz="4" w:space="0"/>
              <w:right w:val="single" w:color="000000" w:sz="4" w:space="0"/>
            </w:tcBorders>
            <w:vAlign w:val="center"/>
          </w:tcPr>
          <w:p w14:paraId="60918045">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2595F4EC">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377909E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b/>
                <w:bCs/>
                <w:color w:val="auto"/>
                <w:szCs w:val="21"/>
                <w:highlight w:val="none"/>
              </w:rPr>
            </w:pPr>
            <w:r>
              <w:rPr>
                <w:rFonts w:hint="eastAsia" w:ascii="宋体" w:hAnsi="宋体" w:eastAsia="宋体" w:cs="宋体"/>
                <w:b/>
                <w:bCs/>
                <w:i w:val="0"/>
                <w:iCs w:val="0"/>
                <w:color w:val="auto"/>
                <w:kern w:val="0"/>
                <w:sz w:val="22"/>
                <w:szCs w:val="22"/>
                <w:highlight w:val="none"/>
                <w:u w:val="none"/>
                <w:lang w:val="en-US" w:eastAsia="zh-CN" w:bidi="ar"/>
              </w:rPr>
              <w:t>是</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12F6602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b/>
                <w:bCs/>
                <w:color w:val="auto"/>
                <w:szCs w:val="21"/>
                <w:highlight w:val="none"/>
              </w:rPr>
            </w:pPr>
            <w:r>
              <w:rPr>
                <w:rFonts w:hint="eastAsia" w:ascii="宋体" w:hAnsi="宋体" w:eastAsia="宋体" w:cs="宋体"/>
                <w:b/>
                <w:bCs/>
                <w:i w:val="0"/>
                <w:iCs w:val="0"/>
                <w:color w:val="auto"/>
                <w:kern w:val="0"/>
                <w:sz w:val="22"/>
                <w:szCs w:val="22"/>
                <w:highlight w:val="none"/>
                <w:u w:val="none"/>
                <w:lang w:val="en-US" w:eastAsia="zh-CN" w:bidi="ar"/>
              </w:rPr>
              <w:t>是</w:t>
            </w:r>
          </w:p>
        </w:tc>
      </w:tr>
      <w:tr w14:paraId="27B8A8CB">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13C4417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22</w:t>
            </w:r>
          </w:p>
        </w:tc>
        <w:tc>
          <w:tcPr>
            <w:tcW w:w="2609" w:type="dxa"/>
            <w:tcBorders>
              <w:top w:val="single" w:color="000000" w:sz="4" w:space="0"/>
              <w:left w:val="single" w:color="000000" w:sz="4" w:space="0"/>
              <w:bottom w:val="single" w:color="000000" w:sz="4" w:space="0"/>
              <w:right w:val="single" w:color="000000" w:sz="4" w:space="0"/>
            </w:tcBorders>
            <w:vAlign w:val="center"/>
          </w:tcPr>
          <w:p w14:paraId="0EDC0A8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智能联动辅机</w:t>
            </w:r>
          </w:p>
        </w:tc>
        <w:tc>
          <w:tcPr>
            <w:tcW w:w="1950" w:type="dxa"/>
            <w:tcBorders>
              <w:top w:val="single" w:color="000000" w:sz="4" w:space="0"/>
              <w:left w:val="single" w:color="000000" w:sz="4" w:space="0"/>
              <w:bottom w:val="single" w:color="000000" w:sz="4" w:space="0"/>
              <w:right w:val="single" w:color="000000" w:sz="4" w:space="0"/>
            </w:tcBorders>
            <w:vAlign w:val="center"/>
          </w:tcPr>
          <w:p w14:paraId="21DB03BF">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5674FA47">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2D0261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5C091B0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3EE4BBEC">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57F5E69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23</w:t>
            </w:r>
          </w:p>
        </w:tc>
        <w:tc>
          <w:tcPr>
            <w:tcW w:w="2609" w:type="dxa"/>
            <w:tcBorders>
              <w:top w:val="single" w:color="000000" w:sz="4" w:space="0"/>
              <w:left w:val="single" w:color="000000" w:sz="4" w:space="0"/>
              <w:bottom w:val="single" w:color="000000" w:sz="4" w:space="0"/>
              <w:right w:val="single" w:color="000000" w:sz="4" w:space="0"/>
            </w:tcBorders>
            <w:vAlign w:val="center"/>
          </w:tcPr>
          <w:p w14:paraId="5C62D9A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案件下单车辆车位引导投影系统</w:t>
            </w:r>
          </w:p>
        </w:tc>
        <w:tc>
          <w:tcPr>
            <w:tcW w:w="1950" w:type="dxa"/>
            <w:tcBorders>
              <w:top w:val="single" w:color="000000" w:sz="4" w:space="0"/>
              <w:left w:val="single" w:color="000000" w:sz="4" w:space="0"/>
              <w:bottom w:val="single" w:color="000000" w:sz="4" w:space="0"/>
              <w:right w:val="single" w:color="000000" w:sz="4" w:space="0"/>
            </w:tcBorders>
            <w:vAlign w:val="center"/>
          </w:tcPr>
          <w:p w14:paraId="3DD35DB6">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450C8EE9">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399464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704B681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5BEA3F5F">
        <w:tblPrEx>
          <w:tblCellMar>
            <w:top w:w="0" w:type="dxa"/>
            <w:left w:w="108" w:type="dxa"/>
            <w:bottom w:w="0" w:type="dxa"/>
            <w:right w:w="108" w:type="dxa"/>
          </w:tblCellMar>
        </w:tblPrEx>
        <w:trPr>
          <w:trHeight w:val="90"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3D0D012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24</w:t>
            </w:r>
          </w:p>
        </w:tc>
        <w:tc>
          <w:tcPr>
            <w:tcW w:w="2609" w:type="dxa"/>
            <w:tcBorders>
              <w:top w:val="single" w:color="000000" w:sz="4" w:space="0"/>
              <w:left w:val="single" w:color="000000" w:sz="4" w:space="0"/>
              <w:bottom w:val="single" w:color="000000" w:sz="4" w:space="0"/>
              <w:right w:val="single" w:color="000000" w:sz="4" w:space="0"/>
            </w:tcBorders>
            <w:vAlign w:val="center"/>
          </w:tcPr>
          <w:p w14:paraId="19AE8BD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滑竿区开门信号对接</w:t>
            </w:r>
          </w:p>
        </w:tc>
        <w:tc>
          <w:tcPr>
            <w:tcW w:w="1950" w:type="dxa"/>
            <w:tcBorders>
              <w:top w:val="single" w:color="000000" w:sz="4" w:space="0"/>
              <w:left w:val="single" w:color="000000" w:sz="4" w:space="0"/>
              <w:bottom w:val="single" w:color="000000" w:sz="4" w:space="0"/>
              <w:right w:val="single" w:color="000000" w:sz="4" w:space="0"/>
            </w:tcBorders>
            <w:vAlign w:val="center"/>
          </w:tcPr>
          <w:p w14:paraId="4B75F6E2">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2B1BADEA">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519555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16F4D1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2E8AC2C3">
        <w:tblPrEx>
          <w:tblCellMar>
            <w:top w:w="0" w:type="dxa"/>
            <w:left w:w="108" w:type="dxa"/>
            <w:bottom w:w="0" w:type="dxa"/>
            <w:right w:w="108" w:type="dxa"/>
          </w:tblCellMar>
        </w:tblPrEx>
        <w:trPr>
          <w:trHeight w:val="90"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615F381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25</w:t>
            </w:r>
          </w:p>
        </w:tc>
        <w:tc>
          <w:tcPr>
            <w:tcW w:w="2609" w:type="dxa"/>
            <w:tcBorders>
              <w:top w:val="single" w:color="000000" w:sz="4" w:space="0"/>
              <w:left w:val="single" w:color="000000" w:sz="4" w:space="0"/>
              <w:bottom w:val="single" w:color="000000" w:sz="4" w:space="0"/>
              <w:right w:val="single" w:color="000000" w:sz="4" w:space="0"/>
            </w:tcBorders>
            <w:vAlign w:val="center"/>
          </w:tcPr>
          <w:p w14:paraId="1BA8453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LED宣传倒计时道路安全宣传提示显示屏软件开发及对接</w:t>
            </w:r>
          </w:p>
        </w:tc>
        <w:tc>
          <w:tcPr>
            <w:tcW w:w="1950" w:type="dxa"/>
            <w:tcBorders>
              <w:top w:val="single" w:color="000000" w:sz="4" w:space="0"/>
              <w:left w:val="single" w:color="000000" w:sz="4" w:space="0"/>
              <w:bottom w:val="single" w:color="000000" w:sz="4" w:space="0"/>
              <w:right w:val="single" w:color="000000" w:sz="4" w:space="0"/>
            </w:tcBorders>
            <w:vAlign w:val="center"/>
          </w:tcPr>
          <w:p w14:paraId="0ABCE94B">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2AE148F8">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79BA394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63A3C2A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45F64A01">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46B4C2A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26</w:t>
            </w:r>
          </w:p>
        </w:tc>
        <w:tc>
          <w:tcPr>
            <w:tcW w:w="2609" w:type="dxa"/>
            <w:tcBorders>
              <w:top w:val="single" w:color="000000" w:sz="4" w:space="0"/>
              <w:left w:val="single" w:color="000000" w:sz="4" w:space="0"/>
              <w:bottom w:val="single" w:color="000000" w:sz="4" w:space="0"/>
              <w:right w:val="single" w:color="000000" w:sz="4" w:space="0"/>
            </w:tcBorders>
            <w:vAlign w:val="center"/>
          </w:tcPr>
          <w:p w14:paraId="517932D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单兵作战仓控制对接开发</w:t>
            </w:r>
          </w:p>
        </w:tc>
        <w:tc>
          <w:tcPr>
            <w:tcW w:w="1950" w:type="dxa"/>
            <w:tcBorders>
              <w:top w:val="single" w:color="000000" w:sz="4" w:space="0"/>
              <w:left w:val="single" w:color="000000" w:sz="4" w:space="0"/>
              <w:bottom w:val="single" w:color="000000" w:sz="4" w:space="0"/>
              <w:right w:val="single" w:color="000000" w:sz="4" w:space="0"/>
            </w:tcBorders>
            <w:vAlign w:val="center"/>
          </w:tcPr>
          <w:p w14:paraId="76F5C9A4">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79A0A1C6">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34064B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3CA34A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66B585B7">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645F33D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27</w:t>
            </w:r>
          </w:p>
        </w:tc>
        <w:tc>
          <w:tcPr>
            <w:tcW w:w="2609" w:type="dxa"/>
            <w:tcBorders>
              <w:top w:val="single" w:color="000000" w:sz="4" w:space="0"/>
              <w:left w:val="single" w:color="000000" w:sz="4" w:space="0"/>
              <w:bottom w:val="single" w:color="000000" w:sz="4" w:space="0"/>
              <w:right w:val="single" w:color="000000" w:sz="4" w:space="0"/>
            </w:tcBorders>
            <w:vAlign w:val="center"/>
          </w:tcPr>
          <w:p w14:paraId="7CF1E3F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警情类型三色指示灯</w:t>
            </w:r>
          </w:p>
        </w:tc>
        <w:tc>
          <w:tcPr>
            <w:tcW w:w="1950" w:type="dxa"/>
            <w:tcBorders>
              <w:top w:val="single" w:color="000000" w:sz="4" w:space="0"/>
              <w:left w:val="single" w:color="000000" w:sz="4" w:space="0"/>
              <w:bottom w:val="single" w:color="000000" w:sz="4" w:space="0"/>
              <w:right w:val="single" w:color="000000" w:sz="4" w:space="0"/>
            </w:tcBorders>
            <w:vAlign w:val="center"/>
          </w:tcPr>
          <w:p w14:paraId="44135ECA">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7D89994C">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3F76848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202CCDF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2BC2DB01">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64E0B4A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28</w:t>
            </w:r>
          </w:p>
        </w:tc>
        <w:tc>
          <w:tcPr>
            <w:tcW w:w="2609" w:type="dxa"/>
            <w:tcBorders>
              <w:top w:val="single" w:color="000000" w:sz="4" w:space="0"/>
              <w:left w:val="single" w:color="000000" w:sz="4" w:space="0"/>
              <w:bottom w:val="single" w:color="000000" w:sz="4" w:space="0"/>
              <w:right w:val="single" w:color="000000" w:sz="4" w:space="0"/>
            </w:tcBorders>
            <w:vAlign w:val="center"/>
          </w:tcPr>
          <w:p w14:paraId="39C66CD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12寸消防警铃电铃220V</w:t>
            </w:r>
          </w:p>
        </w:tc>
        <w:tc>
          <w:tcPr>
            <w:tcW w:w="1950" w:type="dxa"/>
            <w:tcBorders>
              <w:top w:val="single" w:color="000000" w:sz="4" w:space="0"/>
              <w:left w:val="single" w:color="000000" w:sz="4" w:space="0"/>
              <w:bottom w:val="single" w:color="000000" w:sz="4" w:space="0"/>
              <w:right w:val="single" w:color="000000" w:sz="4" w:space="0"/>
            </w:tcBorders>
            <w:vAlign w:val="center"/>
          </w:tcPr>
          <w:p w14:paraId="70360DC4">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1CA300D1">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254C4B5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b/>
                <w:bCs/>
                <w:i w:val="0"/>
                <w:iCs w:val="0"/>
                <w:color w:val="auto"/>
                <w:kern w:val="0"/>
                <w:sz w:val="22"/>
                <w:szCs w:val="22"/>
                <w:highlight w:val="none"/>
                <w:u w:val="none"/>
                <w:lang w:val="en-US" w:eastAsia="zh-CN" w:bidi="ar"/>
              </w:rPr>
              <w:t>是</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D9143C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46BC1355">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0C7486A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29</w:t>
            </w:r>
          </w:p>
        </w:tc>
        <w:tc>
          <w:tcPr>
            <w:tcW w:w="2609" w:type="dxa"/>
            <w:tcBorders>
              <w:top w:val="single" w:color="000000" w:sz="4" w:space="0"/>
              <w:left w:val="single" w:color="000000" w:sz="4" w:space="0"/>
              <w:bottom w:val="single" w:color="000000" w:sz="4" w:space="0"/>
              <w:right w:val="single" w:color="000000" w:sz="4" w:space="0"/>
            </w:tcBorders>
            <w:vAlign w:val="center"/>
          </w:tcPr>
          <w:p w14:paraId="2078F79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6寸消防警铃电铃220V</w:t>
            </w:r>
          </w:p>
        </w:tc>
        <w:tc>
          <w:tcPr>
            <w:tcW w:w="1950" w:type="dxa"/>
            <w:tcBorders>
              <w:top w:val="single" w:color="000000" w:sz="4" w:space="0"/>
              <w:left w:val="single" w:color="000000" w:sz="4" w:space="0"/>
              <w:bottom w:val="single" w:color="000000" w:sz="4" w:space="0"/>
              <w:right w:val="single" w:color="000000" w:sz="4" w:space="0"/>
            </w:tcBorders>
            <w:vAlign w:val="center"/>
          </w:tcPr>
          <w:p w14:paraId="4531354C">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6984DD50">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38B0319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b/>
                <w:bCs/>
                <w:i w:val="0"/>
                <w:iCs w:val="0"/>
                <w:color w:val="auto"/>
                <w:kern w:val="0"/>
                <w:sz w:val="22"/>
                <w:szCs w:val="22"/>
                <w:highlight w:val="none"/>
                <w:u w:val="none"/>
                <w:lang w:val="en-US" w:eastAsia="zh-CN" w:bidi="ar"/>
              </w:rPr>
              <w:t>是</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3F0549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664B276F">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4C23C3B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3</w:t>
            </w:r>
            <w:r>
              <w:rPr>
                <w:rFonts w:hint="eastAsia" w:ascii="宋体" w:hAnsi="宋体" w:cs="宋体"/>
                <w:color w:val="auto"/>
                <w:szCs w:val="21"/>
                <w:highlight w:val="none"/>
                <w:lang w:val="en-US" w:eastAsia="zh-CN" w:bidi="ar"/>
              </w:rPr>
              <w:t>0</w:t>
            </w:r>
          </w:p>
        </w:tc>
        <w:tc>
          <w:tcPr>
            <w:tcW w:w="2609" w:type="dxa"/>
            <w:tcBorders>
              <w:top w:val="single" w:color="000000" w:sz="4" w:space="0"/>
              <w:left w:val="single" w:color="000000" w:sz="4" w:space="0"/>
              <w:bottom w:val="single" w:color="000000" w:sz="4" w:space="0"/>
              <w:right w:val="single" w:color="000000" w:sz="4" w:space="0"/>
            </w:tcBorders>
            <w:vAlign w:val="center"/>
          </w:tcPr>
          <w:p w14:paraId="0E4F98B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宿舍及过道灯集控主机</w:t>
            </w:r>
          </w:p>
        </w:tc>
        <w:tc>
          <w:tcPr>
            <w:tcW w:w="1950" w:type="dxa"/>
            <w:tcBorders>
              <w:top w:val="single" w:color="000000" w:sz="4" w:space="0"/>
              <w:left w:val="single" w:color="000000" w:sz="4" w:space="0"/>
              <w:bottom w:val="single" w:color="000000" w:sz="4" w:space="0"/>
              <w:right w:val="single" w:color="000000" w:sz="4" w:space="0"/>
            </w:tcBorders>
            <w:vAlign w:val="center"/>
          </w:tcPr>
          <w:p w14:paraId="63393128">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19988621">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153CB9F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5B442F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677C3E83">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469C834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3</w:t>
            </w:r>
            <w:r>
              <w:rPr>
                <w:rFonts w:hint="eastAsia" w:ascii="宋体" w:hAnsi="宋体" w:cs="宋体"/>
                <w:color w:val="auto"/>
                <w:szCs w:val="21"/>
                <w:highlight w:val="none"/>
                <w:lang w:val="en-US" w:eastAsia="zh-CN" w:bidi="ar"/>
              </w:rPr>
              <w:t>1</w:t>
            </w:r>
          </w:p>
        </w:tc>
        <w:tc>
          <w:tcPr>
            <w:tcW w:w="2609" w:type="dxa"/>
            <w:tcBorders>
              <w:top w:val="single" w:color="000000" w:sz="4" w:space="0"/>
              <w:left w:val="single" w:color="000000" w:sz="4" w:space="0"/>
              <w:bottom w:val="single" w:color="000000" w:sz="4" w:space="0"/>
              <w:right w:val="single" w:color="000000" w:sz="4" w:space="0"/>
            </w:tcBorders>
            <w:vAlign w:val="center"/>
          </w:tcPr>
          <w:p w14:paraId="28F74FE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中队大门对接</w:t>
            </w:r>
          </w:p>
        </w:tc>
        <w:tc>
          <w:tcPr>
            <w:tcW w:w="1950" w:type="dxa"/>
            <w:tcBorders>
              <w:top w:val="single" w:color="000000" w:sz="4" w:space="0"/>
              <w:left w:val="single" w:color="000000" w:sz="4" w:space="0"/>
              <w:bottom w:val="single" w:color="000000" w:sz="4" w:space="0"/>
              <w:right w:val="single" w:color="000000" w:sz="4" w:space="0"/>
            </w:tcBorders>
            <w:vAlign w:val="center"/>
          </w:tcPr>
          <w:p w14:paraId="7154032F">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0165B573">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17C62D8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3CD5F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71E252AE">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7ECE75C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bidi="ar"/>
              </w:rPr>
              <w:t>32</w:t>
            </w:r>
          </w:p>
        </w:tc>
        <w:tc>
          <w:tcPr>
            <w:tcW w:w="2609" w:type="dxa"/>
            <w:tcBorders>
              <w:top w:val="single" w:color="000000" w:sz="4" w:space="0"/>
              <w:left w:val="single" w:color="000000" w:sz="4" w:space="0"/>
              <w:bottom w:val="single" w:color="000000" w:sz="4" w:space="0"/>
              <w:right w:val="single" w:color="000000" w:sz="4" w:space="0"/>
            </w:tcBorders>
            <w:vAlign w:val="center"/>
          </w:tcPr>
          <w:p w14:paraId="3EA7BAB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营区监控摄像机</w:t>
            </w:r>
          </w:p>
        </w:tc>
        <w:tc>
          <w:tcPr>
            <w:tcW w:w="1950" w:type="dxa"/>
            <w:tcBorders>
              <w:top w:val="single" w:color="000000" w:sz="4" w:space="0"/>
              <w:left w:val="single" w:color="000000" w:sz="4" w:space="0"/>
              <w:bottom w:val="single" w:color="000000" w:sz="4" w:space="0"/>
              <w:right w:val="single" w:color="000000" w:sz="4" w:space="0"/>
            </w:tcBorders>
            <w:vAlign w:val="center"/>
          </w:tcPr>
          <w:p w14:paraId="7EAE8B4F">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7FB07852">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72CABD7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59FC527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6D8B3C76">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61B720F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33</w:t>
            </w:r>
          </w:p>
        </w:tc>
        <w:tc>
          <w:tcPr>
            <w:tcW w:w="2609" w:type="dxa"/>
            <w:tcBorders>
              <w:top w:val="single" w:color="000000" w:sz="4" w:space="0"/>
              <w:left w:val="single" w:color="000000" w:sz="4" w:space="0"/>
              <w:bottom w:val="single" w:color="000000" w:sz="4" w:space="0"/>
              <w:right w:val="single" w:color="000000" w:sz="4" w:space="0"/>
            </w:tcBorders>
            <w:vAlign w:val="center"/>
          </w:tcPr>
          <w:p w14:paraId="4892588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摄像机立杆</w:t>
            </w:r>
          </w:p>
        </w:tc>
        <w:tc>
          <w:tcPr>
            <w:tcW w:w="1950" w:type="dxa"/>
            <w:tcBorders>
              <w:top w:val="single" w:color="000000" w:sz="4" w:space="0"/>
              <w:left w:val="single" w:color="000000" w:sz="4" w:space="0"/>
              <w:bottom w:val="single" w:color="000000" w:sz="4" w:space="0"/>
              <w:right w:val="single" w:color="000000" w:sz="4" w:space="0"/>
            </w:tcBorders>
            <w:vAlign w:val="center"/>
          </w:tcPr>
          <w:p w14:paraId="35EFC3C7">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47DB6652">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16C24B0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7A35718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77BF2955">
        <w:tblPrEx>
          <w:tblCellMar>
            <w:top w:w="0" w:type="dxa"/>
            <w:left w:w="108" w:type="dxa"/>
            <w:bottom w:w="0" w:type="dxa"/>
            <w:right w:w="108" w:type="dxa"/>
          </w:tblCellMar>
        </w:tblPrEx>
        <w:trPr>
          <w:trHeight w:val="90"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22615C8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34</w:t>
            </w:r>
          </w:p>
        </w:tc>
        <w:tc>
          <w:tcPr>
            <w:tcW w:w="2609" w:type="dxa"/>
            <w:tcBorders>
              <w:top w:val="single" w:color="000000" w:sz="4" w:space="0"/>
              <w:left w:val="single" w:color="000000" w:sz="4" w:space="0"/>
              <w:bottom w:val="single" w:color="000000" w:sz="4" w:space="0"/>
              <w:right w:val="single" w:color="000000" w:sz="4" w:space="0"/>
            </w:tcBorders>
            <w:vAlign w:val="center"/>
          </w:tcPr>
          <w:p w14:paraId="1BFE3CA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前置放大器</w:t>
            </w:r>
          </w:p>
        </w:tc>
        <w:tc>
          <w:tcPr>
            <w:tcW w:w="1950" w:type="dxa"/>
            <w:tcBorders>
              <w:top w:val="single" w:color="000000" w:sz="4" w:space="0"/>
              <w:left w:val="single" w:color="000000" w:sz="4" w:space="0"/>
              <w:bottom w:val="single" w:color="000000" w:sz="4" w:space="0"/>
              <w:right w:val="single" w:color="000000" w:sz="4" w:space="0"/>
            </w:tcBorders>
            <w:vAlign w:val="center"/>
          </w:tcPr>
          <w:p w14:paraId="63A8EEA6">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36FC0B9C">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0BD53F0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0142489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6AAE1059">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7671D38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35</w:t>
            </w:r>
          </w:p>
        </w:tc>
        <w:tc>
          <w:tcPr>
            <w:tcW w:w="2609" w:type="dxa"/>
            <w:tcBorders>
              <w:top w:val="single" w:color="000000" w:sz="4" w:space="0"/>
              <w:left w:val="single" w:color="000000" w:sz="4" w:space="0"/>
              <w:bottom w:val="single" w:color="000000" w:sz="4" w:space="0"/>
              <w:right w:val="single" w:color="000000" w:sz="4" w:space="0"/>
            </w:tcBorders>
            <w:vAlign w:val="center"/>
          </w:tcPr>
          <w:p w14:paraId="664E33D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话筒</w:t>
            </w:r>
          </w:p>
        </w:tc>
        <w:tc>
          <w:tcPr>
            <w:tcW w:w="1950" w:type="dxa"/>
            <w:tcBorders>
              <w:top w:val="single" w:color="000000" w:sz="4" w:space="0"/>
              <w:left w:val="single" w:color="000000" w:sz="4" w:space="0"/>
              <w:bottom w:val="single" w:color="000000" w:sz="4" w:space="0"/>
              <w:right w:val="single" w:color="000000" w:sz="4" w:space="0"/>
            </w:tcBorders>
            <w:vAlign w:val="center"/>
          </w:tcPr>
          <w:p w14:paraId="568BA878">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48CA25BE">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3055A2E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3A18FD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6CEF3371">
        <w:tblPrEx>
          <w:tblCellMar>
            <w:top w:w="0" w:type="dxa"/>
            <w:left w:w="108" w:type="dxa"/>
            <w:bottom w:w="0" w:type="dxa"/>
            <w:right w:w="108" w:type="dxa"/>
          </w:tblCellMar>
        </w:tblPrEx>
        <w:trPr>
          <w:trHeight w:val="331"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59487EC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3</w:t>
            </w:r>
            <w:r>
              <w:rPr>
                <w:rFonts w:hint="eastAsia" w:ascii="宋体" w:hAnsi="宋体" w:cs="宋体"/>
                <w:color w:val="auto"/>
                <w:szCs w:val="21"/>
                <w:highlight w:val="none"/>
                <w:lang w:val="en-US" w:eastAsia="zh-CN" w:bidi="ar"/>
              </w:rPr>
              <w:t>6</w:t>
            </w:r>
          </w:p>
        </w:tc>
        <w:tc>
          <w:tcPr>
            <w:tcW w:w="2609" w:type="dxa"/>
            <w:tcBorders>
              <w:top w:val="single" w:color="000000" w:sz="4" w:space="0"/>
              <w:left w:val="single" w:color="000000" w:sz="4" w:space="0"/>
              <w:bottom w:val="single" w:color="000000" w:sz="4" w:space="0"/>
              <w:right w:val="single" w:color="000000" w:sz="4" w:space="0"/>
            </w:tcBorders>
            <w:vAlign w:val="center"/>
          </w:tcPr>
          <w:p w14:paraId="012F706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数字功放</w:t>
            </w:r>
          </w:p>
        </w:tc>
        <w:tc>
          <w:tcPr>
            <w:tcW w:w="1950" w:type="dxa"/>
            <w:tcBorders>
              <w:top w:val="single" w:color="000000" w:sz="4" w:space="0"/>
              <w:left w:val="single" w:color="000000" w:sz="4" w:space="0"/>
              <w:bottom w:val="single" w:color="000000" w:sz="4" w:space="0"/>
              <w:right w:val="single" w:color="000000" w:sz="4" w:space="0"/>
            </w:tcBorders>
            <w:vAlign w:val="center"/>
          </w:tcPr>
          <w:p w14:paraId="08532CE1">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321B19F0">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353A75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15DEA50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6130532A">
        <w:tblPrEx>
          <w:tblCellMar>
            <w:top w:w="0" w:type="dxa"/>
            <w:left w:w="108" w:type="dxa"/>
            <w:bottom w:w="0" w:type="dxa"/>
            <w:right w:w="108" w:type="dxa"/>
          </w:tblCellMar>
        </w:tblPrEx>
        <w:trPr>
          <w:trHeight w:val="331"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4E92854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3</w:t>
            </w:r>
            <w:r>
              <w:rPr>
                <w:rFonts w:hint="eastAsia" w:ascii="宋体" w:hAnsi="宋体" w:cs="宋体"/>
                <w:color w:val="auto"/>
                <w:szCs w:val="21"/>
                <w:highlight w:val="none"/>
                <w:lang w:val="en-US" w:eastAsia="zh-CN" w:bidi="ar"/>
              </w:rPr>
              <w:t>7</w:t>
            </w:r>
          </w:p>
        </w:tc>
        <w:tc>
          <w:tcPr>
            <w:tcW w:w="2609" w:type="dxa"/>
            <w:tcBorders>
              <w:top w:val="single" w:color="000000" w:sz="4" w:space="0"/>
              <w:left w:val="single" w:color="000000" w:sz="4" w:space="0"/>
              <w:bottom w:val="single" w:color="000000" w:sz="4" w:space="0"/>
              <w:right w:val="single" w:color="000000" w:sz="4" w:space="0"/>
            </w:tcBorders>
            <w:vAlign w:val="center"/>
          </w:tcPr>
          <w:p w14:paraId="254664B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音柱</w:t>
            </w:r>
          </w:p>
        </w:tc>
        <w:tc>
          <w:tcPr>
            <w:tcW w:w="1950" w:type="dxa"/>
            <w:tcBorders>
              <w:top w:val="single" w:color="000000" w:sz="4" w:space="0"/>
              <w:left w:val="single" w:color="000000" w:sz="4" w:space="0"/>
              <w:bottom w:val="single" w:color="000000" w:sz="4" w:space="0"/>
              <w:right w:val="single" w:color="000000" w:sz="4" w:space="0"/>
            </w:tcBorders>
            <w:vAlign w:val="center"/>
          </w:tcPr>
          <w:p w14:paraId="49EAEDFE">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519B5008">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1BA6362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7D92C2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3E5DA75D">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78F3D47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3</w:t>
            </w:r>
            <w:r>
              <w:rPr>
                <w:rFonts w:hint="eastAsia" w:ascii="宋体" w:hAnsi="宋体" w:cs="宋体"/>
                <w:color w:val="auto"/>
                <w:szCs w:val="21"/>
                <w:highlight w:val="none"/>
                <w:lang w:val="en-US" w:eastAsia="zh-CN" w:bidi="ar"/>
              </w:rPr>
              <w:t>8</w:t>
            </w:r>
          </w:p>
        </w:tc>
        <w:tc>
          <w:tcPr>
            <w:tcW w:w="2609" w:type="dxa"/>
            <w:tcBorders>
              <w:top w:val="single" w:color="000000" w:sz="4" w:space="0"/>
              <w:left w:val="single" w:color="000000" w:sz="4" w:space="0"/>
              <w:bottom w:val="single" w:color="000000" w:sz="4" w:space="0"/>
              <w:right w:val="single" w:color="000000" w:sz="4" w:space="0"/>
            </w:tcBorders>
            <w:vAlign w:val="center"/>
          </w:tcPr>
          <w:p w14:paraId="125C205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电源时序器</w:t>
            </w:r>
          </w:p>
        </w:tc>
        <w:tc>
          <w:tcPr>
            <w:tcW w:w="1950" w:type="dxa"/>
            <w:tcBorders>
              <w:top w:val="single" w:color="000000" w:sz="4" w:space="0"/>
              <w:left w:val="single" w:color="000000" w:sz="4" w:space="0"/>
              <w:bottom w:val="single" w:color="000000" w:sz="4" w:space="0"/>
              <w:right w:val="single" w:color="000000" w:sz="4" w:space="0"/>
            </w:tcBorders>
            <w:vAlign w:val="center"/>
          </w:tcPr>
          <w:p w14:paraId="1EB8ADC4">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07E86E13">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840A1F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0698F5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0DE8CC01">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05C032B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39</w:t>
            </w:r>
          </w:p>
        </w:tc>
        <w:tc>
          <w:tcPr>
            <w:tcW w:w="2609" w:type="dxa"/>
            <w:tcBorders>
              <w:top w:val="single" w:color="000000" w:sz="4" w:space="0"/>
              <w:left w:val="single" w:color="000000" w:sz="4" w:space="0"/>
              <w:bottom w:val="single" w:color="000000" w:sz="4" w:space="0"/>
              <w:right w:val="single" w:color="000000" w:sz="4" w:space="0"/>
            </w:tcBorders>
            <w:vAlign w:val="center"/>
          </w:tcPr>
          <w:p w14:paraId="6083E56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调音台</w:t>
            </w:r>
          </w:p>
        </w:tc>
        <w:tc>
          <w:tcPr>
            <w:tcW w:w="1950" w:type="dxa"/>
            <w:tcBorders>
              <w:top w:val="single" w:color="000000" w:sz="4" w:space="0"/>
              <w:left w:val="single" w:color="000000" w:sz="4" w:space="0"/>
              <w:bottom w:val="single" w:color="000000" w:sz="4" w:space="0"/>
              <w:right w:val="single" w:color="000000" w:sz="4" w:space="0"/>
            </w:tcBorders>
            <w:vAlign w:val="center"/>
          </w:tcPr>
          <w:p w14:paraId="3402E79D">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17E55FB9">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216356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1A7BAC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0B9A297E">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66B8261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4</w:t>
            </w:r>
            <w:r>
              <w:rPr>
                <w:rFonts w:hint="eastAsia" w:ascii="宋体" w:hAnsi="宋体" w:cs="宋体"/>
                <w:color w:val="auto"/>
                <w:szCs w:val="21"/>
                <w:highlight w:val="none"/>
                <w:lang w:val="en-US" w:eastAsia="zh-CN" w:bidi="ar"/>
              </w:rPr>
              <w:t>0</w:t>
            </w:r>
          </w:p>
        </w:tc>
        <w:tc>
          <w:tcPr>
            <w:tcW w:w="2609" w:type="dxa"/>
            <w:tcBorders>
              <w:top w:val="single" w:color="000000" w:sz="4" w:space="0"/>
              <w:left w:val="single" w:color="000000" w:sz="4" w:space="0"/>
              <w:bottom w:val="single" w:color="000000" w:sz="4" w:space="0"/>
              <w:right w:val="single" w:color="000000" w:sz="4" w:space="0"/>
            </w:tcBorders>
            <w:vAlign w:val="center"/>
          </w:tcPr>
          <w:p w14:paraId="15525FD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防火墙</w:t>
            </w:r>
          </w:p>
        </w:tc>
        <w:tc>
          <w:tcPr>
            <w:tcW w:w="1950" w:type="dxa"/>
            <w:tcBorders>
              <w:top w:val="single" w:color="000000" w:sz="4" w:space="0"/>
              <w:left w:val="single" w:color="000000" w:sz="4" w:space="0"/>
              <w:bottom w:val="single" w:color="000000" w:sz="4" w:space="0"/>
              <w:right w:val="single" w:color="000000" w:sz="4" w:space="0"/>
            </w:tcBorders>
            <w:vAlign w:val="center"/>
          </w:tcPr>
          <w:p w14:paraId="264F9BC7">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074E3ADC">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6BD5DE0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CD1239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35C8075E">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0CC8C2B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41</w:t>
            </w:r>
          </w:p>
        </w:tc>
        <w:tc>
          <w:tcPr>
            <w:tcW w:w="2609" w:type="dxa"/>
            <w:tcBorders>
              <w:top w:val="single" w:color="000000" w:sz="4" w:space="0"/>
              <w:left w:val="single" w:color="000000" w:sz="4" w:space="0"/>
              <w:bottom w:val="single" w:color="000000" w:sz="4" w:space="0"/>
              <w:right w:val="single" w:color="000000" w:sz="4" w:space="0"/>
            </w:tcBorders>
            <w:vAlign w:val="center"/>
          </w:tcPr>
          <w:p w14:paraId="54DCE2E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24口千兆交换机</w:t>
            </w:r>
          </w:p>
        </w:tc>
        <w:tc>
          <w:tcPr>
            <w:tcW w:w="1950" w:type="dxa"/>
            <w:tcBorders>
              <w:top w:val="single" w:color="000000" w:sz="4" w:space="0"/>
              <w:left w:val="single" w:color="000000" w:sz="4" w:space="0"/>
              <w:bottom w:val="single" w:color="000000" w:sz="4" w:space="0"/>
              <w:right w:val="single" w:color="000000" w:sz="4" w:space="0"/>
            </w:tcBorders>
            <w:vAlign w:val="center"/>
          </w:tcPr>
          <w:p w14:paraId="002854DB">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6CFF1583">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09631E8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05385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1C6F6ABD">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0D2C875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42</w:t>
            </w:r>
          </w:p>
        </w:tc>
        <w:tc>
          <w:tcPr>
            <w:tcW w:w="2609" w:type="dxa"/>
            <w:tcBorders>
              <w:top w:val="single" w:color="000000" w:sz="4" w:space="0"/>
              <w:left w:val="single" w:color="000000" w:sz="4" w:space="0"/>
              <w:bottom w:val="single" w:color="000000" w:sz="4" w:space="0"/>
              <w:right w:val="single" w:color="000000" w:sz="4" w:space="0"/>
            </w:tcBorders>
            <w:vAlign w:val="center"/>
          </w:tcPr>
          <w:p w14:paraId="56D0138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会议一体机</w:t>
            </w:r>
          </w:p>
        </w:tc>
        <w:tc>
          <w:tcPr>
            <w:tcW w:w="1950" w:type="dxa"/>
            <w:tcBorders>
              <w:top w:val="single" w:color="000000" w:sz="4" w:space="0"/>
              <w:left w:val="single" w:color="000000" w:sz="4" w:space="0"/>
              <w:bottom w:val="single" w:color="000000" w:sz="4" w:space="0"/>
              <w:right w:val="single" w:color="000000" w:sz="4" w:space="0"/>
            </w:tcBorders>
            <w:vAlign w:val="center"/>
          </w:tcPr>
          <w:p w14:paraId="03F32EA7">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331F4D38">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23F3E66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4EC645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2C136334">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59E1BB2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4</w:t>
            </w:r>
            <w:r>
              <w:rPr>
                <w:rFonts w:hint="eastAsia" w:ascii="宋体" w:hAnsi="宋体" w:cs="宋体"/>
                <w:color w:val="auto"/>
                <w:szCs w:val="21"/>
                <w:highlight w:val="none"/>
                <w:lang w:val="en-US" w:eastAsia="zh-CN" w:bidi="ar"/>
              </w:rPr>
              <w:t>3</w:t>
            </w:r>
          </w:p>
        </w:tc>
        <w:tc>
          <w:tcPr>
            <w:tcW w:w="2609" w:type="dxa"/>
            <w:tcBorders>
              <w:top w:val="single" w:color="000000" w:sz="4" w:space="0"/>
              <w:left w:val="single" w:color="000000" w:sz="4" w:space="0"/>
              <w:bottom w:val="single" w:color="000000" w:sz="4" w:space="0"/>
              <w:right w:val="single" w:color="000000" w:sz="4" w:space="0"/>
            </w:tcBorders>
            <w:vAlign w:val="center"/>
          </w:tcPr>
          <w:p w14:paraId="3B004BD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网络机柜</w:t>
            </w:r>
          </w:p>
        </w:tc>
        <w:tc>
          <w:tcPr>
            <w:tcW w:w="1950" w:type="dxa"/>
            <w:tcBorders>
              <w:top w:val="single" w:color="000000" w:sz="4" w:space="0"/>
              <w:left w:val="single" w:color="000000" w:sz="4" w:space="0"/>
              <w:bottom w:val="single" w:color="000000" w:sz="4" w:space="0"/>
              <w:right w:val="single" w:color="000000" w:sz="4" w:space="0"/>
            </w:tcBorders>
            <w:vAlign w:val="center"/>
          </w:tcPr>
          <w:p w14:paraId="33B0318E">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09C9426F">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3E0ED87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4911D9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25A63B43">
        <w:tblPrEx>
          <w:tblCellMar>
            <w:top w:w="0" w:type="dxa"/>
            <w:left w:w="108" w:type="dxa"/>
            <w:bottom w:w="0" w:type="dxa"/>
            <w:right w:w="108" w:type="dxa"/>
          </w:tblCellMar>
        </w:tblPrEx>
        <w:trPr>
          <w:trHeight w:val="384"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7E861D1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4</w:t>
            </w:r>
            <w:r>
              <w:rPr>
                <w:rFonts w:hint="eastAsia" w:ascii="宋体" w:hAnsi="宋体" w:cs="宋体"/>
                <w:color w:val="auto"/>
                <w:szCs w:val="21"/>
                <w:highlight w:val="none"/>
                <w:lang w:val="en-US" w:eastAsia="zh-CN" w:bidi="ar"/>
              </w:rPr>
              <w:t>4</w:t>
            </w:r>
          </w:p>
        </w:tc>
        <w:tc>
          <w:tcPr>
            <w:tcW w:w="2609" w:type="dxa"/>
            <w:tcBorders>
              <w:top w:val="single" w:color="000000" w:sz="4" w:space="0"/>
              <w:left w:val="single" w:color="000000" w:sz="4" w:space="0"/>
              <w:bottom w:val="single" w:color="000000" w:sz="4" w:space="0"/>
              <w:right w:val="single" w:color="000000" w:sz="4" w:space="0"/>
            </w:tcBorders>
            <w:vAlign w:val="center"/>
          </w:tcPr>
          <w:p w14:paraId="116050D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智能AI边缘控制终端</w:t>
            </w:r>
          </w:p>
        </w:tc>
        <w:tc>
          <w:tcPr>
            <w:tcW w:w="1950" w:type="dxa"/>
            <w:tcBorders>
              <w:top w:val="single" w:color="000000" w:sz="4" w:space="0"/>
              <w:left w:val="single" w:color="000000" w:sz="4" w:space="0"/>
              <w:bottom w:val="single" w:color="000000" w:sz="4" w:space="0"/>
              <w:right w:val="single" w:color="000000" w:sz="4" w:space="0"/>
            </w:tcBorders>
            <w:vAlign w:val="center"/>
          </w:tcPr>
          <w:p w14:paraId="38EE617E">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10BBFFAC">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58D5EA2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20F0942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20FFE3BA">
        <w:tblPrEx>
          <w:tblCellMar>
            <w:top w:w="0" w:type="dxa"/>
            <w:left w:w="108" w:type="dxa"/>
            <w:bottom w:w="0" w:type="dxa"/>
            <w:right w:w="108" w:type="dxa"/>
          </w:tblCellMar>
        </w:tblPrEx>
        <w:trPr>
          <w:trHeight w:val="389"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1ED9222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4</w:t>
            </w:r>
            <w:r>
              <w:rPr>
                <w:rFonts w:hint="eastAsia" w:ascii="宋体" w:hAnsi="宋体" w:cs="宋体"/>
                <w:color w:val="auto"/>
                <w:szCs w:val="21"/>
                <w:highlight w:val="none"/>
                <w:lang w:val="en-US" w:eastAsia="zh-CN" w:bidi="ar"/>
              </w:rPr>
              <w:t>5</w:t>
            </w:r>
          </w:p>
        </w:tc>
        <w:tc>
          <w:tcPr>
            <w:tcW w:w="2609" w:type="dxa"/>
            <w:tcBorders>
              <w:top w:val="single" w:color="000000" w:sz="4" w:space="0"/>
              <w:left w:val="single" w:color="000000" w:sz="4" w:space="0"/>
              <w:bottom w:val="single" w:color="000000" w:sz="4" w:space="0"/>
              <w:right w:val="single" w:color="000000" w:sz="4" w:space="0"/>
            </w:tcBorders>
            <w:vAlign w:val="center"/>
          </w:tcPr>
          <w:p w14:paraId="632D4AC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高清摄像头</w:t>
            </w:r>
          </w:p>
        </w:tc>
        <w:tc>
          <w:tcPr>
            <w:tcW w:w="1950" w:type="dxa"/>
            <w:tcBorders>
              <w:top w:val="single" w:color="000000" w:sz="4" w:space="0"/>
              <w:left w:val="single" w:color="000000" w:sz="4" w:space="0"/>
              <w:bottom w:val="single" w:color="000000" w:sz="4" w:space="0"/>
              <w:right w:val="single" w:color="000000" w:sz="4" w:space="0"/>
            </w:tcBorders>
            <w:vAlign w:val="center"/>
          </w:tcPr>
          <w:p w14:paraId="046DB542">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302934B9">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113014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7AFC425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5AF4BA47">
        <w:tblPrEx>
          <w:tblCellMar>
            <w:top w:w="0" w:type="dxa"/>
            <w:left w:w="108" w:type="dxa"/>
            <w:bottom w:w="0" w:type="dxa"/>
            <w:right w:w="108" w:type="dxa"/>
          </w:tblCellMar>
        </w:tblPrEx>
        <w:trPr>
          <w:trHeight w:val="407"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4D83ED0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4</w:t>
            </w:r>
            <w:r>
              <w:rPr>
                <w:rFonts w:hint="eastAsia" w:ascii="宋体" w:hAnsi="宋体" w:cs="宋体"/>
                <w:color w:val="auto"/>
                <w:szCs w:val="21"/>
                <w:highlight w:val="none"/>
                <w:lang w:val="en-US" w:eastAsia="zh-CN" w:bidi="ar"/>
              </w:rPr>
              <w:t>6</w:t>
            </w:r>
          </w:p>
        </w:tc>
        <w:tc>
          <w:tcPr>
            <w:tcW w:w="2609" w:type="dxa"/>
            <w:tcBorders>
              <w:top w:val="single" w:color="000000" w:sz="4" w:space="0"/>
              <w:left w:val="single" w:color="000000" w:sz="4" w:space="0"/>
              <w:bottom w:val="single" w:color="000000" w:sz="4" w:space="0"/>
              <w:right w:val="single" w:color="000000" w:sz="4" w:space="0"/>
            </w:tcBorders>
            <w:vAlign w:val="center"/>
          </w:tcPr>
          <w:p w14:paraId="40FB623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cs="宋体"/>
                <w:snapToGrid w:val="0"/>
                <w:color w:val="auto"/>
                <w:szCs w:val="21"/>
                <w:highlight w:val="none"/>
                <w:lang w:bidi="ar"/>
              </w:rPr>
              <w:t>显示终端</w:t>
            </w:r>
          </w:p>
        </w:tc>
        <w:tc>
          <w:tcPr>
            <w:tcW w:w="1950" w:type="dxa"/>
            <w:tcBorders>
              <w:top w:val="single" w:color="000000" w:sz="4" w:space="0"/>
              <w:left w:val="single" w:color="000000" w:sz="4" w:space="0"/>
              <w:bottom w:val="single" w:color="000000" w:sz="4" w:space="0"/>
              <w:right w:val="single" w:color="000000" w:sz="4" w:space="0"/>
            </w:tcBorders>
            <w:vAlign w:val="center"/>
          </w:tcPr>
          <w:p w14:paraId="141BED7D">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0FA3A1F6">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55E0A6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b/>
                <w:bCs/>
                <w:i w:val="0"/>
                <w:iCs w:val="0"/>
                <w:color w:val="auto"/>
                <w:kern w:val="0"/>
                <w:sz w:val="22"/>
                <w:szCs w:val="22"/>
                <w:highlight w:val="none"/>
                <w:u w:val="none"/>
                <w:lang w:val="en-US" w:eastAsia="zh-CN" w:bidi="ar"/>
              </w:rPr>
              <w:t>是</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675BD2B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b/>
                <w:bCs/>
                <w:i w:val="0"/>
                <w:iCs w:val="0"/>
                <w:color w:val="auto"/>
                <w:kern w:val="0"/>
                <w:sz w:val="22"/>
                <w:szCs w:val="22"/>
                <w:highlight w:val="none"/>
                <w:u w:val="none"/>
                <w:lang w:val="en-US" w:eastAsia="zh-CN" w:bidi="ar"/>
              </w:rPr>
              <w:t>是</w:t>
            </w:r>
          </w:p>
        </w:tc>
      </w:tr>
      <w:tr w14:paraId="3E44BF83">
        <w:tblPrEx>
          <w:tblCellMar>
            <w:top w:w="0" w:type="dxa"/>
            <w:left w:w="108" w:type="dxa"/>
            <w:bottom w:w="0" w:type="dxa"/>
            <w:right w:w="108" w:type="dxa"/>
          </w:tblCellMar>
        </w:tblPrEx>
        <w:trPr>
          <w:trHeight w:val="426"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67B391B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47</w:t>
            </w:r>
          </w:p>
        </w:tc>
        <w:tc>
          <w:tcPr>
            <w:tcW w:w="2609" w:type="dxa"/>
            <w:tcBorders>
              <w:top w:val="single" w:color="000000" w:sz="4" w:space="0"/>
              <w:left w:val="single" w:color="000000" w:sz="4" w:space="0"/>
              <w:bottom w:val="single" w:color="000000" w:sz="4" w:space="0"/>
              <w:right w:val="single" w:color="000000" w:sz="4" w:space="0"/>
            </w:tcBorders>
            <w:vAlign w:val="center"/>
          </w:tcPr>
          <w:p w14:paraId="64A0266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snapToGrid w:val="0"/>
                <w:color w:val="auto"/>
                <w:szCs w:val="21"/>
                <w:highlight w:val="none"/>
                <w:lang w:bidi="ar"/>
              </w:rPr>
            </w:pPr>
            <w:r>
              <w:rPr>
                <w:rFonts w:hint="eastAsia" w:ascii="宋体" w:hAnsi="宋体" w:cs="宋体"/>
                <w:snapToGrid w:val="0"/>
                <w:color w:val="auto"/>
                <w:szCs w:val="21"/>
                <w:highlight w:val="none"/>
                <w:lang w:bidi="ar"/>
              </w:rPr>
              <w:t>体能考试系统（长跑）</w:t>
            </w:r>
          </w:p>
        </w:tc>
        <w:tc>
          <w:tcPr>
            <w:tcW w:w="1950" w:type="dxa"/>
            <w:tcBorders>
              <w:top w:val="single" w:color="000000" w:sz="4" w:space="0"/>
              <w:left w:val="single" w:color="000000" w:sz="4" w:space="0"/>
              <w:bottom w:val="single" w:color="000000" w:sz="4" w:space="0"/>
              <w:right w:val="single" w:color="000000" w:sz="4" w:space="0"/>
            </w:tcBorders>
            <w:vAlign w:val="center"/>
          </w:tcPr>
          <w:p w14:paraId="03804460">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255FBC60">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33AA7B5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2D5A774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34A1C7B7">
        <w:tblPrEx>
          <w:tblCellMar>
            <w:top w:w="0" w:type="dxa"/>
            <w:left w:w="108" w:type="dxa"/>
            <w:bottom w:w="0" w:type="dxa"/>
            <w:right w:w="108" w:type="dxa"/>
          </w:tblCellMar>
        </w:tblPrEx>
        <w:trPr>
          <w:trHeight w:val="426"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3C969BC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48</w:t>
            </w:r>
          </w:p>
        </w:tc>
        <w:tc>
          <w:tcPr>
            <w:tcW w:w="2609" w:type="dxa"/>
            <w:tcBorders>
              <w:top w:val="single" w:color="000000" w:sz="4" w:space="0"/>
              <w:left w:val="single" w:color="000000" w:sz="4" w:space="0"/>
              <w:bottom w:val="single" w:color="000000" w:sz="4" w:space="0"/>
              <w:right w:val="single" w:color="000000" w:sz="4" w:space="0"/>
            </w:tcBorders>
            <w:vAlign w:val="center"/>
          </w:tcPr>
          <w:p w14:paraId="26C4EB3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snapToGrid w:val="0"/>
                <w:color w:val="auto"/>
                <w:szCs w:val="21"/>
                <w:highlight w:val="none"/>
                <w:lang w:bidi="ar"/>
              </w:rPr>
            </w:pPr>
            <w:r>
              <w:rPr>
                <w:rFonts w:hint="eastAsia" w:ascii="宋体" w:hAnsi="宋体" w:cs="宋体"/>
                <w:snapToGrid w:val="0"/>
                <w:color w:val="auto"/>
                <w:szCs w:val="21"/>
                <w:highlight w:val="none"/>
                <w:lang w:bidi="ar"/>
              </w:rPr>
              <w:t>5G球机</w:t>
            </w:r>
          </w:p>
        </w:tc>
        <w:tc>
          <w:tcPr>
            <w:tcW w:w="1950" w:type="dxa"/>
            <w:tcBorders>
              <w:top w:val="single" w:color="000000" w:sz="4" w:space="0"/>
              <w:left w:val="single" w:color="000000" w:sz="4" w:space="0"/>
              <w:bottom w:val="single" w:color="000000" w:sz="4" w:space="0"/>
              <w:right w:val="single" w:color="000000" w:sz="4" w:space="0"/>
            </w:tcBorders>
            <w:vAlign w:val="center"/>
          </w:tcPr>
          <w:p w14:paraId="0EFB4BE6">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60354AAC">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60DD7A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150118A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6D9E23FC">
        <w:tblPrEx>
          <w:tblCellMar>
            <w:top w:w="0" w:type="dxa"/>
            <w:left w:w="108" w:type="dxa"/>
            <w:bottom w:w="0" w:type="dxa"/>
            <w:right w:w="108" w:type="dxa"/>
          </w:tblCellMar>
        </w:tblPrEx>
        <w:trPr>
          <w:trHeight w:val="426"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4C6B50F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49</w:t>
            </w:r>
          </w:p>
        </w:tc>
        <w:tc>
          <w:tcPr>
            <w:tcW w:w="2609" w:type="dxa"/>
            <w:tcBorders>
              <w:top w:val="single" w:color="000000" w:sz="4" w:space="0"/>
              <w:left w:val="single" w:color="000000" w:sz="4" w:space="0"/>
              <w:bottom w:val="single" w:color="000000" w:sz="4" w:space="0"/>
              <w:right w:val="single" w:color="000000" w:sz="4" w:space="0"/>
            </w:tcBorders>
            <w:vAlign w:val="center"/>
          </w:tcPr>
          <w:p w14:paraId="1A5ABCF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snapToGrid w:val="0"/>
                <w:color w:val="auto"/>
                <w:szCs w:val="21"/>
                <w:highlight w:val="none"/>
                <w:lang w:bidi="ar"/>
              </w:rPr>
            </w:pPr>
            <w:r>
              <w:rPr>
                <w:rFonts w:hint="eastAsia" w:ascii="宋体" w:hAnsi="宋体" w:cs="宋体"/>
                <w:snapToGrid w:val="0"/>
                <w:color w:val="auto"/>
                <w:szCs w:val="21"/>
                <w:highlight w:val="none"/>
                <w:lang w:bidi="ar"/>
              </w:rPr>
              <w:t>5G单兵图传系统</w:t>
            </w:r>
          </w:p>
        </w:tc>
        <w:tc>
          <w:tcPr>
            <w:tcW w:w="1950" w:type="dxa"/>
            <w:tcBorders>
              <w:top w:val="single" w:color="000000" w:sz="4" w:space="0"/>
              <w:left w:val="single" w:color="000000" w:sz="4" w:space="0"/>
              <w:bottom w:val="single" w:color="000000" w:sz="4" w:space="0"/>
              <w:right w:val="single" w:color="000000" w:sz="4" w:space="0"/>
            </w:tcBorders>
            <w:vAlign w:val="center"/>
          </w:tcPr>
          <w:p w14:paraId="01D6B0A7">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29EA95AD">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6B10B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76F517A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7357D98E">
        <w:tblPrEx>
          <w:tblCellMar>
            <w:top w:w="0" w:type="dxa"/>
            <w:left w:w="108" w:type="dxa"/>
            <w:bottom w:w="0" w:type="dxa"/>
            <w:right w:w="108" w:type="dxa"/>
          </w:tblCellMar>
        </w:tblPrEx>
        <w:trPr>
          <w:trHeight w:val="426"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2FC6AAA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50</w:t>
            </w:r>
          </w:p>
        </w:tc>
        <w:tc>
          <w:tcPr>
            <w:tcW w:w="2609" w:type="dxa"/>
            <w:tcBorders>
              <w:top w:val="single" w:color="000000" w:sz="4" w:space="0"/>
              <w:left w:val="single" w:color="000000" w:sz="4" w:space="0"/>
              <w:bottom w:val="single" w:color="000000" w:sz="4" w:space="0"/>
              <w:right w:val="single" w:color="000000" w:sz="4" w:space="0"/>
            </w:tcBorders>
            <w:vAlign w:val="center"/>
          </w:tcPr>
          <w:p w14:paraId="73027E3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snapToGrid w:val="0"/>
                <w:color w:val="auto"/>
                <w:szCs w:val="21"/>
                <w:highlight w:val="none"/>
                <w:lang w:bidi="ar"/>
              </w:rPr>
            </w:pPr>
            <w:r>
              <w:rPr>
                <w:rFonts w:hint="eastAsia" w:ascii="宋体" w:hAnsi="宋体" w:cs="宋体"/>
                <w:snapToGrid w:val="0"/>
                <w:color w:val="auto"/>
                <w:szCs w:val="21"/>
                <w:highlight w:val="none"/>
                <w:lang w:bidi="ar"/>
              </w:rPr>
              <w:t>双光侦察无人机</w:t>
            </w:r>
          </w:p>
        </w:tc>
        <w:tc>
          <w:tcPr>
            <w:tcW w:w="1950" w:type="dxa"/>
            <w:tcBorders>
              <w:top w:val="single" w:color="000000" w:sz="4" w:space="0"/>
              <w:left w:val="single" w:color="000000" w:sz="4" w:space="0"/>
              <w:bottom w:val="single" w:color="000000" w:sz="4" w:space="0"/>
              <w:right w:val="single" w:color="000000" w:sz="4" w:space="0"/>
            </w:tcBorders>
            <w:vAlign w:val="center"/>
          </w:tcPr>
          <w:p w14:paraId="68CA323D">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0C52F783">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7B118A5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053ACD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611335C5">
        <w:tblPrEx>
          <w:tblCellMar>
            <w:top w:w="0" w:type="dxa"/>
            <w:left w:w="108" w:type="dxa"/>
            <w:bottom w:w="0" w:type="dxa"/>
            <w:right w:w="108" w:type="dxa"/>
          </w:tblCellMar>
        </w:tblPrEx>
        <w:trPr>
          <w:trHeight w:val="426"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450017C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5</w:t>
            </w:r>
            <w:r>
              <w:rPr>
                <w:rFonts w:hint="eastAsia" w:ascii="宋体" w:hAnsi="宋体" w:cs="宋体"/>
                <w:color w:val="auto"/>
                <w:szCs w:val="21"/>
                <w:highlight w:val="none"/>
                <w:lang w:val="en-US" w:eastAsia="zh-CN" w:bidi="ar"/>
              </w:rPr>
              <w:t>1</w:t>
            </w:r>
          </w:p>
        </w:tc>
        <w:tc>
          <w:tcPr>
            <w:tcW w:w="2609" w:type="dxa"/>
            <w:tcBorders>
              <w:top w:val="single" w:color="000000" w:sz="4" w:space="0"/>
              <w:left w:val="single" w:color="000000" w:sz="4" w:space="0"/>
              <w:bottom w:val="single" w:color="000000" w:sz="4" w:space="0"/>
              <w:right w:val="single" w:color="000000" w:sz="4" w:space="0"/>
            </w:tcBorders>
            <w:vAlign w:val="center"/>
          </w:tcPr>
          <w:p w14:paraId="3B46D17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snapToGrid w:val="0"/>
                <w:color w:val="auto"/>
                <w:szCs w:val="21"/>
                <w:highlight w:val="none"/>
                <w:lang w:bidi="ar"/>
              </w:rPr>
            </w:pPr>
            <w:r>
              <w:rPr>
                <w:rFonts w:hint="eastAsia" w:ascii="宋体" w:hAnsi="宋体" w:cs="宋体"/>
                <w:snapToGrid w:val="0"/>
                <w:color w:val="auto"/>
                <w:szCs w:val="21"/>
                <w:highlight w:val="none"/>
                <w:lang w:bidi="ar"/>
              </w:rPr>
              <w:t>运动相机</w:t>
            </w:r>
          </w:p>
        </w:tc>
        <w:tc>
          <w:tcPr>
            <w:tcW w:w="1950" w:type="dxa"/>
            <w:tcBorders>
              <w:top w:val="single" w:color="000000" w:sz="4" w:space="0"/>
              <w:left w:val="single" w:color="000000" w:sz="4" w:space="0"/>
              <w:bottom w:val="single" w:color="000000" w:sz="4" w:space="0"/>
              <w:right w:val="single" w:color="000000" w:sz="4" w:space="0"/>
            </w:tcBorders>
            <w:vAlign w:val="center"/>
          </w:tcPr>
          <w:p w14:paraId="47E9503C">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5AC40C97">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2140532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047CB13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r w14:paraId="44ABBF7C">
        <w:tblPrEx>
          <w:tblCellMar>
            <w:top w:w="0" w:type="dxa"/>
            <w:left w:w="108" w:type="dxa"/>
            <w:bottom w:w="0" w:type="dxa"/>
            <w:right w:w="108" w:type="dxa"/>
          </w:tblCellMar>
        </w:tblPrEx>
        <w:trPr>
          <w:trHeight w:val="426"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441A861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bidi="ar"/>
              </w:rPr>
              <w:t>5</w:t>
            </w:r>
            <w:r>
              <w:rPr>
                <w:rFonts w:hint="eastAsia" w:ascii="宋体" w:hAnsi="宋体" w:cs="宋体"/>
                <w:color w:val="auto"/>
                <w:szCs w:val="21"/>
                <w:highlight w:val="none"/>
                <w:lang w:val="en-US" w:eastAsia="zh-CN" w:bidi="ar"/>
              </w:rPr>
              <w:t>2</w:t>
            </w:r>
          </w:p>
        </w:tc>
        <w:tc>
          <w:tcPr>
            <w:tcW w:w="2609" w:type="dxa"/>
            <w:tcBorders>
              <w:top w:val="single" w:color="000000" w:sz="4" w:space="0"/>
              <w:left w:val="single" w:color="000000" w:sz="4" w:space="0"/>
              <w:bottom w:val="single" w:color="000000" w:sz="4" w:space="0"/>
              <w:right w:val="single" w:color="000000" w:sz="4" w:space="0"/>
            </w:tcBorders>
            <w:vAlign w:val="center"/>
          </w:tcPr>
          <w:p w14:paraId="65A1E91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cs="宋体"/>
                <w:snapToGrid w:val="0"/>
                <w:color w:val="auto"/>
                <w:szCs w:val="21"/>
                <w:highlight w:val="none"/>
                <w:lang w:bidi="ar"/>
              </w:rPr>
            </w:pPr>
            <w:r>
              <w:rPr>
                <w:rFonts w:hint="eastAsia" w:ascii="宋体" w:hAnsi="宋体" w:cs="宋体"/>
                <w:snapToGrid w:val="0"/>
                <w:color w:val="auto"/>
                <w:szCs w:val="21"/>
                <w:highlight w:val="none"/>
                <w:lang w:bidi="ar"/>
              </w:rPr>
              <w:t>对讲机</w:t>
            </w:r>
          </w:p>
        </w:tc>
        <w:tc>
          <w:tcPr>
            <w:tcW w:w="1950" w:type="dxa"/>
            <w:tcBorders>
              <w:top w:val="single" w:color="000000" w:sz="4" w:space="0"/>
              <w:left w:val="single" w:color="000000" w:sz="4" w:space="0"/>
              <w:bottom w:val="single" w:color="000000" w:sz="4" w:space="0"/>
              <w:right w:val="single" w:color="000000" w:sz="4" w:space="0"/>
            </w:tcBorders>
            <w:vAlign w:val="center"/>
          </w:tcPr>
          <w:p w14:paraId="04FCB16A">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详见《采购清单》</w:t>
            </w:r>
          </w:p>
        </w:tc>
        <w:tc>
          <w:tcPr>
            <w:tcW w:w="1586" w:type="dxa"/>
            <w:tcBorders>
              <w:top w:val="single" w:color="000000" w:sz="4" w:space="0"/>
              <w:left w:val="single" w:color="000000" w:sz="4" w:space="0"/>
              <w:bottom w:val="single" w:color="000000" w:sz="4" w:space="0"/>
              <w:right w:val="single" w:color="000000" w:sz="4" w:space="0"/>
            </w:tcBorders>
            <w:noWrap/>
            <w:vAlign w:val="center"/>
          </w:tcPr>
          <w:p w14:paraId="434EDA43">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工业（制造业）</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7789FDD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c>
          <w:tcPr>
            <w:tcW w:w="1447" w:type="dxa"/>
            <w:tcBorders>
              <w:top w:val="single" w:color="000000" w:sz="4" w:space="0"/>
              <w:left w:val="single" w:color="000000" w:sz="4" w:space="0"/>
              <w:bottom w:val="single" w:color="000000" w:sz="4" w:space="0"/>
              <w:right w:val="single" w:color="000000" w:sz="4" w:space="0"/>
            </w:tcBorders>
            <w:noWrap/>
            <w:vAlign w:val="center"/>
          </w:tcPr>
          <w:p w14:paraId="4F70855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Cs w:val="21"/>
                <w:highlight w:val="none"/>
              </w:rPr>
            </w:pPr>
            <w:r>
              <w:rPr>
                <w:rFonts w:hint="eastAsia" w:ascii="宋体" w:hAnsi="宋体" w:eastAsia="宋体" w:cs="宋体"/>
                <w:i w:val="0"/>
                <w:iCs w:val="0"/>
                <w:color w:val="auto"/>
                <w:kern w:val="0"/>
                <w:sz w:val="22"/>
                <w:szCs w:val="22"/>
                <w:highlight w:val="none"/>
                <w:u w:val="none"/>
                <w:lang w:val="en-US" w:eastAsia="zh-CN" w:bidi="ar"/>
              </w:rPr>
              <w:t>否</w:t>
            </w:r>
          </w:p>
        </w:tc>
      </w:tr>
    </w:tbl>
    <w:p w14:paraId="6F9639FF">
      <w:pPr>
        <w:pStyle w:val="311"/>
        <w:keepNext w:val="0"/>
        <w:keepLines w:val="0"/>
        <w:pageBreakBefore w:val="0"/>
        <w:kinsoku/>
        <w:wordWrap/>
        <w:overflowPunct/>
        <w:topLinePunct w:val="0"/>
        <w:autoSpaceDE/>
        <w:autoSpaceDN/>
        <w:bidi w:val="0"/>
        <w:adjustRightInd/>
        <w:snapToGrid/>
        <w:spacing w:line="400" w:lineRule="exact"/>
        <w:ind w:firstLine="0"/>
        <w:jc w:val="both"/>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rPr>
        <w:t>注：上述标注为CCC认证、强制节能的产品，必须在投标文件中提供相应符合要求且在有效期内的证书，否则按符合性审查不通过处理。</w:t>
      </w:r>
    </w:p>
    <w:p w14:paraId="1CB1169D">
      <w:pPr>
        <w:pStyle w:val="311"/>
        <w:keepNext w:val="0"/>
        <w:keepLines w:val="0"/>
        <w:pageBreakBefore w:val="0"/>
        <w:kinsoku/>
        <w:wordWrap/>
        <w:overflowPunct/>
        <w:topLinePunct w:val="0"/>
        <w:autoSpaceDE/>
        <w:autoSpaceDN/>
        <w:bidi w:val="0"/>
        <w:adjustRightInd/>
        <w:snapToGrid/>
        <w:spacing w:line="400" w:lineRule="exact"/>
        <w:ind w:firstLine="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采购清单</w:t>
      </w:r>
    </w:p>
    <w:tbl>
      <w:tblPr>
        <w:tblStyle w:val="31"/>
        <w:tblW w:w="9848" w:type="dxa"/>
        <w:jc w:val="center"/>
        <w:tblLayout w:type="fixed"/>
        <w:tblCellMar>
          <w:top w:w="0" w:type="dxa"/>
          <w:left w:w="108" w:type="dxa"/>
          <w:bottom w:w="0" w:type="dxa"/>
          <w:right w:w="108" w:type="dxa"/>
        </w:tblCellMar>
      </w:tblPr>
      <w:tblGrid>
        <w:gridCol w:w="634"/>
        <w:gridCol w:w="1007"/>
        <w:gridCol w:w="6967"/>
        <w:gridCol w:w="606"/>
        <w:gridCol w:w="634"/>
      </w:tblGrid>
      <w:tr w14:paraId="5B4DE081">
        <w:tblPrEx>
          <w:tblCellMar>
            <w:top w:w="0" w:type="dxa"/>
            <w:left w:w="108" w:type="dxa"/>
            <w:bottom w:w="0" w:type="dxa"/>
            <w:right w:w="108" w:type="dxa"/>
          </w:tblCellMar>
        </w:tblPrEx>
        <w:trPr>
          <w:trHeight w:val="190" w:hRule="atLeast"/>
          <w:tblHeader/>
          <w:jc w:val="center"/>
        </w:trPr>
        <w:tc>
          <w:tcPr>
            <w:tcW w:w="634" w:type="dxa"/>
            <w:tcBorders>
              <w:top w:val="single" w:color="000000" w:sz="4" w:space="0"/>
              <w:left w:val="single" w:color="000000" w:sz="4" w:space="0"/>
              <w:bottom w:val="single" w:color="000000" w:sz="4" w:space="0"/>
              <w:right w:val="single" w:color="000000" w:sz="4" w:space="0"/>
            </w:tcBorders>
            <w:vAlign w:val="center"/>
          </w:tcPr>
          <w:p w14:paraId="53E120E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序号</w:t>
            </w:r>
          </w:p>
        </w:tc>
        <w:tc>
          <w:tcPr>
            <w:tcW w:w="1007" w:type="dxa"/>
            <w:tcBorders>
              <w:top w:val="single" w:color="000000" w:sz="4" w:space="0"/>
              <w:left w:val="single" w:color="000000" w:sz="4" w:space="0"/>
              <w:bottom w:val="single" w:color="000000" w:sz="4" w:space="0"/>
              <w:right w:val="single" w:color="000000" w:sz="4" w:space="0"/>
            </w:tcBorders>
            <w:vAlign w:val="center"/>
          </w:tcPr>
          <w:p w14:paraId="2524407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设备名称</w:t>
            </w:r>
          </w:p>
        </w:tc>
        <w:tc>
          <w:tcPr>
            <w:tcW w:w="6967" w:type="dxa"/>
            <w:tcBorders>
              <w:top w:val="single" w:color="000000" w:sz="4" w:space="0"/>
              <w:left w:val="single" w:color="000000" w:sz="4" w:space="0"/>
              <w:bottom w:val="single" w:color="000000" w:sz="4" w:space="0"/>
              <w:right w:val="single" w:color="000000" w:sz="4" w:space="0"/>
            </w:tcBorders>
            <w:noWrap/>
            <w:vAlign w:val="center"/>
          </w:tcPr>
          <w:p w14:paraId="0BD58E4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技术参数</w:t>
            </w:r>
          </w:p>
        </w:tc>
        <w:tc>
          <w:tcPr>
            <w:tcW w:w="606" w:type="dxa"/>
            <w:tcBorders>
              <w:top w:val="single" w:color="000000" w:sz="4" w:space="0"/>
              <w:left w:val="single" w:color="000000" w:sz="4" w:space="0"/>
              <w:bottom w:val="single" w:color="000000" w:sz="4" w:space="0"/>
              <w:right w:val="single" w:color="000000" w:sz="4" w:space="0"/>
            </w:tcBorders>
            <w:vAlign w:val="center"/>
          </w:tcPr>
          <w:p w14:paraId="77CC6D6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数量</w:t>
            </w:r>
          </w:p>
        </w:tc>
        <w:tc>
          <w:tcPr>
            <w:tcW w:w="634" w:type="dxa"/>
            <w:tcBorders>
              <w:top w:val="single" w:color="000000" w:sz="4" w:space="0"/>
              <w:left w:val="single" w:color="000000" w:sz="4" w:space="0"/>
              <w:bottom w:val="single" w:color="000000" w:sz="4" w:space="0"/>
              <w:right w:val="single" w:color="000000" w:sz="4" w:space="0"/>
            </w:tcBorders>
            <w:vAlign w:val="center"/>
          </w:tcPr>
          <w:p w14:paraId="2977F27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单位</w:t>
            </w:r>
          </w:p>
        </w:tc>
      </w:tr>
      <w:tr w14:paraId="526D9D5E">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vAlign w:val="center"/>
          </w:tcPr>
          <w:p w14:paraId="14646F0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一</w:t>
            </w:r>
          </w:p>
        </w:tc>
        <w:tc>
          <w:tcPr>
            <w:tcW w:w="9214" w:type="dxa"/>
            <w:gridSpan w:val="4"/>
            <w:tcBorders>
              <w:top w:val="single" w:color="000000" w:sz="4" w:space="0"/>
              <w:left w:val="single" w:color="000000" w:sz="4" w:space="0"/>
              <w:bottom w:val="single" w:color="000000" w:sz="4" w:space="0"/>
              <w:right w:val="single" w:color="000000" w:sz="4" w:space="0"/>
            </w:tcBorders>
            <w:vAlign w:val="center"/>
          </w:tcPr>
          <w:p w14:paraId="0C7508F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演习工作站</w:t>
            </w:r>
          </w:p>
        </w:tc>
      </w:tr>
      <w:tr w14:paraId="59653406">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vAlign w:val="center"/>
          </w:tcPr>
          <w:p w14:paraId="386E8BD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color w:val="auto"/>
                <w:sz w:val="18"/>
                <w:szCs w:val="18"/>
                <w:highlight w:val="none"/>
                <w:lang w:eastAsia="zh-CN"/>
              </w:rPr>
            </w:pPr>
            <w:r>
              <w:rPr>
                <w:rFonts w:hint="eastAsia" w:ascii="宋体" w:hAnsi="宋体" w:cs="宋体"/>
                <w:snapToGrid w:val="0"/>
                <w:color w:val="auto"/>
                <w:sz w:val="18"/>
                <w:szCs w:val="18"/>
                <w:highlight w:val="none"/>
                <w:lang w:val="en-US" w:eastAsia="zh-CN" w:bidi="ar"/>
              </w:rPr>
              <w:t>1</w:t>
            </w:r>
          </w:p>
        </w:tc>
        <w:tc>
          <w:tcPr>
            <w:tcW w:w="1007" w:type="dxa"/>
            <w:tcBorders>
              <w:top w:val="single" w:color="000000" w:sz="4" w:space="0"/>
              <w:left w:val="single" w:color="000000" w:sz="4" w:space="0"/>
              <w:bottom w:val="single" w:color="000000" w:sz="4" w:space="0"/>
              <w:right w:val="single" w:color="000000" w:sz="4" w:space="0"/>
            </w:tcBorders>
            <w:vAlign w:val="center"/>
          </w:tcPr>
          <w:p w14:paraId="75C659E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网络演习显示设备</w:t>
            </w:r>
          </w:p>
        </w:tc>
        <w:tc>
          <w:tcPr>
            <w:tcW w:w="6967" w:type="dxa"/>
            <w:tcBorders>
              <w:top w:val="single" w:color="000000" w:sz="4" w:space="0"/>
              <w:left w:val="single" w:color="000000" w:sz="4" w:space="0"/>
              <w:bottom w:val="single" w:color="000000" w:sz="4" w:space="0"/>
              <w:right w:val="single" w:color="000000" w:sz="4" w:space="0"/>
            </w:tcBorders>
            <w:vAlign w:val="center"/>
          </w:tcPr>
          <w:p w14:paraId="00BFA0F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≥27英寸。</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分辨率不低于2K高清。</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刷新频率≥165Hz。</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不少于两个HDMI接口和一个DP接口。</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内置音箱。</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底座具备升降旋转功能。</w:t>
            </w:r>
          </w:p>
        </w:tc>
        <w:tc>
          <w:tcPr>
            <w:tcW w:w="606" w:type="dxa"/>
            <w:tcBorders>
              <w:top w:val="single" w:color="000000" w:sz="4" w:space="0"/>
              <w:left w:val="single" w:color="000000" w:sz="4" w:space="0"/>
              <w:bottom w:val="single" w:color="000000" w:sz="4" w:space="0"/>
              <w:right w:val="single" w:color="000000" w:sz="4" w:space="0"/>
            </w:tcBorders>
            <w:vAlign w:val="center"/>
          </w:tcPr>
          <w:p w14:paraId="0FC214A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12</w:t>
            </w:r>
          </w:p>
        </w:tc>
        <w:tc>
          <w:tcPr>
            <w:tcW w:w="634" w:type="dxa"/>
            <w:tcBorders>
              <w:top w:val="single" w:color="000000" w:sz="4" w:space="0"/>
              <w:left w:val="single" w:color="000000" w:sz="4" w:space="0"/>
              <w:bottom w:val="single" w:color="000000" w:sz="4" w:space="0"/>
              <w:right w:val="single" w:color="000000" w:sz="4" w:space="0"/>
            </w:tcBorders>
            <w:vAlign w:val="center"/>
          </w:tcPr>
          <w:p w14:paraId="23750FF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79ED5785">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vAlign w:val="center"/>
          </w:tcPr>
          <w:p w14:paraId="3161C84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color w:val="auto"/>
                <w:sz w:val="18"/>
                <w:szCs w:val="18"/>
                <w:highlight w:val="none"/>
                <w:lang w:eastAsia="zh-CN"/>
              </w:rPr>
            </w:pPr>
            <w:r>
              <w:rPr>
                <w:rFonts w:hint="eastAsia" w:ascii="宋体" w:hAnsi="宋体" w:cs="宋体"/>
                <w:snapToGrid w:val="0"/>
                <w:color w:val="auto"/>
                <w:sz w:val="18"/>
                <w:szCs w:val="18"/>
                <w:highlight w:val="none"/>
                <w:lang w:val="en-US" w:eastAsia="zh-CN" w:bidi="ar"/>
              </w:rPr>
              <w:t>2</w:t>
            </w:r>
          </w:p>
        </w:tc>
        <w:tc>
          <w:tcPr>
            <w:tcW w:w="1007" w:type="dxa"/>
            <w:tcBorders>
              <w:top w:val="single" w:color="000000" w:sz="4" w:space="0"/>
              <w:left w:val="single" w:color="000000" w:sz="4" w:space="0"/>
              <w:bottom w:val="single" w:color="000000" w:sz="4" w:space="0"/>
              <w:right w:val="single" w:color="000000" w:sz="4" w:space="0"/>
            </w:tcBorders>
            <w:vAlign w:val="center"/>
          </w:tcPr>
          <w:p w14:paraId="5AF9E60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NAS网络存储</w:t>
            </w:r>
          </w:p>
        </w:tc>
        <w:tc>
          <w:tcPr>
            <w:tcW w:w="6967" w:type="dxa"/>
            <w:tcBorders>
              <w:top w:val="single" w:color="000000" w:sz="4" w:space="0"/>
              <w:left w:val="single" w:color="000000" w:sz="4" w:space="0"/>
              <w:bottom w:val="single" w:color="000000" w:sz="4" w:space="0"/>
              <w:right w:val="single" w:color="000000" w:sz="4" w:space="0"/>
            </w:tcBorders>
            <w:vAlign w:val="center"/>
          </w:tcPr>
          <w:p w14:paraId="799AFC5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网口数量≥2个。</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特殊功能：支持虚拟机，支持文档同步。</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USB-A3.0接口数≥2个，USB-A2.0接口数≥1个。</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内存容量≥8GB。</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处理器≥四核心处理器。</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网口速率≥2.5Gb。</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规格≥四盘NAS。</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内置M.2插槽≥2个。</w:t>
            </w:r>
          </w:p>
          <w:p w14:paraId="1172B90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含硬盘16T*4。</w:t>
            </w:r>
          </w:p>
        </w:tc>
        <w:tc>
          <w:tcPr>
            <w:tcW w:w="606" w:type="dxa"/>
            <w:tcBorders>
              <w:top w:val="single" w:color="000000" w:sz="4" w:space="0"/>
              <w:left w:val="single" w:color="000000" w:sz="4" w:space="0"/>
              <w:bottom w:val="single" w:color="000000" w:sz="4" w:space="0"/>
              <w:right w:val="single" w:color="000000" w:sz="4" w:space="0"/>
            </w:tcBorders>
            <w:vAlign w:val="center"/>
          </w:tcPr>
          <w:p w14:paraId="7568E2A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vAlign w:val="center"/>
          </w:tcPr>
          <w:p w14:paraId="4652DB4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18ADA708">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vAlign w:val="center"/>
          </w:tcPr>
          <w:p w14:paraId="4B06748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二</w:t>
            </w:r>
          </w:p>
        </w:tc>
        <w:tc>
          <w:tcPr>
            <w:tcW w:w="9214" w:type="dxa"/>
            <w:gridSpan w:val="4"/>
            <w:tcBorders>
              <w:top w:val="single" w:color="000000" w:sz="4" w:space="0"/>
              <w:left w:val="single" w:color="000000" w:sz="4" w:space="0"/>
              <w:bottom w:val="single" w:color="000000" w:sz="4" w:space="0"/>
              <w:right w:val="single" w:color="000000" w:sz="4" w:space="0"/>
            </w:tcBorders>
            <w:vAlign w:val="center"/>
          </w:tcPr>
          <w:p w14:paraId="58A22595">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default" w:ascii="宋体" w:hAnsi="宋体" w:eastAsia="宋体" w:cs="宋体"/>
                <w:color w:val="auto"/>
                <w:sz w:val="18"/>
                <w:szCs w:val="18"/>
                <w:highlight w:val="none"/>
                <w:lang w:val="en-US" w:eastAsia="zh-CN"/>
              </w:rPr>
            </w:pPr>
            <w:r>
              <w:rPr>
                <w:rFonts w:hint="eastAsia" w:ascii="宋体" w:hAnsi="宋体" w:cs="宋体"/>
                <w:b/>
                <w:bCs/>
                <w:snapToGrid w:val="0"/>
                <w:color w:val="auto"/>
                <w:sz w:val="18"/>
                <w:szCs w:val="18"/>
                <w:highlight w:val="none"/>
                <w:lang w:bidi="ar"/>
              </w:rPr>
              <w:t>无人机</w:t>
            </w:r>
            <w:r>
              <w:rPr>
                <w:rFonts w:hint="eastAsia" w:ascii="宋体" w:hAnsi="宋体" w:cs="宋体"/>
                <w:b/>
                <w:bCs/>
                <w:snapToGrid w:val="0"/>
                <w:color w:val="auto"/>
                <w:sz w:val="18"/>
                <w:szCs w:val="18"/>
                <w:highlight w:val="none"/>
                <w:lang w:val="en-US" w:eastAsia="zh-CN" w:bidi="ar"/>
              </w:rPr>
              <w:t>及配套服务</w:t>
            </w:r>
          </w:p>
        </w:tc>
      </w:tr>
      <w:tr w14:paraId="64EED1D2">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1B18C25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color w:val="auto"/>
                <w:sz w:val="18"/>
                <w:szCs w:val="18"/>
                <w:highlight w:val="none"/>
                <w:lang w:eastAsia="zh-CN"/>
              </w:rPr>
            </w:pPr>
            <w:r>
              <w:rPr>
                <w:rFonts w:hint="eastAsia" w:ascii="宋体" w:hAnsi="宋体" w:cs="宋体"/>
                <w:snapToGrid w:val="0"/>
                <w:color w:val="auto"/>
                <w:sz w:val="18"/>
                <w:szCs w:val="18"/>
                <w:highlight w:val="none"/>
                <w:lang w:val="en-US" w:eastAsia="zh-CN" w:bidi="ar"/>
              </w:rPr>
              <w:t>3</w:t>
            </w:r>
          </w:p>
        </w:tc>
        <w:tc>
          <w:tcPr>
            <w:tcW w:w="1007" w:type="dxa"/>
            <w:tcBorders>
              <w:top w:val="single" w:color="000000" w:sz="4" w:space="0"/>
              <w:left w:val="single" w:color="000000" w:sz="4" w:space="0"/>
              <w:bottom w:val="single" w:color="000000" w:sz="4" w:space="0"/>
              <w:right w:val="single" w:color="000000" w:sz="4" w:space="0"/>
            </w:tcBorders>
            <w:vAlign w:val="center"/>
          </w:tcPr>
          <w:p w14:paraId="05A7329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综合实战指挥</w:t>
            </w:r>
            <w:r>
              <w:rPr>
                <w:rFonts w:hint="eastAsia" w:ascii="宋体" w:hAnsi="宋体" w:cs="宋体"/>
                <w:snapToGrid w:val="0"/>
                <w:color w:val="auto"/>
                <w:sz w:val="18"/>
                <w:szCs w:val="18"/>
                <w:highlight w:val="none"/>
                <w:lang w:eastAsia="zh-CN" w:bidi="ar"/>
              </w:rPr>
              <w:t>－</w:t>
            </w:r>
            <w:r>
              <w:rPr>
                <w:rFonts w:hint="eastAsia" w:ascii="宋体" w:hAnsi="宋体" w:cs="宋体"/>
                <w:snapToGrid w:val="0"/>
                <w:color w:val="auto"/>
                <w:sz w:val="18"/>
                <w:szCs w:val="18"/>
                <w:highlight w:val="none"/>
                <w:lang w:bidi="ar"/>
              </w:rPr>
              <w:t>自动机场服务</w:t>
            </w:r>
          </w:p>
        </w:tc>
        <w:tc>
          <w:tcPr>
            <w:tcW w:w="6967" w:type="dxa"/>
            <w:tcBorders>
              <w:top w:val="single" w:color="000000" w:sz="4" w:space="0"/>
              <w:left w:val="single" w:color="000000" w:sz="4" w:space="0"/>
              <w:bottom w:val="single" w:color="000000" w:sz="4" w:space="0"/>
              <w:right w:val="single" w:color="000000" w:sz="4" w:space="0"/>
            </w:tcBorders>
            <w:vAlign w:val="center"/>
          </w:tcPr>
          <w:p w14:paraId="587E6F3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rPr>
              <w:t>提供无人机自动机场操控系统服务</w:t>
            </w:r>
            <w:r>
              <w:rPr>
                <w:rFonts w:hint="eastAsia" w:ascii="宋体" w:hAnsi="宋体" w:cs="宋体"/>
                <w:color w:val="auto"/>
                <w:sz w:val="18"/>
                <w:szCs w:val="18"/>
                <w:highlight w:val="none"/>
                <w:lang w:eastAsia="zh-CN"/>
              </w:rPr>
              <w:t>。</w:t>
            </w:r>
          </w:p>
          <w:p w14:paraId="39B0D9F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eastAsia="zh-CN"/>
              </w:rPr>
              <w:t>1.数据总览：通过数据大屏可视化展示系统运行、资源、统计与分析，优化系统运维。</w:t>
            </w:r>
          </w:p>
          <w:p w14:paraId="6C6104B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val="en-US" w:eastAsia="zh-CN"/>
              </w:rPr>
              <w:t>2.设备管理：支持设备的添加、修改、删除及权限设置。</w:t>
            </w:r>
          </w:p>
          <w:p w14:paraId="0B0765B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val="en-US" w:eastAsia="zh-CN"/>
              </w:rPr>
              <w:t>3.多源图像：支持无人机、无人机机场、运动相机、手机、全景相机、执法记录仪等多种图像源接入，手机端和指挥中心大屏均可实时查看与灵活调用。</w:t>
            </w:r>
          </w:p>
          <w:p w14:paraId="151CDA7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val="en-US" w:eastAsia="zh-CN"/>
              </w:rPr>
              <w:t>4.分屏切换：内置多种视频分屏模板，支持视频拖拽排序等功能。</w:t>
            </w:r>
          </w:p>
          <w:p w14:paraId="0FD60AC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val="en-US" w:eastAsia="zh-CN"/>
              </w:rPr>
              <w:t>5.视频定位：在二三维地图上显示视频源位置。</w:t>
            </w:r>
          </w:p>
          <w:p w14:paraId="29FC488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lang w:val="en-US" w:eastAsia="zh-CN"/>
              </w:rPr>
              <w:t>6</w:t>
            </w:r>
            <w:r>
              <w:rPr>
                <w:rFonts w:hint="eastAsia" w:ascii="宋体" w:hAnsi="宋体" w:cs="宋体"/>
                <w:color w:val="auto"/>
                <w:sz w:val="18"/>
                <w:szCs w:val="18"/>
                <w:highlight w:val="none"/>
              </w:rPr>
              <w:t>.远程控制：全面兼容无人机机场，</w:t>
            </w:r>
            <w:r>
              <w:rPr>
                <w:rFonts w:hint="eastAsia" w:ascii="宋体" w:hAnsi="宋体" w:cs="宋体"/>
                <w:color w:val="auto"/>
                <w:sz w:val="18"/>
                <w:szCs w:val="18"/>
                <w:highlight w:val="none"/>
                <w:lang w:eastAsia="zh-CN"/>
              </w:rPr>
              <w:t>可通过</w:t>
            </w:r>
            <w:r>
              <w:rPr>
                <w:rFonts w:hint="eastAsia" w:ascii="宋体" w:hAnsi="宋体" w:cs="宋体"/>
                <w:color w:val="auto"/>
                <w:sz w:val="18"/>
                <w:szCs w:val="18"/>
                <w:highlight w:val="none"/>
              </w:rPr>
              <w:t>平台端远程控制无人机机场，自动执行任务。</w:t>
            </w:r>
          </w:p>
          <w:p w14:paraId="78648FC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val="en-US" w:eastAsia="zh-CN"/>
              </w:rPr>
              <w:t>7.高清直播：具备低延时、高同步、高清晰、高并发的直播功能。</w:t>
            </w:r>
          </w:p>
          <w:p w14:paraId="118B151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val="en-US" w:eastAsia="zh-CN"/>
              </w:rPr>
              <w:t>8.态势感知：平台端实时展现前端机场状态、无人机位置、图像、飞行状态及航线轨迹等信息，增强前后端态势信息的共享与协作能力。</w:t>
            </w:r>
          </w:p>
          <w:p w14:paraId="50FAA0A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val="en-US" w:eastAsia="zh-CN"/>
              </w:rPr>
              <w:t>9.异常提醒：遇极端天气、设备故障等异常情况，系统自动触发报警，提升设备运行安全性。</w:t>
            </w:r>
          </w:p>
          <w:p w14:paraId="04F2A70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eastAsia="zh-CN"/>
              </w:rPr>
              <w:t>1</w:t>
            </w:r>
            <w:r>
              <w:rPr>
                <w:rFonts w:hint="eastAsia" w:ascii="宋体" w:hAnsi="宋体" w:cs="宋体"/>
                <w:color w:val="auto"/>
                <w:sz w:val="18"/>
                <w:szCs w:val="18"/>
                <w:highlight w:val="none"/>
                <w:lang w:val="en-US" w:eastAsia="zh-CN"/>
              </w:rPr>
              <w:t>0.远程维护：支持设备远程调试及运行状态查询。</w:t>
            </w:r>
          </w:p>
          <w:p w14:paraId="7AC8094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eastAsia="zh-CN"/>
              </w:rPr>
              <w:t>1</w:t>
            </w:r>
            <w:r>
              <w:rPr>
                <w:rFonts w:hint="eastAsia" w:ascii="宋体" w:hAnsi="宋体" w:cs="宋体"/>
                <w:color w:val="auto"/>
                <w:sz w:val="18"/>
                <w:szCs w:val="18"/>
                <w:highlight w:val="none"/>
                <w:lang w:val="en-US" w:eastAsia="zh-CN"/>
              </w:rPr>
              <w:t>1.航线库：航线三维可视化呈现，点击地图上的航线即可快速起飞，使航线飞行更安全、高效。</w:t>
            </w:r>
          </w:p>
          <w:p w14:paraId="238409E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eastAsia="zh-CN"/>
              </w:rPr>
              <w:t>1</w:t>
            </w:r>
            <w:r>
              <w:rPr>
                <w:rFonts w:hint="eastAsia" w:ascii="宋体" w:hAnsi="宋体" w:cs="宋体"/>
                <w:color w:val="auto"/>
                <w:sz w:val="18"/>
                <w:szCs w:val="18"/>
                <w:highlight w:val="none"/>
                <w:lang w:val="en-US" w:eastAsia="zh-CN"/>
              </w:rPr>
              <w:t>2.任务库：可随时查看机场任务的执行状态、时间及操作人员等信息，优化机场管理。</w:t>
            </w:r>
          </w:p>
          <w:p w14:paraId="51E8807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eastAsia="zh-CN"/>
              </w:rPr>
              <w:t>1</w:t>
            </w:r>
            <w:r>
              <w:rPr>
                <w:rFonts w:hint="eastAsia" w:ascii="宋体" w:hAnsi="宋体" w:cs="宋体"/>
                <w:color w:val="auto"/>
                <w:sz w:val="18"/>
                <w:szCs w:val="18"/>
                <w:highlight w:val="none"/>
                <w:lang w:val="en-US" w:eastAsia="zh-CN"/>
              </w:rPr>
              <w:t>3.媒体库：存储飞行任务所获取的视频和照片，支持云端存储与回放。</w:t>
            </w:r>
          </w:p>
          <w:p w14:paraId="7479F49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eastAsia="zh-CN"/>
              </w:rPr>
              <w:t>1</w:t>
            </w:r>
            <w:r>
              <w:rPr>
                <w:rFonts w:hint="eastAsia" w:ascii="宋体" w:hAnsi="宋体" w:cs="宋体"/>
                <w:color w:val="auto"/>
                <w:sz w:val="18"/>
                <w:szCs w:val="18"/>
                <w:highlight w:val="none"/>
                <w:lang w:val="en-US" w:eastAsia="zh-CN"/>
              </w:rPr>
              <w:t>4.标注功能：支持点、线、面、圆标注及同步，并自动测量长度、面积。</w:t>
            </w:r>
          </w:p>
          <w:p w14:paraId="0D9FCF3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1</w:t>
            </w:r>
            <w:r>
              <w:rPr>
                <w:rFonts w:hint="eastAsia" w:ascii="宋体" w:hAnsi="宋体" w:cs="宋体"/>
                <w:color w:val="auto"/>
                <w:sz w:val="18"/>
                <w:szCs w:val="18"/>
                <w:highlight w:val="none"/>
                <w:lang w:val="en-US" w:eastAsia="zh-CN"/>
              </w:rPr>
              <w:t>5</w:t>
            </w:r>
            <w:r>
              <w:rPr>
                <w:rFonts w:hint="eastAsia" w:ascii="宋体" w:hAnsi="宋体" w:cs="宋体"/>
                <w:color w:val="auto"/>
                <w:sz w:val="18"/>
                <w:szCs w:val="18"/>
                <w:highlight w:val="none"/>
              </w:rPr>
              <w:t>.机场勘址：基于高清卫星影像、二维正射或实景三维模型进行机场勘址，在地图上点击添加预选址标识，便于机场进行集群蜂窝状部署规划。</w:t>
            </w:r>
          </w:p>
          <w:p w14:paraId="08D3060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eastAsia="zh-CN"/>
              </w:rPr>
              <w:t>1</w:t>
            </w:r>
            <w:r>
              <w:rPr>
                <w:rFonts w:hint="eastAsia" w:ascii="宋体" w:hAnsi="宋体" w:cs="宋体"/>
                <w:color w:val="auto"/>
                <w:sz w:val="18"/>
                <w:szCs w:val="18"/>
                <w:highlight w:val="none"/>
                <w:lang w:val="en-US" w:eastAsia="zh-CN"/>
              </w:rPr>
              <w:t>6.多源数据：支持加载二三维模型、BIM 模型、城市白膜等多种基础数据。</w:t>
            </w:r>
          </w:p>
          <w:p w14:paraId="4F39E3F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val="en-US" w:eastAsia="zh-CN"/>
              </w:rPr>
              <w:t>17.多源底图：可随意切换高清卫星影像、电子地图、暗色底图、地形图等底图。</w:t>
            </w:r>
          </w:p>
          <w:p w14:paraId="6139D24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lang w:val="en-US" w:eastAsia="zh-CN"/>
              </w:rPr>
              <w:t>18</w:t>
            </w:r>
            <w:r>
              <w:rPr>
                <w:rFonts w:hint="eastAsia" w:ascii="宋体" w:hAnsi="宋体" w:cs="宋体"/>
                <w:color w:val="auto"/>
                <w:sz w:val="18"/>
                <w:szCs w:val="18"/>
                <w:highlight w:val="none"/>
              </w:rPr>
              <w:t>.图上量算：具备点坐标、空间距离、贴地距离、水平面积、贴面面积、角度、高度、体积等测量功能。</w:t>
            </w:r>
          </w:p>
          <w:p w14:paraId="626DBE5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val="en-US" w:eastAsia="zh-CN"/>
              </w:rPr>
              <w:t>19.图上标绘：具备平面、三维立体及三维小模型标注功能。</w:t>
            </w:r>
          </w:p>
          <w:p w14:paraId="1633ADE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eastAsia="zh-CN"/>
              </w:rPr>
              <w:t>2</w:t>
            </w:r>
            <w:r>
              <w:rPr>
                <w:rFonts w:hint="eastAsia" w:ascii="宋体" w:hAnsi="宋体" w:cs="宋体"/>
                <w:color w:val="auto"/>
                <w:sz w:val="18"/>
                <w:szCs w:val="18"/>
                <w:highlight w:val="none"/>
                <w:lang w:val="en-US" w:eastAsia="zh-CN"/>
              </w:rPr>
              <w:t>0.模型分析：支持卷帘比对与分屏比对，直观展现模型数据变化。</w:t>
            </w:r>
          </w:p>
          <w:p w14:paraId="2AF2FEA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eastAsia="zh-CN"/>
              </w:rPr>
              <w:t>2</w:t>
            </w:r>
            <w:r>
              <w:rPr>
                <w:rFonts w:hint="eastAsia" w:ascii="宋体" w:hAnsi="宋体" w:cs="宋体"/>
                <w:color w:val="auto"/>
                <w:sz w:val="18"/>
                <w:szCs w:val="18"/>
                <w:highlight w:val="none"/>
                <w:lang w:val="en-US" w:eastAsia="zh-CN"/>
              </w:rPr>
              <w:t>1.飞行漫游：可自定义漫游线路，支持设置跟随视角、锁定第一视角、锁定上帝视角，并可自定义漫游高度与速度。</w:t>
            </w:r>
          </w:p>
          <w:p w14:paraId="2B25CAF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eastAsia="zh-CN"/>
              </w:rPr>
              <w:t>2</w:t>
            </w:r>
            <w:r>
              <w:rPr>
                <w:rFonts w:hint="eastAsia" w:ascii="宋体" w:hAnsi="宋体" w:cs="宋体"/>
                <w:color w:val="auto"/>
                <w:sz w:val="18"/>
                <w:szCs w:val="18"/>
                <w:highlight w:val="none"/>
                <w:lang w:val="en-US" w:eastAsia="zh-CN"/>
              </w:rPr>
              <w:t>2.AR 投影：将直播画面与三维、二维画面结合，呈现AR投影效果。</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62D716F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9</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7B13400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套</w:t>
            </w:r>
          </w:p>
        </w:tc>
      </w:tr>
      <w:tr w14:paraId="57427EAB">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01157D4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color w:val="auto"/>
                <w:sz w:val="18"/>
                <w:szCs w:val="18"/>
                <w:highlight w:val="none"/>
                <w:lang w:eastAsia="zh-CN"/>
              </w:rPr>
            </w:pPr>
            <w:r>
              <w:rPr>
                <w:rFonts w:hint="eastAsia" w:ascii="宋体" w:hAnsi="宋体" w:cs="宋体"/>
                <w:snapToGrid w:val="0"/>
                <w:color w:val="auto"/>
                <w:sz w:val="18"/>
                <w:szCs w:val="18"/>
                <w:highlight w:val="none"/>
                <w:lang w:val="en-US" w:eastAsia="zh-CN" w:bidi="ar"/>
              </w:rPr>
              <w:t>4</w:t>
            </w:r>
          </w:p>
        </w:tc>
        <w:tc>
          <w:tcPr>
            <w:tcW w:w="1007" w:type="dxa"/>
            <w:tcBorders>
              <w:top w:val="single" w:color="000000" w:sz="4" w:space="0"/>
              <w:left w:val="single" w:color="000000" w:sz="4" w:space="0"/>
              <w:bottom w:val="single" w:color="000000" w:sz="4" w:space="0"/>
              <w:right w:val="single" w:color="000000" w:sz="4" w:space="0"/>
            </w:tcBorders>
            <w:vAlign w:val="center"/>
          </w:tcPr>
          <w:p w14:paraId="71DC07B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专业飞手及咨询报告服务</w:t>
            </w:r>
          </w:p>
        </w:tc>
        <w:tc>
          <w:tcPr>
            <w:tcW w:w="6967" w:type="dxa"/>
            <w:tcBorders>
              <w:top w:val="single" w:color="000000" w:sz="4" w:space="0"/>
              <w:left w:val="single" w:color="000000" w:sz="4" w:space="0"/>
              <w:bottom w:val="single" w:color="auto" w:sz="4" w:space="0"/>
              <w:right w:val="single" w:color="000000" w:sz="4" w:space="0"/>
            </w:tcBorders>
            <w:vAlign w:val="center"/>
          </w:tcPr>
          <w:p w14:paraId="081C39C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eastAsia="宋体"/>
                <w:color w:val="auto"/>
                <w:highlight w:val="none"/>
                <w:lang w:eastAsia="zh-CN"/>
              </w:rPr>
            </w:pPr>
            <w:r>
              <w:rPr>
                <w:rFonts w:hint="eastAsia" w:ascii="宋体" w:hAnsi="宋体" w:cs="宋体"/>
                <w:color w:val="auto"/>
                <w:sz w:val="18"/>
                <w:szCs w:val="18"/>
                <w:highlight w:val="none"/>
                <w:lang w:eastAsia="zh-CN"/>
              </w:rPr>
              <w:t>1</w:t>
            </w:r>
            <w:r>
              <w:rPr>
                <w:rFonts w:hint="eastAsia" w:ascii="宋体" w:hAnsi="宋体" w:cs="宋体"/>
                <w:color w:val="auto"/>
                <w:sz w:val="18"/>
                <w:szCs w:val="18"/>
                <w:highlight w:val="none"/>
                <w:lang w:val="en-US" w:eastAsia="zh-CN"/>
              </w:rPr>
              <w:t>.</w:t>
            </w:r>
            <w:r>
              <w:rPr>
                <w:rFonts w:hint="eastAsia" w:ascii="宋体" w:hAnsi="宋体" w:cs="宋体"/>
                <w:color w:val="auto"/>
                <w:sz w:val="18"/>
                <w:szCs w:val="18"/>
                <w:highlight w:val="none"/>
                <w:lang w:eastAsia="zh-CN"/>
              </w:rPr>
              <w:t>安排专业飞手7×24小时常驻消防指挥中心（至少保证一人在岗，可轮班）。遇火灾、防汛抗旱等突发事件，服务商须在接报后3分钟内起飞侦察，实时回传现场全景画面，辅助指挥部决策。</w:t>
            </w:r>
          </w:p>
          <w:p w14:paraId="1BF4EDC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2</w:t>
            </w:r>
            <w:r>
              <w:rPr>
                <w:rFonts w:hint="eastAsia" w:ascii="宋体" w:hAnsi="宋体" w:cs="宋体"/>
                <w:color w:val="auto"/>
                <w:sz w:val="18"/>
                <w:szCs w:val="18"/>
                <w:highlight w:val="none"/>
                <w:lang w:val="en-US" w:eastAsia="zh-CN"/>
              </w:rPr>
              <w:t>.</w:t>
            </w:r>
            <w:r>
              <w:rPr>
                <w:rFonts w:hint="eastAsia" w:ascii="宋体" w:hAnsi="宋体" w:cs="宋体"/>
                <w:color w:val="auto"/>
                <w:sz w:val="18"/>
                <w:szCs w:val="18"/>
                <w:highlight w:val="none"/>
              </w:rPr>
              <w:t>每周按预定航线对重点区域进行自动或半自动巡航，采集高清影像及视频数据。利用无人机搭载高清变焦相机，对疑似风险点位（</w:t>
            </w:r>
            <w:r>
              <w:rPr>
                <w:rFonts w:hint="eastAsia" w:ascii="宋体" w:hAnsi="宋体" w:cs="宋体"/>
                <w:color w:val="auto"/>
                <w:sz w:val="18"/>
                <w:szCs w:val="18"/>
                <w:highlight w:val="none"/>
                <w:lang w:eastAsia="zh-CN"/>
              </w:rPr>
              <w:t>如</w:t>
            </w:r>
            <w:r>
              <w:rPr>
                <w:rFonts w:hint="eastAsia" w:ascii="宋体" w:hAnsi="宋体" w:cs="宋体"/>
                <w:color w:val="auto"/>
                <w:sz w:val="18"/>
                <w:szCs w:val="18"/>
                <w:highlight w:val="none"/>
              </w:rPr>
              <w:t>占用消防通道、危化品违规堆放）进行抵近拍摄</w:t>
            </w:r>
            <w:r>
              <w:rPr>
                <w:rFonts w:hint="eastAsia" w:ascii="宋体" w:hAnsi="宋体" w:cs="宋体"/>
                <w:color w:val="auto"/>
                <w:sz w:val="18"/>
                <w:szCs w:val="18"/>
                <w:highlight w:val="none"/>
                <w:lang w:eastAsia="zh-CN"/>
              </w:rPr>
              <w:t>及</w:t>
            </w:r>
            <w:r>
              <w:rPr>
                <w:rFonts w:hint="eastAsia" w:ascii="宋体" w:hAnsi="宋体" w:cs="宋体"/>
                <w:color w:val="auto"/>
                <w:sz w:val="18"/>
                <w:szCs w:val="18"/>
                <w:highlight w:val="none"/>
              </w:rPr>
              <w:t>二维、三维建模，生成巡查报告</w:t>
            </w:r>
            <w:r>
              <w:rPr>
                <w:rFonts w:hint="eastAsia" w:ascii="宋体" w:hAnsi="宋体" w:cs="宋体"/>
                <w:color w:val="auto"/>
                <w:sz w:val="18"/>
                <w:szCs w:val="18"/>
                <w:highlight w:val="none"/>
                <w:lang w:eastAsia="zh-CN"/>
              </w:rPr>
              <w:t>并</w:t>
            </w:r>
            <w:r>
              <w:rPr>
                <w:rFonts w:hint="eastAsia" w:ascii="宋体" w:hAnsi="宋体" w:cs="宋体"/>
                <w:color w:val="auto"/>
                <w:sz w:val="18"/>
                <w:szCs w:val="18"/>
                <w:highlight w:val="none"/>
              </w:rPr>
              <w:t>上报至消防指挥中心。</w:t>
            </w:r>
          </w:p>
        </w:tc>
        <w:tc>
          <w:tcPr>
            <w:tcW w:w="606" w:type="dxa"/>
            <w:tcBorders>
              <w:top w:val="single" w:color="000000" w:sz="4" w:space="0"/>
              <w:left w:val="single" w:color="000000" w:sz="4" w:space="0"/>
              <w:bottom w:val="single" w:color="auto" w:sz="4" w:space="0"/>
              <w:right w:val="single" w:color="000000" w:sz="4" w:space="0"/>
            </w:tcBorders>
            <w:noWrap/>
            <w:vAlign w:val="center"/>
          </w:tcPr>
          <w:p w14:paraId="09AA603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9</w:t>
            </w:r>
          </w:p>
        </w:tc>
        <w:tc>
          <w:tcPr>
            <w:tcW w:w="634" w:type="dxa"/>
            <w:tcBorders>
              <w:top w:val="single" w:color="000000" w:sz="4" w:space="0"/>
              <w:left w:val="single" w:color="000000" w:sz="4" w:space="0"/>
              <w:bottom w:val="single" w:color="auto" w:sz="4" w:space="0"/>
              <w:right w:val="single" w:color="000000" w:sz="4" w:space="0"/>
            </w:tcBorders>
            <w:noWrap/>
            <w:vAlign w:val="center"/>
          </w:tcPr>
          <w:p w14:paraId="2CBE069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套</w:t>
            </w:r>
          </w:p>
        </w:tc>
      </w:tr>
      <w:tr w14:paraId="280A83B2">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11CCFE7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color w:val="auto"/>
                <w:sz w:val="18"/>
                <w:szCs w:val="18"/>
                <w:highlight w:val="none"/>
                <w:lang w:eastAsia="zh-CN"/>
              </w:rPr>
            </w:pPr>
            <w:r>
              <w:rPr>
                <w:rFonts w:hint="eastAsia" w:ascii="宋体" w:hAnsi="宋体" w:cs="宋体"/>
                <w:snapToGrid w:val="0"/>
                <w:color w:val="auto"/>
                <w:sz w:val="18"/>
                <w:szCs w:val="18"/>
                <w:highlight w:val="none"/>
                <w:lang w:val="en-US" w:eastAsia="zh-CN" w:bidi="ar"/>
              </w:rPr>
              <w:t>5</w:t>
            </w:r>
          </w:p>
        </w:tc>
        <w:tc>
          <w:tcPr>
            <w:tcW w:w="1007" w:type="dxa"/>
            <w:tcBorders>
              <w:top w:val="single" w:color="000000" w:sz="4" w:space="0"/>
              <w:left w:val="single" w:color="000000" w:sz="4" w:space="0"/>
              <w:bottom w:val="single" w:color="000000" w:sz="4" w:space="0"/>
              <w:right w:val="single" w:color="000000" w:sz="4" w:space="0"/>
            </w:tcBorders>
            <w:vAlign w:val="center"/>
          </w:tcPr>
          <w:p w14:paraId="621A13F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综合实战指挥-无人机机场服务</w:t>
            </w:r>
          </w:p>
        </w:tc>
        <w:tc>
          <w:tcPr>
            <w:tcW w:w="6967" w:type="dxa"/>
            <w:tcBorders>
              <w:top w:val="single" w:color="auto" w:sz="4" w:space="0"/>
              <w:left w:val="single" w:color="000000" w:sz="4" w:space="0"/>
              <w:bottom w:val="single" w:color="000000" w:sz="4" w:space="0"/>
              <w:right w:val="single" w:color="000000" w:sz="4" w:space="0"/>
            </w:tcBorders>
            <w:vAlign w:val="center"/>
          </w:tcPr>
          <w:p w14:paraId="11302DC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1.最大输入功率：设备最大输入功率≤1000W。</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2.工作环境温度：设备工作温度范围≥-20°C至45°C。</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3.IP防护等级：机场设备具备≥IP55的防护等级。</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4.IP防护等级：飞行器具备≥IP54防护等级。</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5.作业阶段不小于10m/s，起降阶段抗风能力不小于8m/s。</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6.RTK 基站定位精准度 设备所含RTK基站定位精度：水平精度≤1cm+1ppm（RMS），垂直精度≤2cm+1ppm（RMS）。</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7.输出电压：设备充电输出电压≥28V。</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8.机场的尺寸（舱盖开启，不含风速计、含脚架）：≤1250毫米，宽600毫米，高420毫米。</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9.电池容量：设备内置备用电池，续航时间≥5小时。</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10.防雷接口：设备供电口防雷能力≥20KA，以太网口防雷能力≥10KA。</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11.裸机重量：飞行器裸机重量≤1450克。</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12.最大起飞重量：最大起飞重量≥1500克。</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13.飞行器尺寸：≤350mm*400mm*200mm（不含桨叶）。</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14.机场及飞行器支持卫星接收（北斗+GPS）。</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15.飞行器最大作业半径不低于8公里（环境温度约25度，环境风速约4米/秒、往返速度约15米/秒、悬停作业十分钟测得）。</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16.夜航灯：飞行器集成夜航灯，用于夜晚使用的位置确定。</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17.4G图传：飞行器支持使用4G网络进行图传的回传。</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18.相机类型：具有长焦可见光、广角可见光和红外热成像相机。</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19.广角相机CMOS：相机CMOS≥1/1.32英寸。</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20.广角相机像素：具备广角相机，有效像素≥4800万。</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21.长焦相机CMOS：具备长焦相机，相机CMOS≥1/2英寸。</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22.长焦相机像素：像素数≥1200万。</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23.可见光相机变焦倍数：变焦倍数≥56倍。</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24.红外传感器分辨率：≥640*512。</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25.红外传感器分辨率：支持利用AI算法进行像素扩展，扩展分辨率≥1280*1024。</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26.红外传感器帧率：≥30Hz。</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27.红外热成像相机变焦倍数：支持≥28倍数码变焦。</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28.变焦方式：支持可见光与红外热成像联动变焦。</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29.稳定系统：具备三轴机械增稳云台（俯仰、横滚、平移）。</w:t>
            </w:r>
          </w:p>
          <w:p w14:paraId="16B45E3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30.可见光相机视频：可见光相机支持4k30p视频录制。</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31.机场集成风速、雨量、环境温度传感器。</w:t>
            </w:r>
          </w:p>
          <w:p w14:paraId="381BF38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lang w:eastAsia="zh-CN"/>
              </w:rPr>
              <w:t>32.机场保险及飞行器保险，享有与设备主体相等价值的保障额度，在额度内可享受不限次数的免费维修服务（期限同供应商承诺的项目整体免费质保期）。</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val="en-US" w:eastAsia="zh-CN"/>
              </w:rPr>
              <w:t>注：</w:t>
            </w:r>
            <w:r>
              <w:rPr>
                <w:rFonts w:hint="eastAsia" w:ascii="宋体" w:hAnsi="宋体" w:cs="宋体"/>
                <w:color w:val="auto"/>
                <w:sz w:val="18"/>
                <w:szCs w:val="18"/>
                <w:highlight w:val="none"/>
                <w:lang w:eastAsia="zh-CN"/>
              </w:rPr>
              <w:t>根据采购人要求进行机场部署，如有质量问题，在免费质保期内无条件更新更换新机场，并在免费质保期内承担保险、无人机降落伞、维护保养、网络等相关服务和配件费用。</w:t>
            </w:r>
          </w:p>
        </w:tc>
        <w:tc>
          <w:tcPr>
            <w:tcW w:w="606" w:type="dxa"/>
            <w:tcBorders>
              <w:top w:val="single" w:color="auto" w:sz="4" w:space="0"/>
              <w:left w:val="single" w:color="000000" w:sz="4" w:space="0"/>
              <w:bottom w:val="single" w:color="000000" w:sz="4" w:space="0"/>
              <w:right w:val="single" w:color="000000" w:sz="4" w:space="0"/>
            </w:tcBorders>
            <w:noWrap/>
            <w:vAlign w:val="center"/>
          </w:tcPr>
          <w:p w14:paraId="1A61BFB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9</w:t>
            </w:r>
          </w:p>
        </w:tc>
        <w:tc>
          <w:tcPr>
            <w:tcW w:w="634" w:type="dxa"/>
            <w:tcBorders>
              <w:top w:val="single" w:color="auto" w:sz="4" w:space="0"/>
              <w:left w:val="single" w:color="000000" w:sz="4" w:space="0"/>
              <w:bottom w:val="single" w:color="000000" w:sz="4" w:space="0"/>
              <w:right w:val="single" w:color="000000" w:sz="4" w:space="0"/>
            </w:tcBorders>
            <w:noWrap/>
            <w:vAlign w:val="center"/>
          </w:tcPr>
          <w:p w14:paraId="1F0F10AF">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套</w:t>
            </w:r>
          </w:p>
        </w:tc>
      </w:tr>
      <w:tr w14:paraId="1F4772FA">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746B096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color w:val="auto"/>
                <w:sz w:val="18"/>
                <w:szCs w:val="18"/>
                <w:highlight w:val="none"/>
                <w:lang w:eastAsia="zh-CN"/>
              </w:rPr>
            </w:pPr>
            <w:r>
              <w:rPr>
                <w:rFonts w:hint="eastAsia" w:ascii="宋体" w:hAnsi="宋体" w:cs="宋体"/>
                <w:snapToGrid w:val="0"/>
                <w:color w:val="auto"/>
                <w:sz w:val="18"/>
                <w:szCs w:val="18"/>
                <w:highlight w:val="none"/>
                <w:lang w:val="en-US" w:eastAsia="zh-CN" w:bidi="ar"/>
              </w:rPr>
              <w:t>6</w:t>
            </w:r>
          </w:p>
        </w:tc>
        <w:tc>
          <w:tcPr>
            <w:tcW w:w="1007" w:type="dxa"/>
            <w:tcBorders>
              <w:top w:val="single" w:color="000000" w:sz="4" w:space="0"/>
              <w:left w:val="single" w:color="000000" w:sz="4" w:space="0"/>
              <w:bottom w:val="single" w:color="000000" w:sz="4" w:space="0"/>
              <w:right w:val="single" w:color="000000" w:sz="4" w:space="0"/>
            </w:tcBorders>
            <w:vAlign w:val="center"/>
          </w:tcPr>
          <w:p w14:paraId="202106B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单兵图传内攻记录仪</w:t>
            </w:r>
          </w:p>
        </w:tc>
        <w:tc>
          <w:tcPr>
            <w:tcW w:w="6967" w:type="dxa"/>
            <w:tcBorders>
              <w:top w:val="single" w:color="000000" w:sz="4" w:space="0"/>
              <w:left w:val="single" w:color="000000" w:sz="4" w:space="0"/>
              <w:bottom w:val="single" w:color="000000" w:sz="4" w:space="0"/>
              <w:right w:val="single" w:color="000000" w:sz="4" w:space="0"/>
            </w:tcBorders>
            <w:vAlign w:val="center"/>
          </w:tcPr>
          <w:p w14:paraId="43C6049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1.4G</w:t>
            </w:r>
            <w:r>
              <w:rPr>
                <w:rFonts w:hint="eastAsia" w:ascii="宋体" w:hAnsi="宋体" w:cs="宋体"/>
                <w:color w:val="auto"/>
                <w:sz w:val="18"/>
                <w:szCs w:val="18"/>
                <w:highlight w:val="none"/>
                <w:lang w:val="en-US" w:eastAsia="zh-CN"/>
              </w:rPr>
              <w:t>及以上</w:t>
            </w:r>
            <w:r>
              <w:rPr>
                <w:rFonts w:hint="eastAsia" w:ascii="宋体" w:hAnsi="宋体" w:cs="宋体"/>
                <w:color w:val="auto"/>
                <w:sz w:val="18"/>
                <w:szCs w:val="18"/>
                <w:highlight w:val="none"/>
              </w:rPr>
              <w:t>全网通。</w:t>
            </w:r>
          </w:p>
          <w:p w14:paraId="69C2493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2.处理器≥8核2GHz。</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3.内存≥2GB。</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4.存储≥32GB存储。</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5.摄像头像素≥1600万，支持H.264@1080P压缩，不低于128度广角无畸变，支持红外夜视，夜视距离≥10m。</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6.锂电池容量≥3250mAh，可不断电更换电池，保持时间≥5分钟。</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7.支持GPS和北斗双模定位，独立北斗导航芯片，可以独立工作。</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8.支持有线耳机。</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9.防护等级≥IP68。</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10.机器尺寸≤102*64*28</w:t>
            </w:r>
            <w:r>
              <w:rPr>
                <w:rFonts w:hint="eastAsia" w:ascii="宋体" w:hAnsi="宋体" w:cs="宋体"/>
                <w:color w:val="auto"/>
                <w:sz w:val="18"/>
                <w:szCs w:val="18"/>
                <w:highlight w:val="none"/>
                <w:lang w:eastAsia="zh-CN"/>
              </w:rPr>
              <w:t>mm</w:t>
            </w:r>
            <w:r>
              <w:rPr>
                <w:rFonts w:hint="eastAsia" w:ascii="宋体" w:hAnsi="宋体" w:cs="宋体"/>
                <w:color w:val="auto"/>
                <w:sz w:val="18"/>
                <w:szCs w:val="18"/>
                <w:highlight w:val="none"/>
              </w:rPr>
              <w:t>。</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11.可与综合实战指挥平台、移动端对接。</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58CD158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5</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706298C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3A1F0AD7">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0462F6C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color w:val="auto"/>
                <w:sz w:val="18"/>
                <w:szCs w:val="18"/>
                <w:highlight w:val="none"/>
                <w:lang w:eastAsia="zh-CN"/>
              </w:rPr>
            </w:pPr>
            <w:r>
              <w:rPr>
                <w:rFonts w:hint="eastAsia" w:ascii="宋体" w:hAnsi="宋体" w:cs="宋体"/>
                <w:snapToGrid w:val="0"/>
                <w:color w:val="auto"/>
                <w:sz w:val="18"/>
                <w:szCs w:val="18"/>
                <w:highlight w:val="none"/>
                <w:lang w:val="en-US" w:eastAsia="zh-CN" w:bidi="ar"/>
              </w:rPr>
              <w:t>7</w:t>
            </w:r>
          </w:p>
        </w:tc>
        <w:tc>
          <w:tcPr>
            <w:tcW w:w="1007" w:type="dxa"/>
            <w:tcBorders>
              <w:top w:val="single" w:color="000000" w:sz="4" w:space="0"/>
              <w:left w:val="single" w:color="000000" w:sz="4" w:space="0"/>
              <w:bottom w:val="single" w:color="000000" w:sz="4" w:space="0"/>
              <w:right w:val="single" w:color="000000" w:sz="4" w:space="0"/>
            </w:tcBorders>
            <w:vAlign w:val="center"/>
          </w:tcPr>
          <w:p w14:paraId="6AE0274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导播图传终端模块（现场指挥部、导播台）</w:t>
            </w:r>
          </w:p>
        </w:tc>
        <w:tc>
          <w:tcPr>
            <w:tcW w:w="6967" w:type="dxa"/>
            <w:tcBorders>
              <w:top w:val="single" w:color="000000" w:sz="4" w:space="0"/>
              <w:left w:val="single" w:color="000000" w:sz="4" w:space="0"/>
              <w:bottom w:val="single" w:color="000000" w:sz="4" w:space="0"/>
              <w:right w:val="single" w:color="000000" w:sz="4" w:space="0"/>
            </w:tcBorders>
            <w:vAlign w:val="center"/>
          </w:tcPr>
          <w:p w14:paraId="77EC398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lang w:val="en-US" w:eastAsia="zh-CN"/>
              </w:rPr>
              <w:t>1.</w:t>
            </w:r>
            <w:r>
              <w:rPr>
                <w:rFonts w:hint="eastAsia" w:ascii="宋体" w:hAnsi="宋体" w:cs="宋体"/>
                <w:color w:val="auto"/>
                <w:sz w:val="18"/>
                <w:szCs w:val="18"/>
                <w:highlight w:val="none"/>
              </w:rPr>
              <w:t>支持网络：不低于一个内置LTE CAT6全网通模块，支持模式：TDD-LTE、FDD-LTE、WCDMA；不低于两个外置模块，支持模式：TDD-LTE、FDD-LTE、WCDMA；不低于一个Wi-Fi内置模块：2.4G+5G；不低于一个以太网10M/100M：本地网口。</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2.直播输入：不低于两路HDMIIN（一主一副）。</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3.视频：主HDMI支持分辨率：支持隔行与逐行分辨率，800*600（最低）-3840*2160（最高）；副HDMI支持分辨率最高1920*1080P，最低720P。</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4.音频：数字音频：主HDMI输入；模拟音频：MIC输入和线路音频输入；数字音频与模拟音频可切换。</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5.直播输出：视频：视频编码方式：H264，H265；视频编码帧率不低于25/30HZ；导播分辨率支持：4K/2K/1080P/720P。其中4K/2K分辨率必须使用H265编码；输出码率：动态可调节；音频：音频编码aac音频比特率是默认96.可选择：64kbps,96kbps,128kbps,160kbps,192kbps,256kbps音频采样率：48KHz.44.1KHZ”。</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6.操作系统：不低于Android 9.1。</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7.网络：RJ45≥100M网口，无线Wi-Fi：2.4G+5.8G 4G+：不低于300M。</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8.屏幕：不低于6寸1080P 触摸屏。</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9.内存：不低于3G RAM+32G ROM。</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10.升级：可通过网络进行软件升级。</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11.接口：不少于USB：1*TYPE-C 2*USB2.0；SD卡：最大支持128G；SIM卡支持中卡。</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12.温度范围：0~45℃（工作），-20~80℃（存储）。</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13.电源：电池供电 充电电压3.6—8V/3A，12V2A。</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14.功耗：电池容量不小于8000mAh（18W）。</w:t>
            </w:r>
          </w:p>
          <w:p w14:paraId="4B3C5F8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lang w:val="en-US" w:eastAsia="zh-CN"/>
              </w:rPr>
              <w:t>15.</w:t>
            </w:r>
            <w:r>
              <w:rPr>
                <w:rFonts w:hint="eastAsia" w:ascii="宋体" w:hAnsi="宋体" w:cs="宋体"/>
                <w:color w:val="auto"/>
                <w:sz w:val="18"/>
                <w:szCs w:val="18"/>
                <w:highlight w:val="none"/>
              </w:rPr>
              <w:t>处理器≥8核2GHz</w:t>
            </w:r>
            <w:r>
              <w:rPr>
                <w:rFonts w:hint="eastAsia" w:ascii="宋体" w:hAnsi="宋体" w:cs="宋体"/>
                <w:color w:val="auto"/>
                <w:sz w:val="18"/>
                <w:szCs w:val="18"/>
                <w:highlight w:val="none"/>
                <w:lang w:eastAsia="zh-CN"/>
              </w:rPr>
              <w:t>。</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43C73A1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00F6BB8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56E27E75">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570BBCF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color w:val="auto"/>
                <w:sz w:val="18"/>
                <w:szCs w:val="18"/>
                <w:highlight w:val="none"/>
                <w:lang w:eastAsia="zh-CN"/>
              </w:rPr>
            </w:pPr>
            <w:r>
              <w:rPr>
                <w:rFonts w:hint="eastAsia" w:ascii="宋体" w:hAnsi="宋体" w:cs="宋体"/>
                <w:snapToGrid w:val="0"/>
                <w:color w:val="auto"/>
                <w:sz w:val="18"/>
                <w:szCs w:val="18"/>
                <w:highlight w:val="none"/>
                <w:lang w:val="en-US" w:eastAsia="zh-CN" w:bidi="ar"/>
              </w:rPr>
              <w:t>8</w:t>
            </w:r>
          </w:p>
        </w:tc>
        <w:tc>
          <w:tcPr>
            <w:tcW w:w="1007" w:type="dxa"/>
            <w:tcBorders>
              <w:top w:val="single" w:color="000000" w:sz="4" w:space="0"/>
              <w:left w:val="single" w:color="000000" w:sz="4" w:space="0"/>
              <w:bottom w:val="single" w:color="000000" w:sz="4" w:space="0"/>
              <w:right w:val="single" w:color="000000" w:sz="4" w:space="0"/>
            </w:tcBorders>
            <w:vAlign w:val="center"/>
          </w:tcPr>
          <w:p w14:paraId="5C11915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多功能无人机管控操作移动终端</w:t>
            </w:r>
          </w:p>
        </w:tc>
        <w:tc>
          <w:tcPr>
            <w:tcW w:w="6967" w:type="dxa"/>
            <w:tcBorders>
              <w:top w:val="single" w:color="000000" w:sz="4" w:space="0"/>
              <w:left w:val="single" w:color="000000" w:sz="4" w:space="0"/>
              <w:bottom w:val="single" w:color="000000" w:sz="4" w:space="0"/>
              <w:right w:val="single" w:color="000000" w:sz="4" w:space="0"/>
            </w:tcBorders>
            <w:vAlign w:val="center"/>
          </w:tcPr>
          <w:p w14:paraId="29B53E6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内存≥16G+512G。</w:t>
            </w:r>
          </w:p>
          <w:p w14:paraId="26FCD3D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触控屏≥13英寸显示屏。</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分辨率≥2880*1920（267 PPI）。</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屏幕比例：3</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rPr>
              <w:t>2。</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对比度：1,000,000</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rPr>
              <w:t>1。</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动态刷新率最高可达120Hz。</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自适应色彩调节。</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自适应对比度。</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自动色彩管理。</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重量≤895克。</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电池续航：设备在常规使用情况下，电池续航≥14小时，可持续网络使用时间≥10小时。</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摄像头：前置摄像头≥2K，后置摄像头≥1000万像素4K，带人脸识别，可开启创意滤镜、人像光效、眼神交流和自动取景功能。</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需远程操作无人机与兼容运用相关无人机系统程序。</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023DFC4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2</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3062201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5AE58AA3">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vAlign w:val="center"/>
          </w:tcPr>
          <w:p w14:paraId="13FB187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三</w:t>
            </w:r>
          </w:p>
        </w:tc>
        <w:tc>
          <w:tcPr>
            <w:tcW w:w="9214" w:type="dxa"/>
            <w:gridSpan w:val="4"/>
            <w:tcBorders>
              <w:top w:val="single" w:color="000000" w:sz="4" w:space="0"/>
              <w:left w:val="single" w:color="000000" w:sz="4" w:space="0"/>
              <w:bottom w:val="single" w:color="000000" w:sz="4" w:space="0"/>
              <w:right w:val="single" w:color="000000" w:sz="4" w:space="0"/>
            </w:tcBorders>
            <w:vAlign w:val="center"/>
          </w:tcPr>
          <w:p w14:paraId="7E2D94C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水带养护机器人</w:t>
            </w:r>
          </w:p>
        </w:tc>
      </w:tr>
      <w:tr w14:paraId="775E4D81">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3DA7C13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9</w:t>
            </w:r>
          </w:p>
        </w:tc>
        <w:tc>
          <w:tcPr>
            <w:tcW w:w="1007" w:type="dxa"/>
            <w:tcBorders>
              <w:top w:val="single" w:color="000000" w:sz="4" w:space="0"/>
              <w:left w:val="single" w:color="000000" w:sz="4" w:space="0"/>
              <w:bottom w:val="single" w:color="000000" w:sz="4" w:space="0"/>
              <w:right w:val="single" w:color="000000" w:sz="4" w:space="0"/>
            </w:tcBorders>
            <w:vAlign w:val="center"/>
          </w:tcPr>
          <w:p w14:paraId="66D22B7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水带养护机器人</w:t>
            </w:r>
          </w:p>
        </w:tc>
        <w:tc>
          <w:tcPr>
            <w:tcW w:w="6967" w:type="dxa"/>
            <w:tcBorders>
              <w:top w:val="single" w:color="000000" w:sz="4" w:space="0"/>
              <w:left w:val="single" w:color="000000" w:sz="4" w:space="0"/>
              <w:bottom w:val="single" w:color="000000" w:sz="4" w:space="0"/>
              <w:right w:val="single" w:color="000000" w:sz="4" w:space="0"/>
            </w:tcBorders>
            <w:vAlign w:val="center"/>
          </w:tcPr>
          <w:p w14:paraId="508D5A6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由龙门架、水带电动升降平台、水带自动冲洗系统及备件等组成</w:t>
            </w:r>
            <w:r>
              <w:rPr>
                <w:rFonts w:hint="eastAsia" w:ascii="宋体" w:hAnsi="宋体" w:cs="宋体"/>
                <w:snapToGrid w:val="0"/>
                <w:color w:val="auto"/>
                <w:sz w:val="18"/>
                <w:szCs w:val="18"/>
                <w:highlight w:val="none"/>
                <w:lang w:eastAsia="zh-CN" w:bidi="ar"/>
              </w:rPr>
              <w:t>（</w:t>
            </w:r>
            <w:r>
              <w:rPr>
                <w:rFonts w:hint="eastAsia" w:ascii="宋体" w:hAnsi="宋体" w:cs="宋体"/>
                <w:snapToGrid w:val="0"/>
                <w:color w:val="auto"/>
                <w:sz w:val="18"/>
                <w:szCs w:val="18"/>
                <w:highlight w:val="none"/>
                <w:lang w:val="en-US" w:eastAsia="zh-CN" w:bidi="ar"/>
              </w:rPr>
              <w:t>含所有配套附件、线缆及电源线、电源等</w:t>
            </w:r>
            <w:r>
              <w:rPr>
                <w:rFonts w:hint="eastAsia" w:ascii="宋体" w:hAnsi="宋体" w:cs="宋体"/>
                <w:snapToGrid w:val="0"/>
                <w:color w:val="auto"/>
                <w:sz w:val="18"/>
                <w:szCs w:val="18"/>
                <w:highlight w:val="none"/>
                <w:lang w:eastAsia="zh-CN" w:bidi="ar"/>
              </w:rPr>
              <w:t>）</w:t>
            </w:r>
            <w:r>
              <w:rPr>
                <w:rFonts w:hint="eastAsia" w:ascii="宋体" w:hAnsi="宋体" w:cs="宋体"/>
                <w:snapToGrid w:val="0"/>
                <w:color w:val="auto"/>
                <w:sz w:val="18"/>
                <w:szCs w:val="18"/>
                <w:highlight w:val="none"/>
                <w:lang w:bidi="ar"/>
              </w:rPr>
              <w:t>。</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 xml:space="preserve">一、龙门架： </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1.立柱：整体高度≥11米，宽度≥3.5米。</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2.双立柱结构，单根立柱由不小于20cm×30cm×410cm三节焊接而成，材质：由≥2</w:t>
            </w:r>
            <w:r>
              <w:rPr>
                <w:rFonts w:hint="eastAsia" w:ascii="宋体" w:hAnsi="宋体" w:cs="宋体"/>
                <w:snapToGrid w:val="0"/>
                <w:color w:val="auto"/>
                <w:sz w:val="18"/>
                <w:szCs w:val="18"/>
                <w:highlight w:val="none"/>
                <w:lang w:eastAsia="zh-CN" w:bidi="ar"/>
              </w:rPr>
              <w:t>mm</w:t>
            </w:r>
            <w:r>
              <w:rPr>
                <w:rFonts w:hint="eastAsia" w:ascii="宋体" w:hAnsi="宋体" w:cs="宋体"/>
                <w:snapToGrid w:val="0"/>
                <w:color w:val="auto"/>
                <w:sz w:val="18"/>
                <w:szCs w:val="18"/>
                <w:highlight w:val="none"/>
                <w:lang w:bidi="ar"/>
              </w:rPr>
              <w:t>厚钢板压制成型。</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3.固定两立柱中间，两端有传动链轮，传动系统尺寸为直径不小于φ0.5m*长4m。</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4.底板：龙门架底部安装，尺寸≥方形50×40×1.6cm。</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5.方管固定底座：用于连接固定立柱，材质：镀锌管，固定座≥12×12×90cm，由方管和底座焊接成型。</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6.防风固定杆材质：A3镀锌，表面喷塑，焊接，打磨，尺寸≥400cm×80cm×50cm。</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7.防风绳铝质，直径≥1.5cm，长≥1m。</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8.方管：（长*宽*厚）≥400×10×5cm，最大载重≥1000KG。</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 xml:space="preserve">二、水带电动升降平台： </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1 台面尺寸≥100×100</w:t>
            </w:r>
            <w:r>
              <w:rPr>
                <w:rFonts w:hint="eastAsia" w:ascii="宋体" w:hAnsi="宋体" w:cs="宋体"/>
                <w:snapToGrid w:val="0"/>
                <w:color w:val="auto"/>
                <w:sz w:val="18"/>
                <w:szCs w:val="18"/>
                <w:highlight w:val="none"/>
                <w:lang w:eastAsia="zh-CN" w:bidi="ar"/>
              </w:rPr>
              <w:t>mm</w:t>
            </w:r>
            <w:r>
              <w:rPr>
                <w:rFonts w:hint="eastAsia" w:ascii="宋体" w:hAnsi="宋体" w:cs="宋体"/>
                <w:snapToGrid w:val="0"/>
                <w:color w:val="auto"/>
                <w:sz w:val="18"/>
                <w:szCs w:val="18"/>
                <w:highlight w:val="none"/>
                <w:lang w:bidi="ar"/>
              </w:rPr>
              <w:t>长×宽，整体尺寸：≤3.5米×0.5米×0.3米。</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2.防滑台面≥3</w:t>
            </w:r>
            <w:r>
              <w:rPr>
                <w:rFonts w:hint="eastAsia" w:ascii="宋体" w:hAnsi="宋体" w:cs="宋体"/>
                <w:snapToGrid w:val="0"/>
                <w:color w:val="auto"/>
                <w:sz w:val="18"/>
                <w:szCs w:val="18"/>
                <w:highlight w:val="none"/>
                <w:lang w:eastAsia="zh-CN" w:bidi="ar"/>
              </w:rPr>
              <w:t>mm</w:t>
            </w:r>
            <w:r>
              <w:rPr>
                <w:rFonts w:hint="eastAsia" w:ascii="宋体" w:hAnsi="宋体" w:cs="宋体"/>
                <w:snapToGrid w:val="0"/>
                <w:color w:val="auto"/>
                <w:sz w:val="18"/>
                <w:szCs w:val="18"/>
                <w:highlight w:val="none"/>
                <w:lang w:bidi="ar"/>
              </w:rPr>
              <w:t>厚绝缘板。</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3.平台载重≥1000kg。</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4.起升高度≥10米。</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5.最低高度≥0.5米。</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6.起升速度≥10m/min。</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7.水带收卷电机功率：不小于120w。</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8.配电箱304不锈钢配电箱，尺寸≥250×300×150cm；含电器元件（满足设备使用要求）。</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8.远程遥控器：距离≥80米</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三、水带自动冲洗系统：</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1.冲洗电动控制系统功率：≥0.5kW。</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2.水洗传动轴直径≥50</w:t>
            </w:r>
            <w:r>
              <w:rPr>
                <w:rFonts w:hint="eastAsia" w:ascii="宋体" w:hAnsi="宋体" w:cs="宋体"/>
                <w:snapToGrid w:val="0"/>
                <w:color w:val="auto"/>
                <w:sz w:val="18"/>
                <w:szCs w:val="18"/>
                <w:highlight w:val="none"/>
                <w:lang w:eastAsia="zh-CN" w:bidi="ar"/>
              </w:rPr>
              <w:t>mm</w:t>
            </w:r>
            <w:r>
              <w:rPr>
                <w:rFonts w:hint="eastAsia" w:ascii="宋体" w:hAnsi="宋体" w:cs="宋体"/>
                <w:snapToGrid w:val="0"/>
                <w:color w:val="auto"/>
                <w:sz w:val="18"/>
                <w:szCs w:val="18"/>
                <w:highlight w:val="none"/>
                <w:lang w:bidi="ar"/>
              </w:rPr>
              <w:t>*4000</w:t>
            </w:r>
            <w:r>
              <w:rPr>
                <w:rFonts w:hint="eastAsia" w:ascii="宋体" w:hAnsi="宋体" w:cs="宋体"/>
                <w:snapToGrid w:val="0"/>
                <w:color w:val="auto"/>
                <w:sz w:val="18"/>
                <w:szCs w:val="18"/>
                <w:highlight w:val="none"/>
                <w:lang w:eastAsia="zh-CN" w:bidi="ar"/>
              </w:rPr>
              <w:t>mm</w:t>
            </w:r>
            <w:r>
              <w:rPr>
                <w:rFonts w:hint="eastAsia" w:ascii="宋体" w:hAnsi="宋体" w:cs="宋体"/>
                <w:snapToGrid w:val="0"/>
                <w:color w:val="auto"/>
                <w:sz w:val="18"/>
                <w:szCs w:val="18"/>
                <w:highlight w:val="none"/>
                <w:lang w:bidi="ar"/>
              </w:rPr>
              <w:t>。</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3.冲洗毛刷滚筒≥280</w:t>
            </w:r>
            <w:r>
              <w:rPr>
                <w:rFonts w:hint="eastAsia" w:ascii="宋体" w:hAnsi="宋体" w:cs="宋体"/>
                <w:snapToGrid w:val="0"/>
                <w:color w:val="auto"/>
                <w:sz w:val="18"/>
                <w:szCs w:val="18"/>
                <w:highlight w:val="none"/>
                <w:lang w:eastAsia="zh-CN" w:bidi="ar"/>
              </w:rPr>
              <w:t>mm</w:t>
            </w:r>
            <w:r>
              <w:rPr>
                <w:rFonts w:hint="eastAsia" w:ascii="宋体" w:hAnsi="宋体" w:cs="宋体"/>
                <w:snapToGrid w:val="0"/>
                <w:color w:val="auto"/>
                <w:sz w:val="18"/>
                <w:szCs w:val="18"/>
                <w:highlight w:val="none"/>
                <w:lang w:bidi="ar"/>
              </w:rPr>
              <w:t>*3864</w:t>
            </w:r>
            <w:r>
              <w:rPr>
                <w:rFonts w:hint="eastAsia" w:ascii="宋体" w:hAnsi="宋体" w:cs="宋体"/>
                <w:snapToGrid w:val="0"/>
                <w:color w:val="auto"/>
                <w:sz w:val="18"/>
                <w:szCs w:val="18"/>
                <w:highlight w:val="none"/>
                <w:lang w:eastAsia="zh-CN" w:bidi="ar"/>
              </w:rPr>
              <w:t>mm</w:t>
            </w:r>
            <w:r>
              <w:rPr>
                <w:rFonts w:hint="eastAsia" w:ascii="宋体" w:hAnsi="宋体" w:cs="宋体"/>
                <w:snapToGrid w:val="0"/>
                <w:color w:val="auto"/>
                <w:sz w:val="18"/>
                <w:szCs w:val="18"/>
                <w:highlight w:val="none"/>
                <w:lang w:bidi="ar"/>
              </w:rPr>
              <w:t>。</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4.高压喷头孔径≥5</w:t>
            </w:r>
            <w:r>
              <w:rPr>
                <w:rFonts w:hint="eastAsia" w:ascii="宋体" w:hAnsi="宋体" w:cs="宋体"/>
                <w:snapToGrid w:val="0"/>
                <w:color w:val="auto"/>
                <w:sz w:val="18"/>
                <w:szCs w:val="18"/>
                <w:highlight w:val="none"/>
                <w:lang w:eastAsia="zh-CN" w:bidi="ar"/>
              </w:rPr>
              <w:t>mm</w:t>
            </w:r>
            <w:r>
              <w:rPr>
                <w:rFonts w:hint="eastAsia" w:ascii="宋体" w:hAnsi="宋体" w:cs="宋体"/>
                <w:snapToGrid w:val="0"/>
                <w:color w:val="auto"/>
                <w:sz w:val="18"/>
                <w:szCs w:val="18"/>
                <w:highlight w:val="none"/>
                <w:lang w:bidi="ar"/>
              </w:rPr>
              <w:t>。</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 xml:space="preserve">四、备件： </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1.自动电机功率不小于3kW。</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2.水带收卷电机功率不小于120w。</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3.水带挂钩规格：≥17.5cm×1.2cm。</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4.水带滑轮材质：不低于45号钢13cm×3cm。</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5.水带压轮材质：不低于尼龙PA6；压轮：外径10cm×12cm。</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5.水带压轮材质：不低于尼龙PA6；压轮：外径10cm×12cm。</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1B02062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4193023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637AB0C1">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vAlign w:val="center"/>
          </w:tcPr>
          <w:p w14:paraId="5446743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四</w:t>
            </w:r>
          </w:p>
        </w:tc>
        <w:tc>
          <w:tcPr>
            <w:tcW w:w="9214" w:type="dxa"/>
            <w:gridSpan w:val="4"/>
            <w:tcBorders>
              <w:top w:val="single" w:color="000000" w:sz="4" w:space="0"/>
              <w:left w:val="single" w:color="000000" w:sz="4" w:space="0"/>
              <w:bottom w:val="single" w:color="000000" w:sz="4" w:space="0"/>
              <w:right w:val="single" w:color="000000" w:sz="4" w:space="0"/>
            </w:tcBorders>
            <w:vAlign w:val="center"/>
          </w:tcPr>
          <w:p w14:paraId="13303166">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单兵装备</w:t>
            </w:r>
          </w:p>
        </w:tc>
      </w:tr>
      <w:tr w14:paraId="4AA648B3">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012C5FC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10</w:t>
            </w:r>
          </w:p>
        </w:tc>
        <w:tc>
          <w:tcPr>
            <w:tcW w:w="1007" w:type="dxa"/>
            <w:tcBorders>
              <w:top w:val="single" w:color="000000" w:sz="4" w:space="0"/>
              <w:left w:val="single" w:color="000000" w:sz="4" w:space="0"/>
              <w:bottom w:val="single" w:color="000000" w:sz="4" w:space="0"/>
              <w:right w:val="single" w:color="000000" w:sz="4" w:space="0"/>
            </w:tcBorders>
            <w:vAlign w:val="center"/>
          </w:tcPr>
          <w:p w14:paraId="1251F1A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单兵装备管理舱</w:t>
            </w:r>
          </w:p>
        </w:tc>
        <w:tc>
          <w:tcPr>
            <w:tcW w:w="6967" w:type="dxa"/>
            <w:tcBorders>
              <w:top w:val="single" w:color="000000" w:sz="4" w:space="0"/>
              <w:left w:val="single" w:color="000000" w:sz="4" w:space="0"/>
              <w:bottom w:val="single" w:color="000000" w:sz="4" w:space="0"/>
              <w:right w:val="single" w:color="000000" w:sz="4" w:space="0"/>
            </w:tcBorders>
            <w:vAlign w:val="center"/>
          </w:tcPr>
          <w:p w14:paraId="30564FD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Style w:val="372"/>
                <w:rFonts w:hint="eastAsia" w:ascii="宋体" w:hAnsi="宋体" w:eastAsia="宋体" w:cs="宋体"/>
                <w:snapToGrid w:val="0"/>
                <w:color w:val="auto"/>
                <w:sz w:val="18"/>
                <w:szCs w:val="18"/>
                <w:highlight w:val="none"/>
                <w:lang w:bidi="ar"/>
              </w:rPr>
              <w:t>一、概述：</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具备传统消防作战服架的基础功能，可分类存储和摆放消防战斗服、抢险救援服、干湿水域救援服、消防头盔、抢险救援头盔、消防灭火防护靴、抢险救援靴、消防绳包、消防手套、各类防坠落挂钩、对讲机、防护头套等；满足整套装备专区放置要求。</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二、规格及功能：</w:t>
            </w:r>
            <w:r>
              <w:rPr>
                <w:rStyle w:val="372"/>
                <w:rFonts w:hint="eastAsia" w:ascii="宋体" w:hAnsi="宋体" w:eastAsia="宋体" w:cs="宋体"/>
                <w:snapToGrid w:val="0"/>
                <w:color w:val="auto"/>
                <w:sz w:val="18"/>
                <w:szCs w:val="18"/>
                <w:highlight w:val="none"/>
                <w:lang w:bidi="ar"/>
              </w:rPr>
              <w:br w:type="textWrapping"/>
            </w:r>
            <w:r>
              <w:rPr>
                <w:rStyle w:val="383"/>
                <w:rFonts w:hint="eastAsia" w:ascii="宋体" w:hAnsi="宋体" w:eastAsia="宋体" w:cs="宋体"/>
                <w:snapToGrid w:val="0"/>
                <w:color w:val="auto"/>
                <w:sz w:val="18"/>
                <w:szCs w:val="18"/>
                <w:highlight w:val="none"/>
                <w:lang w:bidi="ar"/>
              </w:rPr>
              <w:t>1.待机功耗≤60W。</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2.柜内材质：优质冷轧钢板。</w:t>
            </w:r>
            <w:r>
              <w:rPr>
                <w:rStyle w:val="372"/>
                <w:rFonts w:hint="eastAsia" w:ascii="宋体" w:hAnsi="宋体" w:eastAsia="宋体" w:cs="宋体"/>
                <w:snapToGrid w:val="0"/>
                <w:color w:val="auto"/>
                <w:sz w:val="18"/>
                <w:szCs w:val="18"/>
                <w:highlight w:val="none"/>
                <w:lang w:bidi="ar"/>
              </w:rPr>
              <w:br w:type="textWrapping"/>
            </w:r>
            <w:r>
              <w:rPr>
                <w:rStyle w:val="383"/>
                <w:rFonts w:hint="eastAsia" w:ascii="宋体" w:hAnsi="宋体" w:eastAsia="宋体" w:cs="宋体"/>
                <w:snapToGrid w:val="0"/>
                <w:color w:val="auto"/>
                <w:sz w:val="18"/>
                <w:szCs w:val="18"/>
                <w:highlight w:val="none"/>
                <w:lang w:bidi="ar"/>
              </w:rPr>
              <w:t>3.人机交互系统操作系统版本不低于Android 10.0。</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4.衣物日常保养功能：自动或定时紫外线杀毒、通风除湿、自动烘干。</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5.充电功能：面板两面配有USB充电口和220v交流输出充电口，可满足佩戴式消防头灯、对讲机和手提式强光照明充电要求，并设置充满自动断电功能。</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6.层板结构：战备舱前后各设三层可移动式层板，上层采用U形层板可放置头盔并方便拿取；上中层板可拆卸，可调整层板高度。</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7.辅助穿脱功能：隐藏式伸缩椅，辅助消防员完成警情任务归来后战斗靴穿脱。</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8.防夹控制限位功能：在战斗服架旋转过程中遇到一定的阻力可立即停止以避免物品及人员受到伤害。</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9.漏电保护功能：支持弱电设备电气漏电分流控制。</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10.保养柜显示功能：</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（1）面板主题信息：支持查看柜位所属消防员姓名、编号；</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（2）消防员动态信息：消防员出警次数统计、最近出警时间；</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（3）控制系统：支持作战服架的温度控制、湿度控制，以及支持根据警情类型自动旋转角度；</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（4）告警提醒：支持消防员个人作战服等装备过期告警提醒、作战服架温度异常告警。</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11.紫外线杀毒功能：可实现一键杀毒功能。</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12.氛围照明灯功能：两侧各配备氛围灯，顶部一条隐藏式氛围灯；一个可多角度可调节照明灯。</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13.加热功能：配备PTC陶瓷发热装置。</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14.通风除湿功能：配备通风风扇装置。</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15.除臭功能：配备除臭装置。</w:t>
            </w:r>
            <w:r>
              <w:rPr>
                <w:rStyle w:val="372"/>
                <w:rFonts w:hint="eastAsia" w:ascii="宋体" w:hAnsi="宋体" w:eastAsia="宋体" w:cs="宋体"/>
                <w:snapToGrid w:val="0"/>
                <w:color w:val="auto"/>
                <w:sz w:val="18"/>
                <w:szCs w:val="18"/>
                <w:highlight w:val="none"/>
                <w:lang w:bidi="ar"/>
              </w:rPr>
              <w:br w:type="textWrapping"/>
            </w:r>
            <w:r>
              <w:rPr>
                <w:rStyle w:val="372"/>
                <w:rFonts w:hint="eastAsia" w:ascii="宋体" w:hAnsi="宋体" w:eastAsia="宋体" w:cs="宋体"/>
                <w:snapToGrid w:val="0"/>
                <w:color w:val="auto"/>
                <w:sz w:val="18"/>
                <w:szCs w:val="18"/>
                <w:highlight w:val="none"/>
                <w:lang w:bidi="ar"/>
              </w:rPr>
              <w:t>16.警情匹配功能：360°自动旋转战斗服架，手动一键开启多个战备舱使之旋转到特定面；双向旋转功能可自动复位也可手动复位；支持对接指挥中心警情联动系统，火警自动旋转到火衣面，抢险救援警等自动旋转到抢险救援面。</w:t>
            </w:r>
            <w:r>
              <w:rPr>
                <w:rStyle w:val="372"/>
                <w:rFonts w:hint="eastAsia" w:ascii="宋体" w:hAnsi="宋体" w:eastAsia="宋体" w:cs="宋体"/>
                <w:snapToGrid w:val="0"/>
                <w:color w:val="auto"/>
                <w:sz w:val="18"/>
                <w:szCs w:val="18"/>
                <w:highlight w:val="none"/>
                <w:lang w:bidi="ar"/>
              </w:rPr>
              <w:br w:type="textWrapping"/>
            </w:r>
            <w:r>
              <w:rPr>
                <w:rStyle w:val="383"/>
                <w:rFonts w:hint="eastAsia" w:ascii="宋体" w:hAnsi="宋体" w:eastAsia="宋体" w:cs="宋体"/>
                <w:snapToGrid w:val="0"/>
                <w:color w:val="auto"/>
                <w:sz w:val="18"/>
                <w:szCs w:val="18"/>
                <w:highlight w:val="none"/>
                <w:lang w:bidi="ar"/>
              </w:rPr>
              <w:t>17.疲劳寿命：旋转寿命≥8万次循环，开关门寿命≥2万次，按键寿命≥8万次。</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161E56C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33</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0C9D4E2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台</w:t>
            </w:r>
          </w:p>
        </w:tc>
      </w:tr>
      <w:tr w14:paraId="45367577">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33F09A0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11</w:t>
            </w:r>
          </w:p>
        </w:tc>
        <w:tc>
          <w:tcPr>
            <w:tcW w:w="1007" w:type="dxa"/>
            <w:tcBorders>
              <w:top w:val="single" w:color="000000" w:sz="4" w:space="0"/>
              <w:left w:val="single" w:color="000000" w:sz="4" w:space="0"/>
              <w:bottom w:val="single" w:color="000000" w:sz="4" w:space="0"/>
              <w:right w:val="single" w:color="000000" w:sz="4" w:space="0"/>
            </w:tcBorders>
            <w:vAlign w:val="center"/>
          </w:tcPr>
          <w:p w14:paraId="1395936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单兵战备养护舱控制系统上位机</w:t>
            </w:r>
          </w:p>
        </w:tc>
        <w:tc>
          <w:tcPr>
            <w:tcW w:w="6967" w:type="dxa"/>
            <w:tcBorders>
              <w:top w:val="single" w:color="000000" w:sz="4" w:space="0"/>
              <w:left w:val="single" w:color="000000" w:sz="4" w:space="0"/>
              <w:bottom w:val="single" w:color="000000" w:sz="4" w:space="0"/>
              <w:right w:val="single" w:color="000000" w:sz="4" w:space="0"/>
            </w:tcBorders>
            <w:vAlign w:val="center"/>
          </w:tcPr>
          <w:p w14:paraId="06E8297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一、概述：</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主要应用于智能作战服架统一化管理，设备配置紧急启动战斗服方向旋转、紧停战斗服架，设备可实时查看所有战斗服架状态。采用先进的通信技术、信息处理技术，实现对作战服的全面监控、管理和优化，为作战人员战斗服提供全方位的支持和保障。</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二、规格和功能：</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1.整机尺寸≥高*宽*深1200*500*300</w:t>
            </w:r>
            <w:r>
              <w:rPr>
                <w:rFonts w:hint="eastAsia" w:ascii="宋体" w:hAnsi="宋体" w:cs="宋体"/>
                <w:color w:val="auto"/>
                <w:sz w:val="18"/>
                <w:szCs w:val="18"/>
                <w:highlight w:val="none"/>
                <w:lang w:eastAsia="zh-CN"/>
              </w:rPr>
              <w:t>mm</w:t>
            </w:r>
            <w:r>
              <w:rPr>
                <w:rFonts w:hint="eastAsia" w:ascii="宋体" w:hAnsi="宋体" w:cs="宋体"/>
                <w:color w:val="auto"/>
                <w:sz w:val="18"/>
                <w:szCs w:val="18"/>
                <w:highlight w:val="none"/>
              </w:rPr>
              <w:t>。</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2.主体颜色：红、蓝色。</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 xml:space="preserve">3.旋转按钮功能：红黄双色快速旋转按钮，按红色按钮所有战斗服架全部旋转至灭火救援服面，按黄色按钮战斗服架衣服全部旋转至抢险救援服面。  </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4.一键烘干：支持定时对作战服架进行烘干设置，支持开关此项功能。</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5.一键旋转：支持作战服架进行一键旋转，支持开关此项功能。</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6.一键通风：支持定时对作战服架进行通风设置，支持开关此项功能。</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7.一键杀毒：支持定时对作战服架进行杀毒设置，支持开关此项功能。</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8.消防风采展示：支持后台上传消防队文化广告，最多支持3张bannner图。</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9.单个柜位控制：支持对单个柜位进行控制，可单独控制每个柜子。</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7072B00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2</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3042E19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287A6DE1">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4A84BBD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12</w:t>
            </w:r>
          </w:p>
        </w:tc>
        <w:tc>
          <w:tcPr>
            <w:tcW w:w="1007" w:type="dxa"/>
            <w:tcBorders>
              <w:top w:val="single" w:color="000000" w:sz="4" w:space="0"/>
              <w:left w:val="single" w:color="000000" w:sz="4" w:space="0"/>
              <w:bottom w:val="single" w:color="000000" w:sz="4" w:space="0"/>
              <w:right w:val="single" w:color="000000" w:sz="4" w:space="0"/>
            </w:tcBorders>
            <w:vAlign w:val="center"/>
          </w:tcPr>
          <w:p w14:paraId="57D1ADF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灭火救援装备智能充电柜</w:t>
            </w:r>
          </w:p>
        </w:tc>
        <w:tc>
          <w:tcPr>
            <w:tcW w:w="6967" w:type="dxa"/>
            <w:tcBorders>
              <w:top w:val="single" w:color="000000" w:sz="4" w:space="0"/>
              <w:left w:val="single" w:color="000000" w:sz="4" w:space="0"/>
              <w:bottom w:val="single" w:color="000000" w:sz="4" w:space="0"/>
              <w:right w:val="single" w:color="000000" w:sz="4" w:space="0"/>
            </w:tcBorders>
            <w:vAlign w:val="center"/>
          </w:tcPr>
          <w:p w14:paraId="4259F80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lang w:val="en-US" w:eastAsia="zh-CN"/>
              </w:rPr>
              <w:t>一、</w:t>
            </w:r>
            <w:r>
              <w:rPr>
                <w:rFonts w:hint="eastAsia" w:ascii="宋体" w:hAnsi="宋体" w:cs="宋体"/>
                <w:color w:val="auto"/>
                <w:sz w:val="18"/>
                <w:szCs w:val="18"/>
                <w:highlight w:val="none"/>
              </w:rPr>
              <w:t>概述：</w:t>
            </w:r>
          </w:p>
          <w:p w14:paraId="194385E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为消防队员灭火救援装备提供充电，电量监测与管理，能够实现对多种消防装备的快速、高效、安全充电。</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二、规格及功能柜：</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1.充电功能：充电柜配备多类充电接口，支持多设备同时充电。</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2.防火功能：热气溶胶灭火装置。</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3.层板模块（自由调节）：</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第一层：对讲机充电模块≥5；</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第二层：手提灯充电模块≥5；</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第三层：手电筒充电模块≥10；</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第四层：呼救器充电模块≥10；</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第五层：通用充电模块，自由定义调节；</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第六层：储物盒模块。</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4.柜体尺寸：根据客户需求定制。</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26CFD24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61EC319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7EA95237">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6629EA6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13</w:t>
            </w:r>
          </w:p>
        </w:tc>
        <w:tc>
          <w:tcPr>
            <w:tcW w:w="1007" w:type="dxa"/>
            <w:tcBorders>
              <w:top w:val="single" w:color="000000" w:sz="4" w:space="0"/>
              <w:left w:val="single" w:color="000000" w:sz="4" w:space="0"/>
              <w:bottom w:val="single" w:color="000000" w:sz="4" w:space="0"/>
              <w:right w:val="single" w:color="000000" w:sz="4" w:space="0"/>
            </w:tcBorders>
            <w:vAlign w:val="center"/>
          </w:tcPr>
          <w:p w14:paraId="1B6C804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气瓶收纳柜</w:t>
            </w:r>
          </w:p>
        </w:tc>
        <w:tc>
          <w:tcPr>
            <w:tcW w:w="6967" w:type="dxa"/>
            <w:tcBorders>
              <w:top w:val="single" w:color="000000" w:sz="4" w:space="0"/>
              <w:left w:val="single" w:color="000000" w:sz="4" w:space="0"/>
              <w:bottom w:val="single" w:color="000000" w:sz="4" w:space="0"/>
              <w:right w:val="single" w:color="000000" w:sz="4" w:space="0"/>
            </w:tcBorders>
            <w:vAlign w:val="center"/>
          </w:tcPr>
          <w:p w14:paraId="4BE5BEC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材质：采用优质冷轧钢板，表面静电喷涂处理，防腐耐磨。</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颜色：红蓝配色（可根据实际需求定制）。</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尺寸（</w:t>
            </w:r>
            <w:r>
              <w:rPr>
                <w:rFonts w:hint="eastAsia" w:ascii="宋体" w:hAnsi="宋体" w:cs="宋体"/>
                <w:color w:val="auto"/>
                <w:sz w:val="18"/>
                <w:szCs w:val="18"/>
                <w:highlight w:val="none"/>
                <w:lang w:eastAsia="zh-CN"/>
              </w:rPr>
              <w:t>mm</w:t>
            </w:r>
            <w:r>
              <w:rPr>
                <w:rFonts w:hint="eastAsia" w:ascii="宋体" w:hAnsi="宋体" w:cs="宋体"/>
                <w:color w:val="auto"/>
                <w:sz w:val="18"/>
                <w:szCs w:val="18"/>
                <w:highlight w:val="none"/>
              </w:rPr>
              <w:t>）：高×宽×深 ：2000×720×450（暂定，可根据实际需求定制）。</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层数≥5层（可根据呼气瓶数量及尺寸调整层数）。</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单架收纳数量≥10个。</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承重：每层承重不低于80kg，确保呼气瓶安全存放。</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通风性能：柜体侧面设有通风孔，保证柜内空气流通，避免呼气瓶受潮。</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防火性能：柜体材料符合防火标准，能有效阻隔火源。</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2508A30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3</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1D73C54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74D67A42">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39E5F79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14</w:t>
            </w:r>
          </w:p>
        </w:tc>
        <w:tc>
          <w:tcPr>
            <w:tcW w:w="1007" w:type="dxa"/>
            <w:tcBorders>
              <w:top w:val="single" w:color="000000" w:sz="4" w:space="0"/>
              <w:left w:val="single" w:color="000000" w:sz="4" w:space="0"/>
              <w:bottom w:val="single" w:color="000000" w:sz="4" w:space="0"/>
              <w:right w:val="single" w:color="000000" w:sz="4" w:space="0"/>
            </w:tcBorders>
            <w:vAlign w:val="center"/>
          </w:tcPr>
          <w:p w14:paraId="58DE7B5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一短三快对接</w:t>
            </w:r>
          </w:p>
        </w:tc>
        <w:tc>
          <w:tcPr>
            <w:tcW w:w="6967" w:type="dxa"/>
            <w:tcBorders>
              <w:top w:val="single" w:color="000000" w:sz="4" w:space="0"/>
              <w:left w:val="single" w:color="000000" w:sz="4" w:space="0"/>
              <w:bottom w:val="single" w:color="000000" w:sz="4" w:space="0"/>
              <w:right w:val="single" w:color="000000" w:sz="4" w:space="0"/>
            </w:tcBorders>
            <w:vAlign w:val="center"/>
          </w:tcPr>
          <w:p w14:paraId="3F56011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1.软件识别接警信息。</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2.单兵养护仓信号数据修改（符合智能联动辅机控制输出条件）。</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3.根据案件类型，控制单兵养护仓旋转至应用位置。</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6CB2B0A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6F5E410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套</w:t>
            </w:r>
          </w:p>
        </w:tc>
      </w:tr>
      <w:tr w14:paraId="712C3F16">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261B7C5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15</w:t>
            </w:r>
          </w:p>
        </w:tc>
        <w:tc>
          <w:tcPr>
            <w:tcW w:w="1007" w:type="dxa"/>
            <w:tcBorders>
              <w:top w:val="single" w:color="000000" w:sz="4" w:space="0"/>
              <w:left w:val="single" w:color="000000" w:sz="4" w:space="0"/>
              <w:bottom w:val="single" w:color="000000" w:sz="4" w:space="0"/>
              <w:right w:val="single" w:color="000000" w:sz="4" w:space="0"/>
            </w:tcBorders>
            <w:vAlign w:val="center"/>
          </w:tcPr>
          <w:p w14:paraId="5EEF935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背夹收纳柜</w:t>
            </w:r>
          </w:p>
        </w:tc>
        <w:tc>
          <w:tcPr>
            <w:tcW w:w="6967" w:type="dxa"/>
            <w:tcBorders>
              <w:top w:val="single" w:color="000000" w:sz="4" w:space="0"/>
              <w:left w:val="single" w:color="000000" w:sz="4" w:space="0"/>
              <w:bottom w:val="single" w:color="000000" w:sz="4" w:space="0"/>
              <w:right w:val="single" w:color="000000" w:sz="4" w:space="0"/>
            </w:tcBorders>
            <w:vAlign w:val="center"/>
          </w:tcPr>
          <w:p w14:paraId="2D0EA74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材质：柜体采用高强度冷轧钢板制造，表面喷涂环保防腐漆；内部隔板及支撑结构采用优质不锈钢材料，耐腐蚀，确保长期使用不变形。</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样式：采用栅格式设计，内置上下双层圆柱形悬挂柱体。</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颜色：红蓝配色（可根据实际需求定制）。</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尺寸：高2000</w:t>
            </w:r>
            <w:r>
              <w:rPr>
                <w:rFonts w:hint="eastAsia" w:ascii="宋体" w:hAnsi="宋体" w:cs="宋体"/>
                <w:snapToGrid w:val="0"/>
                <w:color w:val="auto"/>
                <w:sz w:val="18"/>
                <w:szCs w:val="18"/>
                <w:highlight w:val="none"/>
                <w:lang w:eastAsia="zh-CN" w:bidi="ar"/>
              </w:rPr>
              <w:t>mm</w:t>
            </w:r>
            <w:r>
              <w:rPr>
                <w:rFonts w:hint="eastAsia" w:ascii="宋体" w:hAnsi="宋体" w:cs="宋体"/>
                <w:snapToGrid w:val="0"/>
                <w:color w:val="auto"/>
                <w:sz w:val="18"/>
                <w:szCs w:val="18"/>
                <w:highlight w:val="none"/>
                <w:lang w:bidi="ar"/>
              </w:rPr>
              <w:t>*宽800</w:t>
            </w:r>
            <w:r>
              <w:rPr>
                <w:rFonts w:hint="eastAsia" w:ascii="宋体" w:hAnsi="宋体" w:cs="宋体"/>
                <w:snapToGrid w:val="0"/>
                <w:color w:val="auto"/>
                <w:sz w:val="18"/>
                <w:szCs w:val="18"/>
                <w:highlight w:val="none"/>
                <w:lang w:eastAsia="zh-CN" w:bidi="ar"/>
              </w:rPr>
              <w:t>mm</w:t>
            </w:r>
            <w:r>
              <w:rPr>
                <w:rFonts w:hint="eastAsia" w:ascii="宋体" w:hAnsi="宋体" w:cs="宋体"/>
                <w:snapToGrid w:val="0"/>
                <w:color w:val="auto"/>
                <w:sz w:val="18"/>
                <w:szCs w:val="18"/>
                <w:highlight w:val="none"/>
                <w:lang w:bidi="ar"/>
              </w:rPr>
              <w:t>*深600</w:t>
            </w:r>
            <w:r>
              <w:rPr>
                <w:rFonts w:hint="eastAsia" w:ascii="宋体" w:hAnsi="宋体" w:cs="宋体"/>
                <w:snapToGrid w:val="0"/>
                <w:color w:val="auto"/>
                <w:sz w:val="18"/>
                <w:szCs w:val="18"/>
                <w:highlight w:val="none"/>
                <w:lang w:eastAsia="zh-CN" w:bidi="ar"/>
              </w:rPr>
              <w:t>mm</w:t>
            </w:r>
            <w:r>
              <w:rPr>
                <w:rFonts w:hint="eastAsia" w:ascii="宋体" w:hAnsi="宋体" w:cs="宋体"/>
                <w:snapToGrid w:val="0"/>
                <w:color w:val="auto"/>
                <w:sz w:val="18"/>
                <w:szCs w:val="18"/>
                <w:highlight w:val="none"/>
                <w:lang w:bidi="ar"/>
              </w:rPr>
              <w:t>（暂定，高度、宽度、深度根据背夹的尺寸和数量定制）。</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容量：收纳背夹≥16个，消防面罩≥16个。</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侧面边框：≥5</w:t>
            </w:r>
            <w:r>
              <w:rPr>
                <w:rFonts w:hint="eastAsia" w:ascii="宋体" w:hAnsi="宋体" w:cs="宋体"/>
                <w:snapToGrid w:val="0"/>
                <w:color w:val="auto"/>
                <w:sz w:val="18"/>
                <w:szCs w:val="18"/>
                <w:highlight w:val="none"/>
                <w:lang w:eastAsia="zh-CN" w:bidi="ar"/>
              </w:rPr>
              <w:t>mm</w:t>
            </w:r>
            <w:r>
              <w:rPr>
                <w:rFonts w:hint="eastAsia" w:ascii="宋体" w:hAnsi="宋体" w:cs="宋体"/>
                <w:snapToGrid w:val="0"/>
                <w:color w:val="auto"/>
                <w:sz w:val="18"/>
                <w:szCs w:val="18"/>
                <w:highlight w:val="none"/>
                <w:lang w:bidi="ar"/>
              </w:rPr>
              <w:t>透明钢化玻璃/亚克力。</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通风与干燥：柜体侧面设有通风孔，确保柜内空气流通，防止背夹受潮。</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标识与分类：每层隔板可配备标签架，方便标识和分类存放背夹。</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可根据消防队伍的需求，进行个性化定制和标识。</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5C785C9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2</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7BC45B3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4A9B5A86">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376A9C0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16</w:t>
            </w:r>
          </w:p>
        </w:tc>
        <w:tc>
          <w:tcPr>
            <w:tcW w:w="1007" w:type="dxa"/>
            <w:tcBorders>
              <w:top w:val="single" w:color="000000" w:sz="4" w:space="0"/>
              <w:left w:val="single" w:color="000000" w:sz="4" w:space="0"/>
              <w:bottom w:val="single" w:color="000000" w:sz="4" w:space="0"/>
              <w:right w:val="single" w:color="000000" w:sz="4" w:space="0"/>
            </w:tcBorders>
            <w:vAlign w:val="center"/>
          </w:tcPr>
          <w:p w14:paraId="2DE6B31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战斗服架控制盒</w:t>
            </w:r>
          </w:p>
        </w:tc>
        <w:tc>
          <w:tcPr>
            <w:tcW w:w="6967" w:type="dxa"/>
            <w:tcBorders>
              <w:top w:val="single" w:color="000000" w:sz="4" w:space="0"/>
              <w:left w:val="single" w:color="000000" w:sz="4" w:space="0"/>
              <w:bottom w:val="single" w:color="000000" w:sz="4" w:space="0"/>
              <w:right w:val="single" w:color="000000" w:sz="4" w:space="0"/>
            </w:tcBorders>
            <w:vAlign w:val="center"/>
          </w:tcPr>
          <w:p w14:paraId="133A8D3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1.拍打旋转功能：接警后拍打拍灯即可完成作战服的旋转。红色（显示颜色根据需求可更改）全部旋转至灭火防护服面，黄色（显示颜色根据需求可更改）全部旋转至抢险救援服面。</w:t>
            </w:r>
          </w:p>
          <w:p w14:paraId="5E90DE5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2.统一指挥功能：控制单位内的所有战斗服架功能，包括一键通风、一键烘干（可选择烘干时长）、一键杀毒、一键旋转。</w:t>
            </w:r>
          </w:p>
          <w:p w14:paraId="1D1045F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3.单独柜位控制：支持对单个柜位进行控制，可单独控制每个柜子。</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4DF53A4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2466870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套</w:t>
            </w:r>
          </w:p>
        </w:tc>
      </w:tr>
      <w:tr w14:paraId="4BDB308B">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vAlign w:val="center"/>
          </w:tcPr>
          <w:p w14:paraId="78665D6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五</w:t>
            </w:r>
          </w:p>
        </w:tc>
        <w:tc>
          <w:tcPr>
            <w:tcW w:w="9214" w:type="dxa"/>
            <w:gridSpan w:val="4"/>
            <w:tcBorders>
              <w:top w:val="single" w:color="000000" w:sz="4" w:space="0"/>
              <w:left w:val="single" w:color="000000" w:sz="4" w:space="0"/>
              <w:bottom w:val="single" w:color="000000" w:sz="4" w:space="0"/>
              <w:right w:val="single" w:color="000000" w:sz="4" w:space="0"/>
            </w:tcBorders>
            <w:vAlign w:val="center"/>
          </w:tcPr>
          <w:p w14:paraId="1CD2EC79">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消防快速出警（一短三快）</w:t>
            </w:r>
          </w:p>
        </w:tc>
      </w:tr>
      <w:tr w14:paraId="0230BAF1">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31C8669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17</w:t>
            </w:r>
          </w:p>
        </w:tc>
        <w:tc>
          <w:tcPr>
            <w:tcW w:w="1007" w:type="dxa"/>
            <w:tcBorders>
              <w:top w:val="single" w:color="000000" w:sz="4" w:space="0"/>
              <w:left w:val="single" w:color="000000" w:sz="4" w:space="0"/>
              <w:bottom w:val="single" w:color="000000" w:sz="4" w:space="0"/>
              <w:right w:val="single" w:color="000000" w:sz="4" w:space="0"/>
            </w:tcBorders>
            <w:vAlign w:val="center"/>
          </w:tcPr>
          <w:p w14:paraId="34467AA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接处警终端</w:t>
            </w:r>
          </w:p>
        </w:tc>
        <w:tc>
          <w:tcPr>
            <w:tcW w:w="6967" w:type="dxa"/>
            <w:tcBorders>
              <w:top w:val="single" w:color="000000" w:sz="4" w:space="0"/>
              <w:left w:val="single" w:color="000000" w:sz="4" w:space="0"/>
              <w:bottom w:val="single" w:color="000000" w:sz="4" w:space="0"/>
              <w:right w:val="single" w:color="000000" w:sz="4" w:space="0"/>
            </w:tcBorders>
            <w:vAlign w:val="center"/>
          </w:tcPr>
          <w:p w14:paraId="011D737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处理器：最高主频≥2.4GHz，核心数≥8，内存频率≥6400MT/S，线程数≥8。</w:t>
            </w:r>
          </w:p>
          <w:p w14:paraId="257C91E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主板：国产芯片组；内存扩展接口≥2 个；存储扩展接口类型UFS3.0、SATA3.0、SAS3.0、M.2等类型接口；支持瞬间过流保护功能；支持防静电保护功能；支持 PCIe 插槽数量不少于 2 个；单内存插槽最大可支持容量≥8GB；内存插槽满配时提供的最高内存总容量≥16GB。</w:t>
            </w:r>
          </w:p>
          <w:p w14:paraId="3F75A41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内存：≥8G DDR5或LPDDR5及以上内存，频率≥6400MT/S，不少于两个内存槽位。</w:t>
            </w:r>
          </w:p>
          <w:p w14:paraId="78F8E0A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硬盘：主板自带至少一个M.2 PCIe SSD Gen4插槽，搭配不低于256GBB M.2 NVME固态硬盘，不低于1TB机械硬盘，机械硬盘准备时间应不大于 30s；侧面固定螺丝孔数量可为 4 孔或 6 孔；工作状态环境温度应满足 5℃~55℃。</w:t>
            </w:r>
          </w:p>
          <w:p w14:paraId="2575C92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显卡：集成显卡，支持共享显存或独立显卡，显存不小于2G。</w:t>
            </w:r>
          </w:p>
          <w:p w14:paraId="3920106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外设规格：抗菌键盘≥1个，有线；抗菌鼠标≥1个，有线，线长≥1.5 米；支持内置光驱。</w:t>
            </w:r>
          </w:p>
          <w:p w14:paraId="5130A62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电源：≥180W电源。</w:t>
            </w:r>
          </w:p>
          <w:p w14:paraId="65ACAA8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 xml:space="preserve">机箱：机身容量≤10L，金属机身。 </w:t>
            </w:r>
          </w:p>
          <w:p w14:paraId="39494DB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安全特性：CPU和操作系统等关键部件应当符合安全可靠测评要求。</w:t>
            </w:r>
          </w:p>
          <w:p w14:paraId="7E84197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软件要求：国产操作系统、国产办公软件、国产防病毒软件。</w:t>
            </w:r>
          </w:p>
          <w:p w14:paraId="32098C5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网络设备规格：有线网卡数量≥1个；网卡：集成10/100/1000M以太网卡。</w:t>
            </w:r>
          </w:p>
          <w:p w14:paraId="2A2774A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外部接口规格：机箱前面板应提供不少于3个USB接口（含2个USB3.0及以上接口，USB3.0传输速度高于2.0）；视频接口数量≥1个；音频接口数量≥1个。</w:t>
            </w:r>
          </w:p>
          <w:p w14:paraId="4DE3382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整机基础规格：MTBF(m1)≥3 万小时，在环境温度 25℃及处理器满载情况下，出风口在机箱后面板情况下，出风口温度不高于 55℃；可触及面温度不高于 45℃。</w:t>
            </w:r>
          </w:p>
          <w:p w14:paraId="4AF615C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包装及运输要求：符合 GB/T 9813.1 和商品包装政府采购需求标准的相关规定。</w:t>
            </w:r>
          </w:p>
          <w:p w14:paraId="312CC2F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配备27寸显示器。</w:t>
            </w:r>
          </w:p>
          <w:p w14:paraId="5769557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售后服务要求：产品质保期同本项目整体免费质保期。</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6016AC0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4</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664091B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3B96EFED">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3B8505F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18</w:t>
            </w:r>
          </w:p>
        </w:tc>
        <w:tc>
          <w:tcPr>
            <w:tcW w:w="1007" w:type="dxa"/>
            <w:tcBorders>
              <w:top w:val="single" w:color="000000" w:sz="4" w:space="0"/>
              <w:left w:val="single" w:color="000000" w:sz="4" w:space="0"/>
              <w:bottom w:val="single" w:color="000000" w:sz="4" w:space="0"/>
              <w:right w:val="single" w:color="000000" w:sz="4" w:space="0"/>
            </w:tcBorders>
            <w:vAlign w:val="center"/>
          </w:tcPr>
          <w:p w14:paraId="41C1709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消防智能联动主机</w:t>
            </w:r>
          </w:p>
        </w:tc>
        <w:tc>
          <w:tcPr>
            <w:tcW w:w="6967" w:type="dxa"/>
            <w:tcBorders>
              <w:top w:val="single" w:color="000000" w:sz="4" w:space="0"/>
              <w:left w:val="single" w:color="000000" w:sz="4" w:space="0"/>
              <w:bottom w:val="single" w:color="000000" w:sz="4" w:space="0"/>
              <w:right w:val="single" w:color="000000" w:sz="4" w:space="0"/>
            </w:tcBorders>
            <w:vAlign w:val="center"/>
          </w:tcPr>
          <w:p w14:paraId="4A4C3FE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eastAsia="宋体" w:cs="宋体"/>
                <w:snapToGrid w:val="0"/>
                <w:color w:val="auto"/>
                <w:sz w:val="18"/>
                <w:szCs w:val="18"/>
                <w:highlight w:val="none"/>
                <w:lang w:bidi="ar"/>
              </w:rPr>
              <w:t>适配消防智能接处警平台：</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1.可通过部局统一开发的火警受理软件的控制接口进行控制和管理，无需二次对接开发。</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2.基于嵌入式硬件平台设计，采用工业级高性能处理器，内带嵌入式操作系统。</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3.标准2U机箱。</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4.前面板设置220V电源开关机按键及警铃、警灯、车库门单独启动按键和一键启动。</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5.后面板接口要求：</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1）安全提示接口输出220V，接警启动软件设置关闭时间；</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2）警灯、车库门接口开关量输出；</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3）警铃220V输出接口，可按警情等级分五类输出。</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6.具备USB上位机通讯接口。</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7.主机220V电源，支持以太网、串口通讯，主板开关量接口耐高压设计，输入输出电压支持5V—380V。</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8.接警第一时间可打开所有设置好的联动相关联设备。平时支持一键开启警铃、警灯、车库门及分别按键开启以上三项。</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00BBC7E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209F598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7B7E42E5">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3E8D2F0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19</w:t>
            </w:r>
          </w:p>
        </w:tc>
        <w:tc>
          <w:tcPr>
            <w:tcW w:w="1007" w:type="dxa"/>
            <w:tcBorders>
              <w:top w:val="single" w:color="000000" w:sz="4" w:space="0"/>
              <w:left w:val="single" w:color="000000" w:sz="4" w:space="0"/>
              <w:bottom w:val="single" w:color="000000" w:sz="4" w:space="0"/>
              <w:right w:val="single" w:color="000000" w:sz="4" w:space="0"/>
            </w:tcBorders>
            <w:vAlign w:val="center"/>
          </w:tcPr>
          <w:p w14:paraId="64B65AB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智能联动控制小主机含运行软件（软件定制）</w:t>
            </w:r>
          </w:p>
        </w:tc>
        <w:tc>
          <w:tcPr>
            <w:tcW w:w="6967" w:type="dxa"/>
            <w:tcBorders>
              <w:top w:val="single" w:color="000000" w:sz="4" w:space="0"/>
              <w:left w:val="single" w:color="000000" w:sz="4" w:space="0"/>
              <w:bottom w:val="single" w:color="000000" w:sz="4" w:space="0"/>
              <w:right w:val="single" w:color="000000" w:sz="4" w:space="0"/>
            </w:tcBorders>
            <w:vAlign w:val="center"/>
          </w:tcPr>
          <w:p w14:paraId="7309771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eastAsia="宋体" w:cs="宋体"/>
                <w:snapToGrid w:val="0"/>
                <w:color w:val="auto"/>
                <w:sz w:val="18"/>
                <w:szCs w:val="18"/>
                <w:highlight w:val="none"/>
                <w:lang w:bidi="ar"/>
              </w:rPr>
              <w:t>1.接入指挥网采集警情数据，分析调取显示下单具体警情。</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2.接到联动设备启动命令启动倒计时语音播报功能。</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3.系统可设定倒计时结束2分钟恢复学习宣传页面。</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4.支持MP4图像播放。</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5.支持PNG图片播放。</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6.支持以太网、串口、USB通讯。</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7.支持联动辅机扩展控制。</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8.工作电压12V。</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9.接警第一时间打开倒计时显示警情内容及倒计时。</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10.3.5</w:t>
            </w:r>
            <w:r>
              <w:rPr>
                <w:rFonts w:hint="eastAsia" w:ascii="宋体" w:hAnsi="宋体" w:cs="宋体"/>
                <w:snapToGrid w:val="0"/>
                <w:color w:val="auto"/>
                <w:sz w:val="18"/>
                <w:szCs w:val="18"/>
                <w:highlight w:val="none"/>
                <w:lang w:eastAsia="zh-CN" w:bidi="ar"/>
              </w:rPr>
              <w:t>mm</w:t>
            </w:r>
            <w:r>
              <w:rPr>
                <w:rFonts w:hint="eastAsia" w:ascii="宋体" w:hAnsi="宋体" w:eastAsia="宋体" w:cs="宋体"/>
                <w:snapToGrid w:val="0"/>
                <w:color w:val="auto"/>
                <w:sz w:val="18"/>
                <w:szCs w:val="18"/>
                <w:highlight w:val="none"/>
                <w:lang w:bidi="ar"/>
              </w:rPr>
              <w:t>音频输出。</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11.支持DP、HDMI输出。</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12.软件系统支持文字、图片、视频的轮询播放。支持轮询速度调节。</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2E7A1B7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0F9B249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套</w:t>
            </w:r>
          </w:p>
        </w:tc>
      </w:tr>
      <w:tr w14:paraId="0861E15D">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6F08E52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20</w:t>
            </w:r>
          </w:p>
        </w:tc>
        <w:tc>
          <w:tcPr>
            <w:tcW w:w="1007" w:type="dxa"/>
            <w:tcBorders>
              <w:top w:val="single" w:color="000000" w:sz="4" w:space="0"/>
              <w:left w:val="single" w:color="000000" w:sz="4" w:space="0"/>
              <w:bottom w:val="single" w:color="000000" w:sz="4" w:space="0"/>
              <w:right w:val="single" w:color="000000" w:sz="4" w:space="0"/>
            </w:tcBorders>
            <w:vAlign w:val="center"/>
          </w:tcPr>
          <w:p w14:paraId="7B5F731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警情等级五色警灯</w:t>
            </w:r>
          </w:p>
        </w:tc>
        <w:tc>
          <w:tcPr>
            <w:tcW w:w="6967" w:type="dxa"/>
            <w:tcBorders>
              <w:top w:val="single" w:color="000000" w:sz="4" w:space="0"/>
              <w:left w:val="single" w:color="000000" w:sz="4" w:space="0"/>
              <w:bottom w:val="single" w:color="000000" w:sz="4" w:space="0"/>
              <w:right w:val="single" w:color="000000" w:sz="4" w:space="0"/>
            </w:tcBorders>
            <w:vAlign w:val="center"/>
          </w:tcPr>
          <w:p w14:paraId="4980BF5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eastAsia="宋体" w:cs="宋体"/>
                <w:snapToGrid w:val="0"/>
                <w:color w:val="auto"/>
                <w:sz w:val="18"/>
                <w:szCs w:val="18"/>
                <w:highlight w:val="none"/>
                <w:lang w:bidi="ar"/>
              </w:rPr>
              <w:t>1.五种警情等级爆闪灯，白色一级、绿色二级、蓝色三级、橙色四级、红色五级。</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2.内置全频扩音。</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3.支持以太网，485通讯控制。</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4.工作电压12V。</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5.设备尺寸≥680*242*103CM。</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6.接警第一时间打开相应爆闪警灯提示队员案件警情等级。</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5E6271D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3CCBAB1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个</w:t>
            </w:r>
          </w:p>
        </w:tc>
      </w:tr>
      <w:tr w14:paraId="6EFD6605">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3B12707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21</w:t>
            </w:r>
          </w:p>
        </w:tc>
        <w:tc>
          <w:tcPr>
            <w:tcW w:w="1007" w:type="dxa"/>
            <w:tcBorders>
              <w:top w:val="single" w:color="000000" w:sz="4" w:space="0"/>
              <w:left w:val="single" w:color="000000" w:sz="4" w:space="0"/>
              <w:bottom w:val="single" w:color="000000" w:sz="4" w:space="0"/>
              <w:right w:val="single" w:color="000000" w:sz="4" w:space="0"/>
            </w:tcBorders>
            <w:vAlign w:val="center"/>
          </w:tcPr>
          <w:p w14:paraId="56A6335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倒计时宣传显示器</w:t>
            </w:r>
          </w:p>
        </w:tc>
        <w:tc>
          <w:tcPr>
            <w:tcW w:w="6967" w:type="dxa"/>
            <w:tcBorders>
              <w:top w:val="single" w:color="000000" w:sz="4" w:space="0"/>
              <w:left w:val="single" w:color="000000" w:sz="4" w:space="0"/>
              <w:bottom w:val="single" w:color="000000" w:sz="4" w:space="0"/>
              <w:right w:val="single" w:color="000000" w:sz="4" w:space="0"/>
            </w:tcBorders>
            <w:vAlign w:val="center"/>
          </w:tcPr>
          <w:p w14:paraId="4F6FE05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≥50寸液晶显示屏，16:9，4K及以上分辨率，屏占比大于95%，USB接口。</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171AED2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1C34DF4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6E202B05">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666AEF6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22</w:t>
            </w:r>
          </w:p>
        </w:tc>
        <w:tc>
          <w:tcPr>
            <w:tcW w:w="1007" w:type="dxa"/>
            <w:tcBorders>
              <w:top w:val="single" w:color="000000" w:sz="4" w:space="0"/>
              <w:left w:val="single" w:color="000000" w:sz="4" w:space="0"/>
              <w:bottom w:val="single" w:color="000000" w:sz="4" w:space="0"/>
              <w:right w:val="single" w:color="000000" w:sz="4" w:space="0"/>
            </w:tcBorders>
            <w:vAlign w:val="center"/>
          </w:tcPr>
          <w:p w14:paraId="7DE3E42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智能联动辅机</w:t>
            </w:r>
          </w:p>
        </w:tc>
        <w:tc>
          <w:tcPr>
            <w:tcW w:w="6967" w:type="dxa"/>
            <w:tcBorders>
              <w:top w:val="single" w:color="000000" w:sz="4" w:space="0"/>
              <w:left w:val="single" w:color="000000" w:sz="4" w:space="0"/>
              <w:bottom w:val="single" w:color="000000" w:sz="4" w:space="0"/>
              <w:right w:val="single" w:color="000000" w:sz="4" w:space="0"/>
            </w:tcBorders>
            <w:vAlign w:val="center"/>
          </w:tcPr>
          <w:p w14:paraId="0F5BC2A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eastAsia="宋体" w:cs="宋体"/>
                <w:snapToGrid w:val="0"/>
                <w:color w:val="auto"/>
                <w:sz w:val="18"/>
                <w:szCs w:val="18"/>
                <w:highlight w:val="none"/>
                <w:lang w:bidi="ar"/>
              </w:rPr>
              <w:t>1.采用2U机架式设计，可安装于19英寸机架内。</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2.基于嵌入式硬件平台设计，采用工业级高性能处理器，内带嵌入式操作系统。</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3.支持以太网、485及开关量通信。</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4.提供15路控制输出口（可按用户需求扩容更多智能可控调节接口）。</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5.12V三色警灯。按警情类型开启12v输出接警启动软件设置关闭时间。</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6.装备架开关量按警情类型输出，开关量启动时间两软件设置。</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7.备用开关量1-6软件可编辑设置应用端口。</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253BEF5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1911754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05B779F0">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4AA27460">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23</w:t>
            </w:r>
          </w:p>
        </w:tc>
        <w:tc>
          <w:tcPr>
            <w:tcW w:w="1007" w:type="dxa"/>
            <w:tcBorders>
              <w:top w:val="single" w:color="000000" w:sz="4" w:space="0"/>
              <w:left w:val="single" w:color="000000" w:sz="4" w:space="0"/>
              <w:bottom w:val="single" w:color="000000" w:sz="4" w:space="0"/>
              <w:right w:val="single" w:color="000000" w:sz="4" w:space="0"/>
            </w:tcBorders>
            <w:vAlign w:val="center"/>
          </w:tcPr>
          <w:p w14:paraId="1E4EF3F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案件下单车辆车位引导投影系统</w:t>
            </w:r>
          </w:p>
        </w:tc>
        <w:tc>
          <w:tcPr>
            <w:tcW w:w="6967" w:type="dxa"/>
            <w:tcBorders>
              <w:top w:val="single" w:color="000000" w:sz="4" w:space="0"/>
              <w:left w:val="single" w:color="000000" w:sz="4" w:space="0"/>
              <w:bottom w:val="single" w:color="000000" w:sz="4" w:space="0"/>
              <w:right w:val="single" w:color="000000" w:sz="4" w:space="0"/>
            </w:tcBorders>
            <w:vAlign w:val="center"/>
          </w:tcPr>
          <w:p w14:paraId="01F95D0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eastAsia="宋体" w:cs="宋体"/>
                <w:snapToGrid w:val="0"/>
                <w:color w:val="auto"/>
                <w:sz w:val="18"/>
                <w:szCs w:val="18"/>
                <w:highlight w:val="none"/>
                <w:lang w:bidi="ar"/>
              </w:rPr>
              <w:t>1.工作电压220V。</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2.设备功率≥25W。</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3.不低于6层光学透镜。</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4.双通道散热。</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5.LED光源，显色≥90Ra，4k高清成像核心。</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6.联动软件按指挥中心下单车辆信息，开启车库相应出动车辆车位的投影指示，方便战斗员第一时间登车。</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42621F1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9</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16DCFB6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套</w:t>
            </w:r>
          </w:p>
        </w:tc>
      </w:tr>
      <w:tr w14:paraId="4ECAB2D0">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7A89E31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24</w:t>
            </w:r>
          </w:p>
        </w:tc>
        <w:tc>
          <w:tcPr>
            <w:tcW w:w="1007" w:type="dxa"/>
            <w:tcBorders>
              <w:top w:val="single" w:color="000000" w:sz="4" w:space="0"/>
              <w:left w:val="single" w:color="000000" w:sz="4" w:space="0"/>
              <w:bottom w:val="single" w:color="000000" w:sz="4" w:space="0"/>
              <w:right w:val="single" w:color="000000" w:sz="4" w:space="0"/>
            </w:tcBorders>
            <w:vAlign w:val="center"/>
          </w:tcPr>
          <w:p w14:paraId="1CF0D43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滑竿区开门信号对接</w:t>
            </w:r>
          </w:p>
        </w:tc>
        <w:tc>
          <w:tcPr>
            <w:tcW w:w="6967" w:type="dxa"/>
            <w:tcBorders>
              <w:top w:val="single" w:color="000000" w:sz="4" w:space="0"/>
              <w:left w:val="single" w:color="000000" w:sz="4" w:space="0"/>
              <w:bottom w:val="single" w:color="000000" w:sz="4" w:space="0"/>
              <w:right w:val="single" w:color="000000" w:sz="4" w:space="0"/>
            </w:tcBorders>
            <w:vAlign w:val="center"/>
          </w:tcPr>
          <w:p w14:paraId="6C9F9A7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eastAsia="宋体" w:cs="宋体"/>
                <w:snapToGrid w:val="0"/>
                <w:color w:val="auto"/>
                <w:sz w:val="18"/>
                <w:szCs w:val="18"/>
                <w:highlight w:val="none"/>
                <w:lang w:bidi="ar"/>
              </w:rPr>
              <w:t>1.软件识别接警信息。</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2.中队道闸开关信号数据修改（符合智能联动辅机控制输出条件）。</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3.接收到出警指令后车库门第一时间自动开启。</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4.点击开启按键有图案颜色区分。</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5.车库控制数量可在软件设置内修改增减。</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2870604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02BAE7B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套</w:t>
            </w:r>
          </w:p>
        </w:tc>
      </w:tr>
      <w:tr w14:paraId="3BB1651C">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67CE4D9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25</w:t>
            </w:r>
          </w:p>
        </w:tc>
        <w:tc>
          <w:tcPr>
            <w:tcW w:w="1007" w:type="dxa"/>
            <w:tcBorders>
              <w:top w:val="single" w:color="000000" w:sz="4" w:space="0"/>
              <w:left w:val="single" w:color="000000" w:sz="4" w:space="0"/>
              <w:bottom w:val="single" w:color="000000" w:sz="4" w:space="0"/>
              <w:right w:val="single" w:color="000000" w:sz="4" w:space="0"/>
            </w:tcBorders>
            <w:vAlign w:val="center"/>
          </w:tcPr>
          <w:p w14:paraId="7F9F8BE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LED宣传倒计时道路安全宣传提示显示屏软件开发及对接</w:t>
            </w:r>
          </w:p>
        </w:tc>
        <w:tc>
          <w:tcPr>
            <w:tcW w:w="6967" w:type="dxa"/>
            <w:tcBorders>
              <w:top w:val="single" w:color="000000" w:sz="4" w:space="0"/>
              <w:left w:val="single" w:color="000000" w:sz="4" w:space="0"/>
              <w:bottom w:val="single" w:color="000000" w:sz="4" w:space="0"/>
              <w:right w:val="single" w:color="000000" w:sz="4" w:space="0"/>
            </w:tcBorders>
            <w:vAlign w:val="center"/>
          </w:tcPr>
          <w:p w14:paraId="3EA7CA3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eastAsia="宋体" w:cs="宋体"/>
                <w:snapToGrid w:val="0"/>
                <w:color w:val="auto"/>
                <w:sz w:val="18"/>
                <w:szCs w:val="18"/>
                <w:highlight w:val="none"/>
                <w:lang w:bidi="ar"/>
              </w:rPr>
              <w:t>软件开发需根据现有安装的LED屏分辨率定制开发：</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1.平时软件设定播放宣传模式。</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2.接警第一时间启动1分钟倒计时模式。</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3.倒计时开始同时软件识别具体警情信息，投送警情类型显示、案件地址显示等信息。</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4.平时软件设定播放宣传模式。</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5.接警第一时间启动消防站出警，道路安全提示模式。</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6.简单明了爆闪文字提示及软件音频扩音提示（保障出警道路安全）。</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7.软件开发符合LED显示设备分辨率。</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8.平时支持独立播放图片及MP4学习材料，接警时自动跳转至倒计时及警情内容提示，安全信息提示等。</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9.根据已安装的宣传学习大屏分辨率进行开发。</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10.支持单色屏及全彩屏。</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02075A4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4207EC4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套</w:t>
            </w:r>
          </w:p>
        </w:tc>
      </w:tr>
      <w:tr w14:paraId="2A46F148">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4449E71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26</w:t>
            </w:r>
          </w:p>
        </w:tc>
        <w:tc>
          <w:tcPr>
            <w:tcW w:w="1007" w:type="dxa"/>
            <w:tcBorders>
              <w:top w:val="single" w:color="000000" w:sz="4" w:space="0"/>
              <w:left w:val="single" w:color="000000" w:sz="4" w:space="0"/>
              <w:bottom w:val="single" w:color="000000" w:sz="4" w:space="0"/>
              <w:right w:val="single" w:color="000000" w:sz="4" w:space="0"/>
            </w:tcBorders>
            <w:vAlign w:val="center"/>
          </w:tcPr>
          <w:p w14:paraId="377A79E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单兵作战仓控制对接开发</w:t>
            </w:r>
          </w:p>
        </w:tc>
        <w:tc>
          <w:tcPr>
            <w:tcW w:w="6967" w:type="dxa"/>
            <w:tcBorders>
              <w:top w:val="single" w:color="000000" w:sz="4" w:space="0"/>
              <w:left w:val="single" w:color="000000" w:sz="4" w:space="0"/>
              <w:bottom w:val="single" w:color="000000" w:sz="4" w:space="0"/>
              <w:right w:val="single" w:color="000000" w:sz="4" w:space="0"/>
            </w:tcBorders>
            <w:vAlign w:val="center"/>
          </w:tcPr>
          <w:p w14:paraId="007D355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1.与单兵作战仓对接进行指令对接。</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2.根据装备生产厂家对接信号要求开发对接信号：</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1）开关量（两组</w:t>
            </w:r>
            <w:r>
              <w:rPr>
                <w:rFonts w:hint="eastAsia" w:ascii="宋体" w:hAnsi="宋体" w:cs="宋体"/>
                <w:snapToGrid w:val="0"/>
                <w:color w:val="auto"/>
                <w:sz w:val="18"/>
                <w:szCs w:val="18"/>
                <w:highlight w:val="none"/>
                <w:lang w:eastAsia="zh-CN" w:bidi="ar"/>
              </w:rPr>
              <w:t>－</w:t>
            </w:r>
            <w:r>
              <w:rPr>
                <w:rFonts w:hint="eastAsia" w:ascii="宋体" w:hAnsi="宋体" w:cs="宋体"/>
                <w:snapToGrid w:val="0"/>
                <w:color w:val="auto"/>
                <w:sz w:val="18"/>
                <w:szCs w:val="18"/>
                <w:highlight w:val="none"/>
                <w:lang w:bidi="ar"/>
              </w:rPr>
              <w:t>时长要求参数设计）；</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2）232.485（定制通讯开发测试协议对接）；</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3）以太网（定制通讯协议开发测试对接）。</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01D5633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7B98C0C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套</w:t>
            </w:r>
          </w:p>
        </w:tc>
      </w:tr>
      <w:tr w14:paraId="49D52F55">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0758BF5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27</w:t>
            </w:r>
          </w:p>
        </w:tc>
        <w:tc>
          <w:tcPr>
            <w:tcW w:w="1007" w:type="dxa"/>
            <w:tcBorders>
              <w:top w:val="single" w:color="000000" w:sz="4" w:space="0"/>
              <w:left w:val="single" w:color="000000" w:sz="4" w:space="0"/>
              <w:bottom w:val="single" w:color="000000" w:sz="4" w:space="0"/>
              <w:right w:val="single" w:color="000000" w:sz="4" w:space="0"/>
            </w:tcBorders>
            <w:vAlign w:val="center"/>
          </w:tcPr>
          <w:p w14:paraId="1428799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警情类型三色指示灯</w:t>
            </w:r>
          </w:p>
        </w:tc>
        <w:tc>
          <w:tcPr>
            <w:tcW w:w="6967" w:type="dxa"/>
            <w:tcBorders>
              <w:top w:val="single" w:color="000000" w:sz="4" w:space="0"/>
              <w:left w:val="single" w:color="000000" w:sz="4" w:space="0"/>
              <w:bottom w:val="single" w:color="000000" w:sz="4" w:space="0"/>
              <w:right w:val="single" w:color="000000" w:sz="4" w:space="0"/>
            </w:tcBorders>
            <w:vAlign w:val="center"/>
          </w:tcPr>
          <w:p w14:paraId="59EE5CF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接警台智能联动软件分析警情数据输出控制警情类型三色警灯显示爆闪：</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1.三种警情类型爆闪灯，红色火灾扑救、蓝色水域救援、黄色抢险救援。</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2.有线传输控制。</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3.工作电压12V。</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4.设备尺寸≥500*166*28。</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5.接警第一时间打开相应爆闪警灯提示队员案件类型。</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2D97D6C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10</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6BACA20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个</w:t>
            </w:r>
          </w:p>
        </w:tc>
      </w:tr>
      <w:tr w14:paraId="659C6AB6">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2B450996">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28</w:t>
            </w:r>
          </w:p>
        </w:tc>
        <w:tc>
          <w:tcPr>
            <w:tcW w:w="1007" w:type="dxa"/>
            <w:tcBorders>
              <w:top w:val="single" w:color="000000" w:sz="4" w:space="0"/>
              <w:left w:val="single" w:color="000000" w:sz="4" w:space="0"/>
              <w:bottom w:val="single" w:color="000000" w:sz="4" w:space="0"/>
              <w:right w:val="single" w:color="000000" w:sz="4" w:space="0"/>
            </w:tcBorders>
            <w:vAlign w:val="center"/>
          </w:tcPr>
          <w:p w14:paraId="546A5D3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12寸消防警铃电铃220V</w:t>
            </w:r>
          </w:p>
        </w:tc>
        <w:tc>
          <w:tcPr>
            <w:tcW w:w="6967" w:type="dxa"/>
            <w:tcBorders>
              <w:top w:val="single" w:color="000000" w:sz="4" w:space="0"/>
              <w:left w:val="single" w:color="000000" w:sz="4" w:space="0"/>
              <w:bottom w:val="single" w:color="000000" w:sz="4" w:space="0"/>
              <w:right w:val="single" w:color="000000" w:sz="4" w:space="0"/>
            </w:tcBorders>
            <w:vAlign w:val="center"/>
          </w:tcPr>
          <w:p w14:paraId="7AC2707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1.尺寸：≥12寸。</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2.工作电压：220V。</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3.工作模式：线包式。</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4.颜色：黑色。</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4A1EB73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2</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54DE2C9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个</w:t>
            </w:r>
          </w:p>
        </w:tc>
      </w:tr>
      <w:tr w14:paraId="2BA760AF">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75BD88E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29</w:t>
            </w:r>
          </w:p>
        </w:tc>
        <w:tc>
          <w:tcPr>
            <w:tcW w:w="1007" w:type="dxa"/>
            <w:tcBorders>
              <w:top w:val="single" w:color="000000" w:sz="4" w:space="0"/>
              <w:left w:val="single" w:color="000000" w:sz="4" w:space="0"/>
              <w:bottom w:val="single" w:color="000000" w:sz="4" w:space="0"/>
              <w:right w:val="single" w:color="000000" w:sz="4" w:space="0"/>
            </w:tcBorders>
            <w:vAlign w:val="center"/>
          </w:tcPr>
          <w:p w14:paraId="4CED969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6寸消防警铃电铃220V</w:t>
            </w:r>
          </w:p>
        </w:tc>
        <w:tc>
          <w:tcPr>
            <w:tcW w:w="6967" w:type="dxa"/>
            <w:tcBorders>
              <w:top w:val="single" w:color="000000" w:sz="4" w:space="0"/>
              <w:left w:val="single" w:color="000000" w:sz="4" w:space="0"/>
              <w:bottom w:val="single" w:color="000000" w:sz="4" w:space="0"/>
              <w:right w:val="single" w:color="000000" w:sz="4" w:space="0"/>
            </w:tcBorders>
            <w:vAlign w:val="center"/>
          </w:tcPr>
          <w:p w14:paraId="17D57FE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1.工作电压：220V。</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2.尺寸：≥6英寸。</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3.颜色：红色。</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4.工作模式：线包式。</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6EB763C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15</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7E736EC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个</w:t>
            </w:r>
          </w:p>
        </w:tc>
      </w:tr>
      <w:tr w14:paraId="0EBE807E">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5A6A67E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30</w:t>
            </w:r>
          </w:p>
        </w:tc>
        <w:tc>
          <w:tcPr>
            <w:tcW w:w="1007" w:type="dxa"/>
            <w:tcBorders>
              <w:top w:val="single" w:color="000000" w:sz="4" w:space="0"/>
              <w:left w:val="single" w:color="000000" w:sz="4" w:space="0"/>
              <w:bottom w:val="single" w:color="000000" w:sz="4" w:space="0"/>
              <w:right w:val="single" w:color="000000" w:sz="4" w:space="0"/>
            </w:tcBorders>
            <w:vAlign w:val="center"/>
          </w:tcPr>
          <w:p w14:paraId="4236FEE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宿舍及过道灯集控主机</w:t>
            </w:r>
          </w:p>
        </w:tc>
        <w:tc>
          <w:tcPr>
            <w:tcW w:w="6967" w:type="dxa"/>
            <w:tcBorders>
              <w:top w:val="single" w:color="000000" w:sz="4" w:space="0"/>
              <w:left w:val="single" w:color="000000" w:sz="4" w:space="0"/>
              <w:bottom w:val="single" w:color="000000" w:sz="4" w:space="0"/>
              <w:right w:val="single" w:color="000000" w:sz="4" w:space="0"/>
            </w:tcBorders>
            <w:vAlign w:val="center"/>
          </w:tcPr>
          <w:p w14:paraId="3D0E89A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1.工作电压220V。</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2.多接口光耦隔离。</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3.接警时自动打开照明，软件可设置开启时间长短，计时结束自动退出控制。不影响平时使用。支持不低于20路接入。</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4.支持485.开关量通信。</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2910728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57253C8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36727771">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4060CA1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31</w:t>
            </w:r>
          </w:p>
        </w:tc>
        <w:tc>
          <w:tcPr>
            <w:tcW w:w="1007" w:type="dxa"/>
            <w:tcBorders>
              <w:top w:val="single" w:color="000000" w:sz="4" w:space="0"/>
              <w:left w:val="single" w:color="000000" w:sz="4" w:space="0"/>
              <w:bottom w:val="single" w:color="000000" w:sz="4" w:space="0"/>
              <w:right w:val="single" w:color="000000" w:sz="4" w:space="0"/>
            </w:tcBorders>
            <w:vAlign w:val="center"/>
          </w:tcPr>
          <w:p w14:paraId="42CD389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中队大门对接</w:t>
            </w:r>
          </w:p>
        </w:tc>
        <w:tc>
          <w:tcPr>
            <w:tcW w:w="6967" w:type="dxa"/>
            <w:tcBorders>
              <w:top w:val="single" w:color="000000" w:sz="4" w:space="0"/>
              <w:left w:val="single" w:color="000000" w:sz="4" w:space="0"/>
              <w:bottom w:val="single" w:color="000000" w:sz="4" w:space="0"/>
              <w:right w:val="single" w:color="000000" w:sz="4" w:space="0"/>
            </w:tcBorders>
            <w:vAlign w:val="center"/>
          </w:tcPr>
          <w:p w14:paraId="7DC6D18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1.软件识别接警信息。</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2.道闸开关信号数据修改（符合智能联动辅机控制输出条件）：</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1）开关量（两组</w:t>
            </w:r>
            <w:r>
              <w:rPr>
                <w:rFonts w:hint="eastAsia" w:ascii="宋体" w:hAnsi="宋体" w:cs="宋体"/>
                <w:snapToGrid w:val="0"/>
                <w:color w:val="auto"/>
                <w:sz w:val="18"/>
                <w:szCs w:val="18"/>
                <w:highlight w:val="none"/>
                <w:lang w:eastAsia="zh-CN" w:bidi="ar"/>
              </w:rPr>
              <w:t>－</w:t>
            </w:r>
            <w:r>
              <w:rPr>
                <w:rFonts w:hint="eastAsia" w:ascii="宋体" w:hAnsi="宋体" w:cs="宋体"/>
                <w:snapToGrid w:val="0"/>
                <w:color w:val="auto"/>
                <w:sz w:val="18"/>
                <w:szCs w:val="18"/>
                <w:highlight w:val="none"/>
                <w:lang w:bidi="ar"/>
              </w:rPr>
              <w:t>时长要求参数设计）；</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2）232.485（定制通讯开发测试协议对接）；</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3）以太网（定制通讯协议开发测试对接）。</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7736EC0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2</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6443CD9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套</w:t>
            </w:r>
          </w:p>
        </w:tc>
      </w:tr>
      <w:tr w14:paraId="6069E7E1">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vAlign w:val="center"/>
          </w:tcPr>
          <w:p w14:paraId="265EFC9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六</w:t>
            </w:r>
          </w:p>
        </w:tc>
        <w:tc>
          <w:tcPr>
            <w:tcW w:w="9214" w:type="dxa"/>
            <w:gridSpan w:val="4"/>
            <w:tcBorders>
              <w:top w:val="single" w:color="000000" w:sz="4" w:space="0"/>
              <w:left w:val="single" w:color="000000" w:sz="4" w:space="0"/>
              <w:bottom w:val="single" w:color="000000" w:sz="4" w:space="0"/>
              <w:right w:val="single" w:color="000000" w:sz="4" w:space="0"/>
            </w:tcBorders>
            <w:vAlign w:val="center"/>
          </w:tcPr>
          <w:p w14:paraId="2EB367C3">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指挥信息网</w:t>
            </w:r>
          </w:p>
        </w:tc>
      </w:tr>
      <w:tr w14:paraId="4EAAE4AD">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176C566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32</w:t>
            </w:r>
          </w:p>
        </w:tc>
        <w:tc>
          <w:tcPr>
            <w:tcW w:w="1007" w:type="dxa"/>
            <w:tcBorders>
              <w:top w:val="single" w:color="000000" w:sz="4" w:space="0"/>
              <w:left w:val="single" w:color="000000" w:sz="4" w:space="0"/>
              <w:bottom w:val="single" w:color="000000" w:sz="4" w:space="0"/>
              <w:right w:val="single" w:color="000000" w:sz="4" w:space="0"/>
            </w:tcBorders>
            <w:vAlign w:val="center"/>
          </w:tcPr>
          <w:p w14:paraId="7EBA5C1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营区监控摄像机</w:t>
            </w:r>
          </w:p>
        </w:tc>
        <w:tc>
          <w:tcPr>
            <w:tcW w:w="6967" w:type="dxa"/>
            <w:tcBorders>
              <w:top w:val="single" w:color="000000" w:sz="4" w:space="0"/>
              <w:left w:val="single" w:color="000000" w:sz="4" w:space="0"/>
              <w:bottom w:val="single" w:color="000000" w:sz="4" w:space="0"/>
              <w:right w:val="single" w:color="000000" w:sz="4" w:space="0"/>
            </w:tcBorders>
            <w:vAlign w:val="center"/>
          </w:tcPr>
          <w:p w14:paraId="2855973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传感器类型：1/2.8＂ progressive scan CMOS。</w:t>
            </w:r>
          </w:p>
          <w:p w14:paraId="7CCE81C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最低照度：彩色：0.005Lu* @ （F1.5，AGC ON），黑白：0.001Lu* @ （F1.5，AGC ON）；0 lu* with IR。</w:t>
            </w:r>
          </w:p>
          <w:p w14:paraId="2E1CD28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宽动态≥120dB超宽动态。</w:t>
            </w:r>
          </w:p>
          <w:p w14:paraId="4277B07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数字变倍≥16倍。</w:t>
            </w:r>
          </w:p>
          <w:p w14:paraId="3F4B250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光学变倍≥23倍。</w:t>
            </w:r>
          </w:p>
          <w:p w14:paraId="2EDB27F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焦距：5.9—135.7</w:t>
            </w:r>
            <w:r>
              <w:rPr>
                <w:rFonts w:hint="eastAsia" w:ascii="宋体" w:hAnsi="宋体" w:cs="宋体"/>
                <w:color w:val="auto"/>
                <w:sz w:val="18"/>
                <w:szCs w:val="18"/>
                <w:highlight w:val="none"/>
                <w:lang w:eastAsia="zh-CN"/>
              </w:rPr>
              <w:t>mm</w:t>
            </w:r>
            <w:r>
              <w:rPr>
                <w:rFonts w:hint="eastAsia" w:ascii="宋体" w:hAnsi="宋体" w:cs="宋体"/>
                <w:color w:val="auto"/>
                <w:sz w:val="18"/>
                <w:szCs w:val="18"/>
                <w:highlight w:val="none"/>
              </w:rPr>
              <w:t>，23倍光学变倍。</w:t>
            </w:r>
          </w:p>
          <w:p w14:paraId="64AD175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视场角：60.2-3.4度（广角-望远）。</w:t>
            </w:r>
          </w:p>
          <w:p w14:paraId="23BF914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最大光圈数：F1.5。</w:t>
            </w:r>
          </w:p>
          <w:p w14:paraId="4B6E624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云台功能：</w:t>
            </w:r>
          </w:p>
          <w:p w14:paraId="6CE86EA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水平范围：360°。</w:t>
            </w:r>
          </w:p>
          <w:p w14:paraId="0D06727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垂直范围：-15°-90°（自动翻转）。</w:t>
            </w:r>
          </w:p>
          <w:p w14:paraId="0438FB7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预置点个数≥300个。</w:t>
            </w:r>
          </w:p>
          <w:p w14:paraId="2EF9226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最大图像尺寸：2560×1440。</w:t>
            </w:r>
          </w:p>
          <w:p w14:paraId="097E769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码流类型：主码流、子码流、第三码流。</w:t>
            </w:r>
          </w:p>
          <w:p w14:paraId="09B15D8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主码流帧率分辨率：50Hz：25fps （2560×1440,1920×1080,1280×960,1280×720）。</w:t>
            </w:r>
          </w:p>
          <w:p w14:paraId="07CFB76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人脸抓拍：支持同时检查5张人脸，支持对运动人脸进行检查、跟踪、抓拍、评分、筛选，输出最优的人脸抓图。</w:t>
            </w:r>
          </w:p>
          <w:p w14:paraId="67A54DE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网络接口：RJ45网口，自适应10M/100M网络数据。</w:t>
            </w:r>
          </w:p>
          <w:p w14:paraId="7DF7513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SD卡扩展：支持Micro SD/Micro SDHC/Micro SD*C卡，最大支持256G。</w:t>
            </w:r>
          </w:p>
          <w:p w14:paraId="270CAD6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白光照射距离≥30米。</w:t>
            </w:r>
          </w:p>
          <w:p w14:paraId="2E242BD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红外照射距离≥150米。</w:t>
            </w:r>
          </w:p>
          <w:p w14:paraId="5AE71D2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供电方式：AC24V。</w:t>
            </w:r>
          </w:p>
          <w:p w14:paraId="3F2D546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电流及功耗：最大功耗：42W。</w:t>
            </w:r>
          </w:p>
          <w:p w14:paraId="55863FE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cs="宋体"/>
                <w:color w:val="auto"/>
                <w:sz w:val="18"/>
                <w:szCs w:val="18"/>
                <w:highlight w:val="none"/>
              </w:rPr>
              <w:t>工作温湿度：-30℃-65℃，湿度小于90%。</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76A4687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6EE235A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7D470D6E">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5C7677E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33</w:t>
            </w:r>
          </w:p>
        </w:tc>
        <w:tc>
          <w:tcPr>
            <w:tcW w:w="1007" w:type="dxa"/>
            <w:tcBorders>
              <w:top w:val="single" w:color="000000" w:sz="4" w:space="0"/>
              <w:left w:val="single" w:color="000000" w:sz="4" w:space="0"/>
              <w:bottom w:val="single" w:color="000000" w:sz="4" w:space="0"/>
              <w:right w:val="single" w:color="000000" w:sz="4" w:space="0"/>
            </w:tcBorders>
            <w:vAlign w:val="center"/>
          </w:tcPr>
          <w:p w14:paraId="34BD3D8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摄像机立杆</w:t>
            </w:r>
          </w:p>
        </w:tc>
        <w:tc>
          <w:tcPr>
            <w:tcW w:w="6967" w:type="dxa"/>
            <w:tcBorders>
              <w:top w:val="single" w:color="000000" w:sz="4" w:space="0"/>
              <w:left w:val="single" w:color="000000" w:sz="4" w:space="0"/>
              <w:bottom w:val="single" w:color="000000" w:sz="4" w:space="0"/>
              <w:right w:val="single" w:color="000000" w:sz="4" w:space="0"/>
            </w:tcBorders>
            <w:vAlign w:val="center"/>
          </w:tcPr>
          <w:p w14:paraId="5D47410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1.材质：3.5米热镀锌喷塑，壁厚不小于5</w:t>
            </w:r>
            <w:r>
              <w:rPr>
                <w:rFonts w:hint="eastAsia" w:ascii="宋体" w:hAnsi="宋体" w:cs="宋体"/>
                <w:snapToGrid w:val="0"/>
                <w:color w:val="auto"/>
                <w:sz w:val="18"/>
                <w:szCs w:val="18"/>
                <w:highlight w:val="none"/>
                <w:lang w:eastAsia="zh-CN" w:bidi="ar"/>
              </w:rPr>
              <w:t>mm</w:t>
            </w:r>
            <w:r>
              <w:rPr>
                <w:rFonts w:hint="eastAsia" w:ascii="宋体" w:hAnsi="宋体" w:cs="宋体"/>
                <w:snapToGrid w:val="0"/>
                <w:color w:val="auto"/>
                <w:sz w:val="18"/>
                <w:szCs w:val="18"/>
                <w:highlight w:val="none"/>
                <w:lang w:bidi="ar"/>
              </w:rPr>
              <w:t>。整体热浸锌，喷塑。</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2.基础：≥0.8米*0.8*1米，混凝土标号不低于C25。</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18DA2CB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674785E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套</w:t>
            </w:r>
          </w:p>
        </w:tc>
      </w:tr>
      <w:tr w14:paraId="6E27360B">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633C5F5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34</w:t>
            </w:r>
          </w:p>
        </w:tc>
        <w:tc>
          <w:tcPr>
            <w:tcW w:w="1007" w:type="dxa"/>
            <w:tcBorders>
              <w:top w:val="single" w:color="000000" w:sz="4" w:space="0"/>
              <w:left w:val="single" w:color="000000" w:sz="4" w:space="0"/>
              <w:bottom w:val="single" w:color="000000" w:sz="4" w:space="0"/>
              <w:right w:val="single" w:color="000000" w:sz="4" w:space="0"/>
            </w:tcBorders>
            <w:vAlign w:val="center"/>
          </w:tcPr>
          <w:p w14:paraId="2C1A6F0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前置放大器</w:t>
            </w:r>
          </w:p>
        </w:tc>
        <w:tc>
          <w:tcPr>
            <w:tcW w:w="6967" w:type="dxa"/>
            <w:tcBorders>
              <w:top w:val="single" w:color="000000" w:sz="4" w:space="0"/>
              <w:left w:val="single" w:color="000000" w:sz="4" w:space="0"/>
              <w:bottom w:val="single" w:color="000000" w:sz="4" w:space="0"/>
              <w:right w:val="single" w:color="000000" w:sz="4" w:space="0"/>
            </w:tcBorders>
            <w:vAlign w:val="center"/>
          </w:tcPr>
          <w:p w14:paraId="49CD0D9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eastAsia="宋体" w:cs="宋体"/>
                <w:snapToGrid w:val="0"/>
                <w:color w:val="auto"/>
                <w:sz w:val="18"/>
                <w:szCs w:val="18"/>
                <w:highlight w:val="none"/>
                <w:lang w:bidi="ar"/>
              </w:rPr>
              <w:t>1.具有≥5路话筒（MIC）输入，≥3路标准信号线路（AU*）输入，≥2路紧急线路（EMC）输入。</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2.MIC 5具有最高优先、强行切入优先功能；MIC 5和EMC最高优先权限功能可通过拨动开关交替选择。</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3.紧急输入线路具有二级优先，强行切入优先功能。</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4.MIC1.2.3.4.5 和2路紧急输入（EMC）通道均附设有线路辅助输入接口功能。</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5.具有默音深度调节旋钮和EMC输入增益调节旋钮。</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5C5B683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6230C4E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295E30EB">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5E93E97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color w:val="auto"/>
                <w:sz w:val="18"/>
                <w:szCs w:val="18"/>
                <w:highlight w:val="none"/>
                <w:lang w:eastAsia="zh-CN"/>
              </w:rPr>
            </w:pPr>
            <w:r>
              <w:rPr>
                <w:rFonts w:hint="eastAsia" w:ascii="宋体" w:hAnsi="宋体" w:cs="宋体"/>
                <w:snapToGrid w:val="0"/>
                <w:color w:val="auto"/>
                <w:sz w:val="18"/>
                <w:szCs w:val="18"/>
                <w:highlight w:val="none"/>
                <w:lang w:bidi="ar"/>
              </w:rPr>
              <w:t>3</w:t>
            </w:r>
            <w:r>
              <w:rPr>
                <w:rFonts w:hint="eastAsia" w:ascii="宋体" w:hAnsi="宋体" w:cs="宋体"/>
                <w:snapToGrid w:val="0"/>
                <w:color w:val="auto"/>
                <w:sz w:val="18"/>
                <w:szCs w:val="18"/>
                <w:highlight w:val="none"/>
                <w:lang w:val="en-US" w:eastAsia="zh-CN" w:bidi="ar"/>
              </w:rPr>
              <w:t>5</w:t>
            </w:r>
          </w:p>
        </w:tc>
        <w:tc>
          <w:tcPr>
            <w:tcW w:w="1007" w:type="dxa"/>
            <w:tcBorders>
              <w:top w:val="single" w:color="000000" w:sz="4" w:space="0"/>
              <w:left w:val="single" w:color="000000" w:sz="4" w:space="0"/>
              <w:bottom w:val="single" w:color="000000" w:sz="4" w:space="0"/>
              <w:right w:val="single" w:color="000000" w:sz="4" w:space="0"/>
            </w:tcBorders>
            <w:vAlign w:val="center"/>
          </w:tcPr>
          <w:p w14:paraId="715C1C6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话筒</w:t>
            </w:r>
          </w:p>
        </w:tc>
        <w:tc>
          <w:tcPr>
            <w:tcW w:w="6967" w:type="dxa"/>
            <w:tcBorders>
              <w:top w:val="single" w:color="000000" w:sz="4" w:space="0"/>
              <w:left w:val="single" w:color="000000" w:sz="4" w:space="0"/>
              <w:bottom w:val="single" w:color="000000" w:sz="4" w:space="0"/>
              <w:right w:val="single" w:color="000000" w:sz="4" w:space="0"/>
            </w:tcBorders>
            <w:vAlign w:val="center"/>
          </w:tcPr>
          <w:p w14:paraId="3A19980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top"/>
              <w:rPr>
                <w:rFonts w:hint="eastAsia" w:ascii="宋体" w:hAnsi="宋体" w:cs="宋体"/>
                <w:color w:val="auto"/>
                <w:sz w:val="18"/>
                <w:szCs w:val="18"/>
                <w:highlight w:val="none"/>
              </w:rPr>
            </w:pPr>
            <w:r>
              <w:rPr>
                <w:rFonts w:hint="eastAsia" w:ascii="宋体" w:hAnsi="宋体" w:eastAsia="宋体" w:cs="宋体"/>
                <w:snapToGrid w:val="0"/>
                <w:color w:val="auto"/>
                <w:sz w:val="18"/>
                <w:szCs w:val="18"/>
                <w:highlight w:val="none"/>
                <w:lang w:bidi="ar"/>
              </w:rPr>
              <w:t>1.换能方式：驻极体。</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2.钟声提示：带钟声提示功能。</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3.线材配备≥10米（卡农母头转6.35音频线）。</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4.咪杆长度 ≥390</w:t>
            </w:r>
            <w:r>
              <w:rPr>
                <w:rFonts w:hint="eastAsia" w:ascii="宋体" w:hAnsi="宋体" w:cs="宋体"/>
                <w:snapToGrid w:val="0"/>
                <w:color w:val="auto"/>
                <w:sz w:val="18"/>
                <w:szCs w:val="18"/>
                <w:highlight w:val="none"/>
                <w:lang w:eastAsia="zh-CN" w:bidi="ar"/>
              </w:rPr>
              <w:t>mm</w:t>
            </w:r>
            <w:r>
              <w:rPr>
                <w:rFonts w:hint="eastAsia" w:ascii="宋体" w:hAnsi="宋体" w:eastAsia="宋体" w:cs="宋体"/>
                <w:snapToGrid w:val="0"/>
                <w:color w:val="auto"/>
                <w:sz w:val="18"/>
                <w:szCs w:val="18"/>
                <w:highlight w:val="none"/>
                <w:lang w:bidi="ar"/>
              </w:rPr>
              <w:t>。</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5.具备灯环提示功能。</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53F5007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6A59C0E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个</w:t>
            </w:r>
          </w:p>
        </w:tc>
      </w:tr>
      <w:tr w14:paraId="27FB957F">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005B5D7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36</w:t>
            </w:r>
          </w:p>
        </w:tc>
        <w:tc>
          <w:tcPr>
            <w:tcW w:w="1007" w:type="dxa"/>
            <w:tcBorders>
              <w:top w:val="single" w:color="000000" w:sz="4" w:space="0"/>
              <w:left w:val="single" w:color="000000" w:sz="4" w:space="0"/>
              <w:bottom w:val="single" w:color="000000" w:sz="4" w:space="0"/>
              <w:right w:val="single" w:color="000000" w:sz="4" w:space="0"/>
            </w:tcBorders>
            <w:vAlign w:val="center"/>
          </w:tcPr>
          <w:p w14:paraId="50F198C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数字功放</w:t>
            </w:r>
          </w:p>
        </w:tc>
        <w:tc>
          <w:tcPr>
            <w:tcW w:w="6967" w:type="dxa"/>
            <w:tcBorders>
              <w:top w:val="single" w:color="000000" w:sz="4" w:space="0"/>
              <w:left w:val="single" w:color="000000" w:sz="4" w:space="0"/>
              <w:bottom w:val="single" w:color="000000" w:sz="4" w:space="0"/>
              <w:right w:val="single" w:color="000000" w:sz="4" w:space="0"/>
            </w:tcBorders>
            <w:vAlign w:val="center"/>
          </w:tcPr>
          <w:p w14:paraId="0AA28C6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eastAsia="宋体" w:cs="宋体"/>
                <w:snapToGrid w:val="0"/>
                <w:color w:val="auto"/>
                <w:sz w:val="18"/>
                <w:szCs w:val="18"/>
                <w:highlight w:val="none"/>
                <w:lang w:bidi="ar"/>
              </w:rPr>
              <w:t>1.标准19英寸机架设计，黑色氧化铝拉丝面板，配备抽手，机械组装工艺。</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2.工业级LCD显示屏，可清晰地显示点阵图案和机器工作状态；配备红外遥控器，点播服务器节目库任意内容，可控制播放/暂停，操作灵活简单。</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3.采用嵌入式计算机技术和DSP音频处理技术设计。</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4.内置1路网络硬件音频解码模块，支持TCP/IP、UDP，实现网络化传输16位CD音质的音频信号。</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5.内置高保真专业数字功放，具有60W定压100V功率输出。</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6.不低于1路线路（AU*）和1路话筒（MIC）输入接口，具有独立的音量和高低音调节电位器控制，支持断网本地寻呼功能。</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7.不低于1路EMC输入接口，输入紧急报警语音信号为直通，具有最高优先级。</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8.不低于1路三线制音控强切输出接口，无需强切电源。</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2B08F72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38AA54C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6D9BCB76">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01AB578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37</w:t>
            </w:r>
          </w:p>
        </w:tc>
        <w:tc>
          <w:tcPr>
            <w:tcW w:w="1007" w:type="dxa"/>
            <w:tcBorders>
              <w:top w:val="single" w:color="000000" w:sz="4" w:space="0"/>
              <w:left w:val="single" w:color="000000" w:sz="4" w:space="0"/>
              <w:bottom w:val="single" w:color="000000" w:sz="4" w:space="0"/>
              <w:right w:val="single" w:color="000000" w:sz="4" w:space="0"/>
            </w:tcBorders>
            <w:vAlign w:val="center"/>
          </w:tcPr>
          <w:p w14:paraId="784FF96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音柱</w:t>
            </w:r>
          </w:p>
        </w:tc>
        <w:tc>
          <w:tcPr>
            <w:tcW w:w="6967" w:type="dxa"/>
            <w:tcBorders>
              <w:top w:val="single" w:color="000000" w:sz="4" w:space="0"/>
              <w:left w:val="single" w:color="000000" w:sz="4" w:space="0"/>
              <w:bottom w:val="single" w:color="000000" w:sz="4" w:space="0"/>
              <w:right w:val="single" w:color="000000" w:sz="4" w:space="0"/>
            </w:tcBorders>
            <w:vAlign w:val="center"/>
          </w:tcPr>
          <w:p w14:paraId="1B81640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1.电磁兼容（EMC）测试合格，额定功率≥10W。</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2.灵敏度≥86dB。</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3.频率响应：130-18KHz。</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4.喇叭单元≥4"×1,2.5"×1。</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0E7E824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2</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2DFFF93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个</w:t>
            </w:r>
          </w:p>
        </w:tc>
      </w:tr>
      <w:tr w14:paraId="1AB36BF2">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3B455CB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38</w:t>
            </w:r>
          </w:p>
        </w:tc>
        <w:tc>
          <w:tcPr>
            <w:tcW w:w="1007" w:type="dxa"/>
            <w:tcBorders>
              <w:top w:val="single" w:color="000000" w:sz="4" w:space="0"/>
              <w:left w:val="single" w:color="000000" w:sz="4" w:space="0"/>
              <w:bottom w:val="single" w:color="000000" w:sz="4" w:space="0"/>
              <w:right w:val="single" w:color="000000" w:sz="4" w:space="0"/>
            </w:tcBorders>
            <w:vAlign w:val="center"/>
          </w:tcPr>
          <w:p w14:paraId="3FE6EBB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电源时序器</w:t>
            </w:r>
          </w:p>
        </w:tc>
        <w:tc>
          <w:tcPr>
            <w:tcW w:w="6967" w:type="dxa"/>
            <w:tcBorders>
              <w:top w:val="single" w:color="000000" w:sz="4" w:space="0"/>
              <w:left w:val="single" w:color="000000" w:sz="4" w:space="0"/>
              <w:bottom w:val="single" w:color="000000" w:sz="4" w:space="0"/>
              <w:right w:val="single" w:color="000000" w:sz="4" w:space="0"/>
            </w:tcBorders>
            <w:vAlign w:val="center"/>
          </w:tcPr>
          <w:p w14:paraId="5EEB04F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eastAsia="宋体" w:cs="宋体"/>
                <w:snapToGrid w:val="0"/>
                <w:color w:val="auto"/>
                <w:sz w:val="18"/>
                <w:szCs w:val="18"/>
                <w:highlight w:val="none"/>
                <w:lang w:bidi="ar"/>
              </w:rPr>
              <w:t>1.有效按开机先前及后、关机先后及前的顺序开关；每路输出带指示灯，开关控制电源。</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2.配置电压显示窗口。</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3.总共可控制至少8路管理电源。</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4.每路输出带指示灯，单路额定输出电流≥20A。</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5.主机设置一路短路输入输出口，可实现多台连接。</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6.额定输出电压：交流220V，50Hz。</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7.额定输出电流：≥30A。</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8.可控制电源：≥8路。</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9.每路动作延时时间：≤1秒。</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10.供电电源：VAC50/60Hz25A。</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11.单路额定输出电源：≥20A。</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5C94CDA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1B49642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7DDA91BB">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783C54F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39</w:t>
            </w:r>
          </w:p>
        </w:tc>
        <w:tc>
          <w:tcPr>
            <w:tcW w:w="1007" w:type="dxa"/>
            <w:tcBorders>
              <w:top w:val="single" w:color="000000" w:sz="4" w:space="0"/>
              <w:left w:val="single" w:color="000000" w:sz="4" w:space="0"/>
              <w:bottom w:val="single" w:color="000000" w:sz="4" w:space="0"/>
              <w:right w:val="single" w:color="000000" w:sz="4" w:space="0"/>
            </w:tcBorders>
            <w:vAlign w:val="center"/>
          </w:tcPr>
          <w:p w14:paraId="3C7957B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调音台</w:t>
            </w:r>
          </w:p>
        </w:tc>
        <w:tc>
          <w:tcPr>
            <w:tcW w:w="6967" w:type="dxa"/>
            <w:tcBorders>
              <w:top w:val="single" w:color="000000" w:sz="4" w:space="0"/>
              <w:left w:val="single" w:color="000000" w:sz="4" w:space="0"/>
              <w:bottom w:val="single" w:color="000000" w:sz="4" w:space="0"/>
              <w:right w:val="single" w:color="000000" w:sz="4" w:space="0"/>
            </w:tcBorders>
            <w:vAlign w:val="center"/>
          </w:tcPr>
          <w:p w14:paraId="2033A80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eastAsia="宋体" w:cs="宋体"/>
                <w:snapToGrid w:val="0"/>
                <w:color w:val="auto"/>
                <w:sz w:val="18"/>
                <w:szCs w:val="18"/>
                <w:highlight w:val="none"/>
                <w:lang w:bidi="ar"/>
              </w:rPr>
              <w:t>一、产品功能：</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1.设备支持≥4路Mic输入接口兼容4路线路输入接口，话筒输入接口带48V幻像电源。</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2.设备支持≥4组立体线性输入，可连接立体设备。</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3.设备支持每路单声道输入通道设有3段EQ，设有峰值LED指示灯。</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4.设备支持≥1组立体声主输出、1组辅助输出、1路耳机监听输出、1组CD/Tape输出。</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5.内置24位DSP效果器并配有≥100种预设效果选择。</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二、技术规格：</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1.频率响应：20Hz-20kHz（±3dB）。</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2.失真度：&lt;0.003%（A-weighted）。</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3.幻象电源：+48V带开关。</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4.麦克风输入≥4路（4个卡侬接口）。</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5.线路输入≥4路单插单声道/立体声自动切换混合接口。</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6.立体声输入≥4组（8路单声道）。</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7.CD/Tape输入≥1路CD/TAPE RCA立体声输入接口。</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8.输出通路≥1组立体声主输出、1组辅助输出、1路耳机监听输出、1组CD/Tape输出。</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9.效果器：24位DSP效果器（包括人声、小房子、大厅、回声、回声+回响、盘子、声乐板、合唱GTR，旋转GTR、颤音GTR类型），≥100种预设效果。</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10.麦克风均衡输入噪声：≤-119dB（A-weighted）。</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11.共模抑制比：≤60dB。</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12.单通道输入增益：MIC：0 to 48dB，LINE：-33 to+15dB；立体通道输入增益：LINE：-8 to+6dB。</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13.主混音串音：-87dBu（A-weighted）；通道串音：-85dBu（A-weighted）。</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14.最大输出水平：+20dBu。</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15.MIC输入高通滤波：75Hz，18dB/oct。</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16.电平表：2*4</w:t>
            </w:r>
            <w:r>
              <w:rPr>
                <w:rFonts w:hint="eastAsia" w:ascii="宋体" w:hAnsi="宋体" w:cs="宋体"/>
                <w:snapToGrid w:val="0"/>
                <w:color w:val="auto"/>
                <w:sz w:val="18"/>
                <w:szCs w:val="18"/>
                <w:highlight w:val="none"/>
                <w:lang w:eastAsia="zh-CN" w:bidi="ar"/>
              </w:rPr>
              <w:t>－</w:t>
            </w:r>
            <w:r>
              <w:rPr>
                <w:rFonts w:hint="eastAsia" w:ascii="宋体" w:hAnsi="宋体" w:eastAsia="宋体" w:cs="宋体"/>
                <w:snapToGrid w:val="0"/>
                <w:color w:val="auto"/>
                <w:sz w:val="18"/>
                <w:szCs w:val="18"/>
                <w:highlight w:val="none"/>
                <w:lang w:bidi="ar"/>
              </w:rPr>
              <w:t>点距LED电平指示表。</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17.单通道均衡：高频：±15dB@12KHz；中频：±12dB@2.5KHz；低频：±15dB@80Hz。</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18.设备电源：外接AC18V/1A（AC 230—240V 50/60Hz）电源适配器。</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19.设备功耗：≤18W。</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0843520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6AA1C65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2C7B1566">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4653544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40</w:t>
            </w:r>
          </w:p>
        </w:tc>
        <w:tc>
          <w:tcPr>
            <w:tcW w:w="1007" w:type="dxa"/>
            <w:tcBorders>
              <w:top w:val="single" w:color="000000" w:sz="4" w:space="0"/>
              <w:left w:val="single" w:color="000000" w:sz="4" w:space="0"/>
              <w:bottom w:val="single" w:color="000000" w:sz="4" w:space="0"/>
              <w:right w:val="single" w:color="000000" w:sz="4" w:space="0"/>
            </w:tcBorders>
            <w:vAlign w:val="center"/>
          </w:tcPr>
          <w:p w14:paraId="1AB960E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防火墙</w:t>
            </w:r>
          </w:p>
        </w:tc>
        <w:tc>
          <w:tcPr>
            <w:tcW w:w="6967" w:type="dxa"/>
            <w:tcBorders>
              <w:top w:val="single" w:color="000000" w:sz="4" w:space="0"/>
              <w:left w:val="single" w:color="000000" w:sz="4" w:space="0"/>
              <w:bottom w:val="single" w:color="000000" w:sz="4" w:space="0"/>
              <w:right w:val="single" w:color="000000" w:sz="4" w:space="0"/>
            </w:tcBorders>
            <w:vAlign w:val="center"/>
          </w:tcPr>
          <w:p w14:paraId="4C19365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eastAsia="zh-CN"/>
              </w:rPr>
              <w:t>1U机架式结构；配置5个千兆电口（含1个MGMT口和1个HA口）及2个千兆光插槽，单电源供电。防火墙吞吐量1.5Gbps，并发连接数100万，每秒新建连接1.5万，应用层吞吐量1Gbps，FW+IPS吞吐量600Mbps，FW+AV吞吐量450Mbps，全威胁吞吐量350Mbps，IPSEC VPN吞吐量300Mbps，IPSEC VPN隧道数100条。默认集成IPSEC VPN、SD-WAN及应用识别功能；配置3年入侵防御与防病毒特征库升级许可。</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03B379E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0673DCD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0633771A">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3FADB06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41</w:t>
            </w:r>
          </w:p>
        </w:tc>
        <w:tc>
          <w:tcPr>
            <w:tcW w:w="1007" w:type="dxa"/>
            <w:tcBorders>
              <w:top w:val="single" w:color="000000" w:sz="4" w:space="0"/>
              <w:left w:val="single" w:color="000000" w:sz="4" w:space="0"/>
              <w:bottom w:val="single" w:color="000000" w:sz="4" w:space="0"/>
              <w:right w:val="single" w:color="000000" w:sz="4" w:space="0"/>
            </w:tcBorders>
            <w:vAlign w:val="center"/>
          </w:tcPr>
          <w:p w14:paraId="5C25E61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24口千兆交换机</w:t>
            </w:r>
          </w:p>
        </w:tc>
        <w:tc>
          <w:tcPr>
            <w:tcW w:w="6967" w:type="dxa"/>
            <w:tcBorders>
              <w:top w:val="single" w:color="000000" w:sz="4" w:space="0"/>
              <w:left w:val="single" w:color="000000" w:sz="4" w:space="0"/>
              <w:bottom w:val="single" w:color="000000" w:sz="4" w:space="0"/>
              <w:right w:val="single" w:color="000000" w:sz="4" w:space="0"/>
            </w:tcBorders>
            <w:vAlign w:val="center"/>
          </w:tcPr>
          <w:p w14:paraId="6985939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lang w:eastAsia="zh-CN"/>
              </w:rPr>
              <w:t>1.交换容量≥330Gbps，包转发率≥50Mpps。</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2.千兆电口≥24个，千兆光口≥4个。</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3.支持1:1和 N：1 VLAN Mapping功能。</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4.支持防止DOS、ARP攻击功能、ICMP防攻击。</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5.支持RIP、RIPng、OSPF、OSPFv3路由协议。</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6.支持纵向虚拟化，作为纵向子节点零配置即插即用。</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7.支持SNMP v1/v2/v3.Telnet、RMON管理协议。</w:t>
            </w:r>
            <w:r>
              <w:rPr>
                <w:rFonts w:hint="eastAsia" w:ascii="宋体" w:hAnsi="宋体" w:cs="宋体"/>
                <w:color w:val="auto"/>
                <w:sz w:val="18"/>
                <w:szCs w:val="18"/>
                <w:highlight w:val="none"/>
                <w:lang w:eastAsia="zh-CN"/>
              </w:rPr>
              <w:br w:type="textWrapping"/>
            </w:r>
            <w:r>
              <w:rPr>
                <w:rFonts w:hint="eastAsia" w:ascii="宋体" w:hAnsi="宋体" w:cs="宋体"/>
                <w:color w:val="auto"/>
                <w:sz w:val="18"/>
                <w:szCs w:val="18"/>
                <w:highlight w:val="none"/>
                <w:lang w:eastAsia="zh-CN"/>
              </w:rPr>
              <w:t>8.支持MAC地址≥32K；ARP表项≥4K，IPV4路由规格≥4K,ipv6规格≥1K。</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9.支持音视频业务的智能运维，支持eMDI特性。</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48BCD6F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499D977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289CBA99">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5D7E9B1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42</w:t>
            </w:r>
          </w:p>
        </w:tc>
        <w:tc>
          <w:tcPr>
            <w:tcW w:w="1007" w:type="dxa"/>
            <w:tcBorders>
              <w:top w:val="single" w:color="000000" w:sz="4" w:space="0"/>
              <w:left w:val="single" w:color="000000" w:sz="4" w:space="0"/>
              <w:bottom w:val="single" w:color="000000" w:sz="4" w:space="0"/>
              <w:right w:val="single" w:color="000000" w:sz="4" w:space="0"/>
            </w:tcBorders>
            <w:vAlign w:val="center"/>
          </w:tcPr>
          <w:p w14:paraId="029F12B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会议一体机</w:t>
            </w:r>
          </w:p>
        </w:tc>
        <w:tc>
          <w:tcPr>
            <w:tcW w:w="6967" w:type="dxa"/>
            <w:tcBorders>
              <w:top w:val="single" w:color="000000" w:sz="4" w:space="0"/>
              <w:left w:val="single" w:color="000000" w:sz="4" w:space="0"/>
              <w:bottom w:val="single" w:color="000000" w:sz="4" w:space="0"/>
              <w:right w:val="single" w:color="000000" w:sz="4" w:space="0"/>
            </w:tcBorders>
            <w:vAlign w:val="center"/>
          </w:tcPr>
          <w:p w14:paraId="189212B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1.显示尺寸：≥98"，显示比例：16</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rPr>
              <w:t>9，物理解析度≥高清3840*2160，最大可视角度：178度；整机内置摄像头像素≥3000W。</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2.屏体亮度：≥450cd/m²，屏体对比度：5000</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rPr>
              <w:t>1。</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3.整机显示信号切换到PC模式下，检测结果能满足最大分辨力为128灰阶，256灰阶为渐变状态，色彩度：10bit 1.07Billion。</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4.整机采用≤4</w:t>
            </w:r>
            <w:r>
              <w:rPr>
                <w:rFonts w:hint="eastAsia" w:ascii="宋体" w:hAnsi="宋体" w:cs="宋体"/>
                <w:color w:val="auto"/>
                <w:sz w:val="18"/>
                <w:szCs w:val="18"/>
                <w:highlight w:val="none"/>
                <w:lang w:eastAsia="zh-CN"/>
              </w:rPr>
              <w:t>mm</w:t>
            </w:r>
            <w:r>
              <w:rPr>
                <w:rFonts w:hint="eastAsia" w:ascii="宋体" w:hAnsi="宋体" w:cs="宋体"/>
                <w:color w:val="auto"/>
                <w:sz w:val="18"/>
                <w:szCs w:val="18"/>
                <w:highlight w:val="none"/>
              </w:rPr>
              <w:t>厚度物理钢化防眩玻璃，覆盖屏体可见光透射比不低于88%，屏体硬度不低于莫氏七级，高于石墨1—9H硬度。雾度范围4%—8%；屏体采用超窄边框设计。</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5.屏体采用A规液晶屏，支持物理防蓝光技术，有效减少短波蓝光伤害。</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6.感应方式：整机采用红外触摸技术，遵循标准HID 免驱协议，Android、Windows7/8/10/11系统下自动识别，无需额外安装驱动程序。</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7.屏体响应时间≤8ms；触摸有效识别直径±1</w:t>
            </w:r>
            <w:r>
              <w:rPr>
                <w:rFonts w:hint="eastAsia" w:ascii="宋体" w:hAnsi="宋体" w:cs="宋体"/>
                <w:color w:val="auto"/>
                <w:sz w:val="18"/>
                <w:szCs w:val="18"/>
                <w:highlight w:val="none"/>
                <w:lang w:eastAsia="zh-CN"/>
              </w:rPr>
              <w:t>mm</w:t>
            </w:r>
            <w:r>
              <w:rPr>
                <w:rFonts w:hint="eastAsia" w:ascii="宋体" w:hAnsi="宋体" w:cs="宋体"/>
                <w:color w:val="auto"/>
                <w:sz w:val="18"/>
                <w:szCs w:val="18"/>
                <w:highlight w:val="none"/>
              </w:rPr>
              <w:t>。</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8.触摸屏安卓系统下支持10点触控和5笔以上书写，WINDOWS系统下支持20点触控及10笔书写。</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9.整机具备防强光干扰性能，在100k lu*的强光照射下，产品各项书写、触控功能正常，照射测试完成后，设备其它各项书写、触控正常。</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10.屏体采用百兆交换机及双频（2.4G/5G）双wifi5网络架构方案，支持WEP、WPA、WPA2、WPA3加密方式。安卓下联网，Windows系统下可同步共享。</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11.安卓内置5.0版本蓝牙。打开后，可通过蓝牙收发文件、可连接蓝牙</w:t>
            </w:r>
            <w:r>
              <w:rPr>
                <w:rFonts w:hint="eastAsia" w:ascii="宋体" w:hAnsi="宋体" w:cs="宋体"/>
                <w:color w:val="auto"/>
                <w:sz w:val="18"/>
                <w:szCs w:val="18"/>
                <w:highlight w:val="none"/>
                <w:lang w:eastAsia="zh-CN"/>
              </w:rPr>
              <w:t>音箱</w:t>
            </w:r>
            <w:r>
              <w:rPr>
                <w:rFonts w:hint="eastAsia" w:ascii="宋体" w:hAnsi="宋体" w:cs="宋体"/>
                <w:color w:val="auto"/>
                <w:sz w:val="18"/>
                <w:szCs w:val="18"/>
                <w:highlight w:val="none"/>
              </w:rPr>
              <w:t>、蓝牙键盘和鼠标等蓝牙设备。</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12.无线网络具有添加隐藏网络功能，可设置网络名称、安全性、自定义IP等。支持打开网络代理服务。</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13.无线网络模块符合无线电管理规定和技术标准。</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14.屏体具有网络唤醒功能，可通过有线网络唤醒大屏。</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15.支持网络热点功能，可将大屏作为AP将无线网络分享给其他设备。</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16.整机内置麦克风，拾音距离≥5米；整机内置2.0扬声器，声音功率≥2*10W。支持会议模式和音乐模式，可供用户自由选择。左右声道分体式前置发声。</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17.标配遥控器，可通过遥控器一键开关机、调节声音大小、快速切换信号源（HDMI1.内置 OPS 电脑）等操作。</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18.整机前置输入接口：≥USB 3.0（Public）*2.Type-C*1。</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 xml:space="preserve">19.后置输入接口：≥HDMI In*1. USB-A 3.0*2 （Public）、USB-A 2.0*1（Android）、RJ 45*2.RS232*1。 </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20.后置输出接口：≥USB-B Touch*1；SPDIF OUT*1；Audio Out*1（3.5</w:t>
            </w:r>
            <w:r>
              <w:rPr>
                <w:rFonts w:hint="eastAsia" w:ascii="宋体" w:hAnsi="宋体" w:cs="宋体"/>
                <w:color w:val="auto"/>
                <w:sz w:val="18"/>
                <w:szCs w:val="18"/>
                <w:highlight w:val="none"/>
                <w:lang w:eastAsia="zh-CN"/>
              </w:rPr>
              <w:t>mm</w:t>
            </w:r>
            <w:r>
              <w:rPr>
                <w:rFonts w:hint="eastAsia" w:ascii="宋体" w:hAnsi="宋体" w:cs="宋体"/>
                <w:color w:val="auto"/>
                <w:sz w:val="18"/>
                <w:szCs w:val="18"/>
                <w:highlight w:val="none"/>
              </w:rPr>
              <w:t>）。</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21.整机前置：Power，电源键有开机、关机、熄屏三合一功能，熄屏状态下可节省95%以上的能效。</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22.符合GB/T 2423.17-2008 第2部分防盐雾锈蚀特性（外壳48h）。</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23.整机主结构为金属外壳，符合GB 4943.1-2022标准内的防火要求。</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24.具备电磁兼容特性，符合GB/T 17626.5-2019电磁兼容试验和测量技术浪涌（冲击）抗扰度试验要求。</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25.整机MTBF（平均无故障时间）≥50000小时。</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26.设备监控与报警：系统能够实时监控所有连接设备的状态，包括设备的开关状态、运行状态等。一旦设备出现异常或故障，系统能够立即发出告警通知，通知管理人员及时处理。</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27.内容管理与分发：集控管理可配备内容管理功能，可以方便地编辑、存储和分发各种媒体内容，如图片、视频、文档等。管理人员可以通过系统将内容推送到指定的大屏或会议电视上，实现内容的快速更新和展示。</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28.远程控制与维护：系统支持远程控制功能，管理人员可以通过网络远程访问和控制连接的设备，进行开关机、调整参数等操作。此外，系统还提供远程维护功能，如远程升级、故障排查等。</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29.数据统计与分析：能够收集和分析设备的使用数据，包括设备的运行时长、使用频率、内容展示效果等。</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30.支持文件管理，可自动根据文件格式将文件进行分类为图片、文档、视频、音乐等。</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31.整机支持截屏功能，点击后调出截屏应用，可以在任意场景下截取屏幕内容，可调节大小部分截取，或者全屏截取。</w:t>
            </w:r>
            <w:r>
              <w:rPr>
                <w:rFonts w:hint="eastAsia" w:ascii="宋体" w:hAnsi="宋体" w:cs="宋体"/>
                <w:color w:val="auto"/>
                <w:sz w:val="18"/>
                <w:szCs w:val="18"/>
                <w:highlight w:val="none"/>
              </w:rPr>
              <w:br w:type="textWrapping"/>
            </w:r>
            <w:r>
              <w:rPr>
                <w:rFonts w:hint="eastAsia" w:ascii="宋体" w:hAnsi="宋体" w:cs="宋体"/>
                <w:color w:val="auto"/>
                <w:sz w:val="18"/>
                <w:szCs w:val="18"/>
                <w:highlight w:val="none"/>
              </w:rPr>
              <w:t>32.欢迎词软件：提供多种欢迎词模板，用户可任意编辑欢迎词，设置背景图片、文本内容及位置，支持插入图片音频，视频等多媒体素材，编辑完成后可保存为自定义模板文档管理器支持多选本地任意图片进行扫码分享，或生成PDF格式文档。</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150BFAD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48D655B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套</w:t>
            </w:r>
          </w:p>
        </w:tc>
      </w:tr>
      <w:tr w14:paraId="40CCFF6D">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76EE44C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43</w:t>
            </w:r>
          </w:p>
        </w:tc>
        <w:tc>
          <w:tcPr>
            <w:tcW w:w="1007" w:type="dxa"/>
            <w:tcBorders>
              <w:top w:val="single" w:color="000000" w:sz="4" w:space="0"/>
              <w:left w:val="single" w:color="000000" w:sz="4" w:space="0"/>
              <w:bottom w:val="single" w:color="000000" w:sz="4" w:space="0"/>
              <w:right w:val="single" w:color="000000" w:sz="4" w:space="0"/>
            </w:tcBorders>
            <w:vAlign w:val="center"/>
          </w:tcPr>
          <w:p w14:paraId="72F77C8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网络机柜</w:t>
            </w:r>
          </w:p>
        </w:tc>
        <w:tc>
          <w:tcPr>
            <w:tcW w:w="6967" w:type="dxa"/>
            <w:tcBorders>
              <w:top w:val="single" w:color="000000" w:sz="4" w:space="0"/>
              <w:left w:val="single" w:color="000000" w:sz="4" w:space="0"/>
              <w:bottom w:val="single" w:color="000000" w:sz="4" w:space="0"/>
              <w:right w:val="single" w:color="000000" w:sz="4" w:space="0"/>
            </w:tcBorders>
            <w:vAlign w:val="center"/>
          </w:tcPr>
          <w:p w14:paraId="270BEAC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eastAsia="宋体" w:cs="宋体"/>
                <w:snapToGrid w:val="0"/>
                <w:color w:val="auto"/>
                <w:sz w:val="18"/>
                <w:szCs w:val="18"/>
                <w:highlight w:val="none"/>
                <w:lang w:bidi="ar"/>
              </w:rPr>
              <w:t>1.名称：42U网络机柜。</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2.主要参数：规格600*600*2000</w:t>
            </w:r>
            <w:r>
              <w:rPr>
                <w:rFonts w:hint="eastAsia" w:ascii="宋体" w:hAnsi="宋体" w:cs="宋体"/>
                <w:snapToGrid w:val="0"/>
                <w:color w:val="auto"/>
                <w:sz w:val="18"/>
                <w:szCs w:val="18"/>
                <w:highlight w:val="none"/>
                <w:lang w:eastAsia="zh-CN" w:bidi="ar"/>
              </w:rPr>
              <w:t>mm</w:t>
            </w:r>
            <w:r>
              <w:rPr>
                <w:rFonts w:hint="eastAsia" w:ascii="宋体" w:hAnsi="宋体" w:eastAsia="宋体" w:cs="宋体"/>
                <w:snapToGrid w:val="0"/>
                <w:color w:val="auto"/>
                <w:sz w:val="18"/>
                <w:szCs w:val="18"/>
                <w:highlight w:val="none"/>
                <w:lang w:bidi="ar"/>
              </w:rPr>
              <w:t>，SPCC冷轧钢板，黑色喷涂</w:t>
            </w:r>
            <w:r>
              <w:rPr>
                <w:rFonts w:hint="eastAsia" w:ascii="宋体" w:hAnsi="宋体" w:eastAsia="宋体" w:cs="宋体"/>
                <w:snapToGrid w:val="0"/>
                <w:color w:val="auto"/>
                <w:sz w:val="18"/>
                <w:szCs w:val="18"/>
                <w:highlight w:val="none"/>
                <w:lang w:eastAsia="zh-CN" w:bidi="ar"/>
              </w:rPr>
              <w:t>，</w:t>
            </w:r>
            <w:r>
              <w:rPr>
                <w:rFonts w:hint="eastAsia" w:ascii="宋体" w:hAnsi="宋体" w:eastAsia="宋体" w:cs="宋体"/>
                <w:snapToGrid w:val="0"/>
                <w:color w:val="auto"/>
                <w:sz w:val="18"/>
                <w:szCs w:val="18"/>
                <w:highlight w:val="none"/>
                <w:lang w:bidi="ar"/>
              </w:rPr>
              <w:t>立柱</w:t>
            </w:r>
            <w:r>
              <w:rPr>
                <w:rFonts w:hint="eastAsia" w:ascii="宋体" w:hAnsi="宋体" w:eastAsia="宋体" w:cs="宋体"/>
                <w:snapToGrid w:val="0"/>
                <w:color w:val="auto"/>
                <w:sz w:val="18"/>
                <w:szCs w:val="18"/>
                <w:highlight w:val="none"/>
                <w:lang w:val="en-US" w:eastAsia="zh-CN" w:bidi="ar"/>
              </w:rPr>
              <w:t>/方条孔壁厚</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en-US" w:eastAsia="zh-CN"/>
              </w:rPr>
              <w:t>2</w:t>
            </w:r>
            <w:r>
              <w:rPr>
                <w:rFonts w:hint="eastAsia" w:ascii="宋体" w:hAnsi="宋体" w:cs="宋体"/>
                <w:color w:val="auto"/>
                <w:sz w:val="18"/>
                <w:szCs w:val="18"/>
                <w:highlight w:val="none"/>
                <w:lang w:val="en-US" w:eastAsia="zh-CN"/>
              </w:rPr>
              <w:t>mm</w:t>
            </w:r>
            <w:r>
              <w:rPr>
                <w:rFonts w:hint="eastAsia" w:ascii="宋体" w:hAnsi="宋体" w:eastAsia="宋体" w:cs="宋体"/>
                <w:color w:val="auto"/>
                <w:sz w:val="18"/>
                <w:szCs w:val="18"/>
                <w:highlight w:val="none"/>
                <w:lang w:val="en-US" w:eastAsia="zh-CN"/>
              </w:rPr>
              <w:t>，侧板壁厚</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en-US" w:eastAsia="zh-CN"/>
              </w:rPr>
              <w:t>1.2</w:t>
            </w:r>
            <w:r>
              <w:rPr>
                <w:rFonts w:hint="eastAsia" w:ascii="宋体" w:hAnsi="宋体" w:cs="宋体"/>
                <w:color w:val="auto"/>
                <w:sz w:val="18"/>
                <w:szCs w:val="18"/>
                <w:highlight w:val="none"/>
                <w:lang w:val="en-US" w:eastAsia="zh-CN"/>
              </w:rPr>
              <w:t>mm</w:t>
            </w:r>
            <w:r>
              <w:rPr>
                <w:rFonts w:hint="eastAsia" w:ascii="宋体" w:hAnsi="宋体" w:eastAsia="宋体" w:cs="宋体"/>
                <w:color w:val="auto"/>
                <w:sz w:val="18"/>
                <w:szCs w:val="18"/>
                <w:highlight w:val="none"/>
                <w:lang w:val="en-US" w:eastAsia="zh-CN"/>
              </w:rPr>
              <w:t>。</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3E1B3B3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auto" w:sz="4" w:space="0"/>
              <w:right w:val="single" w:color="000000" w:sz="4" w:space="0"/>
            </w:tcBorders>
            <w:noWrap/>
            <w:vAlign w:val="center"/>
          </w:tcPr>
          <w:p w14:paraId="5BA45C1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1B5336C2">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vAlign w:val="center"/>
          </w:tcPr>
          <w:p w14:paraId="37F9FBB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七</w:t>
            </w:r>
          </w:p>
        </w:tc>
        <w:tc>
          <w:tcPr>
            <w:tcW w:w="9214" w:type="dxa"/>
            <w:gridSpan w:val="4"/>
            <w:tcBorders>
              <w:top w:val="single" w:color="000000" w:sz="4" w:space="0"/>
              <w:left w:val="single" w:color="000000" w:sz="4" w:space="0"/>
              <w:bottom w:val="single" w:color="000000" w:sz="4" w:space="0"/>
              <w:right w:val="single" w:color="auto" w:sz="4" w:space="0"/>
            </w:tcBorders>
            <w:vAlign w:val="center"/>
          </w:tcPr>
          <w:p w14:paraId="702B105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cs="宋体"/>
                <w:b/>
                <w:bCs/>
                <w:color w:val="auto"/>
                <w:sz w:val="18"/>
                <w:szCs w:val="18"/>
                <w:highlight w:val="none"/>
              </w:rPr>
            </w:pPr>
            <w:r>
              <w:rPr>
                <w:rFonts w:hint="eastAsia" w:ascii="宋体" w:hAnsi="宋体" w:cs="宋体"/>
                <w:b/>
                <w:bCs/>
                <w:snapToGrid w:val="0"/>
                <w:color w:val="auto"/>
                <w:sz w:val="18"/>
                <w:szCs w:val="18"/>
                <w:highlight w:val="none"/>
                <w:lang w:bidi="ar"/>
              </w:rPr>
              <w:t>体能考试系统（长跑）</w:t>
            </w:r>
          </w:p>
        </w:tc>
      </w:tr>
      <w:tr w14:paraId="3A05B736">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auto" w:sz="4" w:space="0"/>
              <w:right w:val="single" w:color="000000" w:sz="4" w:space="0"/>
            </w:tcBorders>
            <w:noWrap/>
            <w:vAlign w:val="center"/>
          </w:tcPr>
          <w:p w14:paraId="3698EAC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44</w:t>
            </w:r>
          </w:p>
        </w:tc>
        <w:tc>
          <w:tcPr>
            <w:tcW w:w="1007" w:type="dxa"/>
            <w:tcBorders>
              <w:top w:val="nil"/>
              <w:left w:val="single" w:color="000000" w:sz="4" w:space="0"/>
              <w:bottom w:val="single" w:color="auto" w:sz="4" w:space="0"/>
              <w:right w:val="single" w:color="000000" w:sz="4" w:space="0"/>
            </w:tcBorders>
            <w:noWrap/>
            <w:vAlign w:val="center"/>
          </w:tcPr>
          <w:p w14:paraId="2836F3F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智能AI边缘控制终端</w:t>
            </w:r>
          </w:p>
        </w:tc>
        <w:tc>
          <w:tcPr>
            <w:tcW w:w="6967" w:type="dxa"/>
            <w:tcBorders>
              <w:top w:val="single" w:color="000000" w:sz="4" w:space="0"/>
              <w:left w:val="single" w:color="000000" w:sz="4" w:space="0"/>
              <w:bottom w:val="single" w:color="000000" w:sz="4" w:space="0"/>
              <w:right w:val="single" w:color="000000" w:sz="4" w:space="0"/>
            </w:tcBorders>
            <w:vAlign w:val="center"/>
          </w:tcPr>
          <w:p w14:paraId="094BEB7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right="0" w:right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lang w:val="en-US" w:eastAsia="zh-CN"/>
              </w:rPr>
              <w:t>1.</w:t>
            </w:r>
            <w:r>
              <w:rPr>
                <w:rFonts w:hint="eastAsia" w:ascii="宋体" w:hAnsi="宋体" w:cs="宋体"/>
                <w:color w:val="auto"/>
                <w:sz w:val="18"/>
                <w:szCs w:val="18"/>
                <w:highlight w:val="none"/>
              </w:rPr>
              <w:t>CPU：≥八核</w:t>
            </w:r>
            <w:r>
              <w:rPr>
                <w:rFonts w:hint="eastAsia" w:ascii="宋体" w:hAnsi="宋体" w:cs="宋体"/>
                <w:color w:val="auto"/>
                <w:sz w:val="18"/>
                <w:szCs w:val="18"/>
                <w:highlight w:val="none"/>
                <w:lang w:eastAsia="zh-CN"/>
              </w:rPr>
              <w:t>。</w:t>
            </w:r>
          </w:p>
          <w:p w14:paraId="5C29EE7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right="0" w:rightChars="0"/>
              <w:jc w:val="left"/>
              <w:textAlignment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2.GPU：≥四核</w:t>
            </w:r>
            <w:r>
              <w:rPr>
                <w:rFonts w:hint="eastAsia" w:ascii="宋体" w:hAnsi="宋体" w:cs="宋体"/>
                <w:color w:val="auto"/>
                <w:sz w:val="18"/>
                <w:szCs w:val="18"/>
                <w:highlight w:val="none"/>
                <w:lang w:eastAsia="zh-CN"/>
              </w:rPr>
              <w:t>。</w:t>
            </w:r>
          </w:p>
          <w:p w14:paraId="06A8E8E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right="0" w:rightChars="0"/>
              <w:jc w:val="left"/>
              <w:textAlignment w:val="center"/>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3.算力：≥6Tops</w:t>
            </w:r>
            <w:r>
              <w:rPr>
                <w:rFonts w:hint="eastAsia" w:ascii="宋体" w:hAnsi="宋体" w:cs="宋体"/>
                <w:color w:val="auto"/>
                <w:sz w:val="18"/>
                <w:szCs w:val="18"/>
                <w:highlight w:val="none"/>
                <w:lang w:eastAsia="zh-CN"/>
              </w:rPr>
              <w:t>。</w:t>
            </w:r>
          </w:p>
          <w:p w14:paraId="17A979B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4.内存：≥8GB。 </w:t>
            </w:r>
          </w:p>
          <w:p w14:paraId="31A70B3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5.存储：≥64GB。</w:t>
            </w:r>
          </w:p>
          <w:p w14:paraId="2E6E075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6.支持双千兆以太网（1000Mbps）。</w:t>
            </w:r>
          </w:p>
          <w:p w14:paraId="46948CF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7.接口：2个USB3.0、2个USB2.0、1个HDMI、1个TF卡槽。</w:t>
            </w:r>
          </w:p>
          <w:p w14:paraId="5FBCCD3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8.电源：输入DC 12V</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rPr>
              <w:t>24V，具有过流、过压和反接保护措施。</w:t>
            </w:r>
          </w:p>
          <w:p w14:paraId="17BB285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9.表面处理：铝合金外壳。</w:t>
            </w:r>
          </w:p>
        </w:tc>
        <w:tc>
          <w:tcPr>
            <w:tcW w:w="606" w:type="dxa"/>
            <w:tcBorders>
              <w:top w:val="nil"/>
              <w:left w:val="single" w:color="000000" w:sz="4" w:space="0"/>
              <w:bottom w:val="single" w:color="000000" w:sz="4" w:space="0"/>
              <w:right w:val="single" w:color="000000" w:sz="4" w:space="0"/>
            </w:tcBorders>
            <w:noWrap/>
            <w:vAlign w:val="center"/>
          </w:tcPr>
          <w:p w14:paraId="4411FDC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4</w:t>
            </w:r>
          </w:p>
        </w:tc>
        <w:tc>
          <w:tcPr>
            <w:tcW w:w="634" w:type="dxa"/>
            <w:tcBorders>
              <w:top w:val="single" w:color="auto" w:sz="4" w:space="0"/>
              <w:left w:val="single" w:color="000000" w:sz="4" w:space="0"/>
              <w:bottom w:val="single" w:color="000000" w:sz="4" w:space="0"/>
              <w:right w:val="single" w:color="000000" w:sz="4" w:space="0"/>
            </w:tcBorders>
            <w:noWrap/>
            <w:vAlign w:val="center"/>
          </w:tcPr>
          <w:p w14:paraId="0EA4F0F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7117BEFC">
        <w:tblPrEx>
          <w:tblCellMar>
            <w:top w:w="0" w:type="dxa"/>
            <w:left w:w="108" w:type="dxa"/>
            <w:bottom w:w="0" w:type="dxa"/>
            <w:right w:w="108" w:type="dxa"/>
          </w:tblCellMar>
        </w:tblPrEx>
        <w:trPr>
          <w:trHeight w:val="0" w:hRule="atLeast"/>
          <w:jc w:val="center"/>
        </w:trPr>
        <w:tc>
          <w:tcPr>
            <w:tcW w:w="634" w:type="dxa"/>
            <w:tcBorders>
              <w:top w:val="single" w:color="auto" w:sz="4" w:space="0"/>
              <w:left w:val="single" w:color="000000" w:sz="4" w:space="0"/>
              <w:bottom w:val="single" w:color="auto" w:sz="4" w:space="0"/>
              <w:right w:val="single" w:color="000000" w:sz="4" w:space="0"/>
            </w:tcBorders>
            <w:noWrap/>
            <w:vAlign w:val="center"/>
          </w:tcPr>
          <w:p w14:paraId="68E35B74">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45</w:t>
            </w:r>
          </w:p>
        </w:tc>
        <w:tc>
          <w:tcPr>
            <w:tcW w:w="1007" w:type="dxa"/>
            <w:tcBorders>
              <w:top w:val="single" w:color="auto" w:sz="4" w:space="0"/>
              <w:left w:val="single" w:color="000000" w:sz="4" w:space="0"/>
              <w:bottom w:val="single" w:color="auto" w:sz="4" w:space="0"/>
              <w:right w:val="single" w:color="000000" w:sz="4" w:space="0"/>
            </w:tcBorders>
            <w:vAlign w:val="center"/>
          </w:tcPr>
          <w:p w14:paraId="6D41A3E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高清摄像头</w:t>
            </w:r>
          </w:p>
        </w:tc>
        <w:tc>
          <w:tcPr>
            <w:tcW w:w="6967" w:type="dxa"/>
            <w:tcBorders>
              <w:top w:val="single" w:color="000000" w:sz="4" w:space="0"/>
              <w:left w:val="single" w:color="000000" w:sz="4" w:space="0"/>
              <w:bottom w:val="single" w:color="000000" w:sz="4" w:space="0"/>
              <w:right w:val="single" w:color="000000" w:sz="4" w:space="0"/>
            </w:tcBorders>
            <w:vAlign w:val="center"/>
          </w:tcPr>
          <w:p w14:paraId="24B59C73">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eastAsia="宋体" w:cs="宋体"/>
                <w:snapToGrid w:val="0"/>
                <w:color w:val="auto"/>
                <w:sz w:val="18"/>
                <w:szCs w:val="18"/>
                <w:highlight w:val="none"/>
                <w:lang w:bidi="ar"/>
              </w:rPr>
              <w:t>1.像素：≥400万，可变焦距。</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2.支持背光补偿，强光抑制，3D数据降噪。</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3.120dB宽动态，适应不同监控环境。</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4.支持ROI感兴趣区域增强编码，支持Smart265/264编码，可根据场景情况自适应调整码率分配，有效节省存储成本。</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5.摄像头帧率≥25，支持视频码流≥3路。</w:t>
            </w:r>
          </w:p>
        </w:tc>
        <w:tc>
          <w:tcPr>
            <w:tcW w:w="606" w:type="dxa"/>
            <w:tcBorders>
              <w:top w:val="nil"/>
              <w:left w:val="single" w:color="000000" w:sz="4" w:space="0"/>
              <w:bottom w:val="single" w:color="000000" w:sz="4" w:space="0"/>
              <w:right w:val="single" w:color="000000" w:sz="4" w:space="0"/>
            </w:tcBorders>
            <w:noWrap/>
            <w:vAlign w:val="center"/>
          </w:tcPr>
          <w:p w14:paraId="4B1A924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4</w:t>
            </w:r>
          </w:p>
        </w:tc>
        <w:tc>
          <w:tcPr>
            <w:tcW w:w="634" w:type="dxa"/>
            <w:tcBorders>
              <w:top w:val="nil"/>
              <w:left w:val="single" w:color="000000" w:sz="4" w:space="0"/>
              <w:bottom w:val="single" w:color="000000" w:sz="4" w:space="0"/>
              <w:right w:val="single" w:color="000000" w:sz="4" w:space="0"/>
            </w:tcBorders>
            <w:noWrap/>
            <w:vAlign w:val="center"/>
          </w:tcPr>
          <w:p w14:paraId="66ACE35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74324E5B">
        <w:tblPrEx>
          <w:tblCellMar>
            <w:top w:w="0" w:type="dxa"/>
            <w:left w:w="108" w:type="dxa"/>
            <w:bottom w:w="0" w:type="dxa"/>
            <w:right w:w="108" w:type="dxa"/>
          </w:tblCellMar>
        </w:tblPrEx>
        <w:trPr>
          <w:trHeight w:val="0" w:hRule="atLeast"/>
          <w:jc w:val="center"/>
        </w:trPr>
        <w:tc>
          <w:tcPr>
            <w:tcW w:w="634" w:type="dxa"/>
            <w:tcBorders>
              <w:top w:val="single" w:color="auto" w:sz="4" w:space="0"/>
              <w:left w:val="single" w:color="000000" w:sz="4" w:space="0"/>
              <w:bottom w:val="single" w:color="000000" w:sz="4" w:space="0"/>
              <w:right w:val="single" w:color="000000" w:sz="4" w:space="0"/>
            </w:tcBorders>
            <w:noWrap/>
            <w:vAlign w:val="center"/>
          </w:tcPr>
          <w:p w14:paraId="3821C6C1">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46</w:t>
            </w:r>
          </w:p>
        </w:tc>
        <w:tc>
          <w:tcPr>
            <w:tcW w:w="1007" w:type="dxa"/>
            <w:tcBorders>
              <w:top w:val="single" w:color="auto" w:sz="4" w:space="0"/>
              <w:left w:val="single" w:color="000000" w:sz="4" w:space="0"/>
              <w:bottom w:val="single" w:color="000000" w:sz="4" w:space="0"/>
              <w:right w:val="single" w:color="000000" w:sz="4" w:space="0"/>
            </w:tcBorders>
            <w:vAlign w:val="center"/>
          </w:tcPr>
          <w:p w14:paraId="548D5E7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显示终端</w:t>
            </w:r>
          </w:p>
        </w:tc>
        <w:tc>
          <w:tcPr>
            <w:tcW w:w="6967" w:type="dxa"/>
            <w:tcBorders>
              <w:top w:val="single" w:color="000000" w:sz="4" w:space="0"/>
              <w:left w:val="single" w:color="000000" w:sz="4" w:space="0"/>
              <w:bottom w:val="single" w:color="000000" w:sz="4" w:space="0"/>
              <w:right w:val="single" w:color="000000" w:sz="4" w:space="0"/>
            </w:tcBorders>
            <w:vAlign w:val="center"/>
          </w:tcPr>
          <w:p w14:paraId="00349F4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1.尺寸：≥55寸户外高亮液晶屏；显示尺寸≥1208（W）×680（H）</w:t>
            </w:r>
            <w:r>
              <w:rPr>
                <w:rFonts w:hint="eastAsia" w:ascii="宋体" w:hAnsi="宋体" w:cs="宋体"/>
                <w:color w:val="auto"/>
                <w:sz w:val="18"/>
                <w:szCs w:val="18"/>
                <w:highlight w:val="none"/>
                <w:lang w:eastAsia="zh-CN"/>
              </w:rPr>
              <w:t>mm</w:t>
            </w:r>
            <w:r>
              <w:rPr>
                <w:rFonts w:hint="eastAsia" w:ascii="宋体" w:hAnsi="宋体" w:cs="宋体"/>
                <w:color w:val="auto"/>
                <w:sz w:val="18"/>
                <w:szCs w:val="18"/>
                <w:highlight w:val="none"/>
              </w:rPr>
              <w:t>，显示比例16</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rPr>
              <w:t>9。</w:t>
            </w:r>
          </w:p>
          <w:p w14:paraId="4B13F3A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2.背光类型LED；分辨率：1920*1080；亮度≥2000cd/㎡；对比度3000</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rPr>
              <w:t>1。</w:t>
            </w:r>
          </w:p>
          <w:p w14:paraId="7307B2B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3.可视角度：178°（H）/ 178°（V）；使用寿命≥60000小时。</w:t>
            </w:r>
          </w:p>
          <w:p w14:paraId="4A3872C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4.正面防护玻璃：6</w:t>
            </w:r>
            <w:r>
              <w:rPr>
                <w:rFonts w:hint="eastAsia" w:ascii="宋体" w:hAnsi="宋体" w:cs="宋体"/>
                <w:color w:val="auto"/>
                <w:sz w:val="18"/>
                <w:szCs w:val="18"/>
                <w:highlight w:val="none"/>
                <w:lang w:eastAsia="zh-CN"/>
              </w:rPr>
              <w:t>mm</w:t>
            </w:r>
            <w:r>
              <w:rPr>
                <w:rFonts w:hint="eastAsia" w:ascii="宋体" w:hAnsi="宋体" w:cs="宋体"/>
                <w:color w:val="auto"/>
                <w:sz w:val="18"/>
                <w:szCs w:val="18"/>
                <w:highlight w:val="none"/>
              </w:rPr>
              <w:t>超白钢化防爆玻璃；钣金外壳采用1.5</w:t>
            </w:r>
            <w:r>
              <w:rPr>
                <w:rFonts w:hint="eastAsia" w:ascii="宋体" w:hAnsi="宋体" w:cs="宋体"/>
                <w:color w:val="auto"/>
                <w:sz w:val="18"/>
                <w:szCs w:val="18"/>
                <w:highlight w:val="none"/>
                <w:lang w:eastAsia="zh-CN"/>
              </w:rPr>
              <w:t>mm</w:t>
            </w:r>
            <w:r>
              <w:rPr>
                <w:rFonts w:hint="eastAsia" w:ascii="宋体" w:hAnsi="宋体" w:cs="宋体"/>
                <w:color w:val="auto"/>
                <w:sz w:val="18"/>
                <w:szCs w:val="18"/>
                <w:highlight w:val="none"/>
              </w:rPr>
              <w:t>SGCC镀锌钢板，内层喷涂富锌底粉，表层喷涂塑粉，使用年限确保10年以上。</w:t>
            </w:r>
          </w:p>
          <w:p w14:paraId="4CBA4D3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5.整机防护等级≥IP65。</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21D60E0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1</w:t>
            </w:r>
          </w:p>
        </w:tc>
        <w:tc>
          <w:tcPr>
            <w:tcW w:w="634" w:type="dxa"/>
            <w:tcBorders>
              <w:top w:val="nil"/>
              <w:left w:val="single" w:color="000000" w:sz="4" w:space="0"/>
              <w:bottom w:val="single" w:color="000000" w:sz="4" w:space="0"/>
              <w:right w:val="single" w:color="000000" w:sz="4" w:space="0"/>
            </w:tcBorders>
            <w:noWrap/>
            <w:vAlign w:val="center"/>
          </w:tcPr>
          <w:p w14:paraId="6C027007">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color w:val="auto"/>
                <w:sz w:val="18"/>
                <w:szCs w:val="18"/>
                <w:highlight w:val="none"/>
              </w:rPr>
            </w:pPr>
            <w:r>
              <w:rPr>
                <w:rFonts w:hint="eastAsia" w:ascii="宋体" w:hAnsi="宋体" w:cs="宋体"/>
                <w:snapToGrid w:val="0"/>
                <w:color w:val="auto"/>
                <w:sz w:val="18"/>
                <w:szCs w:val="18"/>
                <w:highlight w:val="none"/>
                <w:lang w:bidi="ar"/>
              </w:rPr>
              <w:t>台</w:t>
            </w:r>
          </w:p>
        </w:tc>
      </w:tr>
      <w:tr w14:paraId="2B10313B">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2B7B1112">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47</w:t>
            </w:r>
          </w:p>
        </w:tc>
        <w:tc>
          <w:tcPr>
            <w:tcW w:w="1007" w:type="dxa"/>
            <w:tcBorders>
              <w:top w:val="single" w:color="000000" w:sz="4" w:space="0"/>
              <w:left w:val="single" w:color="000000" w:sz="4" w:space="0"/>
              <w:bottom w:val="single" w:color="000000" w:sz="4" w:space="0"/>
              <w:right w:val="single" w:color="000000" w:sz="4" w:space="0"/>
            </w:tcBorders>
            <w:vAlign w:val="center"/>
          </w:tcPr>
          <w:p w14:paraId="15A7996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体能考试系统（长跑）</w:t>
            </w:r>
          </w:p>
        </w:tc>
        <w:tc>
          <w:tcPr>
            <w:tcW w:w="6967" w:type="dxa"/>
            <w:tcBorders>
              <w:top w:val="single" w:color="000000" w:sz="4" w:space="0"/>
              <w:left w:val="single" w:color="000000" w:sz="4" w:space="0"/>
              <w:bottom w:val="single" w:color="000000" w:sz="4" w:space="0"/>
              <w:right w:val="single" w:color="000000" w:sz="4" w:space="0"/>
            </w:tcBorders>
            <w:vAlign w:val="center"/>
          </w:tcPr>
          <w:p w14:paraId="21C59C1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val="en-US" w:eastAsia="zh-CN" w:bidi="ar"/>
              </w:rPr>
              <w:t>1.</w:t>
            </w:r>
            <w:r>
              <w:rPr>
                <w:rFonts w:hint="eastAsia" w:ascii="宋体" w:hAnsi="宋体" w:cs="宋体"/>
                <w:snapToGrid w:val="0"/>
                <w:color w:val="auto"/>
                <w:sz w:val="18"/>
                <w:szCs w:val="18"/>
                <w:highlight w:val="none"/>
                <w:lang w:bidi="ar"/>
              </w:rPr>
              <w:t>计时成绩误差：≤1s。</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2.界面响应速度：全部跑完之后，≤1s秒内出分析结果。</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3.无感人脸识别，大屏实时呈现运动数据、排行榜；跑步过程自动累计跑量，实时呈现增长情况；自主查询跑步成绩，关注个体激励更加努力锻炼。</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4.测量范围：0~999s，分度值≤1s，误差≤±2%。</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5.支持随来随测，支持多人同时运动，无起点，识别完成后按照设定的路线轨迹跑，进行动作捕捉，对运动者进行 AI人脸识别采集，跑完结束后自动生成跑步成绩。</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6.场景支撑：适用于晨跑、跑操、热身、练习等场景。</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7.违规区域检测：对于不符合跑步区域要求的运动记录会进行过滤，相应里程不计入总里程。</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8.支持对接操场户外大屏呈现数据：</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1）可实时展示跑步排名，多维度展示排名情况；</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2）学员方阵跑可以实时在屏幕上展示人脸与今日跑步里程；</w:t>
            </w:r>
            <w:r>
              <w:rPr>
                <w:rFonts w:hint="eastAsia" w:ascii="宋体" w:hAnsi="宋体" w:cs="宋体"/>
                <w:snapToGrid w:val="0"/>
                <w:color w:val="auto"/>
                <w:sz w:val="18"/>
                <w:szCs w:val="18"/>
                <w:highlight w:val="none"/>
                <w:lang w:bidi="ar"/>
              </w:rPr>
              <w:br w:type="textWrapping"/>
            </w:r>
            <w:r>
              <w:rPr>
                <w:rFonts w:hint="eastAsia" w:ascii="宋体" w:hAnsi="宋体" w:cs="宋体"/>
                <w:snapToGrid w:val="0"/>
                <w:color w:val="auto"/>
                <w:sz w:val="18"/>
                <w:szCs w:val="18"/>
                <w:highlight w:val="none"/>
                <w:lang w:bidi="ar"/>
              </w:rPr>
              <w:t>3）支持单人打卡跑，可在屏幕上实时展示正在跑步学员的头像与今日跑步里程。</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29C26B1F">
            <w:pPr>
              <w:widowControl/>
              <w:jc w:val="center"/>
              <w:textAlignment w:val="center"/>
              <w:rPr>
                <w:rFonts w:hint="eastAsia" w:ascii="宋体" w:hAnsi="宋体" w:cs="宋体"/>
                <w:snapToGrid w:val="0"/>
                <w:color w:val="auto"/>
                <w:sz w:val="18"/>
                <w:szCs w:val="18"/>
                <w:highlight w:val="none"/>
                <w:lang w:bidi="ar"/>
              </w:rPr>
            </w:pPr>
            <w:r>
              <w:rPr>
                <w:rFonts w:hint="eastAsia" w:ascii="宋体" w:hAnsi="宋体" w:eastAsia="宋体" w:cs="宋体"/>
                <w:snapToGrid w:val="0"/>
                <w:color w:val="auto"/>
                <w:sz w:val="18"/>
                <w:szCs w:val="18"/>
                <w:highlight w:val="none"/>
                <w:lang w:val="en-US" w:eastAsia="zh-CN" w:bidi="ar"/>
              </w:rPr>
              <w:t>1</w:t>
            </w:r>
          </w:p>
        </w:tc>
        <w:tc>
          <w:tcPr>
            <w:tcW w:w="634" w:type="dxa"/>
            <w:tcBorders>
              <w:top w:val="nil"/>
              <w:left w:val="single" w:color="000000" w:sz="4" w:space="0"/>
              <w:bottom w:val="single" w:color="000000" w:sz="4" w:space="0"/>
              <w:right w:val="single" w:color="000000" w:sz="4" w:space="0"/>
            </w:tcBorders>
            <w:noWrap/>
            <w:vAlign w:val="center"/>
          </w:tcPr>
          <w:p w14:paraId="4C0DC138">
            <w:pPr>
              <w:widowControl/>
              <w:jc w:val="center"/>
              <w:textAlignment w:val="center"/>
              <w:rPr>
                <w:rFonts w:hint="eastAsia" w:ascii="宋体" w:hAnsi="宋体" w:cs="宋体"/>
                <w:snapToGrid w:val="0"/>
                <w:color w:val="auto"/>
                <w:sz w:val="18"/>
                <w:szCs w:val="18"/>
                <w:highlight w:val="none"/>
                <w:lang w:bidi="ar"/>
              </w:rPr>
            </w:pPr>
            <w:r>
              <w:rPr>
                <w:rFonts w:hint="eastAsia" w:ascii="宋体" w:hAnsi="宋体" w:eastAsia="宋体" w:cs="宋体"/>
                <w:snapToGrid w:val="0"/>
                <w:color w:val="auto"/>
                <w:sz w:val="18"/>
                <w:szCs w:val="18"/>
                <w:highlight w:val="none"/>
                <w:lang w:val="en-US" w:eastAsia="zh-CN" w:bidi="ar"/>
              </w:rPr>
              <w:t>套</w:t>
            </w:r>
          </w:p>
        </w:tc>
      </w:tr>
      <w:tr w14:paraId="184E5CE5">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5533787B">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八</w:t>
            </w:r>
          </w:p>
        </w:tc>
        <w:tc>
          <w:tcPr>
            <w:tcW w:w="9214" w:type="dxa"/>
            <w:gridSpan w:val="4"/>
            <w:tcBorders>
              <w:top w:val="single" w:color="000000" w:sz="4" w:space="0"/>
              <w:left w:val="single" w:color="000000" w:sz="4" w:space="0"/>
              <w:bottom w:val="single" w:color="000000" w:sz="4" w:space="0"/>
              <w:right w:val="single" w:color="000000" w:sz="4" w:space="0"/>
            </w:tcBorders>
            <w:vAlign w:val="center"/>
          </w:tcPr>
          <w:p w14:paraId="3F40C6B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snapToGrid w:val="0"/>
                <w:color w:val="auto"/>
                <w:sz w:val="18"/>
                <w:szCs w:val="18"/>
                <w:highlight w:val="none"/>
                <w:lang w:bidi="ar"/>
              </w:rPr>
            </w:pPr>
            <w:r>
              <w:rPr>
                <w:rFonts w:hint="eastAsia" w:ascii="宋体" w:hAnsi="宋体" w:cs="宋体"/>
                <w:b/>
                <w:bCs/>
                <w:snapToGrid w:val="0"/>
                <w:color w:val="auto"/>
                <w:sz w:val="18"/>
                <w:szCs w:val="18"/>
                <w:highlight w:val="none"/>
                <w:lang w:bidi="ar"/>
              </w:rPr>
              <w:t>应急指挥</w:t>
            </w:r>
          </w:p>
        </w:tc>
      </w:tr>
      <w:tr w14:paraId="1B8B9FC5">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0323445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48</w:t>
            </w:r>
          </w:p>
        </w:tc>
        <w:tc>
          <w:tcPr>
            <w:tcW w:w="1007" w:type="dxa"/>
            <w:tcBorders>
              <w:top w:val="single" w:color="000000" w:sz="4" w:space="0"/>
              <w:left w:val="single" w:color="000000" w:sz="4" w:space="0"/>
              <w:bottom w:val="single" w:color="000000" w:sz="4" w:space="0"/>
              <w:right w:val="single" w:color="000000" w:sz="4" w:space="0"/>
            </w:tcBorders>
            <w:vAlign w:val="center"/>
          </w:tcPr>
          <w:p w14:paraId="28E04F1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5G球机</w:t>
            </w:r>
          </w:p>
        </w:tc>
        <w:tc>
          <w:tcPr>
            <w:tcW w:w="6967" w:type="dxa"/>
            <w:tcBorders>
              <w:top w:val="single" w:color="000000" w:sz="4" w:space="0"/>
              <w:left w:val="single" w:color="000000" w:sz="4" w:space="0"/>
              <w:bottom w:val="single" w:color="000000" w:sz="4" w:space="0"/>
              <w:right w:val="single" w:color="000000" w:sz="4" w:space="0"/>
            </w:tcBorders>
            <w:vAlign w:val="center"/>
          </w:tcPr>
          <w:p w14:paraId="33B8AB5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372"/>
                <w:rFonts w:hint="default"/>
                <w:snapToGrid w:val="0"/>
                <w:color w:val="auto"/>
                <w:sz w:val="18"/>
                <w:szCs w:val="18"/>
                <w:highlight w:val="none"/>
                <w:lang w:bidi="ar"/>
              </w:rPr>
            </w:pPr>
            <w:r>
              <w:rPr>
                <w:rFonts w:hint="default" w:ascii="宋体" w:hAnsi="宋体" w:eastAsia="宋体" w:cs="宋体"/>
                <w:snapToGrid w:val="0"/>
                <w:color w:val="auto"/>
                <w:sz w:val="18"/>
                <w:szCs w:val="18"/>
                <w:highlight w:val="none"/>
                <w:lang w:bidi="ar"/>
              </w:rPr>
              <w:t>1.组成：布控球主机、防护箱、托盘、三脚支架、蓝牙耳机、充电线、球机安全绳、有线手咪和车载充电器。</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2.主要应用场景：用于消防员灭火救援作业现场图像实时传输。</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3.产品要求具备双电源接口，1报警输入和1报警输出接口，双TF卡，4G+5G卡位，双扬声器、具备debug接口及复位按钮。</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4.支持近距离红外补光，远距离激光补光，可看清距样机100m处人体轮廓，补光角度：激光：≤15°，红外：≤60°。</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5.内置双扬声器，可自定义文本转语音播报，样机可外接（有线或无线蓝牙），支持双向语音，支持集群对讲。</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6.设备要求支持在-30-60℃下能正常工作。</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7.设备外壳防护≥IP66。</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8.云台支持水平360°连续转动、垂直-20°-90°转动，水平转速≥120°/s，垂直转速≥30°/s。</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9.支持变倍控制、隐私区域遮挡、支持3D定位。</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10.编码算法支持H.264和H.265。</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11.要求支持视频双码流，双码流规格均支持1920*1080/1280*720/640*480，帧率1-30帧/秒可调，码流64kbps~10Mbps可设置。</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12.支持图片抓拍，抓拍图片支持保存到本地或上传到服务器，且可在本地检索回放，图片分辨率支持1920*1080/1280*720/640*480。</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13.支持在输出的图像中叠加中文文字和符号信息，信息至少包括：时间、经纬度、名称等。支持根据分辨率适配字体大小：VGA：32*32、720P：48*48、1080P：64*64；</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14.网络通信功能：支持5G、4G通信；支持Wi-Fi通信、AP热点通信，可通过手动或语音切换Wi-Fi与AP热点模式；支持以太网，10/100自适应全双工模式；支持蓝牙通信，可搜索蓝牙设备列表选择配对，并可保存配对信息和自动连接。</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15.支持双TF卡存储，单卡最大可支持512GB，存储格式具有流式文件和电脑通用文件格式可选，存储的录像文件支持通过有线和无线方式导出。</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16.设备内置北斗定位模块，内置定位天线，仅北斗定位模式，支持将定位数据上传至服务器，同时支持可离线补传定位数据。</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17.设备采用宽电源设计，DC8V-36V范围内，样机可正常工作，并支持ACC信号开关机；设备自带液晶显示屏，支持查看当前拨号、电量、网络、录像、定位和存储状态。</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18.支持远程配置设备参数，包括视频参数、网络参数、音频参数、定位参数、远程升级和恢复出厂设置等；支持通过手机连接样机AP热点，并可实现预览视频，双向语音对讲，录像查询、回放，以及视频/网络/音频/定位等参数配置功能。</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19.设备电池支持在1920*1080，25帧/s并开启本地录像条件下，连续工作时间≥12h，支持电池电量的显示值可以1%的精度递增或递减，支持通过语音、蜂鸣器、指示灯方式提示低电压报警，并支持报警时间上传至服务器。</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5AFEC6BD">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76D38CB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套</w:t>
            </w:r>
          </w:p>
        </w:tc>
      </w:tr>
      <w:tr w14:paraId="47791119">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73CCE62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49</w:t>
            </w:r>
          </w:p>
        </w:tc>
        <w:tc>
          <w:tcPr>
            <w:tcW w:w="1007" w:type="dxa"/>
            <w:tcBorders>
              <w:top w:val="single" w:color="000000" w:sz="4" w:space="0"/>
              <w:left w:val="single" w:color="000000" w:sz="4" w:space="0"/>
              <w:bottom w:val="single" w:color="000000" w:sz="4" w:space="0"/>
              <w:right w:val="single" w:color="000000" w:sz="4" w:space="0"/>
            </w:tcBorders>
            <w:vAlign w:val="center"/>
          </w:tcPr>
          <w:p w14:paraId="6A4776D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5G单兵图传系统</w:t>
            </w:r>
          </w:p>
        </w:tc>
        <w:tc>
          <w:tcPr>
            <w:tcW w:w="6967" w:type="dxa"/>
            <w:tcBorders>
              <w:top w:val="single" w:color="000000" w:sz="4" w:space="0"/>
              <w:left w:val="single" w:color="000000" w:sz="4" w:space="0"/>
              <w:bottom w:val="single" w:color="000000" w:sz="4" w:space="0"/>
              <w:right w:val="single" w:color="000000" w:sz="4" w:space="0"/>
            </w:tcBorders>
            <w:vAlign w:val="center"/>
          </w:tcPr>
          <w:p w14:paraId="2CD3498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372"/>
                <w:rFonts w:hint="default"/>
                <w:snapToGrid w:val="0"/>
                <w:color w:val="auto"/>
                <w:sz w:val="18"/>
                <w:szCs w:val="18"/>
                <w:highlight w:val="none"/>
                <w:lang w:bidi="ar"/>
              </w:rPr>
            </w:pPr>
            <w:r>
              <w:rPr>
                <w:rFonts w:hint="eastAsia" w:ascii="宋体" w:hAnsi="宋体" w:eastAsia="宋体" w:cs="宋体"/>
                <w:snapToGrid w:val="0"/>
                <w:color w:val="auto"/>
                <w:sz w:val="18"/>
                <w:szCs w:val="18"/>
                <w:highlight w:val="none"/>
                <w:lang w:bidi="ar"/>
              </w:rPr>
              <w:t>1.结构组成：主机、电池、背夹、数据线、安全箱。</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2.主要应用场景：用于消防员灭火救援作业中移动过程中的视频传输。</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3.要求支持双摄像头采集、双MIC输入、双TF卡存储、双SIM卡传输、双外接天线。</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4.配置要求支持Android11以上操作系统、8核CPU、主频不低于2.6Ghz，RAM≥4GB，ROM≥64GB，外接存储支持2*512GB。</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5.视频压缩支持H.264或H.265，在两种压缩格式下，主副摄像头分辨率要求支持1920*1080、1280*720、640*480，主摄像头水平中心分辨力要求≥1300TVL、副摄像头水平中心分辨力要求≥600TVL，帧率1-30帧可调。</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6.支持HDMI外接视频输入，分辨率支持1920*1080、1280*720；支持TYPE-C接口充电及传输数据。</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7.屏幕尺寸≥4.6英寸，分辨率不低于720*1280。</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8.外壳防护等级≥IP68。</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9.支持接入中国移动、中国电信、中国联通或其他国产运营商4G、5G网络。</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10.在开机状态下，6min内更换电池设备原工作状态不变，且数据不丢失。</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11.支持裸机跌落，设备开机状态下，在垂直2000</w:t>
            </w:r>
            <w:r>
              <w:rPr>
                <w:rFonts w:hint="eastAsia" w:ascii="宋体" w:hAnsi="宋体" w:cs="宋体"/>
                <w:snapToGrid w:val="0"/>
                <w:color w:val="auto"/>
                <w:sz w:val="18"/>
                <w:szCs w:val="18"/>
                <w:highlight w:val="none"/>
                <w:lang w:eastAsia="zh-CN" w:bidi="ar"/>
              </w:rPr>
              <w:t>mm</w:t>
            </w:r>
            <w:r>
              <w:rPr>
                <w:rFonts w:hint="eastAsia" w:ascii="宋体" w:hAnsi="宋体" w:eastAsia="宋体" w:cs="宋体"/>
                <w:snapToGrid w:val="0"/>
                <w:color w:val="auto"/>
                <w:sz w:val="18"/>
                <w:szCs w:val="18"/>
                <w:highlight w:val="none"/>
                <w:lang w:bidi="ar"/>
              </w:rPr>
              <w:t>水泥地面6个面各跌落2次，设备能正常工作。</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12.外观尺寸≤180×80×40（</w:t>
            </w:r>
            <w:r>
              <w:rPr>
                <w:rFonts w:hint="eastAsia" w:ascii="宋体" w:hAnsi="宋体" w:cs="宋体"/>
                <w:snapToGrid w:val="0"/>
                <w:color w:val="auto"/>
                <w:sz w:val="18"/>
                <w:szCs w:val="18"/>
                <w:highlight w:val="none"/>
                <w:lang w:eastAsia="zh-CN" w:bidi="ar"/>
              </w:rPr>
              <w:t>mm</w:t>
            </w:r>
            <w:r>
              <w:rPr>
                <w:rFonts w:hint="eastAsia" w:ascii="宋体" w:hAnsi="宋体" w:eastAsia="宋体" w:cs="宋体"/>
                <w:snapToGrid w:val="0"/>
                <w:color w:val="auto"/>
                <w:sz w:val="18"/>
                <w:szCs w:val="18"/>
                <w:highlight w:val="none"/>
                <w:lang w:bidi="ar"/>
              </w:rPr>
              <w:t>），重量≤460克。</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13.支持双码流输出，双码流参数可独立设置。</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14.支持红蓝绿三色指示欠压、充电、充满指示，支持低电量报警。</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15.支持在联网状态下与平台、其他设备进行群组对讲。</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16.支持远程发送文字、图片、语音、视频短片，支持接收远程平台下发的定位及警情信息。</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17.设备内置北斗定位模块，内置定位天线，仅北斗定位模式，支持将定位数据上传至服务器，同时支持可离线补传定位数据。</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18.具备开关机、旋转、菜单、翻页+/-、PTT、对讲、SOS、拍照、录像等按键。</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6A39DB0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337A5A8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套</w:t>
            </w:r>
          </w:p>
        </w:tc>
      </w:tr>
      <w:tr w14:paraId="2BF3CB74">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39E3A30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50</w:t>
            </w:r>
          </w:p>
        </w:tc>
        <w:tc>
          <w:tcPr>
            <w:tcW w:w="1007" w:type="dxa"/>
            <w:tcBorders>
              <w:top w:val="single" w:color="000000" w:sz="4" w:space="0"/>
              <w:left w:val="single" w:color="000000" w:sz="4" w:space="0"/>
              <w:bottom w:val="single" w:color="000000" w:sz="4" w:space="0"/>
              <w:right w:val="single" w:color="000000" w:sz="4" w:space="0"/>
            </w:tcBorders>
            <w:vAlign w:val="center"/>
          </w:tcPr>
          <w:p w14:paraId="79283EA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双光侦察无人机</w:t>
            </w:r>
          </w:p>
        </w:tc>
        <w:tc>
          <w:tcPr>
            <w:tcW w:w="6967" w:type="dxa"/>
            <w:tcBorders>
              <w:top w:val="single" w:color="000000" w:sz="4" w:space="0"/>
              <w:left w:val="single" w:color="000000" w:sz="4" w:space="0"/>
              <w:bottom w:val="single" w:color="000000" w:sz="4" w:space="0"/>
              <w:right w:val="single" w:color="000000" w:sz="4" w:space="0"/>
            </w:tcBorders>
            <w:vAlign w:val="center"/>
          </w:tcPr>
          <w:p w14:paraId="555DAF0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372"/>
                <w:rFonts w:hint="default"/>
                <w:snapToGrid w:val="0"/>
                <w:color w:val="auto"/>
                <w:sz w:val="18"/>
                <w:szCs w:val="18"/>
                <w:highlight w:val="none"/>
                <w:lang w:bidi="ar"/>
              </w:rPr>
            </w:pPr>
            <w:r>
              <w:rPr>
                <w:rFonts w:hint="eastAsia" w:ascii="宋体" w:hAnsi="宋体" w:eastAsia="宋体" w:cs="宋体"/>
                <w:snapToGrid w:val="0"/>
                <w:color w:val="auto"/>
                <w:sz w:val="18"/>
                <w:szCs w:val="18"/>
                <w:highlight w:val="none"/>
                <w:lang w:bidi="ar"/>
              </w:rPr>
              <w:t>1.展开后尺寸：≤310</w:t>
            </w:r>
            <w:r>
              <w:rPr>
                <w:rFonts w:hint="eastAsia" w:ascii="宋体" w:hAnsi="宋体" w:cs="宋体"/>
                <w:snapToGrid w:val="0"/>
                <w:color w:val="auto"/>
                <w:sz w:val="18"/>
                <w:szCs w:val="18"/>
                <w:highlight w:val="none"/>
                <w:lang w:eastAsia="zh-CN" w:bidi="ar"/>
              </w:rPr>
              <w:t>mm</w:t>
            </w:r>
            <w:r>
              <w:rPr>
                <w:rFonts w:hint="eastAsia" w:ascii="宋体" w:hAnsi="宋体" w:eastAsia="宋体" w:cs="宋体"/>
                <w:snapToGrid w:val="0"/>
                <w:color w:val="auto"/>
                <w:sz w:val="18"/>
                <w:szCs w:val="18"/>
                <w:highlight w:val="none"/>
                <w:lang w:bidi="ar"/>
              </w:rPr>
              <w:t>*390</w:t>
            </w:r>
            <w:r>
              <w:rPr>
                <w:rFonts w:hint="eastAsia" w:ascii="宋体" w:hAnsi="宋体" w:cs="宋体"/>
                <w:snapToGrid w:val="0"/>
                <w:color w:val="auto"/>
                <w:sz w:val="18"/>
                <w:szCs w:val="18"/>
                <w:highlight w:val="none"/>
                <w:lang w:eastAsia="zh-CN" w:bidi="ar"/>
              </w:rPr>
              <w:t>mm</w:t>
            </w:r>
            <w:r>
              <w:rPr>
                <w:rFonts w:hint="eastAsia" w:ascii="宋体" w:hAnsi="宋体" w:eastAsia="宋体" w:cs="宋体"/>
                <w:snapToGrid w:val="0"/>
                <w:color w:val="auto"/>
                <w:sz w:val="18"/>
                <w:szCs w:val="18"/>
                <w:highlight w:val="none"/>
                <w:lang w:bidi="ar"/>
              </w:rPr>
              <w:t>*150</w:t>
            </w:r>
            <w:r>
              <w:rPr>
                <w:rFonts w:hint="eastAsia" w:ascii="宋体" w:hAnsi="宋体" w:cs="宋体"/>
                <w:snapToGrid w:val="0"/>
                <w:color w:val="auto"/>
                <w:sz w:val="18"/>
                <w:szCs w:val="18"/>
                <w:highlight w:val="none"/>
                <w:lang w:eastAsia="zh-CN" w:bidi="ar"/>
              </w:rPr>
              <w:t>mm</w:t>
            </w:r>
            <w:r>
              <w:rPr>
                <w:rFonts w:hint="eastAsia" w:ascii="宋体" w:hAnsi="宋体" w:eastAsia="宋体" w:cs="宋体"/>
                <w:snapToGrid w:val="0"/>
                <w:color w:val="auto"/>
                <w:sz w:val="18"/>
                <w:szCs w:val="18"/>
                <w:highlight w:val="none"/>
                <w:lang w:bidi="ar"/>
              </w:rPr>
              <w:t>。</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2.折叠收纳后尺寸：≤270</w:t>
            </w:r>
            <w:r>
              <w:rPr>
                <w:rFonts w:hint="eastAsia" w:ascii="宋体" w:hAnsi="宋体" w:cs="宋体"/>
                <w:snapToGrid w:val="0"/>
                <w:color w:val="auto"/>
                <w:sz w:val="18"/>
                <w:szCs w:val="18"/>
                <w:highlight w:val="none"/>
                <w:lang w:eastAsia="zh-CN" w:bidi="ar"/>
              </w:rPr>
              <w:t>mm</w:t>
            </w:r>
            <w:r>
              <w:rPr>
                <w:rFonts w:hint="eastAsia" w:ascii="宋体" w:hAnsi="宋体" w:eastAsia="宋体" w:cs="宋体"/>
                <w:snapToGrid w:val="0"/>
                <w:color w:val="auto"/>
                <w:sz w:val="18"/>
                <w:szCs w:val="18"/>
                <w:highlight w:val="none"/>
                <w:lang w:bidi="ar"/>
              </w:rPr>
              <w:t>*120</w:t>
            </w:r>
            <w:r>
              <w:rPr>
                <w:rFonts w:hint="eastAsia" w:ascii="宋体" w:hAnsi="宋体" w:cs="宋体"/>
                <w:snapToGrid w:val="0"/>
                <w:color w:val="auto"/>
                <w:sz w:val="18"/>
                <w:szCs w:val="18"/>
                <w:highlight w:val="none"/>
                <w:lang w:eastAsia="zh-CN" w:bidi="ar"/>
              </w:rPr>
              <w:t>mm</w:t>
            </w:r>
            <w:r>
              <w:rPr>
                <w:rFonts w:hint="eastAsia" w:ascii="宋体" w:hAnsi="宋体" w:eastAsia="宋体" w:cs="宋体"/>
                <w:snapToGrid w:val="0"/>
                <w:color w:val="auto"/>
                <w:sz w:val="18"/>
                <w:szCs w:val="18"/>
                <w:highlight w:val="none"/>
                <w:lang w:bidi="ar"/>
              </w:rPr>
              <w:t>*140</w:t>
            </w:r>
            <w:r>
              <w:rPr>
                <w:rFonts w:hint="eastAsia" w:ascii="宋体" w:hAnsi="宋体" w:cs="宋体"/>
                <w:snapToGrid w:val="0"/>
                <w:color w:val="auto"/>
                <w:sz w:val="18"/>
                <w:szCs w:val="18"/>
                <w:highlight w:val="none"/>
                <w:lang w:eastAsia="zh-CN" w:bidi="ar"/>
              </w:rPr>
              <w:t>mm</w:t>
            </w:r>
            <w:r>
              <w:rPr>
                <w:rFonts w:hint="eastAsia" w:ascii="宋体" w:hAnsi="宋体" w:eastAsia="宋体" w:cs="宋体"/>
                <w:snapToGrid w:val="0"/>
                <w:color w:val="auto"/>
                <w:sz w:val="18"/>
                <w:szCs w:val="18"/>
                <w:highlight w:val="none"/>
                <w:lang w:bidi="ar"/>
              </w:rPr>
              <w:t>。</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3.裸机重量：≤1500g。</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4.最大上升速度：≥10米/秒，无风状态最大平飞速度：≥15米/秒。</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5.常规桨叶无风状态最大飞行/悬停时间：≥40分钟。</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6.最大抗风速度：≥10米/秒。</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7.定位系统：支持至少3种导航定位模式，并支持单北斗导航功能。</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8.RTK固定解定位精度：≤2cm。</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9.机身至少具备一个可扩展负载接口。</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10.避障系统：具备至少4个方向的避障感知能力，各方向有效测距范围不小于0.5米至10米。</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11.广角相机有效像素：≥4800万，变焦相机有效像素：≥4800万，有效视野角度：≥80°。</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12.最小拍照间隔：≤1秒。</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13.支持全景拍照模式，合成素材像素：≥1亿。</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14.拍摄录像规格不低于：4K/30fps。</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15.混合变焦：≥110倍。</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16.热成像相机分辨率：≥640*480。</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17.热成像相机支持至少8种配色显温模式。</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18.热成像相机数字变焦：≥20倍。</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19.激光测距模块：最大测距不短于1km。</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20.激光测距模块：测距误差不超过0.5m。</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21.图传：实时图传画面质量不低于1080p/30fps。</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22.支持近红外补光功能。</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23.云台支持至少三个方向的可控转动。</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494D254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1FDEBFC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套</w:t>
            </w:r>
          </w:p>
        </w:tc>
      </w:tr>
      <w:tr w14:paraId="3BA1E1A1">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36345B2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51</w:t>
            </w:r>
          </w:p>
        </w:tc>
        <w:tc>
          <w:tcPr>
            <w:tcW w:w="1007" w:type="dxa"/>
            <w:tcBorders>
              <w:top w:val="single" w:color="000000" w:sz="4" w:space="0"/>
              <w:left w:val="single" w:color="000000" w:sz="4" w:space="0"/>
              <w:bottom w:val="single" w:color="000000" w:sz="4" w:space="0"/>
              <w:right w:val="single" w:color="000000" w:sz="4" w:space="0"/>
            </w:tcBorders>
            <w:vAlign w:val="center"/>
          </w:tcPr>
          <w:p w14:paraId="2B6A8EF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运动相机</w:t>
            </w:r>
          </w:p>
        </w:tc>
        <w:tc>
          <w:tcPr>
            <w:tcW w:w="6967" w:type="dxa"/>
            <w:tcBorders>
              <w:top w:val="single" w:color="000000" w:sz="4" w:space="0"/>
              <w:left w:val="single" w:color="000000" w:sz="4" w:space="0"/>
              <w:bottom w:val="single" w:color="000000" w:sz="4" w:space="0"/>
              <w:right w:val="single" w:color="000000" w:sz="4" w:space="0"/>
            </w:tcBorders>
            <w:vAlign w:val="center"/>
          </w:tcPr>
          <w:p w14:paraId="5F438E6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snapToGrid w:val="0"/>
                <w:color w:val="auto"/>
                <w:sz w:val="18"/>
                <w:szCs w:val="18"/>
                <w:highlight w:val="none"/>
                <w:lang w:bidi="ar"/>
              </w:rPr>
            </w:pPr>
            <w:r>
              <w:rPr>
                <w:rFonts w:hint="default" w:ascii="宋体" w:hAnsi="宋体" w:eastAsia="宋体" w:cs="宋体"/>
                <w:snapToGrid w:val="0"/>
                <w:color w:val="auto"/>
                <w:sz w:val="18"/>
                <w:szCs w:val="18"/>
                <w:highlight w:val="none"/>
                <w:lang w:bidi="ar"/>
              </w:rPr>
              <w:t>长时间水下拍摄或在水流冲击压力大的环境下，外壳防护等级≥IP68防水测试。</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麦克风3个。</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触控屏前屏：1.4英寸323ppi320×320后屏：2.25英寸326ppi360×640。</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前后屏亮度：750±50cd/m2支持存储卡类型microSD卡（最大支持512GB）。</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相机影像传感器1/1.3英寸CMOS。</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镜头视场角：155°光圈：f/2.8。</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焦点范围：0.4米至无穷远。</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ISO范围拍照：100至12800录像：100至12800。</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电子快门速度拍照：1/8000秒至30秒。</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录像：1/8000秒至帧率限制快门照片最大分辨率3648×2736。</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变焦数码变焦拍照：4倍录像：最大2倍。</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慢动作/延时摄影：不支持照片拍摄模式。</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单张照片：约1000万像素。</w:t>
            </w:r>
          </w:p>
          <w:p w14:paraId="6355598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372"/>
                <w:rFonts w:hint="default"/>
                <w:snapToGrid w:val="0"/>
                <w:color w:val="auto"/>
                <w:sz w:val="18"/>
                <w:szCs w:val="18"/>
                <w:highlight w:val="none"/>
                <w:lang w:bidi="ar"/>
              </w:rPr>
            </w:pPr>
            <w:r>
              <w:rPr>
                <w:rFonts w:hint="default" w:ascii="宋体" w:hAnsi="宋体" w:eastAsia="宋体" w:cs="宋体"/>
                <w:snapToGrid w:val="0"/>
                <w:color w:val="auto"/>
                <w:sz w:val="18"/>
                <w:szCs w:val="18"/>
                <w:highlight w:val="none"/>
                <w:lang w:bidi="ar"/>
              </w:rPr>
              <w:t>倒计时拍照：关闭/0.5/1/2/3/5/10秒。</w:t>
            </w:r>
            <w:r>
              <w:rPr>
                <w:rFonts w:hint="default" w:ascii="宋体" w:hAnsi="宋体" w:eastAsia="宋体" w:cs="宋体"/>
                <w:snapToGrid w:val="0"/>
                <w:color w:val="auto"/>
                <w:sz w:val="18"/>
                <w:szCs w:val="18"/>
                <w:highlight w:val="none"/>
                <w:lang w:bidi="ar"/>
              </w:rPr>
              <w:br w:type="textWrapping"/>
            </w:r>
            <w:r>
              <w:rPr>
                <w:rFonts w:hint="default" w:ascii="宋体" w:hAnsi="宋体" w:eastAsia="宋体" w:cs="宋体"/>
                <w:snapToGrid w:val="0"/>
                <w:color w:val="auto"/>
                <w:sz w:val="18"/>
                <w:szCs w:val="18"/>
                <w:highlight w:val="none"/>
                <w:lang w:bidi="ar"/>
              </w:rPr>
              <w:t>增稳：具备电子增稳功能。</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470A8F8A">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1</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14FCD62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套</w:t>
            </w:r>
          </w:p>
        </w:tc>
      </w:tr>
      <w:tr w14:paraId="46C8C402">
        <w:tblPrEx>
          <w:tblCellMar>
            <w:top w:w="0" w:type="dxa"/>
            <w:left w:w="108" w:type="dxa"/>
            <w:bottom w:w="0" w:type="dxa"/>
            <w:right w:w="108" w:type="dxa"/>
          </w:tblCellMar>
        </w:tblPrEx>
        <w:trPr>
          <w:trHeight w:val="0" w:hRule="atLeast"/>
          <w:jc w:val="center"/>
        </w:trPr>
        <w:tc>
          <w:tcPr>
            <w:tcW w:w="634" w:type="dxa"/>
            <w:tcBorders>
              <w:top w:val="single" w:color="000000" w:sz="4" w:space="0"/>
              <w:left w:val="single" w:color="000000" w:sz="4" w:space="0"/>
              <w:bottom w:val="single" w:color="000000" w:sz="4" w:space="0"/>
              <w:right w:val="single" w:color="000000" w:sz="4" w:space="0"/>
            </w:tcBorders>
            <w:noWrap/>
            <w:vAlign w:val="center"/>
          </w:tcPr>
          <w:p w14:paraId="7E29638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snapToGrid w:val="0"/>
                <w:color w:val="auto"/>
                <w:sz w:val="18"/>
                <w:szCs w:val="18"/>
                <w:highlight w:val="none"/>
                <w:lang w:val="en-US" w:eastAsia="zh-CN" w:bidi="ar"/>
              </w:rPr>
              <w:t>52</w:t>
            </w:r>
          </w:p>
        </w:tc>
        <w:tc>
          <w:tcPr>
            <w:tcW w:w="1007" w:type="dxa"/>
            <w:tcBorders>
              <w:top w:val="single" w:color="000000" w:sz="4" w:space="0"/>
              <w:left w:val="single" w:color="000000" w:sz="4" w:space="0"/>
              <w:bottom w:val="single" w:color="000000" w:sz="4" w:space="0"/>
              <w:right w:val="single" w:color="000000" w:sz="4" w:space="0"/>
            </w:tcBorders>
            <w:vAlign w:val="center"/>
          </w:tcPr>
          <w:p w14:paraId="3AF3F97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对讲机</w:t>
            </w:r>
          </w:p>
        </w:tc>
        <w:tc>
          <w:tcPr>
            <w:tcW w:w="6967" w:type="dxa"/>
            <w:tcBorders>
              <w:top w:val="single" w:color="000000" w:sz="4" w:space="0"/>
              <w:left w:val="single" w:color="000000" w:sz="4" w:space="0"/>
              <w:bottom w:val="single" w:color="000000" w:sz="4" w:space="0"/>
              <w:right w:val="single" w:color="000000" w:sz="4" w:space="0"/>
            </w:tcBorders>
            <w:vAlign w:val="center"/>
          </w:tcPr>
          <w:p w14:paraId="7B14074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Style w:val="372"/>
                <w:rFonts w:hint="default"/>
                <w:snapToGrid w:val="0"/>
                <w:color w:val="auto"/>
                <w:sz w:val="18"/>
                <w:szCs w:val="18"/>
                <w:highlight w:val="none"/>
                <w:lang w:bidi="ar"/>
              </w:rPr>
            </w:pPr>
            <w:r>
              <w:rPr>
                <w:rFonts w:hint="eastAsia" w:ascii="宋体" w:hAnsi="宋体" w:eastAsia="宋体" w:cs="宋体"/>
                <w:snapToGrid w:val="0"/>
                <w:color w:val="auto"/>
                <w:sz w:val="18"/>
                <w:szCs w:val="18"/>
                <w:highlight w:val="none"/>
                <w:lang w:bidi="ar"/>
              </w:rPr>
              <w:t>1.操作系统：Android 12及以上。</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2.处理器：不低于4核1.8GHz。</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 xml:space="preserve">3.内存：RAM≥3GB，ROM≥32GB。  </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4.耳机接口：3.5</w:t>
            </w:r>
            <w:r>
              <w:rPr>
                <w:rFonts w:hint="eastAsia" w:ascii="宋体" w:hAnsi="宋体" w:cs="宋体"/>
                <w:snapToGrid w:val="0"/>
                <w:color w:val="auto"/>
                <w:sz w:val="18"/>
                <w:szCs w:val="18"/>
                <w:highlight w:val="none"/>
                <w:lang w:eastAsia="zh-CN" w:bidi="ar"/>
              </w:rPr>
              <w:t>mm</w:t>
            </w:r>
            <w:r>
              <w:rPr>
                <w:rFonts w:hint="eastAsia" w:ascii="宋体" w:hAnsi="宋体" w:eastAsia="宋体" w:cs="宋体"/>
                <w:snapToGrid w:val="0"/>
                <w:color w:val="auto"/>
                <w:sz w:val="18"/>
                <w:szCs w:val="18"/>
                <w:highlight w:val="none"/>
                <w:lang w:bidi="ar"/>
              </w:rPr>
              <w:t>接口。</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 xml:space="preserve">5.SIM支持：Nano-SIM。 </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6.网络频段 GSM：B3/B8，WCDMA：B1/B5/B8，FDD-LTE：B1/B3/B5/B7/B8/B20。</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7.电池容量：不低于4400 mAh锂电池。</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8.频道会话对讲：支持无上限数量频道对讲、1对1、1对多临时呼叫。</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9.高清视频回传摄像头≥500万像素，主摄像头≥1300万像素，一键录制，双向视频对讲。</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10.支持5V 2A快充，待机时间可达到90小时以上。</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11.双侧PTT按键，5000公里对讲。</w:t>
            </w:r>
            <w:r>
              <w:rPr>
                <w:rFonts w:hint="eastAsia" w:ascii="宋体" w:hAnsi="宋体" w:eastAsia="宋体" w:cs="宋体"/>
                <w:snapToGrid w:val="0"/>
                <w:color w:val="auto"/>
                <w:sz w:val="18"/>
                <w:szCs w:val="18"/>
                <w:highlight w:val="none"/>
                <w:lang w:bidi="ar"/>
              </w:rPr>
              <w:br w:type="textWrapping"/>
            </w:r>
            <w:r>
              <w:rPr>
                <w:rFonts w:hint="eastAsia" w:ascii="宋体" w:hAnsi="宋体" w:eastAsia="宋体" w:cs="宋体"/>
                <w:snapToGrid w:val="0"/>
                <w:color w:val="auto"/>
                <w:sz w:val="18"/>
                <w:szCs w:val="18"/>
                <w:highlight w:val="none"/>
                <w:lang w:bidi="ar"/>
              </w:rPr>
              <w:t>12.后台轨迹回放，支持GPS/北斗定位，成员历史轨迹回放，支持可视化调度。</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7B8602B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2</w:t>
            </w:r>
          </w:p>
        </w:tc>
        <w:tc>
          <w:tcPr>
            <w:tcW w:w="634" w:type="dxa"/>
            <w:tcBorders>
              <w:top w:val="single" w:color="000000" w:sz="4" w:space="0"/>
              <w:left w:val="single" w:color="000000" w:sz="4" w:space="0"/>
              <w:bottom w:val="single" w:color="000000" w:sz="4" w:space="0"/>
              <w:right w:val="single" w:color="000000" w:sz="4" w:space="0"/>
            </w:tcBorders>
            <w:noWrap/>
            <w:vAlign w:val="center"/>
          </w:tcPr>
          <w:p w14:paraId="5DFE3D7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snapToGrid w:val="0"/>
                <w:color w:val="auto"/>
                <w:sz w:val="18"/>
                <w:szCs w:val="18"/>
                <w:highlight w:val="none"/>
                <w:lang w:bidi="ar"/>
              </w:rPr>
            </w:pPr>
            <w:r>
              <w:rPr>
                <w:rFonts w:hint="eastAsia" w:ascii="宋体" w:hAnsi="宋体" w:cs="宋体"/>
                <w:snapToGrid w:val="0"/>
                <w:color w:val="auto"/>
                <w:sz w:val="18"/>
                <w:szCs w:val="18"/>
                <w:highlight w:val="none"/>
                <w:lang w:bidi="ar"/>
              </w:rPr>
              <w:t>套</w:t>
            </w:r>
          </w:p>
        </w:tc>
      </w:tr>
    </w:tbl>
    <w:p w14:paraId="7EC7FF7C">
      <w:pPr>
        <w:pStyle w:val="311"/>
        <w:keepNext w:val="0"/>
        <w:keepLines w:val="0"/>
        <w:pageBreakBefore w:val="0"/>
        <w:kinsoku/>
        <w:wordWrap/>
        <w:overflowPunct/>
        <w:topLinePunct w:val="0"/>
        <w:autoSpaceDE/>
        <w:autoSpaceDN/>
        <w:bidi w:val="0"/>
        <w:adjustRightInd/>
        <w:snapToGrid/>
        <w:spacing w:line="400" w:lineRule="exact"/>
        <w:ind w:firstLine="0"/>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注：①以上清单中所涉钢材均须满足GB/T11253-2019《碳素结构钢冷轧钢板及钢带》标准。</w:t>
      </w:r>
    </w:p>
    <w:p w14:paraId="66CB4003">
      <w:pPr>
        <w:pStyle w:val="311"/>
        <w:keepNext w:val="0"/>
        <w:keepLines w:val="0"/>
        <w:pageBreakBefore w:val="0"/>
        <w:kinsoku/>
        <w:wordWrap/>
        <w:overflowPunct/>
        <w:topLinePunct w:val="0"/>
        <w:autoSpaceDE/>
        <w:autoSpaceDN/>
        <w:bidi w:val="0"/>
        <w:adjustRightInd/>
        <w:snapToGrid/>
        <w:spacing w:line="400" w:lineRule="exact"/>
        <w:ind w:firstLine="480" w:firstLineChars="200"/>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②若需求中的某项指标仅标注数字（未附带“以上”“以下”“≥”“≤”等限定符号），那么该指标为最低标准（不具有唯一性），供应商可提供参数优于该指标的投标方案及对应报价。</w:t>
      </w:r>
    </w:p>
    <w:p w14:paraId="55E5F9AA">
      <w:pPr>
        <w:pStyle w:val="311"/>
        <w:keepNext w:val="0"/>
        <w:keepLines w:val="0"/>
        <w:pageBreakBefore w:val="0"/>
        <w:kinsoku/>
        <w:wordWrap/>
        <w:overflowPunct/>
        <w:topLinePunct w:val="0"/>
        <w:autoSpaceDE/>
        <w:autoSpaceDN/>
        <w:bidi w:val="0"/>
        <w:adjustRightInd/>
        <w:snapToGrid/>
        <w:spacing w:line="400" w:lineRule="exact"/>
        <w:ind w:firstLine="480" w:firstLineChars="200"/>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③以上清单内的所有货物均须符合国家、行业标准及相关环保要求，满足验收规范，投标供应商必须严格依照清单所载明的规格、材质、性能等技术参数进行投标。</w:t>
      </w:r>
    </w:p>
    <w:p w14:paraId="0364F7C4">
      <w:pPr>
        <w:pStyle w:val="311"/>
        <w:keepNext w:val="0"/>
        <w:keepLines w:val="0"/>
        <w:pageBreakBefore w:val="0"/>
        <w:kinsoku/>
        <w:wordWrap/>
        <w:overflowPunct/>
        <w:topLinePunct w:val="0"/>
        <w:autoSpaceDE/>
        <w:autoSpaceDN/>
        <w:bidi w:val="0"/>
        <w:adjustRightInd/>
        <w:snapToGrid/>
        <w:spacing w:line="400" w:lineRule="exact"/>
        <w:ind w:firstLine="480" w:firstLineChars="200"/>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④以上清单中所有货物的表面及手指可触及的隐蔽部位，不得存在锐利的棱角和毛刺；小五金部件不得露出尖锐边缘，所有与人体接触的边棱均应进行圆角处理。 </w:t>
      </w:r>
    </w:p>
    <w:p w14:paraId="2DDE4C5B">
      <w:pPr>
        <w:pStyle w:val="311"/>
        <w:keepNext w:val="0"/>
        <w:keepLines w:val="0"/>
        <w:pageBreakBefore w:val="0"/>
        <w:kinsoku/>
        <w:wordWrap/>
        <w:overflowPunct/>
        <w:topLinePunct w:val="0"/>
        <w:autoSpaceDE/>
        <w:autoSpaceDN/>
        <w:bidi w:val="0"/>
        <w:adjustRightInd/>
        <w:snapToGrid/>
        <w:spacing w:line="400" w:lineRule="exact"/>
        <w:ind w:firstLine="480" w:firstLineChars="200"/>
        <w:rPr>
          <w:rFonts w:hint="default"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⑤以上清单中设备如为台式计算机、通用服务器的，除须符合上表要求的技术参数外，还须符合《台式计算机政府采购需求标准（2023年版）》（财库〔2023〕29号）、《通用服务器政府采购需求标准（2023版）》（财库〔2023〕33号）文件对于参数的相关要求。</w:t>
      </w:r>
    </w:p>
    <w:p w14:paraId="449D46B9">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（二）项目内容及要求：</w:t>
      </w:r>
    </w:p>
    <w:p w14:paraId="6A0137C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1</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val="en-US" w:eastAsia="zh-CN"/>
        </w:rPr>
        <w:t>项目基本要求：</w:t>
      </w:r>
    </w:p>
    <w:p w14:paraId="1DA8999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项目履约期间，中标供应商须指派项目负责人，统筹项目整体计划的制定与推进、与各部门（含采购人）及相关人员的协调沟通与对接、人力调配与管理、质量与安全管理等工作，全面负责项目从生产实施、现场安装</w:t>
      </w:r>
      <w:r>
        <w:rPr>
          <w:rFonts w:hint="eastAsia" w:ascii="宋体" w:hAnsi="宋体" w:cs="宋体"/>
          <w:bCs/>
          <w:color w:val="auto"/>
          <w:sz w:val="24"/>
          <w:highlight w:val="none"/>
          <w:lang w:val="en-US" w:eastAsia="zh-CN"/>
        </w:rPr>
        <w:t>调试</w:t>
      </w:r>
      <w:r>
        <w:rPr>
          <w:rFonts w:hint="eastAsia" w:ascii="宋体" w:hAnsi="宋体" w:eastAsia="宋体" w:cs="宋体"/>
          <w:bCs/>
          <w:color w:val="auto"/>
          <w:sz w:val="24"/>
          <w:highlight w:val="none"/>
          <w:lang w:val="en-US" w:eastAsia="zh-CN"/>
        </w:rPr>
        <w:t>、试运行、质保及售后服务的全流程工作</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必要时，中标供应商须邀请</w:t>
      </w:r>
      <w:r>
        <w:rPr>
          <w:rFonts w:hint="eastAsia" w:ascii="宋体" w:hAnsi="宋体" w:cs="宋体"/>
          <w:bCs/>
          <w:color w:val="auto"/>
          <w:sz w:val="24"/>
          <w:highlight w:val="none"/>
          <w:lang w:val="en-US" w:eastAsia="zh-CN"/>
        </w:rPr>
        <w:t>厂家</w:t>
      </w:r>
      <w:r>
        <w:rPr>
          <w:rFonts w:hint="eastAsia" w:ascii="宋体" w:hAnsi="宋体" w:eastAsia="宋体" w:cs="宋体"/>
          <w:bCs/>
          <w:color w:val="auto"/>
          <w:sz w:val="24"/>
          <w:highlight w:val="none"/>
          <w:lang w:val="en-US" w:eastAsia="zh-CN"/>
        </w:rPr>
        <w:t>技术人员，</w:t>
      </w:r>
      <w:r>
        <w:rPr>
          <w:rFonts w:hint="eastAsia" w:ascii="宋体" w:hAnsi="宋体" w:eastAsia="宋体" w:cs="宋体"/>
          <w:bCs/>
          <w:color w:val="auto"/>
          <w:sz w:val="24"/>
          <w:highlight w:val="none"/>
          <w:lang w:eastAsia="zh-CN"/>
        </w:rPr>
        <w:t>负责</w:t>
      </w:r>
      <w:r>
        <w:rPr>
          <w:rFonts w:hint="eastAsia" w:ascii="宋体" w:hAnsi="宋体" w:eastAsia="宋体" w:cs="宋体"/>
          <w:bCs/>
          <w:color w:val="auto"/>
          <w:sz w:val="24"/>
          <w:highlight w:val="none"/>
          <w:lang w:val="en-US" w:eastAsia="zh-CN"/>
        </w:rPr>
        <w:t>现场</w:t>
      </w:r>
      <w:r>
        <w:rPr>
          <w:rFonts w:hint="eastAsia" w:ascii="宋体" w:hAnsi="宋体" w:eastAsia="宋体" w:cs="宋体"/>
          <w:bCs/>
          <w:color w:val="auto"/>
          <w:sz w:val="24"/>
          <w:highlight w:val="none"/>
          <w:lang w:eastAsia="zh-CN"/>
        </w:rPr>
        <w:t>安装</w:t>
      </w:r>
      <w:r>
        <w:rPr>
          <w:rFonts w:hint="eastAsia" w:ascii="宋体" w:hAnsi="宋体" w:eastAsia="宋体" w:cs="宋体"/>
          <w:bCs/>
          <w:color w:val="auto"/>
          <w:sz w:val="24"/>
          <w:highlight w:val="none"/>
          <w:lang w:val="en-US" w:eastAsia="zh-CN"/>
        </w:rPr>
        <w:t>调试、试运行调试、质保与售后服务</w:t>
      </w:r>
      <w:r>
        <w:rPr>
          <w:rFonts w:hint="eastAsia" w:ascii="宋体" w:hAnsi="宋体" w:eastAsia="宋体" w:cs="宋体"/>
          <w:bCs/>
          <w:color w:val="auto"/>
          <w:sz w:val="24"/>
          <w:highlight w:val="none"/>
          <w:lang w:eastAsia="zh-CN"/>
        </w:rPr>
        <w:t>的技术指导与质量监督工作。</w:t>
      </w:r>
      <w:r>
        <w:rPr>
          <w:rFonts w:hint="eastAsia" w:ascii="宋体" w:hAnsi="宋体" w:cs="宋体"/>
          <w:bCs/>
          <w:color w:val="auto"/>
          <w:sz w:val="24"/>
          <w:highlight w:val="none"/>
          <w:lang w:val="en-US" w:eastAsia="zh-CN"/>
        </w:rPr>
        <w:t>若项目负责人或厂家技术人员无法胜任工作，中标供应商须按照采购人要求在规定时限内完成人员更换，且更换后人员的资质不得低于原人员，更换人选须征得采购人同意。</w:t>
      </w:r>
    </w:p>
    <w:p w14:paraId="35AF01B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项目履约期间，</w:t>
      </w:r>
      <w:r>
        <w:rPr>
          <w:rFonts w:hint="eastAsia" w:ascii="宋体" w:hAnsi="宋体" w:eastAsia="宋体" w:cs="宋体"/>
          <w:bCs/>
          <w:color w:val="auto"/>
          <w:sz w:val="24"/>
          <w:highlight w:val="none"/>
          <w:lang w:val="en-US" w:eastAsia="zh-CN"/>
        </w:rPr>
        <w:t>中标供应商应委派经采购人及中标标的物生产厂家认可，且具备相应经验、能力与资质的技术团队（包括项目负责人、专业技术人员、安装调试人员、</w:t>
      </w:r>
      <w:r>
        <w:rPr>
          <w:rFonts w:hint="eastAsia" w:ascii="宋体" w:hAnsi="宋体" w:cs="宋体"/>
          <w:bCs/>
          <w:color w:val="auto"/>
          <w:sz w:val="24"/>
          <w:highlight w:val="none"/>
          <w:lang w:val="en-US" w:eastAsia="zh-CN"/>
        </w:rPr>
        <w:t>技术培训人员、</w:t>
      </w:r>
      <w:r>
        <w:rPr>
          <w:rFonts w:hint="eastAsia" w:ascii="宋体" w:hAnsi="宋体" w:eastAsia="宋体" w:cs="宋体"/>
          <w:bCs/>
          <w:color w:val="auto"/>
          <w:sz w:val="24"/>
          <w:highlight w:val="none"/>
          <w:lang w:val="en-US" w:eastAsia="zh-CN"/>
        </w:rPr>
        <w:t>售后服务人员等），负责所供硬件的安装调试、试运行</w:t>
      </w:r>
      <w:r>
        <w:rPr>
          <w:rFonts w:hint="eastAsia" w:ascii="宋体" w:hAnsi="宋体" w:cs="宋体"/>
          <w:bCs/>
          <w:color w:val="auto"/>
          <w:sz w:val="24"/>
          <w:highlight w:val="none"/>
          <w:lang w:val="en-US" w:eastAsia="zh-CN"/>
        </w:rPr>
        <w:t>以及质保与售后服务工作</w:t>
      </w:r>
      <w:r>
        <w:rPr>
          <w:rFonts w:hint="eastAsia" w:ascii="宋体" w:hAnsi="宋体" w:eastAsia="宋体" w:cs="宋体"/>
          <w:bCs/>
          <w:color w:val="auto"/>
          <w:sz w:val="24"/>
          <w:highlight w:val="none"/>
          <w:lang w:val="en-US" w:eastAsia="zh-CN"/>
        </w:rPr>
        <w:t>。该技术团队须具备对应专业知识与技术水平，熟悉所供</w:t>
      </w:r>
      <w:r>
        <w:rPr>
          <w:rFonts w:hint="eastAsia" w:ascii="宋体" w:hAnsi="宋体" w:cs="宋体"/>
          <w:bCs/>
          <w:color w:val="auto"/>
          <w:sz w:val="24"/>
          <w:highlight w:val="none"/>
          <w:lang w:val="en-US" w:eastAsia="zh-CN"/>
        </w:rPr>
        <w:t>设备</w:t>
      </w:r>
      <w:r>
        <w:rPr>
          <w:rFonts w:hint="eastAsia" w:ascii="宋体" w:hAnsi="宋体" w:eastAsia="宋体" w:cs="宋体"/>
          <w:bCs/>
          <w:color w:val="auto"/>
          <w:sz w:val="24"/>
          <w:highlight w:val="none"/>
          <w:lang w:val="en-US" w:eastAsia="zh-CN"/>
        </w:rPr>
        <w:t>的功能、性</w:t>
      </w:r>
      <w:r>
        <w:rPr>
          <w:rFonts w:hint="eastAsia" w:ascii="宋体" w:hAnsi="宋体" w:cs="宋体"/>
          <w:bCs/>
          <w:color w:val="auto"/>
          <w:sz w:val="24"/>
          <w:highlight w:val="none"/>
          <w:lang w:val="en-US" w:eastAsia="zh-CN"/>
        </w:rPr>
        <w:t>能、</w:t>
      </w:r>
      <w:r>
        <w:rPr>
          <w:rFonts w:hint="eastAsia" w:ascii="宋体" w:hAnsi="宋体" w:eastAsia="宋体" w:cs="宋体"/>
          <w:bCs/>
          <w:color w:val="auto"/>
          <w:sz w:val="24"/>
          <w:highlight w:val="none"/>
          <w:lang w:val="en-US" w:eastAsia="zh-CN"/>
        </w:rPr>
        <w:t>技术指标及相关调试要求，有足够能力承担相应任务，确保系统满足使用需求并正常投入运行。</w:t>
      </w:r>
      <w:r>
        <w:rPr>
          <w:rFonts w:hint="eastAsia" w:ascii="宋体" w:hAnsi="宋体" w:cs="宋体"/>
          <w:bCs/>
          <w:color w:val="auto"/>
          <w:sz w:val="24"/>
          <w:highlight w:val="none"/>
          <w:lang w:val="en-US" w:eastAsia="zh-CN"/>
        </w:rPr>
        <w:t>若技术团队人员无法胜任工作，中标供应商须按照采购人要求在规定时限内完成人员更换，且更换后人员的资质不得低于原人员，更换人选须征得采购人同意。</w:t>
      </w:r>
    </w:p>
    <w:p w14:paraId="6CAB683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cs="宋体"/>
          <w:b w:val="0"/>
          <w:bCs/>
          <w:color w:val="auto"/>
          <w:sz w:val="24"/>
          <w:highlight w:val="none"/>
          <w:lang w:val="en-US" w:eastAsia="zh-CN"/>
        </w:rPr>
        <w:t>（3）</w:t>
      </w:r>
      <w:r>
        <w:rPr>
          <w:rFonts w:hint="eastAsia" w:ascii="宋体" w:hAnsi="宋体" w:cs="宋体"/>
          <w:bCs/>
          <w:color w:val="auto"/>
          <w:sz w:val="24"/>
          <w:highlight w:val="none"/>
          <w:lang w:val="en-US" w:eastAsia="zh-CN"/>
        </w:rPr>
        <w:t>项目履约期间，</w:t>
      </w:r>
      <w:r>
        <w:rPr>
          <w:rFonts w:hint="eastAsia" w:ascii="宋体" w:hAnsi="宋体" w:cs="宋体"/>
          <w:bCs/>
          <w:color w:val="auto"/>
          <w:sz w:val="24"/>
          <w:highlight w:val="none"/>
          <w:lang w:eastAsia="zh-CN"/>
        </w:rPr>
        <w:t>采购人有权对中标供应商所投</w:t>
      </w:r>
      <w:r>
        <w:rPr>
          <w:rFonts w:hint="eastAsia" w:ascii="宋体" w:hAnsi="宋体" w:cs="宋体"/>
          <w:bCs/>
          <w:color w:val="auto"/>
          <w:sz w:val="24"/>
          <w:highlight w:val="none"/>
          <w:lang w:val="en-US" w:eastAsia="zh-CN"/>
        </w:rPr>
        <w:t>标的物</w:t>
      </w:r>
      <w:r>
        <w:rPr>
          <w:rFonts w:hint="eastAsia" w:ascii="宋体" w:hAnsi="宋体" w:cs="宋体"/>
          <w:bCs/>
          <w:color w:val="auto"/>
          <w:sz w:val="24"/>
          <w:highlight w:val="none"/>
          <w:lang w:eastAsia="zh-CN"/>
        </w:rPr>
        <w:t>的生产厂家进行现场考察，</w:t>
      </w:r>
      <w:r>
        <w:rPr>
          <w:rFonts w:hint="eastAsia" w:ascii="宋体" w:hAnsi="宋体" w:cs="宋体"/>
          <w:bCs/>
          <w:color w:val="auto"/>
          <w:sz w:val="24"/>
          <w:highlight w:val="none"/>
          <w:lang w:val="en-US" w:eastAsia="zh-CN"/>
        </w:rPr>
        <w:t>考察内容包括</w:t>
      </w:r>
      <w:r>
        <w:rPr>
          <w:rFonts w:hint="eastAsia" w:ascii="宋体" w:hAnsi="宋体" w:cs="宋体"/>
          <w:bCs/>
          <w:color w:val="auto"/>
          <w:sz w:val="24"/>
          <w:highlight w:val="none"/>
          <w:lang w:eastAsia="zh-CN"/>
        </w:rPr>
        <w:t>生产厂家</w:t>
      </w:r>
      <w:r>
        <w:rPr>
          <w:rFonts w:hint="eastAsia" w:ascii="宋体" w:hAnsi="宋体" w:cs="宋体"/>
          <w:bCs/>
          <w:color w:val="auto"/>
          <w:sz w:val="24"/>
          <w:highlight w:val="none"/>
          <w:lang w:val="en-US" w:eastAsia="zh-CN"/>
        </w:rPr>
        <w:t>的</w:t>
      </w:r>
      <w:r>
        <w:rPr>
          <w:rFonts w:hint="eastAsia" w:ascii="宋体" w:hAnsi="宋体" w:cs="宋体"/>
          <w:bCs/>
          <w:color w:val="auto"/>
          <w:sz w:val="24"/>
          <w:highlight w:val="none"/>
          <w:lang w:eastAsia="zh-CN"/>
        </w:rPr>
        <w:t>生产、供货能力，</w:t>
      </w:r>
      <w:r>
        <w:rPr>
          <w:rFonts w:hint="eastAsia" w:ascii="宋体" w:hAnsi="宋体" w:cs="宋体"/>
          <w:bCs/>
          <w:color w:val="auto"/>
          <w:sz w:val="24"/>
          <w:highlight w:val="none"/>
          <w:lang w:val="en-US" w:eastAsia="zh-CN"/>
        </w:rPr>
        <w:t>是否</w:t>
      </w:r>
      <w:r>
        <w:rPr>
          <w:rFonts w:hint="eastAsia" w:ascii="宋体" w:hAnsi="宋体" w:cs="宋体"/>
          <w:bCs/>
          <w:color w:val="auto"/>
          <w:sz w:val="24"/>
          <w:highlight w:val="none"/>
          <w:lang w:eastAsia="zh-CN"/>
        </w:rPr>
        <w:t>存在弄虚作假、</w:t>
      </w:r>
      <w:r>
        <w:rPr>
          <w:rFonts w:hint="eastAsia" w:ascii="宋体" w:hAnsi="宋体" w:cs="宋体"/>
          <w:bCs/>
          <w:color w:val="auto"/>
          <w:sz w:val="24"/>
          <w:highlight w:val="none"/>
          <w:lang w:val="en-US" w:eastAsia="zh-CN"/>
        </w:rPr>
        <w:t>是否能按要求提供原厂质保等</w:t>
      </w:r>
      <w:r>
        <w:rPr>
          <w:rFonts w:hint="eastAsia" w:ascii="宋体" w:hAnsi="宋体" w:eastAsia="宋体" w:cs="宋体"/>
          <w:bCs/>
          <w:color w:val="auto"/>
          <w:sz w:val="24"/>
          <w:highlight w:val="none"/>
          <w:lang w:eastAsia="zh-CN"/>
        </w:rPr>
        <w:t>。</w:t>
      </w:r>
    </w:p>
    <w:p w14:paraId="1CB2E4D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4）</w:t>
      </w:r>
      <w:r>
        <w:rPr>
          <w:rFonts w:hint="eastAsia" w:ascii="宋体" w:hAnsi="宋体" w:cs="宋体"/>
          <w:bCs/>
          <w:color w:val="auto"/>
          <w:sz w:val="24"/>
          <w:highlight w:val="none"/>
          <w:lang w:val="en-US" w:eastAsia="zh-CN"/>
        </w:rPr>
        <w:t>项目履约期间，</w:t>
      </w:r>
      <w:r>
        <w:rPr>
          <w:rFonts w:hint="eastAsia" w:ascii="宋体" w:hAnsi="宋体" w:eastAsia="宋体" w:cs="宋体"/>
          <w:bCs/>
          <w:color w:val="auto"/>
          <w:sz w:val="24"/>
          <w:highlight w:val="none"/>
          <w:lang w:val="en-US" w:eastAsia="zh-CN"/>
        </w:rPr>
        <w:t>中标供应商须</w:t>
      </w:r>
      <w:r>
        <w:rPr>
          <w:rFonts w:hint="eastAsia" w:ascii="宋体" w:hAnsi="宋体" w:cs="宋体"/>
          <w:bCs/>
          <w:color w:val="auto"/>
          <w:sz w:val="24"/>
          <w:highlight w:val="none"/>
          <w:lang w:val="en-US" w:eastAsia="zh-CN"/>
        </w:rPr>
        <w:t>全权负责</w:t>
      </w:r>
      <w:r>
        <w:rPr>
          <w:rFonts w:hint="eastAsia" w:ascii="宋体" w:hAnsi="宋体" w:eastAsia="宋体" w:cs="宋体"/>
          <w:bCs/>
          <w:color w:val="auto"/>
          <w:sz w:val="24"/>
          <w:highlight w:val="none"/>
          <w:lang w:val="en-US" w:eastAsia="zh-CN"/>
        </w:rPr>
        <w:t>履约全流程（含运输、装卸、安装调试、</w:t>
      </w:r>
      <w:r>
        <w:rPr>
          <w:rFonts w:hint="eastAsia" w:ascii="宋体" w:hAnsi="宋体" w:cs="宋体"/>
          <w:bCs/>
          <w:color w:val="auto"/>
          <w:sz w:val="24"/>
          <w:highlight w:val="none"/>
          <w:lang w:val="en-US" w:eastAsia="zh-CN"/>
        </w:rPr>
        <w:t>试运行、质保及</w:t>
      </w:r>
      <w:r>
        <w:rPr>
          <w:rFonts w:hint="eastAsia" w:ascii="宋体" w:hAnsi="宋体" w:eastAsia="宋体" w:cs="宋体"/>
          <w:bCs/>
          <w:color w:val="auto"/>
          <w:sz w:val="24"/>
          <w:highlight w:val="none"/>
          <w:lang w:val="en-US" w:eastAsia="zh-CN"/>
        </w:rPr>
        <w:t>售后服务等各阶段）</w:t>
      </w:r>
      <w:r>
        <w:rPr>
          <w:rFonts w:hint="eastAsia" w:ascii="宋体" w:hAnsi="宋体" w:cs="宋体"/>
          <w:bCs/>
          <w:color w:val="auto"/>
          <w:sz w:val="24"/>
          <w:highlight w:val="none"/>
          <w:lang w:val="en-US" w:eastAsia="zh-CN"/>
        </w:rPr>
        <w:t>的安全管理工作，</w:t>
      </w:r>
      <w:r>
        <w:rPr>
          <w:rFonts w:hint="eastAsia" w:ascii="宋体" w:hAnsi="宋体" w:eastAsia="宋体" w:cs="宋体"/>
          <w:bCs/>
          <w:color w:val="auto"/>
          <w:sz w:val="24"/>
          <w:highlight w:val="none"/>
          <w:lang w:val="en-US" w:eastAsia="zh-CN"/>
        </w:rPr>
        <w:t>严格遵守</w:t>
      </w:r>
      <w:r>
        <w:rPr>
          <w:rFonts w:hint="eastAsia" w:ascii="宋体" w:hAnsi="宋体" w:cs="宋体"/>
          <w:bCs/>
          <w:color w:val="auto"/>
          <w:sz w:val="24"/>
          <w:highlight w:val="none"/>
          <w:lang w:val="en-US" w:eastAsia="zh-CN"/>
        </w:rPr>
        <w:t>国家相关行业规范及项目现场</w:t>
      </w:r>
      <w:r>
        <w:rPr>
          <w:rFonts w:hint="eastAsia" w:ascii="宋体" w:hAnsi="宋体" w:eastAsia="宋体" w:cs="宋体"/>
          <w:bCs/>
          <w:color w:val="auto"/>
          <w:sz w:val="24"/>
          <w:highlight w:val="none"/>
          <w:lang w:val="en-US" w:eastAsia="zh-CN"/>
        </w:rPr>
        <w:t>安全生产规章制度</w:t>
      </w:r>
      <w:r>
        <w:rPr>
          <w:rFonts w:hint="eastAsia" w:ascii="宋体" w:hAnsi="宋体" w:cs="宋体"/>
          <w:bCs/>
          <w:color w:val="auto"/>
          <w:sz w:val="24"/>
          <w:highlight w:val="none"/>
          <w:lang w:val="en-US" w:eastAsia="zh-CN"/>
        </w:rPr>
        <w:t>与</w:t>
      </w:r>
      <w:r>
        <w:rPr>
          <w:rFonts w:hint="eastAsia" w:ascii="宋体" w:hAnsi="宋体" w:eastAsia="宋体" w:cs="宋体"/>
          <w:bCs/>
          <w:color w:val="auto"/>
          <w:sz w:val="24"/>
          <w:highlight w:val="none"/>
          <w:lang w:val="en-US" w:eastAsia="zh-CN"/>
        </w:rPr>
        <w:t>管理规定，建立健全安全责任制，主动配合采购人及相关安全检查人员的监督检查，采取必要安全防护措施</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消除各类事故隐患，确保履约过程中不发生人身安全事故、火灾事故</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因机械质量问题引发的现场损坏事故。</w:t>
      </w:r>
    </w:p>
    <w:p w14:paraId="0514A62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（5）项目履约期间</w:t>
      </w:r>
      <w:r>
        <w:rPr>
          <w:rFonts w:hint="eastAsia" w:ascii="宋体" w:hAnsi="宋体" w:eastAsia="宋体" w:cs="Times New Roman"/>
          <w:color w:val="auto"/>
          <w:kern w:val="0"/>
          <w:sz w:val="24"/>
          <w:szCs w:val="18"/>
          <w:highlight w:val="none"/>
          <w:lang w:val="en-US" w:eastAsia="zh-CN"/>
        </w:rPr>
        <w:t>，若涉及提升</w:t>
      </w:r>
      <w:r>
        <w:rPr>
          <w:rFonts w:hint="eastAsia" w:ascii="宋体" w:hAnsi="宋体" w:cs="Times New Roman"/>
          <w:color w:val="auto"/>
          <w:kern w:val="0"/>
          <w:sz w:val="24"/>
          <w:szCs w:val="18"/>
          <w:highlight w:val="none"/>
          <w:lang w:val="en-US" w:eastAsia="zh-CN"/>
        </w:rPr>
        <w:t>设备性能、安全等级等内容</w:t>
      </w:r>
      <w:r>
        <w:rPr>
          <w:rFonts w:hint="eastAsia" w:ascii="宋体" w:hAnsi="宋体" w:eastAsia="宋体" w:cs="Times New Roman"/>
          <w:color w:val="auto"/>
          <w:kern w:val="0"/>
          <w:sz w:val="24"/>
          <w:szCs w:val="18"/>
          <w:highlight w:val="none"/>
          <w:lang w:val="en-US" w:eastAsia="zh-CN"/>
        </w:rPr>
        <w:t>的软件升级，</w:t>
      </w:r>
      <w:r>
        <w:rPr>
          <w:rFonts w:hint="eastAsia" w:ascii="宋体" w:hAnsi="宋体" w:cs="Times New Roman"/>
          <w:color w:val="auto"/>
          <w:kern w:val="0"/>
          <w:sz w:val="24"/>
          <w:szCs w:val="18"/>
          <w:highlight w:val="none"/>
          <w:lang w:val="en-US" w:eastAsia="zh-CN"/>
        </w:rPr>
        <w:t>无论采购人</w:t>
      </w:r>
      <w:r>
        <w:rPr>
          <w:rFonts w:hint="eastAsia" w:ascii="宋体" w:hAnsi="宋体" w:eastAsia="宋体" w:cs="Times New Roman"/>
          <w:color w:val="auto"/>
          <w:kern w:val="0"/>
          <w:sz w:val="24"/>
          <w:szCs w:val="18"/>
          <w:highlight w:val="none"/>
          <w:lang w:val="en-US" w:eastAsia="zh-CN"/>
        </w:rPr>
        <w:t>是否知晓、是否向</w:t>
      </w:r>
      <w:r>
        <w:rPr>
          <w:rFonts w:hint="eastAsia" w:ascii="宋体" w:hAnsi="宋体" w:cs="Times New Roman"/>
          <w:color w:val="auto"/>
          <w:kern w:val="0"/>
          <w:sz w:val="24"/>
          <w:szCs w:val="18"/>
          <w:highlight w:val="none"/>
          <w:lang w:val="en-US" w:eastAsia="zh-CN"/>
        </w:rPr>
        <w:t>中标供应商</w:t>
      </w:r>
      <w:r>
        <w:rPr>
          <w:rFonts w:hint="eastAsia" w:ascii="宋体" w:hAnsi="宋体" w:eastAsia="宋体" w:cs="Times New Roman"/>
          <w:color w:val="auto"/>
          <w:kern w:val="0"/>
          <w:sz w:val="24"/>
          <w:szCs w:val="18"/>
          <w:highlight w:val="none"/>
          <w:lang w:val="en-US" w:eastAsia="zh-CN"/>
        </w:rPr>
        <w:t>提出升级需求，中标供应商都应当在该升级版本正式投入应用时，立即主动为</w:t>
      </w:r>
      <w:r>
        <w:rPr>
          <w:rFonts w:hint="eastAsia" w:ascii="宋体" w:hAnsi="宋体" w:cs="Times New Roman"/>
          <w:color w:val="auto"/>
          <w:kern w:val="0"/>
          <w:sz w:val="24"/>
          <w:szCs w:val="18"/>
          <w:highlight w:val="none"/>
          <w:lang w:val="en-US" w:eastAsia="zh-CN"/>
        </w:rPr>
        <w:t>采购人</w:t>
      </w:r>
      <w:r>
        <w:rPr>
          <w:rFonts w:hint="eastAsia" w:ascii="宋体" w:hAnsi="宋体" w:eastAsia="宋体" w:cs="Times New Roman"/>
          <w:color w:val="auto"/>
          <w:kern w:val="0"/>
          <w:sz w:val="24"/>
          <w:szCs w:val="18"/>
          <w:highlight w:val="none"/>
          <w:lang w:val="en-US" w:eastAsia="zh-CN"/>
        </w:rPr>
        <w:t>完成免费</w:t>
      </w:r>
      <w:r>
        <w:rPr>
          <w:rFonts w:hint="eastAsia" w:ascii="宋体" w:hAnsi="宋体" w:cs="Times New Roman"/>
          <w:color w:val="auto"/>
          <w:kern w:val="0"/>
          <w:sz w:val="24"/>
          <w:szCs w:val="18"/>
          <w:highlight w:val="none"/>
          <w:lang w:val="en-US" w:eastAsia="zh-CN"/>
        </w:rPr>
        <w:t>升级与</w:t>
      </w:r>
      <w:r>
        <w:rPr>
          <w:rFonts w:hint="eastAsia" w:ascii="宋体" w:hAnsi="宋体" w:eastAsia="宋体" w:cs="Times New Roman"/>
          <w:color w:val="auto"/>
          <w:kern w:val="0"/>
          <w:sz w:val="24"/>
          <w:szCs w:val="18"/>
          <w:highlight w:val="none"/>
          <w:lang w:val="en-US" w:eastAsia="zh-CN"/>
        </w:rPr>
        <w:t>更新调试，不得附加任何额外条件。</w:t>
      </w:r>
    </w:p>
    <w:p w14:paraId="77BD13E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lang w:val="en-US" w:eastAsia="zh-CN"/>
        </w:rPr>
        <w:t>项目履约期间</w:t>
      </w:r>
      <w:r>
        <w:rPr>
          <w:rFonts w:hint="eastAsia" w:ascii="宋体" w:hAnsi="宋体" w:eastAsia="宋体" w:cs="Times New Roman"/>
          <w:color w:val="auto"/>
          <w:kern w:val="0"/>
          <w:sz w:val="24"/>
          <w:szCs w:val="18"/>
          <w:highlight w:val="none"/>
          <w:lang w:val="en-US" w:eastAsia="zh-CN"/>
        </w:rPr>
        <w:t>，</w:t>
      </w:r>
      <w:r>
        <w:rPr>
          <w:rFonts w:hint="eastAsia" w:ascii="宋体" w:hAnsi="宋体" w:eastAsia="宋体" w:cs="宋体"/>
          <w:bCs/>
          <w:color w:val="auto"/>
          <w:sz w:val="24"/>
          <w:highlight w:val="none"/>
          <w:lang w:val="en-US" w:eastAsia="zh-CN"/>
        </w:rPr>
        <w:t>中标供应商须负责该项目所有人员的人事、劳资管理，为项目人员办理社会保险、商业保险及计生相关手续，保证合法用工，严禁违法用工、雇佣童工等违规行为；同时提供劳动用工手续办理、工资结算发放、经济补偿金发放、社会保险缴纳、保险理赔处理、人事档案管理等管理服务，处理合同服务期内的所有劳资及管理纠纷，</w:t>
      </w:r>
      <w:r>
        <w:rPr>
          <w:rFonts w:hint="eastAsia" w:ascii="宋体" w:hAnsi="宋体" w:eastAsia="宋体" w:cs="宋体"/>
          <w:b w:val="0"/>
          <w:bCs/>
          <w:color w:val="auto"/>
          <w:sz w:val="24"/>
          <w:szCs w:val="24"/>
          <w:highlight w:val="none"/>
          <w:lang w:val="en-US" w:eastAsia="zh-CN"/>
        </w:rPr>
        <w:t>落实采购人根据规章制度和工作需要提出的其他管理要求。</w:t>
      </w:r>
    </w:p>
    <w:p w14:paraId="28F550B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项目履约期间，</w:t>
      </w:r>
      <w:r>
        <w:rPr>
          <w:rFonts w:hint="eastAsia" w:ascii="宋体" w:hAnsi="宋体" w:eastAsia="宋体" w:cs="宋体"/>
          <w:bCs/>
          <w:color w:val="auto"/>
          <w:sz w:val="24"/>
          <w:highlight w:val="none"/>
          <w:lang w:eastAsia="zh-CN"/>
        </w:rPr>
        <w:t>中标供应商</w:t>
      </w:r>
      <w:r>
        <w:rPr>
          <w:rFonts w:hint="eastAsia" w:ascii="宋体" w:hAnsi="宋体" w:eastAsia="宋体" w:cs="宋体"/>
          <w:bCs/>
          <w:color w:val="auto"/>
          <w:sz w:val="24"/>
          <w:highlight w:val="none"/>
          <w:lang w:val="en-US" w:eastAsia="zh-CN"/>
        </w:rPr>
        <w:t>须</w:t>
      </w:r>
      <w:r>
        <w:rPr>
          <w:rFonts w:hint="eastAsia" w:ascii="宋体" w:hAnsi="宋体" w:eastAsia="宋体" w:cs="宋体"/>
          <w:bCs/>
          <w:color w:val="auto"/>
          <w:sz w:val="24"/>
          <w:highlight w:val="none"/>
          <w:lang w:eastAsia="zh-CN"/>
        </w:rPr>
        <w:t>负责及时清理</w:t>
      </w:r>
      <w:r>
        <w:rPr>
          <w:rFonts w:hint="eastAsia" w:ascii="宋体" w:hAnsi="宋体" w:eastAsia="宋体" w:cs="宋体"/>
          <w:bCs/>
          <w:color w:val="auto"/>
          <w:sz w:val="24"/>
          <w:highlight w:val="none"/>
          <w:lang w:val="en-US" w:eastAsia="zh-CN"/>
        </w:rPr>
        <w:t>履约全流程（含运输、装卸、安装调试、</w:t>
      </w:r>
      <w:r>
        <w:rPr>
          <w:rFonts w:hint="eastAsia" w:ascii="宋体" w:hAnsi="宋体" w:cs="宋体"/>
          <w:bCs/>
          <w:color w:val="auto"/>
          <w:sz w:val="24"/>
          <w:highlight w:val="none"/>
          <w:lang w:val="en-US" w:eastAsia="zh-CN"/>
        </w:rPr>
        <w:t>试运行、质保及</w:t>
      </w:r>
      <w:r>
        <w:rPr>
          <w:rFonts w:hint="eastAsia" w:ascii="宋体" w:hAnsi="宋体" w:eastAsia="宋体" w:cs="宋体"/>
          <w:bCs/>
          <w:color w:val="auto"/>
          <w:sz w:val="24"/>
          <w:highlight w:val="none"/>
          <w:lang w:val="en-US" w:eastAsia="zh-CN"/>
        </w:rPr>
        <w:t>售后服务等各阶段）产生的所有</w:t>
      </w:r>
      <w:r>
        <w:rPr>
          <w:rFonts w:hint="eastAsia" w:ascii="宋体" w:hAnsi="宋体" w:eastAsia="宋体" w:cs="宋体"/>
          <w:bCs/>
          <w:color w:val="auto"/>
          <w:sz w:val="24"/>
          <w:highlight w:val="none"/>
          <w:lang w:eastAsia="zh-CN"/>
        </w:rPr>
        <w:t>垃圾，保持场地整洁。</w:t>
      </w:r>
    </w:p>
    <w:p w14:paraId="0976A39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en-US" w:eastAsia="zh-CN"/>
        </w:rPr>
        <w:t>针对上述第（1）-（6）项所列要求，若中标供应商发生违约行为，须向采购人支付合同总价30%的违约金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针对上述第</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7</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款所列要求，若中标供应商发生违约行为，</w:t>
      </w:r>
      <w:r>
        <w:rPr>
          <w:rFonts w:hint="eastAsia" w:ascii="宋体" w:hAnsi="宋体" w:eastAsia="宋体" w:cs="宋体"/>
          <w:bCs/>
          <w:color w:val="auto"/>
          <w:sz w:val="24"/>
          <w:highlight w:val="none"/>
          <w:lang w:val="en-US" w:eastAsia="zh-CN"/>
        </w:rPr>
        <w:t>中标供应商须在采购人规定的合理期限内完成整改（包括更换不符合要求的技术团队人员等），整改费用由其自行承担；若中标供应商未按要求及时完成整改且影响整体履约期限的，除承担相应的逾期违约金外，还</w:t>
      </w:r>
      <w:r>
        <w:rPr>
          <w:rFonts w:hint="eastAsia" w:ascii="宋体" w:hAnsi="宋体" w:cs="宋体"/>
          <w:bCs/>
          <w:color w:val="auto"/>
          <w:sz w:val="24"/>
          <w:highlight w:val="none"/>
          <w:lang w:val="en-US" w:eastAsia="zh-CN"/>
        </w:rPr>
        <w:t>需</w:t>
      </w:r>
      <w:r>
        <w:rPr>
          <w:rFonts w:hint="eastAsia" w:ascii="宋体" w:hAnsi="宋体" w:eastAsia="宋体" w:cs="宋体"/>
          <w:bCs/>
          <w:color w:val="auto"/>
          <w:sz w:val="24"/>
          <w:highlight w:val="none"/>
          <w:lang w:val="en-US" w:eastAsia="zh-CN"/>
        </w:rPr>
        <w:t>按2000元/天的标准向采购人额外支付违约金；逾期超过7日仍未达到整改要求、整改态度消极不配合或拒不整改的，违约</w:t>
      </w:r>
      <w:r>
        <w:rPr>
          <w:rFonts w:hint="eastAsia" w:ascii="宋体" w:hAnsi="宋体" w:cs="宋体"/>
          <w:bCs/>
          <w:color w:val="auto"/>
          <w:sz w:val="24"/>
          <w:highlight w:val="none"/>
          <w:lang w:val="en-US" w:eastAsia="zh-CN"/>
        </w:rPr>
        <w:t>处理方式与第（1）-（6）款一致。</w:t>
      </w:r>
    </w:p>
    <w:p w14:paraId="6ACA20A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2.标的物基本</w:t>
      </w:r>
      <w:r>
        <w:rPr>
          <w:rFonts w:hint="eastAsia" w:ascii="宋体" w:hAnsi="宋体" w:cs="宋体"/>
          <w:b/>
          <w:bCs w:val="0"/>
          <w:color w:val="auto"/>
          <w:sz w:val="24"/>
          <w:highlight w:val="none"/>
        </w:rPr>
        <w:t>要求：</w:t>
      </w:r>
    </w:p>
    <w:p w14:paraId="1702700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lang w:val="en-US" w:eastAsia="zh-CN"/>
        </w:rPr>
        <w:t>所有硬件设备（含配件）须为厂商原装全新合格产品，</w:t>
      </w:r>
      <w:r>
        <w:rPr>
          <w:rFonts w:hint="eastAsia" w:ascii="宋体" w:hAnsi="宋体" w:eastAsia="宋体" w:cs="宋体"/>
          <w:bCs/>
          <w:color w:val="auto"/>
          <w:sz w:val="24"/>
          <w:highlight w:val="none"/>
          <w:lang w:val="en-US" w:eastAsia="zh-CN"/>
        </w:rPr>
        <w:t>所有预装及配套软件</w:t>
      </w:r>
      <w:r>
        <w:rPr>
          <w:rFonts w:hint="eastAsia" w:ascii="宋体" w:hAnsi="宋体" w:cs="宋体"/>
          <w:bCs/>
          <w:color w:val="auto"/>
          <w:sz w:val="24"/>
          <w:highlight w:val="none"/>
          <w:lang w:val="en-US" w:eastAsia="zh-CN"/>
        </w:rPr>
        <w:t>（如有）</w:t>
      </w:r>
      <w:r>
        <w:rPr>
          <w:rFonts w:hint="eastAsia" w:ascii="宋体" w:hAnsi="宋体" w:eastAsia="宋体" w:cs="宋体"/>
          <w:bCs/>
          <w:color w:val="auto"/>
          <w:sz w:val="24"/>
          <w:highlight w:val="none"/>
          <w:lang w:val="en-US" w:eastAsia="zh-CN"/>
        </w:rPr>
        <w:t>均须为拥有合法授权的正版产品</w:t>
      </w:r>
      <w:r>
        <w:rPr>
          <w:rFonts w:hint="eastAsia" w:ascii="宋体" w:hAnsi="宋体" w:cs="宋体"/>
          <w:bCs/>
          <w:color w:val="auto"/>
          <w:sz w:val="24"/>
          <w:highlight w:val="none"/>
          <w:lang w:val="en-US" w:eastAsia="zh-CN"/>
        </w:rPr>
        <w:t>，不得</w:t>
      </w:r>
      <w:r>
        <w:rPr>
          <w:rFonts w:hint="eastAsia" w:ascii="宋体" w:hAnsi="宋体" w:eastAsia="宋体" w:cs="Times New Roman"/>
          <w:color w:val="auto"/>
          <w:kern w:val="0"/>
          <w:sz w:val="24"/>
          <w:szCs w:val="18"/>
          <w:highlight w:val="none"/>
          <w:lang w:val="en-US" w:eastAsia="zh-CN"/>
        </w:rPr>
        <w:t>存在质量缺陷</w:t>
      </w:r>
      <w:r>
        <w:rPr>
          <w:rFonts w:hint="eastAsia" w:ascii="宋体" w:hAnsi="宋体" w:cs="宋体"/>
          <w:bCs/>
          <w:color w:val="auto"/>
          <w:sz w:val="24"/>
          <w:highlight w:val="none"/>
          <w:lang w:val="en-US" w:eastAsia="zh-CN"/>
        </w:rPr>
        <w:t>；硬件设备的配置、型号、性能参数、质保期限，配套软件的功能、技术指标，以及硬件设备的质保要求、系统整体的使用功能需求，均须符合国家相关标准及本次采购文件的规定要求。</w:t>
      </w:r>
    </w:p>
    <w:p w14:paraId="5AD8CA1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）所有无需特殊安装的外露钢制件（</w:t>
      </w:r>
      <w:r>
        <w:rPr>
          <w:rFonts w:hint="eastAsia" w:ascii="宋体" w:hAnsi="宋体" w:cs="宋体"/>
          <w:bCs/>
          <w:color w:val="auto"/>
          <w:sz w:val="24"/>
          <w:highlight w:val="none"/>
          <w:lang w:val="en-US" w:eastAsia="zh-CN"/>
        </w:rPr>
        <w:t>如有</w:t>
      </w:r>
      <w:r>
        <w:rPr>
          <w:rFonts w:hint="eastAsia" w:ascii="宋体" w:hAnsi="宋体" w:cs="宋体"/>
          <w:bCs/>
          <w:color w:val="auto"/>
          <w:sz w:val="24"/>
          <w:highlight w:val="none"/>
          <w:lang w:eastAsia="zh-CN"/>
        </w:rPr>
        <w:t>），表面须进行除锈、防腐及防刮擦处理；非外露的零件、部件及整机等，应在制造过程中完成除锈与防腐蚀处理。</w:t>
      </w:r>
    </w:p>
    <w:p w14:paraId="4CA0676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3）所有硬件设备（含配件）须具备防水、防火、防压、防摔、防漏电等防护功能，以保障设备的耐久性与使用寿命，且应便于日常清洁与维修维护。</w:t>
      </w:r>
    </w:p>
    <w:p w14:paraId="43A0AAB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cs="Times New Roman"/>
          <w:color w:val="auto"/>
          <w:kern w:val="0"/>
          <w:sz w:val="24"/>
          <w:szCs w:val="18"/>
          <w:highlight w:val="none"/>
          <w:lang w:val="en-US" w:eastAsia="zh-CN"/>
        </w:rPr>
        <w:t>（4）</w:t>
      </w:r>
      <w:r>
        <w:rPr>
          <w:rFonts w:hint="eastAsia" w:ascii="宋体" w:hAnsi="宋体" w:eastAsia="宋体" w:cs="Times New Roman"/>
          <w:color w:val="auto"/>
          <w:kern w:val="0"/>
          <w:sz w:val="24"/>
          <w:szCs w:val="18"/>
          <w:highlight w:val="none"/>
          <w:lang w:val="en-US" w:eastAsia="zh-CN"/>
        </w:rPr>
        <w:t>提供完整有效的技术资料，安排专业技术人员开展现场指导</w:t>
      </w:r>
      <w:r>
        <w:rPr>
          <w:rFonts w:hint="eastAsia" w:ascii="宋体" w:hAnsi="宋体" w:cs="Times New Roman"/>
          <w:color w:val="auto"/>
          <w:kern w:val="0"/>
          <w:sz w:val="24"/>
          <w:szCs w:val="18"/>
          <w:highlight w:val="none"/>
          <w:lang w:val="en-US" w:eastAsia="zh-CN"/>
        </w:rPr>
        <w:t>与培训，确保货物</w:t>
      </w:r>
      <w:r>
        <w:rPr>
          <w:rFonts w:hint="eastAsia" w:ascii="宋体" w:hAnsi="宋体" w:eastAsia="宋体" w:cs="Times New Roman"/>
          <w:color w:val="auto"/>
          <w:kern w:val="0"/>
          <w:sz w:val="24"/>
          <w:szCs w:val="18"/>
          <w:highlight w:val="none"/>
          <w:lang w:val="en-US" w:eastAsia="zh-CN"/>
        </w:rPr>
        <w:t>运行指标与技术性能达到合同约定要求。</w:t>
      </w:r>
    </w:p>
    <w:p w14:paraId="77FDD10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针对上述第（1）款所列要求，若中标供应商发生违约行为，须向采购人支付合同总价30%的违约金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针对上述</w:t>
      </w:r>
      <w:r>
        <w:rPr>
          <w:rFonts w:hint="eastAsia" w:ascii="宋体" w:hAnsi="宋体" w:eastAsia="宋体" w:cs="宋体"/>
          <w:bCs/>
          <w:color w:val="auto"/>
          <w:sz w:val="24"/>
          <w:highlight w:val="none"/>
          <w:lang w:val="en-US" w:eastAsia="zh-CN"/>
        </w:rPr>
        <w:t>第（2）（3）</w:t>
      </w: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lang w:val="en-US" w:eastAsia="zh-CN"/>
        </w:rPr>
        <w:t>款</w:t>
      </w:r>
      <w:r>
        <w:rPr>
          <w:rFonts w:hint="eastAsia" w:ascii="宋体" w:hAnsi="宋体" w:cs="宋体"/>
          <w:bCs/>
          <w:color w:val="auto"/>
          <w:sz w:val="24"/>
          <w:highlight w:val="none"/>
          <w:lang w:val="en-US" w:eastAsia="zh-CN"/>
        </w:rPr>
        <w:t>所列要求，若中标供应商发生违约行为</w:t>
      </w:r>
      <w:r>
        <w:rPr>
          <w:rFonts w:hint="eastAsia" w:ascii="宋体" w:hAnsi="宋体" w:eastAsia="宋体" w:cs="宋体"/>
          <w:bCs/>
          <w:color w:val="auto"/>
          <w:sz w:val="24"/>
          <w:highlight w:val="none"/>
          <w:lang w:val="en-US" w:eastAsia="zh-CN"/>
        </w:rPr>
        <w:t>，中标供应商须在采购人规定的合理期限内完成整改，整改费用由其自行承担；若中标供应商未按要求及时完成整改且影响整体履约期限的，除承担相应的逾期违约金外，还</w:t>
      </w:r>
      <w:r>
        <w:rPr>
          <w:rFonts w:hint="eastAsia" w:ascii="宋体" w:hAnsi="宋体" w:cs="宋体"/>
          <w:bCs/>
          <w:color w:val="auto"/>
          <w:sz w:val="24"/>
          <w:highlight w:val="none"/>
          <w:lang w:val="en-US" w:eastAsia="zh-CN"/>
        </w:rPr>
        <w:t>需</w:t>
      </w:r>
      <w:r>
        <w:rPr>
          <w:rFonts w:hint="eastAsia" w:ascii="宋体" w:hAnsi="宋体" w:eastAsia="宋体" w:cs="宋体"/>
          <w:bCs/>
          <w:color w:val="auto"/>
          <w:sz w:val="24"/>
          <w:highlight w:val="none"/>
          <w:lang w:val="en-US" w:eastAsia="zh-CN"/>
        </w:rPr>
        <w:t>按2000元/天的标准向采购人额外支付违约金；逾期超过7日仍未达到整改要求、整改态度消极不配合或拒不整改的，违约</w:t>
      </w:r>
      <w:r>
        <w:rPr>
          <w:rFonts w:hint="eastAsia" w:ascii="宋体" w:hAnsi="宋体" w:cs="宋体"/>
          <w:bCs/>
          <w:color w:val="auto"/>
          <w:sz w:val="24"/>
          <w:highlight w:val="none"/>
          <w:lang w:val="en-US" w:eastAsia="zh-CN"/>
        </w:rPr>
        <w:t>处理方式与第（1）款一致。</w:t>
      </w:r>
    </w:p>
    <w:p w14:paraId="02E3948D">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3</w:t>
      </w:r>
      <w:r>
        <w:rPr>
          <w:rFonts w:hint="eastAsia" w:ascii="宋体" w:hAnsi="宋体" w:eastAsia="宋体" w:cs="宋体"/>
          <w:b/>
          <w:bCs w:val="0"/>
          <w:color w:val="auto"/>
          <w:sz w:val="24"/>
          <w:highlight w:val="none"/>
          <w:lang w:eastAsia="zh-CN"/>
        </w:rPr>
        <w:t>.</w:t>
      </w:r>
      <w:r>
        <w:rPr>
          <w:rFonts w:hint="eastAsia" w:ascii="宋体" w:hAnsi="宋体" w:cs="宋体"/>
          <w:b/>
          <w:bCs w:val="0"/>
          <w:color w:val="auto"/>
          <w:sz w:val="24"/>
          <w:highlight w:val="none"/>
          <w:lang w:val="en-US" w:eastAsia="zh-CN"/>
        </w:rPr>
        <w:t>交货要求：</w:t>
      </w:r>
    </w:p>
    <w:p w14:paraId="287CDE1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宋体"/>
          <w:color w:val="auto"/>
          <w:lang w:eastAsia="zh-CN"/>
        </w:rPr>
      </w:pPr>
      <w:r>
        <w:rPr>
          <w:rFonts w:hint="eastAsia" w:ascii="宋体" w:hAnsi="宋体" w:eastAsia="宋体" w:cs="Times New Roman"/>
          <w:color w:val="auto"/>
          <w:kern w:val="0"/>
          <w:sz w:val="24"/>
          <w:szCs w:val="18"/>
          <w:highlight w:val="none"/>
          <w:lang w:val="en-US" w:eastAsia="zh-CN"/>
        </w:rPr>
        <w:t>（1）中标供应商负责办理运输与保险手续，将货物运送至指定交货地点，运输、保险、装卸等全部相关费用均由中标供应商承担。</w:t>
      </w:r>
      <w:r>
        <w:rPr>
          <w:rFonts w:hint="eastAsia" w:ascii="宋体" w:hAnsi="宋体" w:cs="Times New Roman"/>
          <w:color w:val="auto"/>
          <w:kern w:val="0"/>
          <w:sz w:val="24"/>
          <w:szCs w:val="18"/>
          <w:highlight w:val="none"/>
          <w:lang w:val="en-US" w:eastAsia="zh-CN"/>
        </w:rPr>
        <w:t>货物运输须严格遵守相关规定，不得超载（含货物、人员超载）、超范围运输，全程行驶须符合规范，驾驶员需持证上岗，运输车辆须合法合规。</w:t>
      </w:r>
    </w:p>
    <w:p w14:paraId="32949307">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宋体"/>
          <w:color w:val="auto"/>
          <w:lang w:eastAsia="zh-CN"/>
        </w:rPr>
      </w:pPr>
      <w:r>
        <w:rPr>
          <w:rFonts w:hint="eastAsia" w:ascii="宋体" w:hAnsi="宋体" w:eastAsia="宋体" w:cs="Times New Roman"/>
          <w:color w:val="auto"/>
          <w:kern w:val="0"/>
          <w:sz w:val="24"/>
          <w:szCs w:val="18"/>
          <w:highlight w:val="none"/>
          <w:lang w:val="en-US" w:eastAsia="zh-CN"/>
        </w:rPr>
        <w:t>（2）中标供应商需为合同</w:t>
      </w:r>
      <w:r>
        <w:rPr>
          <w:rFonts w:hint="eastAsia" w:ascii="宋体" w:hAnsi="宋体" w:cs="Times New Roman"/>
          <w:color w:val="auto"/>
          <w:kern w:val="0"/>
          <w:sz w:val="24"/>
          <w:szCs w:val="18"/>
          <w:highlight w:val="none"/>
          <w:lang w:val="en-US" w:eastAsia="zh-CN"/>
        </w:rPr>
        <w:t>项下所有货物</w:t>
      </w:r>
      <w:r>
        <w:rPr>
          <w:rFonts w:hint="eastAsia" w:ascii="宋体" w:hAnsi="宋体" w:eastAsia="宋体" w:cs="Times New Roman"/>
          <w:color w:val="auto"/>
          <w:kern w:val="0"/>
          <w:sz w:val="24"/>
          <w:szCs w:val="18"/>
          <w:highlight w:val="none"/>
          <w:lang w:val="en-US" w:eastAsia="zh-CN"/>
        </w:rPr>
        <w:t>办理</w:t>
      </w:r>
      <w:r>
        <w:rPr>
          <w:rFonts w:hint="eastAsia" w:ascii="宋体" w:hAnsi="宋体" w:cs="Times New Roman"/>
          <w:color w:val="auto"/>
          <w:kern w:val="0"/>
          <w:sz w:val="24"/>
          <w:szCs w:val="18"/>
          <w:highlight w:val="none"/>
          <w:lang w:val="en-US" w:eastAsia="zh-CN"/>
        </w:rPr>
        <w:t>全程</w:t>
      </w:r>
      <w:r>
        <w:rPr>
          <w:rFonts w:hint="eastAsia" w:ascii="宋体" w:hAnsi="宋体" w:eastAsia="宋体" w:cs="Times New Roman"/>
          <w:color w:val="auto"/>
          <w:kern w:val="0"/>
          <w:sz w:val="24"/>
          <w:szCs w:val="18"/>
          <w:highlight w:val="none"/>
          <w:lang w:val="en-US" w:eastAsia="zh-CN"/>
        </w:rPr>
        <w:t>保险，覆盖范围自货物出厂起至完成</w:t>
      </w:r>
      <w:r>
        <w:rPr>
          <w:rFonts w:hint="eastAsia" w:ascii="宋体" w:hAnsi="宋体" w:cs="Times New Roman"/>
          <w:color w:val="auto"/>
          <w:kern w:val="0"/>
          <w:sz w:val="24"/>
          <w:szCs w:val="18"/>
          <w:highlight w:val="none"/>
          <w:lang w:val="en-US" w:eastAsia="zh-CN"/>
        </w:rPr>
        <w:t>验收</w:t>
      </w:r>
      <w:r>
        <w:rPr>
          <w:rFonts w:hint="eastAsia" w:ascii="宋体" w:hAnsi="宋体" w:eastAsia="宋体" w:cs="Times New Roman"/>
          <w:color w:val="auto"/>
          <w:kern w:val="0"/>
          <w:sz w:val="24"/>
          <w:szCs w:val="18"/>
          <w:highlight w:val="none"/>
          <w:lang w:val="en-US" w:eastAsia="zh-CN"/>
        </w:rPr>
        <w:t>移交至交货地点止，投保“一切险”。</w:t>
      </w:r>
    </w:p>
    <w:p w14:paraId="7947CF1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Theme="minorEastAsia"/>
          <w:color w:val="auto"/>
          <w:lang w:eastAsia="zh-CN"/>
        </w:rPr>
      </w:pPr>
      <w:r>
        <w:rPr>
          <w:rFonts w:hint="eastAsia" w:ascii="宋体" w:hAnsi="宋体" w:eastAsia="宋体" w:cs="Times New Roman"/>
          <w:color w:val="auto"/>
          <w:kern w:val="0"/>
          <w:sz w:val="24"/>
          <w:szCs w:val="18"/>
          <w:highlight w:val="none"/>
          <w:lang w:val="en-US" w:eastAsia="zh-CN"/>
        </w:rPr>
        <w:t>（3）货物应运至</w:t>
      </w:r>
      <w:r>
        <w:rPr>
          <w:rFonts w:hint="eastAsia" w:ascii="宋体" w:hAnsi="宋体" w:cs="Times New Roman"/>
          <w:color w:val="auto"/>
          <w:kern w:val="0"/>
          <w:sz w:val="24"/>
          <w:szCs w:val="18"/>
          <w:highlight w:val="none"/>
          <w:lang w:val="en-US" w:eastAsia="zh-CN"/>
        </w:rPr>
        <w:t>采购人</w:t>
      </w:r>
      <w:r>
        <w:rPr>
          <w:rFonts w:hint="eastAsia" w:ascii="宋体" w:hAnsi="宋体" w:eastAsia="宋体" w:cs="Times New Roman"/>
          <w:color w:val="auto"/>
          <w:kern w:val="0"/>
          <w:sz w:val="24"/>
          <w:szCs w:val="18"/>
          <w:highlight w:val="none"/>
          <w:lang w:val="en-US" w:eastAsia="zh-CN"/>
        </w:rPr>
        <w:t>指定地点，并卸至</w:t>
      </w:r>
      <w:r>
        <w:rPr>
          <w:rFonts w:hint="eastAsia" w:ascii="宋体" w:hAnsi="宋体" w:cs="Times New Roman"/>
          <w:color w:val="auto"/>
          <w:kern w:val="0"/>
          <w:sz w:val="24"/>
          <w:szCs w:val="18"/>
          <w:highlight w:val="none"/>
          <w:lang w:val="en-US" w:eastAsia="zh-CN"/>
        </w:rPr>
        <w:t>采购人</w:t>
      </w:r>
      <w:r>
        <w:rPr>
          <w:rFonts w:hint="eastAsia" w:ascii="宋体" w:hAnsi="宋体" w:eastAsia="宋体" w:cs="Times New Roman"/>
          <w:color w:val="auto"/>
          <w:kern w:val="0"/>
          <w:sz w:val="24"/>
          <w:szCs w:val="18"/>
          <w:highlight w:val="none"/>
          <w:lang w:val="en-US" w:eastAsia="zh-CN"/>
        </w:rPr>
        <w:t>指定位置，若</w:t>
      </w:r>
      <w:r>
        <w:rPr>
          <w:rFonts w:hint="eastAsia" w:ascii="宋体" w:hAnsi="宋体" w:cs="Times New Roman"/>
          <w:color w:val="auto"/>
          <w:kern w:val="0"/>
          <w:sz w:val="24"/>
          <w:szCs w:val="18"/>
          <w:highlight w:val="none"/>
          <w:lang w:val="en-US" w:eastAsia="zh-CN"/>
        </w:rPr>
        <w:t>现场交货</w:t>
      </w:r>
      <w:r>
        <w:rPr>
          <w:rFonts w:hint="eastAsia" w:ascii="宋体" w:hAnsi="宋体" w:eastAsia="宋体" w:cs="Times New Roman"/>
          <w:color w:val="auto"/>
          <w:kern w:val="0"/>
          <w:sz w:val="24"/>
          <w:szCs w:val="18"/>
          <w:highlight w:val="none"/>
          <w:lang w:val="en-US" w:eastAsia="zh-CN"/>
        </w:rPr>
        <w:t>场地狭窄，中标供应商必须</w:t>
      </w:r>
      <w:r>
        <w:rPr>
          <w:rFonts w:hint="eastAsia" w:ascii="宋体" w:hAnsi="宋体" w:cs="Times New Roman"/>
          <w:color w:val="auto"/>
          <w:kern w:val="0"/>
          <w:sz w:val="24"/>
          <w:szCs w:val="18"/>
          <w:highlight w:val="none"/>
          <w:lang w:val="en-US" w:eastAsia="zh-CN"/>
        </w:rPr>
        <w:t>提前告知采购人；若场地受限问题无法克服，中标供应商须自行准备对应措施，保障</w:t>
      </w:r>
      <w:r>
        <w:rPr>
          <w:rFonts w:hint="eastAsia" w:ascii="宋体" w:hAnsi="宋体" w:eastAsia="宋体" w:cs="Times New Roman"/>
          <w:color w:val="auto"/>
          <w:kern w:val="0"/>
          <w:sz w:val="24"/>
          <w:szCs w:val="18"/>
          <w:highlight w:val="none"/>
          <w:lang w:val="en-US" w:eastAsia="zh-CN"/>
        </w:rPr>
        <w:t>项目进度不被延误；开箱清点与初步检验</w:t>
      </w:r>
      <w:r>
        <w:rPr>
          <w:rFonts w:hint="eastAsia" w:ascii="宋体" w:hAnsi="宋体" w:cs="Times New Roman"/>
          <w:color w:val="auto"/>
          <w:kern w:val="0"/>
          <w:sz w:val="24"/>
          <w:szCs w:val="18"/>
          <w:highlight w:val="none"/>
          <w:lang w:val="en-US" w:eastAsia="zh-CN"/>
        </w:rPr>
        <w:t>工作，中标供应商必须全程在采购人监督下完成</w:t>
      </w:r>
      <w:r>
        <w:rPr>
          <w:rFonts w:hint="eastAsia" w:ascii="宋体" w:hAnsi="宋体" w:eastAsia="宋体" w:cs="Times New Roman"/>
          <w:color w:val="auto"/>
          <w:kern w:val="0"/>
          <w:sz w:val="24"/>
          <w:szCs w:val="18"/>
          <w:highlight w:val="none"/>
          <w:lang w:val="en-US" w:eastAsia="zh-CN"/>
        </w:rPr>
        <w:t>；若采购人</w:t>
      </w:r>
      <w:r>
        <w:rPr>
          <w:rFonts w:hint="eastAsia" w:ascii="宋体" w:hAnsi="宋体" w:cs="Times New Roman"/>
          <w:color w:val="auto"/>
          <w:kern w:val="0"/>
          <w:sz w:val="24"/>
          <w:szCs w:val="18"/>
          <w:highlight w:val="none"/>
          <w:lang w:val="en-US" w:eastAsia="zh-CN"/>
        </w:rPr>
        <w:t>因故无法立即</w:t>
      </w:r>
      <w:r>
        <w:rPr>
          <w:rFonts w:hint="eastAsia" w:ascii="宋体" w:hAnsi="宋体" w:eastAsia="宋体" w:cs="Times New Roman"/>
          <w:color w:val="auto"/>
          <w:kern w:val="0"/>
          <w:sz w:val="24"/>
          <w:szCs w:val="18"/>
          <w:highlight w:val="none"/>
          <w:lang w:val="en-US" w:eastAsia="zh-CN"/>
        </w:rPr>
        <w:t>到场</w:t>
      </w:r>
      <w:r>
        <w:rPr>
          <w:rFonts w:hint="eastAsia" w:ascii="宋体" w:hAnsi="宋体" w:cs="Times New Roman"/>
          <w:color w:val="auto"/>
          <w:kern w:val="0"/>
          <w:sz w:val="24"/>
          <w:szCs w:val="18"/>
          <w:highlight w:val="none"/>
          <w:lang w:val="en-US" w:eastAsia="zh-CN"/>
        </w:rPr>
        <w:t>参与验收</w:t>
      </w:r>
      <w:r>
        <w:rPr>
          <w:rFonts w:hint="eastAsia" w:ascii="宋体" w:hAnsi="宋体" w:eastAsia="宋体" w:cs="Times New Roman"/>
          <w:color w:val="auto"/>
          <w:kern w:val="0"/>
          <w:sz w:val="24"/>
          <w:szCs w:val="18"/>
          <w:highlight w:val="none"/>
          <w:lang w:val="en-US" w:eastAsia="zh-CN"/>
        </w:rPr>
        <w:t>，中标供应商需承担</w:t>
      </w:r>
      <w:r>
        <w:rPr>
          <w:rFonts w:hint="eastAsia" w:ascii="宋体" w:hAnsi="宋体" w:cs="Times New Roman"/>
          <w:color w:val="auto"/>
          <w:kern w:val="0"/>
          <w:sz w:val="24"/>
          <w:szCs w:val="18"/>
          <w:highlight w:val="none"/>
          <w:lang w:val="en-US" w:eastAsia="zh-CN"/>
        </w:rPr>
        <w:t>相应</w:t>
      </w:r>
      <w:r>
        <w:rPr>
          <w:rFonts w:hint="eastAsia" w:ascii="宋体" w:hAnsi="宋体" w:eastAsia="宋体" w:cs="Times New Roman"/>
          <w:color w:val="auto"/>
          <w:kern w:val="0"/>
          <w:sz w:val="24"/>
          <w:szCs w:val="18"/>
          <w:highlight w:val="none"/>
          <w:lang w:val="en-US" w:eastAsia="zh-CN"/>
        </w:rPr>
        <w:t>保管责任，该责任持续至</w:t>
      </w:r>
      <w:r>
        <w:rPr>
          <w:rFonts w:hint="eastAsia" w:ascii="宋体" w:hAnsi="宋体" w:cs="Times New Roman"/>
          <w:color w:val="auto"/>
          <w:kern w:val="0"/>
          <w:sz w:val="24"/>
          <w:szCs w:val="18"/>
          <w:highlight w:val="none"/>
          <w:lang w:val="en-US" w:eastAsia="zh-CN"/>
        </w:rPr>
        <w:t>货物验收合格</w:t>
      </w:r>
      <w:r>
        <w:rPr>
          <w:rFonts w:hint="eastAsia" w:ascii="宋体" w:hAnsi="宋体" w:eastAsia="宋体" w:cs="Times New Roman"/>
          <w:color w:val="auto"/>
          <w:kern w:val="0"/>
          <w:sz w:val="24"/>
          <w:szCs w:val="18"/>
          <w:highlight w:val="none"/>
          <w:lang w:val="en-US" w:eastAsia="zh-CN"/>
        </w:rPr>
        <w:t>为止。</w:t>
      </w:r>
    </w:p>
    <w:p w14:paraId="6BDEC10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Theme="minorEastAsia"/>
          <w:color w:val="auto"/>
          <w:lang w:eastAsia="zh-CN"/>
        </w:rPr>
      </w:pPr>
      <w:r>
        <w:rPr>
          <w:rFonts w:hint="eastAsia" w:ascii="宋体" w:hAnsi="宋体" w:eastAsia="宋体" w:cs="Times New Roman"/>
          <w:color w:val="auto"/>
          <w:kern w:val="0"/>
          <w:sz w:val="24"/>
          <w:szCs w:val="18"/>
          <w:highlight w:val="none"/>
          <w:lang w:val="en-US" w:eastAsia="zh-CN"/>
        </w:rPr>
        <w:t>（</w:t>
      </w:r>
      <w:r>
        <w:rPr>
          <w:rFonts w:hint="eastAsia" w:ascii="宋体" w:hAnsi="宋体" w:cs="Times New Roman"/>
          <w:color w:val="auto"/>
          <w:kern w:val="0"/>
          <w:sz w:val="24"/>
          <w:szCs w:val="18"/>
          <w:highlight w:val="none"/>
          <w:lang w:val="en-US" w:eastAsia="zh-CN"/>
        </w:rPr>
        <w:t>4</w:t>
      </w:r>
      <w:r>
        <w:rPr>
          <w:rFonts w:hint="eastAsia" w:ascii="宋体" w:hAnsi="宋体" w:eastAsia="宋体" w:cs="Times New Roman"/>
          <w:color w:val="auto"/>
          <w:kern w:val="0"/>
          <w:sz w:val="24"/>
          <w:szCs w:val="18"/>
          <w:highlight w:val="none"/>
          <w:lang w:val="en-US" w:eastAsia="zh-CN"/>
        </w:rPr>
        <w:t>）中标供应商应在货物运抵指定地点</w:t>
      </w:r>
      <w:r>
        <w:rPr>
          <w:rFonts w:hint="eastAsia" w:ascii="宋体" w:hAnsi="宋体" w:cs="Times New Roman"/>
          <w:color w:val="auto"/>
          <w:kern w:val="0"/>
          <w:sz w:val="24"/>
          <w:szCs w:val="18"/>
          <w:highlight w:val="none"/>
          <w:lang w:val="en-US" w:eastAsia="zh-CN"/>
        </w:rPr>
        <w:t>五</w:t>
      </w:r>
      <w:r>
        <w:rPr>
          <w:rFonts w:hint="eastAsia" w:ascii="宋体" w:hAnsi="宋体" w:eastAsia="宋体" w:cs="Times New Roman"/>
          <w:color w:val="auto"/>
          <w:kern w:val="0"/>
          <w:sz w:val="24"/>
          <w:szCs w:val="18"/>
          <w:highlight w:val="none"/>
          <w:lang w:val="en-US" w:eastAsia="zh-CN"/>
        </w:rPr>
        <w:t>日前，向采购人提供货物</w:t>
      </w:r>
      <w:r>
        <w:rPr>
          <w:rFonts w:hint="eastAsia" w:ascii="宋体" w:hAnsi="宋体" w:cs="Times New Roman"/>
          <w:color w:val="auto"/>
          <w:kern w:val="0"/>
          <w:sz w:val="24"/>
          <w:szCs w:val="18"/>
          <w:highlight w:val="none"/>
          <w:lang w:val="en-US" w:eastAsia="zh-CN"/>
        </w:rPr>
        <w:t>发车、到达、</w:t>
      </w:r>
      <w:r>
        <w:rPr>
          <w:rFonts w:hint="eastAsia" w:ascii="宋体" w:hAnsi="宋体" w:eastAsia="宋体" w:cs="Times New Roman"/>
          <w:color w:val="auto"/>
          <w:kern w:val="0"/>
          <w:sz w:val="24"/>
          <w:szCs w:val="18"/>
          <w:highlight w:val="none"/>
          <w:lang w:val="en-US" w:eastAsia="zh-CN"/>
        </w:rPr>
        <w:t>卸车</w:t>
      </w:r>
      <w:r>
        <w:rPr>
          <w:rFonts w:hint="eastAsia" w:ascii="宋体" w:hAnsi="宋体" w:cs="Times New Roman"/>
          <w:color w:val="auto"/>
          <w:kern w:val="0"/>
          <w:sz w:val="24"/>
          <w:szCs w:val="18"/>
          <w:highlight w:val="none"/>
          <w:lang w:val="en-US" w:eastAsia="zh-CN"/>
        </w:rPr>
        <w:t>及</w:t>
      </w:r>
      <w:r>
        <w:rPr>
          <w:rFonts w:hint="eastAsia" w:ascii="宋体" w:hAnsi="宋体" w:eastAsia="宋体" w:cs="Times New Roman"/>
          <w:color w:val="auto"/>
          <w:kern w:val="0"/>
          <w:sz w:val="24"/>
          <w:szCs w:val="18"/>
          <w:highlight w:val="none"/>
          <w:lang w:val="en-US" w:eastAsia="zh-CN"/>
        </w:rPr>
        <w:t>清点计划，</w:t>
      </w:r>
      <w:r>
        <w:rPr>
          <w:rFonts w:hint="eastAsia" w:ascii="宋体" w:hAnsi="宋体" w:cs="Times New Roman"/>
          <w:color w:val="auto"/>
          <w:kern w:val="0"/>
          <w:sz w:val="24"/>
          <w:szCs w:val="18"/>
          <w:highlight w:val="none"/>
          <w:lang w:val="en-US" w:eastAsia="zh-CN"/>
        </w:rPr>
        <w:t>计划</w:t>
      </w:r>
      <w:r>
        <w:rPr>
          <w:rFonts w:hint="eastAsia" w:ascii="宋体" w:hAnsi="宋体" w:eastAsia="宋体" w:cs="Times New Roman"/>
          <w:color w:val="auto"/>
          <w:kern w:val="0"/>
          <w:sz w:val="24"/>
          <w:szCs w:val="18"/>
          <w:highlight w:val="none"/>
          <w:lang w:val="en-US" w:eastAsia="zh-CN"/>
        </w:rPr>
        <w:t>内容</w:t>
      </w:r>
      <w:r>
        <w:rPr>
          <w:rFonts w:hint="eastAsia" w:ascii="宋体" w:hAnsi="宋体" w:cs="Times New Roman"/>
          <w:color w:val="auto"/>
          <w:kern w:val="0"/>
          <w:sz w:val="24"/>
          <w:szCs w:val="18"/>
          <w:highlight w:val="none"/>
          <w:lang w:val="en-US" w:eastAsia="zh-CN"/>
        </w:rPr>
        <w:t>应</w:t>
      </w:r>
      <w:r>
        <w:rPr>
          <w:rFonts w:hint="eastAsia" w:ascii="宋体" w:hAnsi="宋体" w:eastAsia="宋体" w:cs="Times New Roman"/>
          <w:color w:val="auto"/>
          <w:kern w:val="0"/>
          <w:sz w:val="24"/>
          <w:szCs w:val="18"/>
          <w:highlight w:val="none"/>
          <w:lang w:val="en-US" w:eastAsia="zh-CN"/>
        </w:rPr>
        <w:t>包括</w:t>
      </w:r>
      <w:r>
        <w:rPr>
          <w:rFonts w:hint="eastAsia" w:ascii="宋体" w:hAnsi="宋体" w:cs="Times New Roman"/>
          <w:color w:val="auto"/>
          <w:kern w:val="0"/>
          <w:sz w:val="24"/>
          <w:szCs w:val="18"/>
          <w:highlight w:val="none"/>
          <w:lang w:val="en-US" w:eastAsia="zh-CN"/>
        </w:rPr>
        <w:t>拟到达</w:t>
      </w:r>
      <w:r>
        <w:rPr>
          <w:rFonts w:hint="eastAsia" w:ascii="宋体" w:hAnsi="宋体" w:eastAsia="宋体" w:cs="Times New Roman"/>
          <w:color w:val="auto"/>
          <w:kern w:val="0"/>
          <w:sz w:val="24"/>
          <w:szCs w:val="18"/>
          <w:highlight w:val="none"/>
          <w:lang w:val="en-US" w:eastAsia="zh-CN"/>
        </w:rPr>
        <w:t>设备名称、数量、箱数、型号规格、重量、体积、拟发运时间及其他必要说明，并于发运当日</w:t>
      </w:r>
      <w:r>
        <w:rPr>
          <w:rFonts w:hint="eastAsia" w:ascii="宋体" w:hAnsi="宋体" w:cs="Times New Roman"/>
          <w:color w:val="auto"/>
          <w:kern w:val="0"/>
          <w:sz w:val="24"/>
          <w:szCs w:val="18"/>
          <w:highlight w:val="none"/>
          <w:lang w:val="en-US" w:eastAsia="zh-CN"/>
        </w:rPr>
        <w:t>再次</w:t>
      </w:r>
      <w:r>
        <w:rPr>
          <w:rFonts w:hint="eastAsia" w:ascii="宋体" w:hAnsi="宋体" w:eastAsia="宋体" w:cs="Times New Roman"/>
          <w:color w:val="auto"/>
          <w:kern w:val="0"/>
          <w:sz w:val="24"/>
          <w:szCs w:val="18"/>
          <w:highlight w:val="none"/>
          <w:lang w:val="en-US" w:eastAsia="zh-CN"/>
        </w:rPr>
        <w:t>通知采购人。</w:t>
      </w:r>
    </w:p>
    <w:p w14:paraId="1782364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bCs w:val="0"/>
          <w:color w:val="auto"/>
          <w:sz w:val="24"/>
          <w:highlight w:val="none"/>
          <w:lang w:eastAsia="zh-CN"/>
        </w:rPr>
      </w:pPr>
      <w:r>
        <w:rPr>
          <w:rFonts w:hint="eastAsia" w:ascii="宋体" w:hAnsi="宋体" w:cs="宋体"/>
          <w:bCs/>
          <w:color w:val="auto"/>
          <w:sz w:val="24"/>
          <w:highlight w:val="none"/>
          <w:lang w:val="en-US" w:eastAsia="zh-CN"/>
        </w:rPr>
        <w:t>针对上述第（1）-（3）款所列要求，若中标供应商发生违约行为，须向采购人支付合同总价30%的违约金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针对上述</w:t>
      </w:r>
      <w:r>
        <w:rPr>
          <w:rFonts w:hint="eastAsia" w:ascii="宋体" w:hAnsi="宋体" w:eastAsia="宋体" w:cs="宋体"/>
          <w:bCs/>
          <w:color w:val="auto"/>
          <w:sz w:val="24"/>
          <w:highlight w:val="none"/>
          <w:lang w:val="en-US" w:eastAsia="zh-CN"/>
        </w:rPr>
        <w:t>第</w:t>
      </w: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lang w:val="en-US" w:eastAsia="zh-CN"/>
        </w:rPr>
        <w:t>款</w:t>
      </w:r>
      <w:r>
        <w:rPr>
          <w:rFonts w:hint="eastAsia" w:ascii="宋体" w:hAnsi="宋体" w:cs="宋体"/>
          <w:bCs/>
          <w:color w:val="auto"/>
          <w:sz w:val="24"/>
          <w:highlight w:val="none"/>
          <w:lang w:val="en-US" w:eastAsia="zh-CN"/>
        </w:rPr>
        <w:t>所列要求，若中标供应商发生违约行为</w:t>
      </w:r>
      <w:r>
        <w:rPr>
          <w:rFonts w:hint="eastAsia" w:ascii="宋体" w:hAnsi="宋体" w:eastAsia="宋体" w:cs="宋体"/>
          <w:bCs/>
          <w:color w:val="auto"/>
          <w:sz w:val="24"/>
          <w:highlight w:val="none"/>
          <w:lang w:val="en-US" w:eastAsia="zh-CN"/>
        </w:rPr>
        <w:t>，中标供应商须在采购人规定的合理期限内完成整改，整改费用由其自行承担；若中标供应商未按要求及时完成整改且影响整体履约期限的，除承担相应的逾期违约金外，还</w:t>
      </w:r>
      <w:r>
        <w:rPr>
          <w:rFonts w:hint="eastAsia" w:ascii="宋体" w:hAnsi="宋体" w:cs="宋体"/>
          <w:bCs/>
          <w:color w:val="auto"/>
          <w:sz w:val="24"/>
          <w:highlight w:val="none"/>
          <w:lang w:val="en-US" w:eastAsia="zh-CN"/>
        </w:rPr>
        <w:t>需</w:t>
      </w:r>
      <w:r>
        <w:rPr>
          <w:rFonts w:hint="eastAsia" w:ascii="宋体" w:hAnsi="宋体" w:eastAsia="宋体" w:cs="宋体"/>
          <w:bCs/>
          <w:color w:val="auto"/>
          <w:sz w:val="24"/>
          <w:highlight w:val="none"/>
          <w:lang w:val="en-US" w:eastAsia="zh-CN"/>
        </w:rPr>
        <w:t>按2000元/天的标准向采购人额外支付违约金；逾期超过7日仍未达到整改要求、整改态度消极不配合或拒不整改的，违约</w:t>
      </w:r>
      <w:r>
        <w:rPr>
          <w:rFonts w:hint="eastAsia" w:ascii="宋体" w:hAnsi="宋体" w:cs="宋体"/>
          <w:bCs/>
          <w:color w:val="auto"/>
          <w:sz w:val="24"/>
          <w:highlight w:val="none"/>
          <w:lang w:val="en-US" w:eastAsia="zh-CN"/>
        </w:rPr>
        <w:t>处理方式与第（1）-（3）款一致。</w:t>
      </w:r>
    </w:p>
    <w:p w14:paraId="34730FB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bCs w:val="0"/>
          <w:color w:val="auto"/>
          <w:sz w:val="24"/>
          <w:highlight w:val="none"/>
          <w:lang w:eastAsia="zh-CN"/>
        </w:rPr>
      </w:pPr>
      <w:r>
        <w:rPr>
          <w:rFonts w:hint="eastAsia" w:ascii="宋体" w:hAnsi="宋体" w:cs="宋体"/>
          <w:b/>
          <w:bCs w:val="0"/>
          <w:color w:val="auto"/>
          <w:sz w:val="24"/>
          <w:highlight w:val="none"/>
          <w:lang w:val="en-US" w:eastAsia="zh-CN"/>
        </w:rPr>
        <w:t>4.</w:t>
      </w:r>
      <w:r>
        <w:rPr>
          <w:rFonts w:hint="eastAsia" w:ascii="宋体" w:hAnsi="宋体" w:eastAsia="宋体" w:cs="宋体"/>
          <w:b/>
          <w:bCs w:val="0"/>
          <w:color w:val="auto"/>
          <w:sz w:val="24"/>
          <w:highlight w:val="none"/>
          <w:lang w:eastAsia="zh-CN"/>
        </w:rPr>
        <w:t>安装调试要求：</w:t>
      </w:r>
    </w:p>
    <w:p w14:paraId="37996AD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（1）</w:t>
      </w:r>
      <w:r>
        <w:rPr>
          <w:rFonts w:hint="eastAsia" w:ascii="宋体" w:hAnsi="宋体" w:eastAsia="宋体" w:cs="宋体"/>
          <w:bCs/>
          <w:color w:val="auto"/>
          <w:sz w:val="24"/>
          <w:highlight w:val="none"/>
          <w:lang w:val="en-US" w:eastAsia="zh-CN"/>
        </w:rPr>
        <w:t>中标供应商须充分掌握项目整体进度要求，确保在规定期限内完成标的物（含软硬件）的安装调试工作，及时解决安装调试过程中出现的各类技术问题，并服从采购人的管理与检查。</w:t>
      </w:r>
    </w:p>
    <w:p w14:paraId="75E8FE8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中标供应商须自行准备</w:t>
      </w:r>
      <w:r>
        <w:rPr>
          <w:rFonts w:hint="eastAsia" w:ascii="宋体" w:hAnsi="宋体" w:eastAsia="宋体" w:cs="宋体"/>
          <w:bCs/>
          <w:color w:val="auto"/>
          <w:sz w:val="24"/>
          <w:highlight w:val="none"/>
          <w:lang w:eastAsia="zh-CN"/>
        </w:rPr>
        <w:t>现场安装及调试所需的专用工具、</w:t>
      </w:r>
      <w:r>
        <w:rPr>
          <w:rFonts w:hint="eastAsia" w:ascii="宋体" w:hAnsi="宋体" w:eastAsia="宋体" w:cs="宋体"/>
          <w:bCs/>
          <w:color w:val="auto"/>
          <w:sz w:val="24"/>
          <w:highlight w:val="none"/>
          <w:lang w:val="en-US" w:eastAsia="zh-CN"/>
        </w:rPr>
        <w:t>设备、材料及其他相关工具，并负责妥善保管，不得随意存放，以防丢失或损坏；进场前须对相关工具设备进行必要的性能安全检查；完工后，须及时运出现场。</w:t>
      </w:r>
    </w:p>
    <w:p w14:paraId="7B40AA1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lang w:eastAsia="zh-CN"/>
        </w:rPr>
        <w:t>）中标供应商</w:t>
      </w:r>
      <w:r>
        <w:rPr>
          <w:rFonts w:hint="eastAsia" w:ascii="宋体" w:hAnsi="宋体" w:eastAsia="宋体" w:cs="宋体"/>
          <w:bCs/>
          <w:color w:val="auto"/>
          <w:sz w:val="24"/>
          <w:highlight w:val="none"/>
          <w:lang w:val="en-US" w:eastAsia="zh-CN"/>
        </w:rPr>
        <w:t>须负责成品保护工作，若</w:t>
      </w:r>
      <w:r>
        <w:rPr>
          <w:rFonts w:hint="eastAsia" w:ascii="宋体" w:hAnsi="宋体" w:eastAsia="宋体" w:cs="宋体"/>
          <w:bCs/>
          <w:color w:val="auto"/>
          <w:sz w:val="24"/>
          <w:highlight w:val="none"/>
          <w:lang w:eastAsia="zh-CN"/>
        </w:rPr>
        <w:t>因</w:t>
      </w:r>
      <w:r>
        <w:rPr>
          <w:rFonts w:hint="eastAsia" w:ascii="宋体" w:hAnsi="宋体" w:eastAsia="宋体" w:cs="宋体"/>
          <w:bCs/>
          <w:color w:val="auto"/>
          <w:sz w:val="24"/>
          <w:highlight w:val="none"/>
          <w:lang w:val="en-US" w:eastAsia="zh-CN"/>
        </w:rPr>
        <w:t>自身</w:t>
      </w:r>
      <w:r>
        <w:rPr>
          <w:rFonts w:hint="eastAsia" w:ascii="宋体" w:hAnsi="宋体" w:eastAsia="宋体" w:cs="宋体"/>
          <w:bCs/>
          <w:color w:val="auto"/>
          <w:sz w:val="24"/>
          <w:highlight w:val="none"/>
          <w:lang w:eastAsia="zh-CN"/>
        </w:rPr>
        <w:t>原因导致安装过程中</w:t>
      </w:r>
      <w:r>
        <w:rPr>
          <w:rFonts w:hint="eastAsia" w:ascii="宋体" w:hAnsi="宋体" w:eastAsia="宋体" w:cs="宋体"/>
          <w:bCs/>
          <w:color w:val="auto"/>
          <w:sz w:val="24"/>
          <w:highlight w:val="none"/>
          <w:lang w:val="en-US" w:eastAsia="zh-CN"/>
        </w:rPr>
        <w:t>造成现场已有</w:t>
      </w:r>
      <w:r>
        <w:rPr>
          <w:rFonts w:hint="eastAsia" w:ascii="宋体" w:hAnsi="宋体" w:eastAsia="宋体" w:cs="宋体"/>
          <w:bCs/>
          <w:color w:val="auto"/>
          <w:sz w:val="24"/>
          <w:highlight w:val="none"/>
          <w:lang w:eastAsia="zh-CN"/>
        </w:rPr>
        <w:t>设施</w:t>
      </w:r>
      <w:r>
        <w:rPr>
          <w:rFonts w:hint="eastAsia" w:ascii="宋体" w:hAnsi="宋体" w:eastAsia="宋体" w:cs="宋体"/>
          <w:bCs/>
          <w:color w:val="auto"/>
          <w:sz w:val="24"/>
          <w:highlight w:val="none"/>
          <w:lang w:val="en-US" w:eastAsia="zh-CN"/>
        </w:rPr>
        <w:t>设备</w:t>
      </w:r>
      <w:r>
        <w:rPr>
          <w:rFonts w:hint="eastAsia" w:ascii="宋体" w:hAnsi="宋体" w:eastAsia="宋体" w:cs="宋体"/>
          <w:bCs/>
          <w:color w:val="auto"/>
          <w:sz w:val="24"/>
          <w:highlight w:val="none"/>
          <w:lang w:eastAsia="zh-CN"/>
        </w:rPr>
        <w:t>或地面破损的，</w:t>
      </w:r>
      <w:r>
        <w:rPr>
          <w:rFonts w:hint="eastAsia" w:ascii="宋体" w:hAnsi="宋体" w:eastAsia="宋体" w:cs="宋体"/>
          <w:bCs/>
          <w:color w:val="auto"/>
          <w:sz w:val="24"/>
          <w:highlight w:val="none"/>
          <w:lang w:val="en-US" w:eastAsia="zh-CN"/>
        </w:rPr>
        <w:t>须在规定时间内</w:t>
      </w:r>
      <w:r>
        <w:rPr>
          <w:rFonts w:hint="eastAsia" w:ascii="宋体" w:hAnsi="宋体" w:eastAsia="宋体" w:cs="宋体"/>
          <w:bCs/>
          <w:color w:val="auto"/>
          <w:sz w:val="24"/>
          <w:highlight w:val="none"/>
          <w:lang w:eastAsia="zh-CN"/>
        </w:rPr>
        <w:t>负责修复至原状。</w:t>
      </w:r>
    </w:p>
    <w:p w14:paraId="3626E2C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中标供应商在</w:t>
      </w:r>
      <w:r>
        <w:rPr>
          <w:rFonts w:hint="eastAsia" w:ascii="宋体" w:hAnsi="宋体" w:eastAsia="宋体" w:cs="宋体"/>
          <w:bCs/>
          <w:color w:val="auto"/>
          <w:sz w:val="24"/>
          <w:highlight w:val="none"/>
          <w:lang w:eastAsia="zh-CN"/>
        </w:rPr>
        <w:t>安装</w:t>
      </w:r>
      <w:r>
        <w:rPr>
          <w:rFonts w:hint="eastAsia" w:ascii="宋体" w:hAnsi="宋体" w:eastAsia="宋体" w:cs="宋体"/>
          <w:bCs/>
          <w:color w:val="auto"/>
          <w:sz w:val="24"/>
          <w:highlight w:val="none"/>
          <w:lang w:val="en-US" w:eastAsia="zh-CN"/>
        </w:rPr>
        <w:t>调试</w:t>
      </w:r>
      <w:r>
        <w:rPr>
          <w:rFonts w:hint="eastAsia" w:ascii="宋体" w:hAnsi="宋体" w:eastAsia="宋体" w:cs="宋体"/>
          <w:bCs/>
          <w:color w:val="auto"/>
          <w:sz w:val="24"/>
          <w:highlight w:val="none"/>
          <w:lang w:eastAsia="zh-CN"/>
        </w:rPr>
        <w:t>过程中如发现</w:t>
      </w:r>
      <w:r>
        <w:rPr>
          <w:rFonts w:hint="eastAsia" w:ascii="宋体" w:hAnsi="宋体" w:eastAsia="宋体" w:cs="宋体"/>
          <w:bCs/>
          <w:color w:val="auto"/>
          <w:sz w:val="24"/>
          <w:highlight w:val="none"/>
          <w:lang w:val="en-US" w:eastAsia="zh-CN"/>
        </w:rPr>
        <w:t>标的物存在原厂</w:t>
      </w:r>
      <w:r>
        <w:rPr>
          <w:rFonts w:hint="eastAsia" w:ascii="宋体" w:hAnsi="宋体" w:eastAsia="宋体" w:cs="宋体"/>
          <w:bCs/>
          <w:color w:val="auto"/>
          <w:sz w:val="24"/>
          <w:highlight w:val="none"/>
          <w:lang w:eastAsia="zh-CN"/>
        </w:rPr>
        <w:t>质量问题（</w:t>
      </w:r>
      <w:r>
        <w:rPr>
          <w:rFonts w:hint="eastAsia" w:ascii="宋体" w:hAnsi="宋体" w:eastAsia="宋体" w:cs="宋体"/>
          <w:bCs/>
          <w:color w:val="auto"/>
          <w:sz w:val="24"/>
          <w:highlight w:val="none"/>
          <w:lang w:val="en-US" w:eastAsia="zh-CN"/>
        </w:rPr>
        <w:t>包括质量缺陷、</w:t>
      </w:r>
      <w:r>
        <w:rPr>
          <w:rFonts w:hint="eastAsia" w:ascii="宋体" w:hAnsi="宋体" w:cs="宋体"/>
          <w:bCs/>
          <w:color w:val="auto"/>
          <w:sz w:val="24"/>
          <w:highlight w:val="none"/>
          <w:lang w:val="en-US" w:eastAsia="zh-CN"/>
        </w:rPr>
        <w:t>系统</w:t>
      </w:r>
      <w:r>
        <w:rPr>
          <w:rFonts w:hint="eastAsia" w:ascii="宋体" w:hAnsi="宋体" w:eastAsia="宋体" w:cs="宋体"/>
          <w:bCs/>
          <w:color w:val="auto"/>
          <w:sz w:val="24"/>
          <w:highlight w:val="none"/>
          <w:lang w:val="en-US" w:eastAsia="zh-CN"/>
        </w:rPr>
        <w:t>漏洞等</w:t>
      </w:r>
      <w:r>
        <w:rPr>
          <w:rFonts w:hint="eastAsia" w:ascii="宋体" w:hAnsi="宋体" w:eastAsia="宋体" w:cs="宋体"/>
          <w:bCs/>
          <w:color w:val="auto"/>
          <w:sz w:val="24"/>
          <w:highlight w:val="none"/>
          <w:lang w:eastAsia="zh-CN"/>
        </w:rPr>
        <w:t>），应及时联系生产厂家处理。</w:t>
      </w:r>
    </w:p>
    <w:p w14:paraId="70DEB28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中标供应商须完成所有</w:t>
      </w:r>
      <w:r>
        <w:rPr>
          <w:rFonts w:hint="eastAsia" w:ascii="宋体" w:hAnsi="宋体" w:cs="宋体"/>
          <w:bCs/>
          <w:color w:val="auto"/>
          <w:sz w:val="24"/>
          <w:highlight w:val="none"/>
          <w:lang w:val="en-US" w:eastAsia="zh-CN"/>
        </w:rPr>
        <w:t>设备</w:t>
      </w:r>
      <w:r>
        <w:rPr>
          <w:rFonts w:hint="eastAsia" w:ascii="宋体" w:hAnsi="宋体" w:eastAsia="宋体" w:cs="宋体"/>
          <w:bCs/>
          <w:color w:val="auto"/>
          <w:sz w:val="24"/>
          <w:highlight w:val="none"/>
          <w:lang w:val="en-US" w:eastAsia="zh-CN"/>
        </w:rPr>
        <w:t>预装及配套软件的全流程配置、部署、安装、调试、对接测试及试运行工作，确保</w:t>
      </w:r>
      <w:r>
        <w:rPr>
          <w:rFonts w:hint="eastAsia" w:ascii="宋体" w:hAnsi="宋体" w:cs="宋体"/>
          <w:bCs/>
          <w:color w:val="auto"/>
          <w:sz w:val="24"/>
          <w:highlight w:val="none"/>
          <w:lang w:val="en-US" w:eastAsia="zh-CN"/>
        </w:rPr>
        <w:t>设备配套</w:t>
      </w:r>
      <w:r>
        <w:rPr>
          <w:rFonts w:hint="eastAsia" w:ascii="宋体" w:hAnsi="宋体" w:eastAsia="宋体" w:cs="宋体"/>
          <w:bCs/>
          <w:color w:val="auto"/>
          <w:sz w:val="24"/>
          <w:highlight w:val="none"/>
          <w:lang w:val="en-US" w:eastAsia="zh-CN"/>
        </w:rPr>
        <w:t>软件可正常激活使用、运行稳定，且能够匹配项目整体功能需求和运行要求。</w:t>
      </w:r>
    </w:p>
    <w:p w14:paraId="2BF2902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中标供应商须完成所有硬件设备及其配件的全流程安装、调试、对接测试及试运行工作，确保设备可正常启用、运行稳定，且能够匹配项目整体功能需求与系统运行要求。所有设备安装需符合国家及行业现行相关标准规范，同时满足项目现场安装作业管理要求；安装位置、线路走向须严格按照采购人确认的方案实施，不得擅自改动；安装过程中需做好布线整理，所有线路应固定规整并做好标识，以便后期运维检修；所有硬件设备需安装牢固、端正平整，安装完成后需通电进行功能测试，确保设备通电正常、功能运行符合设计要求</w:t>
      </w:r>
      <w:r>
        <w:rPr>
          <w:rFonts w:hint="eastAsia" w:ascii="宋体" w:hAnsi="宋体" w:cs="宋体"/>
          <w:bCs/>
          <w:color w:val="auto"/>
          <w:sz w:val="24"/>
          <w:highlight w:val="none"/>
          <w:lang w:val="en-US" w:eastAsia="zh-CN"/>
        </w:rPr>
        <w:t>。</w:t>
      </w:r>
    </w:p>
    <w:p w14:paraId="1DACC10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（7）安装调试全部完成后，中标供应商须先自行对安装质量进行全面自检，自检合格后方可向采购人申请验收；验收期间须安排技术人员全程跟踪，并及时记录相关问题。</w:t>
      </w:r>
    </w:p>
    <w:p w14:paraId="06AB41C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针对上述全部条款所列要求，若中标供应商发生违约行为，</w:t>
      </w:r>
      <w:r>
        <w:rPr>
          <w:rFonts w:hint="eastAsia" w:ascii="宋体" w:hAnsi="宋体" w:eastAsia="宋体" w:cs="宋体"/>
          <w:bCs/>
          <w:color w:val="auto"/>
          <w:sz w:val="24"/>
          <w:highlight w:val="none"/>
          <w:lang w:val="en-US" w:eastAsia="zh-CN"/>
        </w:rPr>
        <w:t>须在采购人规定的合理期限内完成整改，整改费用由其自行承担；若中标供应商未按要求及时完成整改且影响整体履约期限的，除承担相应的逾期违约金外，还须按2000元/天的标准向采购人额外支付违约金；逾期超过7日仍未达到整改要求、整改态度消极不配合或拒不整改的，</w:t>
      </w:r>
      <w:r>
        <w:rPr>
          <w:rFonts w:hint="eastAsia" w:ascii="宋体" w:hAnsi="宋体" w:cs="宋体"/>
          <w:bCs/>
          <w:color w:val="auto"/>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w:t>
      </w:r>
    </w:p>
    <w:p w14:paraId="46BFEBE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5</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val="en-US" w:eastAsia="zh-CN"/>
        </w:rPr>
        <w:t>交付</w:t>
      </w:r>
      <w:r>
        <w:rPr>
          <w:rFonts w:hint="eastAsia" w:ascii="宋体" w:hAnsi="宋体" w:cs="宋体"/>
          <w:b/>
          <w:bCs w:val="0"/>
          <w:color w:val="auto"/>
          <w:sz w:val="24"/>
          <w:highlight w:val="none"/>
        </w:rPr>
        <w:t>验收：</w:t>
      </w:r>
    </w:p>
    <w:p w14:paraId="1297D04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（1）标的物验收：</w:t>
      </w:r>
    </w:p>
    <w:p w14:paraId="20D5ACD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①</w:t>
      </w:r>
      <w:r>
        <w:rPr>
          <w:rFonts w:hint="eastAsia" w:ascii="宋体" w:hAnsi="宋体" w:eastAsia="宋体" w:cs="宋体"/>
          <w:bCs/>
          <w:color w:val="auto"/>
          <w:sz w:val="24"/>
          <w:highlight w:val="none"/>
          <w:lang w:eastAsia="zh-CN"/>
        </w:rPr>
        <w:t>验收地点：</w:t>
      </w:r>
      <w:r>
        <w:rPr>
          <w:rFonts w:hint="eastAsia" w:ascii="宋体" w:hAnsi="宋体" w:eastAsia="宋体" w:cs="宋体"/>
          <w:bCs/>
          <w:color w:val="auto"/>
          <w:sz w:val="24"/>
          <w:highlight w:val="none"/>
          <w:lang w:val="en-US" w:eastAsia="zh-CN"/>
        </w:rPr>
        <w:t>设备最终完成安装调试的地点（若需</w:t>
      </w:r>
      <w:r>
        <w:rPr>
          <w:rFonts w:hint="eastAsia" w:ascii="宋体" w:hAnsi="宋体" w:cs="宋体"/>
          <w:b w:val="0"/>
          <w:bCs w:val="0"/>
          <w:color w:val="auto"/>
          <w:sz w:val="24"/>
          <w:highlight w:val="none"/>
          <w:lang w:val="en-US" w:eastAsia="zh-CN"/>
        </w:rPr>
        <w:t>分地点安装调试，应包含所有安装调试地点</w:t>
      </w:r>
      <w:r>
        <w:rPr>
          <w:rFonts w:hint="eastAsia" w:ascii="宋体" w:hAnsi="宋体" w:eastAsia="宋体" w:cs="宋体"/>
          <w:bCs/>
          <w:color w:val="auto"/>
          <w:sz w:val="24"/>
          <w:highlight w:val="none"/>
          <w:lang w:val="en-US" w:eastAsia="zh-CN"/>
        </w:rPr>
        <w:t>）。</w:t>
      </w:r>
    </w:p>
    <w:p w14:paraId="72839DB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②</w:t>
      </w:r>
      <w:r>
        <w:rPr>
          <w:rFonts w:hint="eastAsia" w:ascii="宋体" w:hAnsi="宋体" w:eastAsia="宋体" w:cs="宋体"/>
          <w:bCs/>
          <w:color w:val="auto"/>
          <w:sz w:val="24"/>
          <w:highlight w:val="none"/>
          <w:lang w:eastAsia="zh-CN"/>
        </w:rPr>
        <w:t>验收时间：</w:t>
      </w:r>
      <w:r>
        <w:rPr>
          <w:rFonts w:hint="eastAsia" w:ascii="宋体" w:hAnsi="宋体" w:eastAsia="宋体" w:cs="宋体"/>
          <w:bCs/>
          <w:color w:val="auto"/>
          <w:sz w:val="24"/>
          <w:highlight w:val="none"/>
          <w:lang w:val="en-US" w:eastAsia="zh-CN"/>
        </w:rPr>
        <w:t>若设备分批次交付，最后一批设备到达现场的日期即视为设备的交货期。设备到达采购人指定地点的当天工作时间内，由采购人及其委托的第三方验收机构（如有）进行验收；若当天不具备验收条件，验收工作最迟不超过</w:t>
      </w:r>
      <w:r>
        <w:rPr>
          <w:rFonts w:hint="eastAsia" w:ascii="宋体" w:hAnsi="宋体" w:cs="宋体"/>
          <w:bCs/>
          <w:color w:val="auto"/>
          <w:sz w:val="24"/>
          <w:highlight w:val="none"/>
          <w:lang w:val="en-US" w:eastAsia="zh-CN"/>
        </w:rPr>
        <w:t>到货</w:t>
      </w:r>
      <w:r>
        <w:rPr>
          <w:rFonts w:hint="eastAsia" w:ascii="宋体" w:hAnsi="宋体" w:eastAsia="宋体" w:cs="宋体"/>
          <w:bCs/>
          <w:color w:val="auto"/>
          <w:sz w:val="24"/>
          <w:highlight w:val="none"/>
          <w:lang w:val="en-US" w:eastAsia="zh-CN"/>
        </w:rPr>
        <w:t>后的3天，期间采购人将为设备提供必要的存储条件（中标供应商应提前通过书面、电话等方式通知采购人到货时间，以便采购人安排接收及验收工作）。若采购人逾期未验收，中标供应商应书面告知采购人在合理期限内完成验收。验收不合格的，不受上述验收期限约束。</w:t>
      </w:r>
    </w:p>
    <w:p w14:paraId="455AAB3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③</w:t>
      </w:r>
      <w:r>
        <w:rPr>
          <w:rFonts w:hint="eastAsia" w:ascii="宋体" w:hAnsi="宋体" w:eastAsia="宋体" w:cs="宋体"/>
          <w:bCs/>
          <w:color w:val="auto"/>
          <w:sz w:val="24"/>
          <w:highlight w:val="none"/>
          <w:lang w:eastAsia="zh-CN"/>
        </w:rPr>
        <w:t>验收</w:t>
      </w:r>
      <w:r>
        <w:rPr>
          <w:rFonts w:hint="eastAsia" w:ascii="宋体" w:hAnsi="宋体" w:eastAsia="宋体" w:cs="宋体"/>
          <w:bCs/>
          <w:color w:val="auto"/>
          <w:sz w:val="24"/>
          <w:highlight w:val="none"/>
          <w:lang w:val="en-US" w:eastAsia="zh-CN"/>
        </w:rPr>
        <w:t>内容包括以下两部分：</w:t>
      </w:r>
    </w:p>
    <w:p w14:paraId="750A128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eastAsia="宋体" w:cs="宋体"/>
          <w:bCs/>
          <w:color w:val="auto"/>
          <w:sz w:val="24"/>
          <w:highlight w:val="none"/>
          <w:lang w:val="en-US" w:eastAsia="zh-CN"/>
        </w:rPr>
        <w:t>a.外观及资料核查：设备的包装、数量、外观、配置情况，以及随设备一同交付的</w:t>
      </w:r>
      <w:r>
        <w:rPr>
          <w:rFonts w:hint="eastAsia" w:ascii="宋体" w:hAnsi="宋体" w:cs="宋体"/>
          <w:bCs/>
          <w:color w:val="auto"/>
          <w:sz w:val="24"/>
          <w:highlight w:val="none"/>
          <w:lang w:val="en-US" w:eastAsia="zh-CN"/>
        </w:rPr>
        <w:t>包装</w:t>
      </w:r>
      <w:r>
        <w:rPr>
          <w:rFonts w:hint="eastAsia" w:ascii="宋体" w:hAnsi="宋体" w:eastAsia="宋体" w:cs="宋体"/>
          <w:bCs/>
          <w:color w:val="auto"/>
          <w:sz w:val="24"/>
          <w:highlight w:val="none"/>
          <w:lang w:val="en-US" w:eastAsia="zh-CN"/>
        </w:rPr>
        <w:t>资料</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包括但不限于</w:t>
      </w:r>
      <w:r>
        <w:rPr>
          <w:rFonts w:hint="default" w:ascii="宋体" w:hAnsi="宋体" w:eastAsia="宋体" w:cs="Times New Roman"/>
          <w:color w:val="auto"/>
          <w:kern w:val="0"/>
          <w:sz w:val="24"/>
          <w:szCs w:val="18"/>
          <w:highlight w:val="none"/>
          <w:lang w:val="en-US" w:eastAsia="zh-CN"/>
        </w:rPr>
        <w:t>装箱</w:t>
      </w:r>
      <w:r>
        <w:rPr>
          <w:rFonts w:hint="eastAsia" w:ascii="宋体" w:hAnsi="宋体" w:cs="Times New Roman"/>
          <w:color w:val="auto"/>
          <w:kern w:val="0"/>
          <w:sz w:val="24"/>
          <w:szCs w:val="18"/>
          <w:highlight w:val="none"/>
          <w:lang w:val="en-US" w:eastAsia="zh-CN"/>
        </w:rPr>
        <w:t>清单（含货物名称、数量、规格型号、配件清单等）、完整</w:t>
      </w:r>
      <w:r>
        <w:rPr>
          <w:rFonts w:hint="eastAsia" w:ascii="宋体" w:hAnsi="宋体" w:cs="宋体"/>
          <w:bCs/>
          <w:color w:val="auto"/>
          <w:sz w:val="24"/>
          <w:highlight w:val="none"/>
          <w:lang w:val="en-US" w:eastAsia="zh-CN"/>
        </w:rPr>
        <w:t>配件、</w:t>
      </w:r>
      <w:r>
        <w:rPr>
          <w:rFonts w:hint="eastAsia" w:ascii="宋体" w:hAnsi="宋体" w:eastAsia="宋体" w:cs="宋体"/>
          <w:bCs/>
          <w:color w:val="auto"/>
          <w:sz w:val="24"/>
          <w:highlight w:val="none"/>
          <w:lang w:val="en-US" w:eastAsia="zh-CN"/>
        </w:rPr>
        <w:t>原厂质保承诺</w:t>
      </w:r>
      <w:r>
        <w:rPr>
          <w:rFonts w:hint="eastAsia" w:ascii="宋体" w:hAnsi="宋体" w:cs="宋体"/>
          <w:bCs/>
          <w:color w:val="auto"/>
          <w:sz w:val="24"/>
          <w:highlight w:val="none"/>
          <w:lang w:val="en-US" w:eastAsia="zh-CN"/>
        </w:rPr>
        <w:t>（如需）</w:t>
      </w:r>
      <w:r>
        <w:rPr>
          <w:rFonts w:hint="eastAsia" w:ascii="宋体" w:hAnsi="宋体" w:eastAsia="宋体" w:cs="宋体"/>
          <w:bCs/>
          <w:color w:val="auto"/>
          <w:sz w:val="24"/>
          <w:highlight w:val="none"/>
          <w:lang w:val="en-US" w:eastAsia="zh-CN"/>
        </w:rPr>
        <w:t>、原厂保修证明</w:t>
      </w:r>
      <w:r>
        <w:rPr>
          <w:rFonts w:hint="eastAsia" w:ascii="宋体" w:hAnsi="宋体" w:cs="宋体"/>
          <w:bCs/>
          <w:color w:val="auto"/>
          <w:sz w:val="24"/>
          <w:highlight w:val="none"/>
          <w:lang w:val="en-US" w:eastAsia="zh-CN"/>
        </w:rPr>
        <w:t>（书）</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产品</w:t>
      </w:r>
      <w:r>
        <w:rPr>
          <w:rFonts w:hint="eastAsia" w:ascii="宋体" w:hAnsi="宋体" w:eastAsia="宋体" w:cs="宋体"/>
          <w:bCs/>
          <w:color w:val="auto"/>
          <w:sz w:val="24"/>
          <w:highlight w:val="none"/>
          <w:lang w:val="en-US" w:eastAsia="zh-CN"/>
        </w:rPr>
        <w:t>使用说明、</w:t>
      </w:r>
      <w:r>
        <w:rPr>
          <w:rFonts w:hint="default" w:ascii="宋体" w:hAnsi="宋体" w:eastAsia="宋体" w:cs="Times New Roman"/>
          <w:color w:val="auto"/>
          <w:kern w:val="0"/>
          <w:sz w:val="24"/>
          <w:szCs w:val="18"/>
          <w:highlight w:val="none"/>
          <w:lang w:val="en-US" w:eastAsia="zh-CN"/>
        </w:rPr>
        <w:t>质量合格证书</w:t>
      </w:r>
      <w:r>
        <w:rPr>
          <w:rFonts w:hint="eastAsia" w:ascii="宋体" w:hAnsi="宋体" w:eastAsia="宋体" w:cs="宋体"/>
          <w:bCs/>
          <w:color w:val="auto"/>
          <w:sz w:val="24"/>
          <w:highlight w:val="none"/>
          <w:lang w:val="en-US" w:eastAsia="zh-CN"/>
        </w:rPr>
        <w:t>、检测报告等</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w:t>
      </w:r>
    </w:p>
    <w:p w14:paraId="4EF7F31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eastAsia="宋体" w:cs="宋体"/>
          <w:bCs/>
          <w:color w:val="auto"/>
          <w:sz w:val="24"/>
          <w:highlight w:val="none"/>
          <w:lang w:val="en-US" w:eastAsia="zh-CN"/>
        </w:rPr>
        <w:t>b.质量及性能检测：设备（含配件）的质量、性能（包括本次采购要求的防护功能、除锈及防腐蚀工艺等）、技术指标及功能性等。</w:t>
      </w:r>
    </w:p>
    <w:p w14:paraId="32062DA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en-US" w:eastAsia="zh-CN"/>
        </w:rPr>
        <w:t>④</w:t>
      </w:r>
      <w:r>
        <w:rPr>
          <w:rFonts w:hint="eastAsia" w:ascii="宋体" w:hAnsi="宋体" w:eastAsia="宋体" w:cs="宋体"/>
          <w:bCs/>
          <w:color w:val="auto"/>
          <w:sz w:val="24"/>
          <w:highlight w:val="none"/>
          <w:lang w:val="en-US" w:eastAsia="zh-CN"/>
        </w:rPr>
        <w:t>交货验收须满足以下要求，否则采购人有权拒绝验收：</w:t>
      </w:r>
    </w:p>
    <w:p w14:paraId="48B3327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eastAsia="宋体" w:cs="宋体"/>
          <w:bCs/>
          <w:color w:val="auto"/>
          <w:sz w:val="24"/>
          <w:highlight w:val="none"/>
          <w:lang w:val="en-US" w:eastAsia="zh-CN"/>
        </w:rPr>
        <w:t>a.所有设备的外包装须保持未拆封状态，包装上的各类标签不得涂改或撕毁，设备数量</w:t>
      </w:r>
      <w:r>
        <w:rPr>
          <w:rFonts w:hint="eastAsia" w:ascii="宋体" w:hAnsi="宋体" w:cs="宋体"/>
          <w:bCs/>
          <w:color w:val="auto"/>
          <w:sz w:val="24"/>
          <w:highlight w:val="none"/>
          <w:lang w:val="en-US" w:eastAsia="zh-CN"/>
        </w:rPr>
        <w:t>、品种、规格型号</w:t>
      </w:r>
      <w:r>
        <w:rPr>
          <w:rFonts w:hint="eastAsia" w:ascii="宋体" w:hAnsi="宋体" w:eastAsia="宋体" w:cs="宋体"/>
          <w:bCs/>
          <w:color w:val="auto"/>
          <w:sz w:val="24"/>
          <w:highlight w:val="none"/>
          <w:lang w:val="en-US" w:eastAsia="zh-CN"/>
        </w:rPr>
        <w:t>须准确无误。</w:t>
      </w:r>
    </w:p>
    <w:p w14:paraId="25E619F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eastAsia="宋体" w:cs="宋体"/>
          <w:bCs/>
          <w:color w:val="auto"/>
          <w:sz w:val="24"/>
          <w:highlight w:val="none"/>
          <w:lang w:val="en-US" w:eastAsia="zh-CN"/>
        </w:rPr>
        <w:t>b.所有设备（含配件）须为全新、未使用过的原装合格正品，开箱时状态完好，外观整洁无瑕疵。</w:t>
      </w:r>
    </w:p>
    <w:p w14:paraId="5A33DFB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c.所有设备的装箱资料须完整、真实有效。</w:t>
      </w:r>
    </w:p>
    <w:p w14:paraId="7D2EF57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Times New Roman"/>
          <w:color w:val="auto"/>
          <w:kern w:val="0"/>
          <w:sz w:val="24"/>
          <w:szCs w:val="18"/>
          <w:highlight w:val="none"/>
          <w:lang w:val="en-US" w:eastAsia="zh-CN"/>
        </w:rPr>
        <w:t>⑤双方签署设备</w:t>
      </w:r>
      <w:r>
        <w:rPr>
          <w:rFonts w:hint="eastAsia" w:ascii="宋体" w:hAnsi="宋体" w:cs="Times New Roman"/>
          <w:color w:val="auto"/>
          <w:kern w:val="0"/>
          <w:sz w:val="24"/>
          <w:szCs w:val="18"/>
          <w:highlight w:val="none"/>
          <w:lang w:val="en-US" w:eastAsia="zh-CN"/>
        </w:rPr>
        <w:t>验收资料</w:t>
      </w:r>
      <w:r>
        <w:rPr>
          <w:rFonts w:hint="eastAsia" w:ascii="宋体" w:hAnsi="宋体" w:eastAsia="宋体" w:cs="Times New Roman"/>
          <w:color w:val="auto"/>
          <w:kern w:val="0"/>
          <w:sz w:val="24"/>
          <w:szCs w:val="18"/>
          <w:highlight w:val="none"/>
          <w:lang w:val="en-US" w:eastAsia="zh-CN"/>
        </w:rPr>
        <w:t>后，即视为该批次设备交货完成。</w:t>
      </w:r>
      <w:r>
        <w:rPr>
          <w:rFonts w:hint="eastAsia" w:ascii="宋体" w:hAnsi="宋体" w:cs="Times New Roman"/>
          <w:color w:val="auto"/>
          <w:kern w:val="0"/>
          <w:sz w:val="24"/>
          <w:szCs w:val="18"/>
          <w:highlight w:val="none"/>
          <w:lang w:val="en-US" w:eastAsia="zh-CN"/>
        </w:rPr>
        <w:t>验收资料</w:t>
      </w:r>
      <w:r>
        <w:rPr>
          <w:rFonts w:hint="eastAsia" w:ascii="宋体" w:hAnsi="宋体" w:eastAsia="宋体" w:cs="Times New Roman"/>
          <w:color w:val="auto"/>
          <w:kern w:val="0"/>
          <w:sz w:val="24"/>
          <w:szCs w:val="18"/>
          <w:highlight w:val="none"/>
          <w:lang w:val="en-US" w:eastAsia="zh-CN"/>
        </w:rPr>
        <w:t>一式两份，由双方各执一份。完成交货后，货物所有权正式转移；交货完成前，</w:t>
      </w:r>
      <w:r>
        <w:rPr>
          <w:rFonts w:hint="eastAsia" w:ascii="宋体" w:hAnsi="宋体" w:cs="Times New Roman"/>
          <w:color w:val="auto"/>
          <w:kern w:val="0"/>
          <w:sz w:val="24"/>
          <w:szCs w:val="18"/>
          <w:highlight w:val="none"/>
          <w:lang w:val="en-US" w:eastAsia="zh-CN"/>
        </w:rPr>
        <w:t>所有</w:t>
      </w:r>
      <w:r>
        <w:rPr>
          <w:rFonts w:hint="eastAsia" w:ascii="宋体" w:hAnsi="宋体" w:eastAsia="宋体" w:cs="Times New Roman"/>
          <w:color w:val="auto"/>
          <w:kern w:val="0"/>
          <w:sz w:val="24"/>
          <w:szCs w:val="18"/>
          <w:highlight w:val="none"/>
          <w:lang w:val="en-US" w:eastAsia="zh-CN"/>
        </w:rPr>
        <w:t>风险与责任由中标供应商</w:t>
      </w:r>
      <w:r>
        <w:rPr>
          <w:rFonts w:hint="eastAsia" w:ascii="宋体" w:hAnsi="宋体" w:cs="Times New Roman"/>
          <w:color w:val="auto"/>
          <w:kern w:val="0"/>
          <w:sz w:val="24"/>
          <w:szCs w:val="18"/>
          <w:highlight w:val="none"/>
          <w:lang w:val="en-US" w:eastAsia="zh-CN"/>
        </w:rPr>
        <w:t>自行</w:t>
      </w:r>
      <w:r>
        <w:rPr>
          <w:rFonts w:hint="eastAsia" w:ascii="宋体" w:hAnsi="宋体" w:eastAsia="宋体" w:cs="Times New Roman"/>
          <w:color w:val="auto"/>
          <w:kern w:val="0"/>
          <w:sz w:val="24"/>
          <w:szCs w:val="18"/>
          <w:highlight w:val="none"/>
          <w:lang w:val="en-US" w:eastAsia="zh-CN"/>
        </w:rPr>
        <w:t>承担。</w:t>
      </w:r>
    </w:p>
    <w:p w14:paraId="13703F3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经验收判定为不合格或被拒收的设备，中标供应商须在采购人规定的合理期限内完成整改（仅接受换货，不接受退货返修），整改费用由其自行承担；若中标供应商未按要求及时完成整改且影响整体履约期限的，除承担相应的逾期违约金外，还须按每日2000元的标准向采购人额外支付违约金；逾期超过7日仍未达到整改要求、整改态度消极不配合或拒不整改的，</w:t>
      </w:r>
      <w:r>
        <w:rPr>
          <w:rFonts w:hint="eastAsia" w:ascii="宋体" w:hAnsi="宋体" w:cs="宋体"/>
          <w:bCs/>
          <w:color w:val="auto"/>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。若对验收结果存在质疑，以相关质量技术检验检测机构出具的检验结果为准；如产生检验费用，由过失方承担。</w:t>
      </w:r>
    </w:p>
    <w:p w14:paraId="0DA093C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（2）项目整体验收：</w:t>
      </w:r>
    </w:p>
    <w:p w14:paraId="7574D94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①项目所有标的物完成安装调试、试运行合格且功能测试通过后，方可进入项目整体验收环节；采购人将依据国家相关规定、本采购文件、中标供应商的投标文件及合同约定的内容与验收标准，对系统开展整体试运行测试验收工作，针对项目全部履约内容、功能指标、整体运行稳定性、兼容性及适配性进行全流程核查，对照合同约定的所有要求逐一核验，同时核查供货清单与实际交付内容是否一致、过程文档资料是否完整规范等。</w:t>
      </w:r>
    </w:p>
    <w:p w14:paraId="6F660AC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②</w:t>
      </w:r>
      <w:r>
        <w:rPr>
          <w:rFonts w:hint="eastAsia" w:ascii="宋体" w:hAnsi="宋体" w:cs="宋体"/>
          <w:bCs/>
          <w:color w:val="auto"/>
          <w:sz w:val="24"/>
          <w:highlight w:val="none"/>
          <w:lang w:val="en-US" w:eastAsia="zh-CN"/>
        </w:rPr>
        <w:t>中标供应商应在项目满足验收条件后3日内向采购人提交正式验收申请，</w:t>
      </w:r>
      <w:r>
        <w:rPr>
          <w:rFonts w:hint="eastAsia" w:ascii="宋体" w:hAnsi="宋体" w:eastAsia="宋体" w:cs="宋体"/>
          <w:bCs/>
          <w:color w:val="auto"/>
          <w:sz w:val="24"/>
          <w:highlight w:val="none"/>
          <w:lang w:val="en-US" w:eastAsia="zh-CN"/>
        </w:rPr>
        <w:t>采购人须在收到验收申请之日起</w:t>
      </w:r>
      <w:r>
        <w:rPr>
          <w:rFonts w:hint="eastAsia" w:ascii="宋体" w:hAnsi="宋体" w:cs="宋体"/>
          <w:bCs/>
          <w:color w:val="auto"/>
          <w:sz w:val="24"/>
          <w:highlight w:val="none"/>
          <w:lang w:val="en-US" w:eastAsia="zh-CN"/>
        </w:rPr>
        <w:t>7</w:t>
      </w:r>
      <w:r>
        <w:rPr>
          <w:rFonts w:hint="eastAsia" w:ascii="宋体" w:hAnsi="宋体" w:eastAsia="宋体" w:cs="宋体"/>
          <w:bCs/>
          <w:color w:val="auto"/>
          <w:sz w:val="24"/>
          <w:highlight w:val="none"/>
          <w:lang w:val="en-US" w:eastAsia="zh-CN"/>
        </w:rPr>
        <w:t>日内组织验收。</w:t>
      </w:r>
    </w:p>
    <w:p w14:paraId="0C6E387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③自履约开始至</w:t>
      </w:r>
      <w:r>
        <w:rPr>
          <w:rFonts w:hint="eastAsia" w:ascii="宋体" w:hAnsi="宋体" w:eastAsia="宋体" w:cs="宋体"/>
          <w:bCs/>
          <w:color w:val="auto"/>
          <w:sz w:val="24"/>
          <w:highlight w:val="none"/>
          <w:lang w:val="en-US" w:eastAsia="zh-CN"/>
        </w:rPr>
        <w:t>验收</w:t>
      </w:r>
      <w:r>
        <w:rPr>
          <w:rFonts w:hint="eastAsia" w:ascii="宋体" w:hAnsi="宋体" w:cs="宋体"/>
          <w:bCs/>
          <w:color w:val="auto"/>
          <w:sz w:val="24"/>
          <w:highlight w:val="none"/>
          <w:lang w:val="en-US" w:eastAsia="zh-CN"/>
        </w:rPr>
        <w:t>结束期间</w:t>
      </w:r>
      <w:r>
        <w:rPr>
          <w:rFonts w:hint="eastAsia" w:ascii="宋体" w:hAnsi="宋体" w:eastAsia="宋体" w:cs="宋体"/>
          <w:bCs/>
          <w:color w:val="auto"/>
          <w:sz w:val="24"/>
          <w:highlight w:val="none"/>
          <w:lang w:val="en-US" w:eastAsia="zh-CN"/>
        </w:rPr>
        <w:t>产生的</w:t>
      </w:r>
      <w:r>
        <w:rPr>
          <w:rFonts w:hint="eastAsia" w:ascii="宋体" w:hAnsi="宋体" w:cs="宋体"/>
          <w:bCs/>
          <w:color w:val="auto"/>
          <w:sz w:val="24"/>
          <w:highlight w:val="none"/>
          <w:lang w:val="en-US" w:eastAsia="zh-CN"/>
        </w:rPr>
        <w:t>所有</w:t>
      </w:r>
      <w:r>
        <w:rPr>
          <w:rFonts w:hint="eastAsia" w:ascii="宋体" w:hAnsi="宋体" w:eastAsia="宋体" w:cs="宋体"/>
          <w:bCs/>
          <w:color w:val="auto"/>
          <w:sz w:val="24"/>
          <w:highlight w:val="none"/>
          <w:lang w:val="en-US" w:eastAsia="zh-CN"/>
        </w:rPr>
        <w:t>相关文档</w:t>
      </w:r>
      <w:r>
        <w:rPr>
          <w:rFonts w:hint="eastAsia" w:ascii="宋体" w:hAnsi="宋体" w:cs="宋体"/>
          <w:bCs/>
          <w:color w:val="auto"/>
          <w:sz w:val="24"/>
          <w:highlight w:val="none"/>
          <w:lang w:val="en-US" w:eastAsia="zh-CN"/>
        </w:rPr>
        <w:t>资料（含电子文档），中标供应商应及时记录并存档，在项目交付时，须将全套资料移交给采购人</w:t>
      </w:r>
      <w:r>
        <w:rPr>
          <w:rFonts w:hint="eastAsia" w:ascii="宋体" w:hAnsi="宋体" w:eastAsia="宋体" w:cs="宋体"/>
          <w:bCs/>
          <w:color w:val="auto"/>
          <w:sz w:val="24"/>
          <w:highlight w:val="none"/>
          <w:lang w:val="en-US" w:eastAsia="zh-CN"/>
        </w:rPr>
        <w:t>。</w:t>
      </w:r>
    </w:p>
    <w:p w14:paraId="7AFC8A1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④</w:t>
      </w:r>
      <w:r>
        <w:rPr>
          <w:rFonts w:hint="eastAsia" w:ascii="宋体" w:hAnsi="宋体" w:eastAsia="宋体" w:cs="宋体"/>
          <w:bCs/>
          <w:color w:val="auto"/>
          <w:sz w:val="24"/>
          <w:highlight w:val="none"/>
          <w:lang w:val="en-US" w:eastAsia="zh-CN"/>
        </w:rPr>
        <w:t>验收合格后，由双方签署项目整体验收合格证明，项目正式交付使用。</w:t>
      </w:r>
      <w:r>
        <w:rPr>
          <w:rFonts w:hint="eastAsia" w:ascii="宋体" w:hAnsi="宋体" w:cs="Times New Roman"/>
          <w:color w:val="auto"/>
          <w:kern w:val="0"/>
          <w:sz w:val="24"/>
          <w:szCs w:val="18"/>
          <w:highlight w:val="none"/>
          <w:lang w:val="en-US" w:eastAsia="zh-CN"/>
        </w:rPr>
        <w:t>验收证明资料</w:t>
      </w:r>
      <w:r>
        <w:rPr>
          <w:rFonts w:hint="eastAsia" w:ascii="宋体" w:hAnsi="宋体" w:eastAsia="宋体" w:cs="Times New Roman"/>
          <w:color w:val="auto"/>
          <w:kern w:val="0"/>
          <w:sz w:val="24"/>
          <w:szCs w:val="18"/>
          <w:highlight w:val="none"/>
          <w:lang w:val="en-US" w:eastAsia="zh-CN"/>
        </w:rPr>
        <w:t>一式两份，由双方各执一份。</w:t>
      </w:r>
    </w:p>
    <w:p w14:paraId="6352102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若项目整体验收不合格，中标供应商须在采购人规定的合理期限内完成整改，整改费用由其自行承担；若中标供应商未按要求及时完成整改且影响整体履约期限的，除承担相应的逾期违约金外，还须按每日2000元的标准向采购人额外支付违约金；逾期超过7日仍未达到整改要求、整改态度消极不配合或拒不整改的，</w:t>
      </w:r>
      <w:r>
        <w:rPr>
          <w:rFonts w:hint="eastAsia" w:ascii="宋体" w:hAnsi="宋体" w:cs="宋体"/>
          <w:bCs/>
          <w:color w:val="auto"/>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。若对验收结果存在质疑，以相关质量技术检验检测机构出具的检验结果为准；如产生检验费用，由过失方承担。</w:t>
      </w:r>
    </w:p>
    <w:p w14:paraId="31F3843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6</w:t>
      </w:r>
      <w:r>
        <w:rPr>
          <w:rFonts w:hint="eastAsia" w:ascii="宋体" w:hAnsi="宋体" w:cs="宋体"/>
          <w:b/>
          <w:bCs w:val="0"/>
          <w:color w:val="auto"/>
          <w:sz w:val="24"/>
          <w:highlight w:val="none"/>
        </w:rPr>
        <w:t>.培训</w:t>
      </w:r>
      <w:r>
        <w:rPr>
          <w:rFonts w:hint="eastAsia" w:ascii="宋体" w:hAnsi="宋体" w:cs="宋体"/>
          <w:b/>
          <w:bCs w:val="0"/>
          <w:color w:val="auto"/>
          <w:sz w:val="24"/>
          <w:highlight w:val="none"/>
          <w:lang w:val="en-US" w:eastAsia="zh-CN"/>
        </w:rPr>
        <w:t>服务</w:t>
      </w:r>
      <w:r>
        <w:rPr>
          <w:rFonts w:hint="eastAsia" w:ascii="宋体" w:hAnsi="宋体" w:cs="宋体"/>
          <w:b/>
          <w:bCs w:val="0"/>
          <w:color w:val="auto"/>
          <w:sz w:val="24"/>
          <w:highlight w:val="none"/>
        </w:rPr>
        <w:t>要求：</w:t>
      </w:r>
    </w:p>
    <w:p w14:paraId="6F6B729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eastAsia="宋体" w:cs="宋体"/>
          <w:bCs/>
          <w:color w:val="auto"/>
          <w:sz w:val="24"/>
          <w:highlight w:val="none"/>
          <w:lang w:val="en-US" w:eastAsia="zh-CN"/>
        </w:rPr>
        <w:t>（1）中标供应商</w:t>
      </w:r>
      <w:r>
        <w:rPr>
          <w:rFonts w:hint="eastAsia" w:ascii="宋体" w:hAnsi="宋体" w:cs="宋体"/>
          <w:bCs/>
          <w:color w:val="auto"/>
          <w:sz w:val="24"/>
          <w:highlight w:val="none"/>
          <w:lang w:val="en-US" w:eastAsia="zh-CN"/>
        </w:rPr>
        <w:t>须</w:t>
      </w:r>
      <w:r>
        <w:rPr>
          <w:rFonts w:hint="eastAsia" w:ascii="宋体" w:hAnsi="宋体" w:eastAsia="宋体" w:cs="宋体"/>
          <w:bCs/>
          <w:color w:val="auto"/>
          <w:sz w:val="24"/>
          <w:highlight w:val="none"/>
          <w:lang w:val="en-US" w:eastAsia="zh-CN"/>
        </w:rPr>
        <w:t>无偿提供培训</w:t>
      </w:r>
      <w:r>
        <w:rPr>
          <w:rFonts w:hint="eastAsia" w:ascii="宋体" w:hAnsi="宋体" w:cs="宋体"/>
          <w:bCs/>
          <w:color w:val="auto"/>
          <w:sz w:val="24"/>
          <w:highlight w:val="none"/>
          <w:lang w:val="en-US" w:eastAsia="zh-CN"/>
        </w:rPr>
        <w:t>相关</w:t>
      </w:r>
      <w:r>
        <w:rPr>
          <w:rFonts w:hint="eastAsia" w:ascii="宋体" w:hAnsi="宋体" w:eastAsia="宋体" w:cs="宋体"/>
          <w:bCs/>
          <w:color w:val="auto"/>
          <w:sz w:val="24"/>
          <w:highlight w:val="none"/>
          <w:lang w:val="en-US" w:eastAsia="zh-CN"/>
        </w:rPr>
        <w:t>资料</w:t>
      </w:r>
      <w:r>
        <w:rPr>
          <w:rFonts w:hint="eastAsia" w:ascii="宋体" w:hAnsi="宋体" w:cs="宋体"/>
          <w:bCs/>
          <w:color w:val="auto"/>
          <w:sz w:val="24"/>
          <w:highlight w:val="none"/>
          <w:lang w:val="en-US" w:eastAsia="zh-CN"/>
        </w:rPr>
        <w:t>，包括：①</w:t>
      </w:r>
      <w:r>
        <w:rPr>
          <w:rFonts w:hint="eastAsia" w:ascii="宋体" w:hAnsi="宋体" w:eastAsia="宋体" w:cs="宋体"/>
          <w:bCs/>
          <w:color w:val="auto"/>
          <w:sz w:val="24"/>
          <w:highlight w:val="none"/>
          <w:lang w:val="en-US" w:eastAsia="zh-CN"/>
        </w:rPr>
        <w:t>所有标的物的配置参数、操作说明等资料（含</w:t>
      </w:r>
      <w:r>
        <w:rPr>
          <w:rFonts w:hint="eastAsia" w:ascii="宋体" w:hAnsi="宋体" w:cs="宋体"/>
          <w:bCs/>
          <w:color w:val="auto"/>
          <w:sz w:val="24"/>
          <w:highlight w:val="none"/>
          <w:lang w:val="en-US" w:eastAsia="zh-CN"/>
        </w:rPr>
        <w:t>电子版</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；②</w:t>
      </w:r>
      <w:r>
        <w:rPr>
          <w:rFonts w:hint="eastAsia" w:ascii="宋体" w:hAnsi="宋体" w:eastAsia="宋体" w:cs="宋体"/>
          <w:bCs/>
          <w:color w:val="auto"/>
          <w:sz w:val="24"/>
          <w:highlight w:val="none"/>
          <w:lang w:val="en-US" w:eastAsia="zh-CN"/>
        </w:rPr>
        <w:t>培训用文字资料、讲义等相关用品</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含PPT讲稿或视频等</w:t>
      </w:r>
      <w:r>
        <w:rPr>
          <w:rFonts w:hint="eastAsia" w:ascii="宋体" w:hAnsi="宋体" w:cs="宋体"/>
          <w:bCs/>
          <w:color w:val="auto"/>
          <w:sz w:val="24"/>
          <w:highlight w:val="none"/>
          <w:lang w:val="en-US" w:eastAsia="zh-CN"/>
        </w:rPr>
        <w:t>电子版）</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本项目</w:t>
      </w:r>
      <w:r>
        <w:rPr>
          <w:rFonts w:hint="eastAsia" w:ascii="宋体" w:hAnsi="宋体" w:eastAsia="宋体" w:cs="宋体"/>
          <w:bCs/>
          <w:color w:val="auto"/>
          <w:sz w:val="24"/>
          <w:highlight w:val="none"/>
          <w:lang w:val="en-US" w:eastAsia="zh-CN"/>
        </w:rPr>
        <w:t>所有培训费用（含培训教材费）及</w:t>
      </w:r>
      <w:r>
        <w:rPr>
          <w:rFonts w:hint="eastAsia" w:ascii="宋体" w:hAnsi="宋体" w:cs="宋体"/>
          <w:bCs/>
          <w:color w:val="auto"/>
          <w:sz w:val="24"/>
          <w:highlight w:val="none"/>
          <w:lang w:val="en-US" w:eastAsia="zh-CN"/>
        </w:rPr>
        <w:t>与培训有关的</w:t>
      </w:r>
      <w:r>
        <w:rPr>
          <w:rFonts w:hint="eastAsia" w:ascii="宋体" w:hAnsi="宋体" w:eastAsia="宋体" w:cs="宋体"/>
          <w:bCs/>
          <w:color w:val="auto"/>
          <w:sz w:val="24"/>
          <w:highlight w:val="none"/>
          <w:lang w:val="en-US" w:eastAsia="zh-CN"/>
        </w:rPr>
        <w:t>各项支出均已包含在本次投标总价内。</w:t>
      </w:r>
    </w:p>
    <w:p w14:paraId="4D6C930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eastAsia="宋体" w:cs="宋体"/>
          <w:bCs/>
          <w:color w:val="auto"/>
          <w:sz w:val="24"/>
          <w:highlight w:val="none"/>
          <w:lang w:val="en-US" w:eastAsia="zh-CN"/>
        </w:rPr>
        <w:t>（2）中标供应商须委派经验丰富的专业技术人员开展技术培训，完成对采购人至少2名操作人员的培训</w:t>
      </w:r>
      <w:r>
        <w:rPr>
          <w:rFonts w:hint="eastAsia" w:ascii="宋体" w:hAnsi="宋体" w:cs="宋体"/>
          <w:bCs/>
          <w:color w:val="auto"/>
          <w:sz w:val="24"/>
          <w:highlight w:val="none"/>
          <w:lang w:val="en-US" w:eastAsia="zh-CN"/>
        </w:rPr>
        <w:t>工作</w:t>
      </w:r>
      <w:r>
        <w:rPr>
          <w:rFonts w:hint="eastAsia" w:ascii="宋体" w:hAnsi="宋体" w:eastAsia="宋体" w:cs="宋体"/>
          <w:bCs/>
          <w:color w:val="auto"/>
          <w:sz w:val="24"/>
          <w:highlight w:val="none"/>
          <w:lang w:val="en-US" w:eastAsia="zh-CN"/>
        </w:rPr>
        <w:t>。</w:t>
      </w:r>
    </w:p>
    <w:p w14:paraId="2C6481F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val="en-US" w:eastAsia="zh-CN"/>
        </w:rPr>
        <w:t>（3）中标供应商须提供包含培训计划、内容、课时等要素的完善培训方案，报采购人确认后实施；</w:t>
      </w:r>
      <w:r>
        <w:rPr>
          <w:rFonts w:hint="eastAsia" w:ascii="宋体" w:hAnsi="宋体" w:cs="宋体"/>
          <w:bCs/>
          <w:color w:val="auto"/>
          <w:sz w:val="24"/>
          <w:highlight w:val="none"/>
          <w:lang w:val="en-US" w:eastAsia="zh-CN"/>
        </w:rPr>
        <w:t>培训过程中，培训讲师需结合采购人实际使用场景讲解操作流程，针对参训人员提出的问题现场答疑，确保培训贴合实际使用需求。</w:t>
      </w:r>
    </w:p>
    <w:p w14:paraId="3925192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4）中标供应商须安排专业技术人员针对项目配套硬件设备的基本功能、日常使用操作及保养规范开展现场讲解培训，确保参训人员熟悉设备连接调试方法，掌握常规操作流程；针对设备常见突发故障开展专项培训，讲解故障排查思路与基础应急处理方法，保障参训人员能够准确识别故障类型，完成简单故障的现场处置。</w:t>
      </w:r>
    </w:p>
    <w:p w14:paraId="0FAD8EF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5）中标供应商须针对项目涉及的产品功能模块、操作流程、权限管理、数据导出等核心内容，开展专项实操培训，安排专人进行上机指导，辅助参训人员完成全流程操作练习，及时纠正操作误区，保障培训效果</w:t>
      </w:r>
      <w:r>
        <w:rPr>
          <w:rFonts w:hint="eastAsia" w:ascii="宋体" w:hAnsi="宋体" w:eastAsia="宋体" w:cs="宋体"/>
          <w:bCs/>
          <w:color w:val="auto"/>
          <w:sz w:val="24"/>
          <w:highlight w:val="none"/>
          <w:lang w:val="en-US" w:eastAsia="zh-CN"/>
        </w:rPr>
        <w:t>。</w:t>
      </w:r>
    </w:p>
    <w:p w14:paraId="5894DB5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（6）中标供应商须在培训结束后安排现场实操考核（如需），考核通过方可结束培训，确保参训人员能够独立完成标的物的基础操作、日常故障排查与常规维护，并配合采购人完成培训效果验收。</w:t>
      </w:r>
    </w:p>
    <w:p w14:paraId="46BF1D1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val="en-US" w:eastAsia="zh-CN"/>
        </w:rPr>
        <w:t>若</w:t>
      </w:r>
      <w:r>
        <w:rPr>
          <w:rFonts w:hint="eastAsia" w:ascii="宋体" w:hAnsi="宋体" w:cs="宋体"/>
          <w:bCs/>
          <w:color w:val="auto"/>
          <w:sz w:val="24"/>
          <w:highlight w:val="none"/>
          <w:lang w:val="en-US" w:eastAsia="zh-CN"/>
        </w:rPr>
        <w:t>未按上述要求提供培训服务</w:t>
      </w:r>
      <w:r>
        <w:rPr>
          <w:rFonts w:hint="eastAsia" w:ascii="宋体" w:hAnsi="宋体" w:eastAsia="宋体" w:cs="宋体"/>
          <w:bCs/>
          <w:color w:val="auto"/>
          <w:sz w:val="24"/>
          <w:highlight w:val="none"/>
          <w:lang w:val="en-US" w:eastAsia="zh-CN"/>
        </w:rPr>
        <w:t>，中标供应商须在采购人规定的合理期限内完成整改，整改费用由其自行承担；若中标供应商未按要求及时完成整改</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未达到整改要求、整改态度消极不配合或拒不整改的，</w:t>
      </w:r>
      <w:r>
        <w:rPr>
          <w:rFonts w:hint="eastAsia" w:ascii="宋体" w:hAnsi="宋体" w:cs="宋体"/>
          <w:bCs/>
          <w:color w:val="auto"/>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w:t>
      </w:r>
    </w:p>
    <w:p w14:paraId="6584B2A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7</w:t>
      </w:r>
      <w:r>
        <w:rPr>
          <w:rFonts w:hint="eastAsia" w:ascii="宋体" w:hAnsi="宋体" w:cs="宋体"/>
          <w:b/>
          <w:bCs w:val="0"/>
          <w:color w:val="auto"/>
          <w:sz w:val="24"/>
          <w:highlight w:val="none"/>
        </w:rPr>
        <w:t>.售后服务要求：</w:t>
      </w:r>
    </w:p>
    <w:p w14:paraId="655B970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Times New Roman"/>
          <w:color w:val="auto"/>
          <w:kern w:val="0"/>
          <w:sz w:val="24"/>
          <w:szCs w:val="18"/>
          <w:highlight w:val="none"/>
          <w:lang w:val="en-US" w:eastAsia="zh-CN"/>
        </w:rPr>
      </w:pPr>
      <w:r>
        <w:rPr>
          <w:rFonts w:hint="eastAsia" w:ascii="宋体" w:hAnsi="宋体" w:cs="Times New Roman"/>
          <w:color w:val="auto"/>
          <w:kern w:val="0"/>
          <w:sz w:val="24"/>
          <w:szCs w:val="18"/>
          <w:highlight w:val="none"/>
          <w:lang w:val="en-US" w:eastAsia="zh-CN"/>
        </w:rPr>
        <w:t>中标供应商针对本</w:t>
      </w:r>
      <w:r>
        <w:rPr>
          <w:rFonts w:hint="eastAsia" w:ascii="宋体" w:hAnsi="宋体" w:eastAsia="宋体" w:cs="Times New Roman"/>
          <w:color w:val="auto"/>
          <w:kern w:val="0"/>
          <w:sz w:val="24"/>
          <w:szCs w:val="18"/>
          <w:highlight w:val="none"/>
          <w:lang w:val="en-US" w:eastAsia="zh-CN"/>
        </w:rPr>
        <w:t>合同</w:t>
      </w:r>
      <w:r>
        <w:rPr>
          <w:rFonts w:hint="eastAsia" w:ascii="宋体" w:hAnsi="宋体" w:cs="Times New Roman"/>
          <w:color w:val="auto"/>
          <w:kern w:val="0"/>
          <w:sz w:val="24"/>
          <w:szCs w:val="18"/>
          <w:highlight w:val="none"/>
          <w:lang w:val="en-US" w:eastAsia="zh-CN"/>
        </w:rPr>
        <w:t>项下全部标的物，</w:t>
      </w:r>
      <w:r>
        <w:rPr>
          <w:rFonts w:hint="eastAsia" w:ascii="宋体" w:hAnsi="宋体" w:cs="宋体"/>
          <w:bCs/>
          <w:color w:val="auto"/>
          <w:sz w:val="24"/>
          <w:highlight w:val="none"/>
          <w:lang w:val="en-US" w:eastAsia="zh-CN"/>
        </w:rPr>
        <w:t>提供</w:t>
      </w:r>
      <w:r>
        <w:rPr>
          <w:rFonts w:hint="eastAsia" w:ascii="宋体" w:hAnsi="宋体" w:cs="宋体"/>
          <w:color w:val="auto"/>
          <w:sz w:val="24"/>
          <w:highlight w:val="none"/>
          <w:lang w:val="en-US" w:eastAsia="zh-CN"/>
        </w:rPr>
        <w:t>自交付之日起算的2年整体</w:t>
      </w:r>
      <w:r>
        <w:rPr>
          <w:rFonts w:hint="eastAsia" w:ascii="宋体" w:hAnsi="宋体" w:cs="宋体"/>
          <w:bCs/>
          <w:color w:val="auto"/>
          <w:sz w:val="24"/>
          <w:highlight w:val="none"/>
        </w:rPr>
        <w:t>免费</w:t>
      </w:r>
      <w:r>
        <w:rPr>
          <w:rFonts w:hint="eastAsia" w:ascii="宋体" w:hAnsi="宋体" w:cs="宋体"/>
          <w:color w:val="auto"/>
          <w:sz w:val="24"/>
          <w:highlight w:val="none"/>
          <w:lang w:val="en-US" w:eastAsia="zh-CN"/>
        </w:rPr>
        <w:t>质保服务</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将</w:t>
      </w:r>
      <w:r>
        <w:rPr>
          <w:rFonts w:hint="eastAsia" w:ascii="宋体" w:hAnsi="宋体" w:cs="宋体"/>
          <w:bCs/>
          <w:color w:val="auto"/>
          <w:sz w:val="24"/>
          <w:highlight w:val="none"/>
        </w:rPr>
        <w:t>依</w:t>
      </w:r>
      <w:r>
        <w:rPr>
          <w:rFonts w:hint="eastAsia" w:ascii="宋体" w:hAnsi="宋体" w:cs="宋体"/>
          <w:bCs/>
          <w:color w:val="auto"/>
          <w:sz w:val="24"/>
          <w:highlight w:val="none"/>
          <w:lang w:eastAsia="zh-CN"/>
        </w:rPr>
        <w:t>照</w:t>
      </w:r>
      <w:r>
        <w:rPr>
          <w:rFonts w:hint="eastAsia" w:ascii="宋体" w:hAnsi="宋体" w:cs="宋体"/>
          <w:bCs/>
          <w:color w:val="auto"/>
          <w:sz w:val="24"/>
          <w:highlight w:val="none"/>
        </w:rPr>
        <w:t>国家“三包服务政策（包退、包换、包修）”及</w:t>
      </w:r>
      <w:r>
        <w:rPr>
          <w:rFonts w:hint="eastAsia" w:ascii="宋体" w:hAnsi="宋体" w:cs="宋体"/>
          <w:bCs/>
          <w:color w:val="auto"/>
          <w:sz w:val="24"/>
          <w:highlight w:val="none"/>
          <w:lang w:eastAsia="zh-CN"/>
        </w:rPr>
        <w:t>设备生产厂家</w:t>
      </w:r>
      <w:r>
        <w:rPr>
          <w:rFonts w:hint="eastAsia" w:ascii="宋体" w:hAnsi="宋体" w:cs="宋体"/>
          <w:bCs/>
          <w:color w:val="auto"/>
          <w:sz w:val="24"/>
          <w:highlight w:val="none"/>
        </w:rPr>
        <w:t>相关</w:t>
      </w:r>
      <w:r>
        <w:rPr>
          <w:rFonts w:hint="eastAsia" w:ascii="宋体" w:hAnsi="宋体" w:cs="宋体"/>
          <w:bCs/>
          <w:color w:val="auto"/>
          <w:sz w:val="24"/>
          <w:highlight w:val="none"/>
          <w:lang w:eastAsia="zh-CN"/>
        </w:rPr>
        <w:t>规定</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提供</w:t>
      </w:r>
      <w:r>
        <w:rPr>
          <w:rFonts w:hint="eastAsia" w:ascii="宋体" w:hAnsi="宋体" w:cs="宋体"/>
          <w:color w:val="auto"/>
          <w:sz w:val="24"/>
          <w:szCs w:val="18"/>
          <w:highlight w:val="none"/>
          <w:lang w:val="en-US" w:eastAsia="zh-CN"/>
        </w:rPr>
        <w:t>设备</w:t>
      </w:r>
      <w:r>
        <w:rPr>
          <w:rFonts w:hint="eastAsia" w:ascii="宋体" w:hAnsi="宋体" w:cs="宋体"/>
          <w:bCs/>
          <w:color w:val="auto"/>
          <w:sz w:val="24"/>
          <w:highlight w:val="none"/>
        </w:rPr>
        <w:t>整体（含</w:t>
      </w:r>
      <w:r>
        <w:rPr>
          <w:rFonts w:hint="eastAsia" w:ascii="宋体" w:hAnsi="宋体" w:cs="宋体"/>
          <w:bCs/>
          <w:color w:val="auto"/>
          <w:sz w:val="24"/>
          <w:highlight w:val="none"/>
          <w:lang w:val="en-US" w:eastAsia="zh-CN"/>
        </w:rPr>
        <w:t>配件</w:t>
      </w:r>
      <w:r>
        <w:rPr>
          <w:rFonts w:hint="eastAsia" w:ascii="宋体" w:hAnsi="宋体" w:cs="宋体"/>
          <w:bCs/>
          <w:color w:val="auto"/>
          <w:sz w:val="24"/>
          <w:highlight w:val="none"/>
        </w:rPr>
        <w:t>）原厂免费上门保修服务</w:t>
      </w:r>
      <w:r>
        <w:rPr>
          <w:rFonts w:hint="eastAsia" w:ascii="宋体" w:hAnsi="宋体" w:eastAsia="宋体" w:cs="Times New Roman"/>
          <w:color w:val="auto"/>
          <w:kern w:val="0"/>
          <w:sz w:val="24"/>
          <w:szCs w:val="18"/>
          <w:highlight w:val="none"/>
          <w:lang w:val="en-US" w:eastAsia="zh-CN"/>
        </w:rPr>
        <w:t>，</w:t>
      </w:r>
      <w:r>
        <w:rPr>
          <w:rFonts w:hint="eastAsia" w:ascii="宋体" w:hAnsi="宋体" w:cs="Times New Roman"/>
          <w:color w:val="auto"/>
          <w:kern w:val="0"/>
          <w:sz w:val="24"/>
          <w:szCs w:val="18"/>
          <w:highlight w:val="none"/>
          <w:lang w:val="en-US" w:eastAsia="zh-CN"/>
        </w:rPr>
        <w:t>并承诺按照如下要求执行</w:t>
      </w:r>
      <w:r>
        <w:rPr>
          <w:rFonts w:hint="eastAsia" w:ascii="宋体" w:hAnsi="宋体" w:eastAsia="宋体" w:cs="Times New Roman"/>
          <w:color w:val="auto"/>
          <w:kern w:val="0"/>
          <w:sz w:val="24"/>
          <w:szCs w:val="18"/>
          <w:highlight w:val="none"/>
          <w:lang w:val="en-US" w:eastAsia="zh-CN"/>
        </w:rPr>
        <w:t>：</w:t>
      </w:r>
    </w:p>
    <w:p w14:paraId="0B97DC3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eastAsia="宋体"/>
          <w:color w:val="auto"/>
          <w:highlight w:val="none"/>
          <w:lang w:eastAsia="zh-CN"/>
        </w:rPr>
      </w:pPr>
      <w:r>
        <w:rPr>
          <w:rFonts w:hint="eastAsia" w:ascii="宋体" w:hAnsi="宋体" w:cs="宋体"/>
          <w:bCs/>
          <w:color w:val="auto"/>
          <w:sz w:val="24"/>
          <w:highlight w:val="none"/>
          <w:lang w:val="en-US" w:eastAsia="zh-CN"/>
        </w:rPr>
        <w:t>（1）向采购人提供以下资料：随</w:t>
      </w:r>
      <w:r>
        <w:rPr>
          <w:rFonts w:hint="eastAsia" w:ascii="宋体" w:hAnsi="宋体" w:cs="宋体"/>
          <w:color w:val="auto"/>
          <w:sz w:val="24"/>
          <w:szCs w:val="18"/>
          <w:highlight w:val="none"/>
          <w:lang w:val="en-US" w:eastAsia="zh-CN"/>
        </w:rPr>
        <w:t>设备</w:t>
      </w:r>
      <w:r>
        <w:rPr>
          <w:rFonts w:hint="eastAsia" w:ascii="宋体" w:hAnsi="宋体" w:cs="宋体"/>
          <w:bCs/>
          <w:color w:val="auto"/>
          <w:sz w:val="24"/>
          <w:highlight w:val="none"/>
          <w:lang w:val="en-US" w:eastAsia="zh-CN"/>
        </w:rPr>
        <w:t>免费配备的配件清单（含易损易耗件、备品备件）；质保服务内容及相关承诺；响应时间与故障解决时限；质保期满后主要配件（含易损易耗件、备品备件）的报价。同时须</w:t>
      </w:r>
      <w:r>
        <w:rPr>
          <w:rFonts w:hint="eastAsia" w:ascii="宋体" w:hAnsi="宋体" w:cs="宋体"/>
          <w:color w:val="auto"/>
          <w:sz w:val="24"/>
          <w:szCs w:val="18"/>
          <w:highlight w:val="none"/>
          <w:lang w:val="en-US" w:eastAsia="zh-CN"/>
        </w:rPr>
        <w:t>承诺，质保期满后提供终身技术支持、指导及优惠维修服务，保障采购人能及时采购所需</w:t>
      </w:r>
      <w:r>
        <w:rPr>
          <w:rFonts w:hint="eastAsia" w:ascii="宋体" w:hAnsi="宋体" w:cs="宋体"/>
          <w:bCs/>
          <w:color w:val="auto"/>
          <w:sz w:val="24"/>
          <w:highlight w:val="none"/>
          <w:lang w:val="en-US" w:eastAsia="zh-CN"/>
        </w:rPr>
        <w:t>配件（含易损易耗件、备品备件）</w:t>
      </w:r>
      <w:r>
        <w:rPr>
          <w:rFonts w:hint="eastAsia" w:ascii="宋体" w:hAnsi="宋体" w:cs="宋体"/>
          <w:color w:val="auto"/>
          <w:sz w:val="24"/>
          <w:szCs w:val="18"/>
          <w:highlight w:val="none"/>
          <w:lang w:val="en-US" w:eastAsia="zh-CN"/>
        </w:rPr>
        <w:t>；质保期满后的设备维修仅收取材料成本费，维修工时费终身全免。</w:t>
      </w:r>
    </w:p>
    <w:p w14:paraId="56857F3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免费质保期内，若</w:t>
      </w:r>
      <w:r>
        <w:rPr>
          <w:rFonts w:hint="eastAsia" w:ascii="宋体" w:hAnsi="宋体" w:cs="宋体"/>
          <w:color w:val="auto"/>
          <w:sz w:val="24"/>
          <w:szCs w:val="18"/>
          <w:highlight w:val="none"/>
          <w:lang w:val="en-US" w:eastAsia="zh-CN"/>
        </w:rPr>
        <w:t>设备</w:t>
      </w:r>
      <w:r>
        <w:rPr>
          <w:rFonts w:hint="eastAsia" w:ascii="宋体" w:hAnsi="宋体" w:cs="宋体"/>
          <w:bCs/>
          <w:color w:val="auto"/>
          <w:sz w:val="24"/>
          <w:highlight w:val="none"/>
          <w:lang w:val="en-US" w:eastAsia="zh-CN"/>
        </w:rPr>
        <w:t>出现质量问题，中标供应商须在接到报修通知后2小时内响应并抵达现场，于4小时内排除故障；如遇紧急情况，须严格按照采购人规定的时限完成故障处理。若无法排除故障，须提供同规格可用产品或可行解决方案供采购人临时使用，直至故障解决。如需更换设备或送修，中标供应商须在48小时内完成相关工作，更换或送修期间对采购人造成的相关损失等全部费用，均由中标供应商承担。</w:t>
      </w:r>
    </w:p>
    <w:p w14:paraId="305841A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en-US" w:eastAsia="zh-CN"/>
        </w:rPr>
        <w:t>（3）免费质保期内，除人为损坏及不可抗力因素外，所有设备质量问题的维修（包括设备整体更换、配件更换、返厂保修等）及配套服务所产生的费用均由中标供应商承担，且须</w:t>
      </w:r>
      <w:r>
        <w:rPr>
          <w:rFonts w:hint="eastAsia" w:ascii="宋体" w:hAnsi="宋体" w:cs="宋体"/>
          <w:color w:val="auto"/>
          <w:sz w:val="24"/>
          <w:szCs w:val="18"/>
          <w:highlight w:val="none"/>
          <w:lang w:val="en-US" w:eastAsia="zh-CN"/>
        </w:rPr>
        <w:t>免费修复至设备原始性能要求</w:t>
      </w:r>
      <w:r>
        <w:rPr>
          <w:rFonts w:hint="eastAsia" w:ascii="宋体" w:hAnsi="宋体" w:cs="宋体"/>
          <w:bCs/>
          <w:color w:val="auto"/>
          <w:sz w:val="24"/>
          <w:highlight w:val="none"/>
          <w:lang w:val="en-US" w:eastAsia="zh-CN"/>
        </w:rPr>
        <w:t>。</w:t>
      </w:r>
    </w:p>
    <w:p w14:paraId="37C1387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en-US" w:eastAsia="zh-CN"/>
        </w:rPr>
        <w:t>（4）免费质保期内</w:t>
      </w:r>
      <w:r>
        <w:rPr>
          <w:rFonts w:hint="eastAsia" w:ascii="宋体" w:hAnsi="宋体" w:cs="宋体"/>
          <w:color w:val="auto"/>
          <w:sz w:val="24"/>
          <w:szCs w:val="18"/>
          <w:highlight w:val="none"/>
          <w:lang w:val="en-US" w:eastAsia="zh-CN"/>
        </w:rPr>
        <w:t>，若经确认设备故障系出厂缺陷导致，且已完成保修，则该设备的免费质保期自保修后恢复正常工作之日起重新计算；</w:t>
      </w:r>
      <w:r>
        <w:rPr>
          <w:rFonts w:hint="eastAsia" w:ascii="宋体" w:hAnsi="宋体" w:eastAsia="宋体" w:cs="Times New Roman"/>
          <w:color w:val="auto"/>
          <w:kern w:val="0"/>
          <w:sz w:val="24"/>
          <w:szCs w:val="18"/>
          <w:highlight w:val="none"/>
          <w:lang w:val="en-US" w:eastAsia="zh-CN"/>
        </w:rPr>
        <w:t>若因更换、修理或续补货物导致</w:t>
      </w:r>
      <w:r>
        <w:rPr>
          <w:rFonts w:hint="eastAsia" w:ascii="宋体" w:hAnsi="宋体" w:cs="Times New Roman"/>
          <w:color w:val="auto"/>
          <w:kern w:val="0"/>
          <w:sz w:val="24"/>
          <w:szCs w:val="18"/>
          <w:highlight w:val="none"/>
          <w:lang w:val="en-US" w:eastAsia="zh-CN"/>
        </w:rPr>
        <w:t>设备</w:t>
      </w:r>
      <w:r>
        <w:rPr>
          <w:rFonts w:hint="eastAsia" w:ascii="宋体" w:hAnsi="宋体" w:eastAsia="宋体" w:cs="Times New Roman"/>
          <w:color w:val="auto"/>
          <w:kern w:val="0"/>
          <w:sz w:val="24"/>
          <w:szCs w:val="18"/>
          <w:highlight w:val="none"/>
          <w:lang w:val="en-US" w:eastAsia="zh-CN"/>
        </w:rPr>
        <w:t>停止运行，</w:t>
      </w:r>
      <w:r>
        <w:rPr>
          <w:rFonts w:hint="eastAsia" w:ascii="宋体" w:hAnsi="宋体" w:cs="宋体"/>
          <w:color w:val="auto"/>
          <w:sz w:val="24"/>
          <w:szCs w:val="18"/>
          <w:highlight w:val="none"/>
          <w:lang w:val="en-US" w:eastAsia="zh-CN"/>
        </w:rPr>
        <w:t>则该设备的免费质保期</w:t>
      </w:r>
      <w:r>
        <w:rPr>
          <w:rFonts w:hint="eastAsia" w:ascii="宋体" w:hAnsi="宋体" w:eastAsia="宋体" w:cs="Times New Roman"/>
          <w:color w:val="auto"/>
          <w:kern w:val="0"/>
          <w:sz w:val="24"/>
          <w:szCs w:val="18"/>
          <w:highlight w:val="none"/>
          <w:lang w:val="en-US" w:eastAsia="zh-CN"/>
        </w:rPr>
        <w:t>应当按照实际停止运行的时长相应延长。</w:t>
      </w:r>
    </w:p>
    <w:p w14:paraId="1FF7B0D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中标供应商在提供售后服务过程中，所需人员、车辆、工具、耗材及仪表等</w:t>
      </w:r>
      <w:r>
        <w:rPr>
          <w:rFonts w:hint="eastAsia" w:ascii="宋体" w:hAnsi="宋体" w:cs="宋体"/>
          <w:bCs/>
          <w:color w:val="auto"/>
          <w:sz w:val="24"/>
          <w:highlight w:val="none"/>
          <w:lang w:eastAsia="zh-CN"/>
        </w:rPr>
        <w:t>均由其</w:t>
      </w:r>
      <w:r>
        <w:rPr>
          <w:rFonts w:hint="eastAsia" w:ascii="宋体" w:hAnsi="宋体" w:cs="宋体"/>
          <w:bCs/>
          <w:color w:val="auto"/>
          <w:sz w:val="24"/>
          <w:highlight w:val="none"/>
        </w:rPr>
        <w:t>自行准备</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相关</w:t>
      </w:r>
      <w:r>
        <w:rPr>
          <w:rFonts w:hint="eastAsia" w:ascii="宋体" w:hAnsi="宋体" w:cs="宋体"/>
          <w:bCs/>
          <w:color w:val="auto"/>
          <w:sz w:val="24"/>
          <w:highlight w:val="none"/>
          <w:lang w:val="en-US" w:eastAsia="zh-CN"/>
        </w:rPr>
        <w:t>费用</w:t>
      </w:r>
      <w:r>
        <w:rPr>
          <w:rFonts w:hint="eastAsia" w:ascii="宋体" w:hAnsi="宋体" w:cs="宋体"/>
          <w:bCs/>
          <w:color w:val="auto"/>
          <w:sz w:val="24"/>
          <w:highlight w:val="none"/>
        </w:rPr>
        <w:t>自行承担。</w:t>
      </w:r>
    </w:p>
    <w:p w14:paraId="4570237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lang w:eastAsia="zh-CN"/>
        </w:rPr>
        <w:t>）免费质保期内，中标供应商须每半年安排专人上门对货物进行免费巡检，排查潜在故障隐患，并向采购人提交书面巡检报告；若发现问题须立即进行现场维修处理，相关费用仍由中标供应商承担。</w:t>
      </w:r>
    </w:p>
    <w:p w14:paraId="3EB36E1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lang w:eastAsia="zh-CN"/>
        </w:rPr>
        <w:t>）免费质保期内，中标供应商须安排固定专人作为本项目的售后服务对接人，提供7</w:t>
      </w:r>
      <w:r>
        <w:rPr>
          <w:rFonts w:hint="eastAsia" w:ascii="宋体" w:hAnsi="宋体" w:cs="宋体"/>
          <w:bCs/>
          <w:color w:val="auto"/>
          <w:sz w:val="24"/>
          <w:highlight w:val="none"/>
          <w:lang w:val="en-US" w:eastAsia="zh-CN"/>
        </w:rPr>
        <w:t>*</w:t>
      </w:r>
      <w:r>
        <w:rPr>
          <w:rFonts w:hint="eastAsia" w:ascii="宋体" w:hAnsi="宋体" w:cs="宋体"/>
          <w:bCs/>
          <w:color w:val="auto"/>
          <w:sz w:val="24"/>
          <w:highlight w:val="none"/>
          <w:lang w:eastAsia="zh-CN"/>
        </w:rPr>
        <w:t>24小时可接通的联系方式，若对接人发生变更须提前15个工作日书面告知采购人。</w:t>
      </w:r>
    </w:p>
    <w:p w14:paraId="7FFD721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免费质保期届满后</w:t>
      </w:r>
      <w:r>
        <w:rPr>
          <w:rFonts w:hint="eastAsia" w:ascii="宋体" w:hAnsi="宋体" w:eastAsia="宋体" w:cs="Times New Roman"/>
          <w:color w:val="auto"/>
          <w:kern w:val="0"/>
          <w:sz w:val="24"/>
          <w:szCs w:val="18"/>
          <w:highlight w:val="none"/>
          <w:lang w:val="en-US" w:eastAsia="zh-CN"/>
        </w:rPr>
        <w:t>，若</w:t>
      </w:r>
      <w:r>
        <w:rPr>
          <w:rFonts w:hint="eastAsia" w:ascii="宋体" w:hAnsi="宋体" w:cs="Times New Roman"/>
          <w:color w:val="auto"/>
          <w:kern w:val="0"/>
          <w:sz w:val="24"/>
          <w:szCs w:val="18"/>
          <w:highlight w:val="none"/>
          <w:lang w:val="en-US" w:eastAsia="zh-CN"/>
        </w:rPr>
        <w:t>设备因</w:t>
      </w:r>
      <w:r>
        <w:rPr>
          <w:rFonts w:hint="eastAsia" w:ascii="宋体" w:hAnsi="宋体" w:eastAsia="宋体" w:cs="Times New Roman"/>
          <w:color w:val="auto"/>
          <w:kern w:val="0"/>
          <w:sz w:val="24"/>
          <w:szCs w:val="18"/>
          <w:highlight w:val="none"/>
          <w:lang w:val="en-US" w:eastAsia="zh-CN"/>
        </w:rPr>
        <w:t>硬件或软件的固有缺陷与瑕疵突发紧急故障，</w:t>
      </w:r>
      <w:r>
        <w:rPr>
          <w:rFonts w:hint="eastAsia" w:ascii="宋体" w:hAnsi="宋体" w:cs="Times New Roman"/>
          <w:color w:val="auto"/>
          <w:kern w:val="0"/>
          <w:sz w:val="24"/>
          <w:szCs w:val="18"/>
          <w:highlight w:val="none"/>
          <w:lang w:val="en-US" w:eastAsia="zh-CN"/>
        </w:rPr>
        <w:t>中标供应商应</w:t>
      </w:r>
      <w:r>
        <w:rPr>
          <w:rFonts w:hint="eastAsia" w:ascii="宋体" w:hAnsi="宋体" w:eastAsia="宋体" w:cs="Times New Roman"/>
          <w:color w:val="auto"/>
          <w:kern w:val="0"/>
          <w:sz w:val="24"/>
          <w:szCs w:val="18"/>
          <w:highlight w:val="none"/>
          <w:lang w:val="en-US" w:eastAsia="zh-CN"/>
        </w:rPr>
        <w:t>在接到</w:t>
      </w:r>
      <w:r>
        <w:rPr>
          <w:rFonts w:hint="eastAsia" w:ascii="宋体" w:hAnsi="宋体" w:cs="Times New Roman"/>
          <w:color w:val="auto"/>
          <w:kern w:val="0"/>
          <w:sz w:val="24"/>
          <w:szCs w:val="18"/>
          <w:highlight w:val="none"/>
          <w:lang w:val="en-US" w:eastAsia="zh-CN"/>
        </w:rPr>
        <w:t>采购人</w:t>
      </w:r>
      <w:r>
        <w:rPr>
          <w:rFonts w:hint="eastAsia" w:ascii="宋体" w:hAnsi="宋体" w:eastAsia="宋体" w:cs="Times New Roman"/>
          <w:color w:val="auto"/>
          <w:kern w:val="0"/>
          <w:sz w:val="24"/>
          <w:szCs w:val="18"/>
          <w:highlight w:val="none"/>
          <w:lang w:val="en-US" w:eastAsia="zh-CN"/>
        </w:rPr>
        <w:t>通知后立即提供电话支持与远程协助，并按照</w:t>
      </w:r>
      <w:r>
        <w:rPr>
          <w:rFonts w:hint="eastAsia" w:ascii="宋体" w:hAnsi="宋体" w:cs="Times New Roman"/>
          <w:color w:val="auto"/>
          <w:kern w:val="0"/>
          <w:sz w:val="24"/>
          <w:szCs w:val="18"/>
          <w:highlight w:val="none"/>
          <w:lang w:val="en-US" w:eastAsia="zh-CN"/>
        </w:rPr>
        <w:t>采购人要求的</w:t>
      </w:r>
      <w:r>
        <w:rPr>
          <w:rFonts w:hint="eastAsia" w:ascii="宋体" w:hAnsi="宋体" w:eastAsia="宋体" w:cs="Times New Roman"/>
          <w:color w:val="auto"/>
          <w:kern w:val="0"/>
          <w:sz w:val="24"/>
          <w:szCs w:val="18"/>
          <w:highlight w:val="none"/>
          <w:lang w:val="en-US" w:eastAsia="zh-CN"/>
        </w:rPr>
        <w:t>时限抵达现场，尽快完成故障排查修复</w:t>
      </w:r>
      <w:r>
        <w:rPr>
          <w:rFonts w:hint="eastAsia" w:ascii="宋体" w:hAnsi="宋体" w:cs="Times New Roman"/>
          <w:color w:val="auto"/>
          <w:kern w:val="0"/>
          <w:sz w:val="24"/>
          <w:szCs w:val="18"/>
          <w:highlight w:val="none"/>
          <w:lang w:val="en-US" w:eastAsia="zh-CN"/>
        </w:rPr>
        <w:t>（包括</w:t>
      </w:r>
      <w:r>
        <w:rPr>
          <w:rFonts w:hint="eastAsia" w:ascii="宋体" w:hAnsi="宋体" w:cs="宋体"/>
          <w:bCs/>
          <w:color w:val="auto"/>
          <w:sz w:val="24"/>
          <w:highlight w:val="none"/>
          <w:lang w:val="en-US" w:eastAsia="zh-CN"/>
        </w:rPr>
        <w:t>回厂返修</w:t>
      </w:r>
      <w:r>
        <w:rPr>
          <w:rFonts w:hint="eastAsia" w:ascii="宋体" w:hAnsi="宋体" w:cs="Times New Roman"/>
          <w:color w:val="auto"/>
          <w:kern w:val="0"/>
          <w:sz w:val="24"/>
          <w:szCs w:val="18"/>
          <w:highlight w:val="none"/>
          <w:lang w:val="en-US" w:eastAsia="zh-CN"/>
        </w:rPr>
        <w:t>），相关费用由中标供应商承担；若故障无法解决，中标供应商须负责</w:t>
      </w:r>
      <w:r>
        <w:rPr>
          <w:rFonts w:hint="eastAsia" w:ascii="宋体" w:hAnsi="宋体" w:cs="宋体"/>
          <w:bCs/>
          <w:color w:val="auto"/>
          <w:sz w:val="24"/>
          <w:highlight w:val="none"/>
          <w:lang w:val="en-US" w:eastAsia="zh-CN"/>
        </w:rPr>
        <w:t>更换设备，相关费用由双方另行协商（旧设备可按折旧抵扣，中标供应商须承诺回收旧设备，新设备须给予优惠，价格不得高于本次中标单价）</w:t>
      </w:r>
      <w:r>
        <w:rPr>
          <w:rFonts w:hint="eastAsia" w:ascii="宋体" w:hAnsi="宋体" w:eastAsia="宋体" w:cs="Times New Roman"/>
          <w:color w:val="auto"/>
          <w:kern w:val="0"/>
          <w:sz w:val="24"/>
          <w:szCs w:val="18"/>
          <w:highlight w:val="none"/>
          <w:lang w:val="en-US" w:eastAsia="zh-CN"/>
        </w:rPr>
        <w:t>。</w:t>
      </w:r>
    </w:p>
    <w:p w14:paraId="20E3CEB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本合同约定的免费质保期届满后，</w:t>
      </w:r>
      <w:r>
        <w:rPr>
          <w:rFonts w:hint="eastAsia" w:ascii="宋体" w:hAnsi="宋体" w:cs="Times New Roman"/>
          <w:color w:val="auto"/>
          <w:kern w:val="0"/>
          <w:sz w:val="24"/>
          <w:szCs w:val="18"/>
          <w:highlight w:val="none"/>
          <w:lang w:val="en-US" w:eastAsia="zh-CN"/>
        </w:rPr>
        <w:t>中标供应商</w:t>
      </w:r>
      <w:r>
        <w:rPr>
          <w:rFonts w:hint="eastAsia" w:ascii="宋体" w:hAnsi="宋体" w:eastAsia="宋体" w:cs="Times New Roman"/>
          <w:color w:val="auto"/>
          <w:kern w:val="0"/>
          <w:sz w:val="24"/>
          <w:szCs w:val="18"/>
          <w:highlight w:val="none"/>
          <w:lang w:val="en-US" w:eastAsia="zh-CN"/>
        </w:rPr>
        <w:t>仍须为</w:t>
      </w:r>
      <w:r>
        <w:rPr>
          <w:rFonts w:hint="eastAsia" w:ascii="宋体" w:hAnsi="宋体" w:cs="Times New Roman"/>
          <w:color w:val="auto"/>
          <w:kern w:val="0"/>
          <w:sz w:val="24"/>
          <w:szCs w:val="18"/>
          <w:highlight w:val="none"/>
          <w:lang w:val="en-US" w:eastAsia="zh-CN"/>
        </w:rPr>
        <w:t>采购人持续</w:t>
      </w:r>
      <w:r>
        <w:rPr>
          <w:rFonts w:hint="eastAsia" w:ascii="宋体" w:hAnsi="宋体" w:eastAsia="宋体" w:cs="Times New Roman"/>
          <w:color w:val="auto"/>
          <w:kern w:val="0"/>
          <w:sz w:val="24"/>
          <w:szCs w:val="18"/>
          <w:highlight w:val="none"/>
          <w:lang w:val="en-US" w:eastAsia="zh-CN"/>
        </w:rPr>
        <w:t>提供设备维修</w:t>
      </w:r>
      <w:r>
        <w:rPr>
          <w:rFonts w:hint="eastAsia" w:ascii="宋体" w:hAnsi="宋体" w:cs="Times New Roman"/>
          <w:color w:val="auto"/>
          <w:kern w:val="0"/>
          <w:sz w:val="24"/>
          <w:szCs w:val="18"/>
          <w:highlight w:val="none"/>
          <w:lang w:val="en-US" w:eastAsia="zh-CN"/>
        </w:rPr>
        <w:t>、技术支持与指导</w:t>
      </w:r>
      <w:r>
        <w:rPr>
          <w:rFonts w:hint="eastAsia" w:ascii="宋体" w:hAnsi="宋体" w:eastAsia="宋体" w:cs="Times New Roman"/>
          <w:color w:val="auto"/>
          <w:kern w:val="0"/>
          <w:sz w:val="24"/>
          <w:szCs w:val="18"/>
          <w:highlight w:val="none"/>
          <w:lang w:val="en-US" w:eastAsia="zh-CN"/>
        </w:rPr>
        <w:t>服务，</w:t>
      </w:r>
      <w:r>
        <w:rPr>
          <w:rFonts w:hint="eastAsia" w:ascii="宋体" w:hAnsi="宋体" w:cs="Times New Roman"/>
          <w:color w:val="auto"/>
          <w:kern w:val="0"/>
          <w:sz w:val="24"/>
          <w:szCs w:val="18"/>
          <w:highlight w:val="none"/>
          <w:lang w:val="en-US" w:eastAsia="zh-CN"/>
        </w:rPr>
        <w:t>采购人</w:t>
      </w:r>
      <w:r>
        <w:rPr>
          <w:rFonts w:hint="eastAsia" w:ascii="宋体" w:hAnsi="宋体" w:eastAsia="宋体" w:cs="Times New Roman"/>
          <w:color w:val="auto"/>
          <w:kern w:val="0"/>
          <w:sz w:val="24"/>
          <w:szCs w:val="18"/>
          <w:highlight w:val="none"/>
          <w:lang w:val="en-US" w:eastAsia="zh-CN"/>
        </w:rPr>
        <w:t>将按照</w:t>
      </w:r>
      <w:r>
        <w:rPr>
          <w:rFonts w:hint="eastAsia" w:ascii="宋体" w:hAnsi="宋体" w:cs="Times New Roman"/>
          <w:color w:val="auto"/>
          <w:kern w:val="0"/>
          <w:sz w:val="24"/>
          <w:szCs w:val="18"/>
          <w:highlight w:val="none"/>
          <w:lang w:val="en-US" w:eastAsia="zh-CN"/>
        </w:rPr>
        <w:t>中标供应商</w:t>
      </w:r>
      <w:r>
        <w:rPr>
          <w:rFonts w:hint="eastAsia" w:ascii="宋体" w:hAnsi="宋体" w:eastAsia="宋体" w:cs="Times New Roman"/>
          <w:color w:val="auto"/>
          <w:kern w:val="0"/>
          <w:sz w:val="24"/>
          <w:szCs w:val="18"/>
          <w:highlight w:val="none"/>
          <w:lang w:val="en-US" w:eastAsia="zh-CN"/>
        </w:rPr>
        <w:t>给出的不低于其他第三方的优惠价格支付相关费用；同时</w:t>
      </w:r>
      <w:r>
        <w:rPr>
          <w:rFonts w:hint="eastAsia" w:ascii="宋体" w:hAnsi="宋体" w:cs="Times New Roman"/>
          <w:color w:val="auto"/>
          <w:kern w:val="0"/>
          <w:sz w:val="24"/>
          <w:szCs w:val="18"/>
          <w:highlight w:val="none"/>
          <w:lang w:val="en-US" w:eastAsia="zh-CN"/>
        </w:rPr>
        <w:t>中标供应商</w:t>
      </w:r>
      <w:r>
        <w:rPr>
          <w:rFonts w:hint="eastAsia" w:ascii="宋体" w:hAnsi="宋体" w:eastAsia="宋体" w:cs="Times New Roman"/>
          <w:color w:val="auto"/>
          <w:kern w:val="0"/>
          <w:sz w:val="24"/>
          <w:szCs w:val="18"/>
          <w:highlight w:val="none"/>
          <w:lang w:val="en-US" w:eastAsia="zh-CN"/>
        </w:rPr>
        <w:t>保证，在本合同货物的全使用周期内，向</w:t>
      </w:r>
      <w:r>
        <w:rPr>
          <w:rFonts w:hint="eastAsia" w:ascii="宋体" w:hAnsi="宋体" w:cs="Times New Roman"/>
          <w:color w:val="auto"/>
          <w:kern w:val="0"/>
          <w:sz w:val="24"/>
          <w:szCs w:val="18"/>
          <w:highlight w:val="none"/>
          <w:lang w:val="en-US" w:eastAsia="zh-CN"/>
        </w:rPr>
        <w:t>采购人</w:t>
      </w:r>
      <w:r>
        <w:rPr>
          <w:rFonts w:hint="eastAsia" w:ascii="宋体" w:hAnsi="宋体" w:eastAsia="宋体" w:cs="Times New Roman"/>
          <w:color w:val="auto"/>
          <w:kern w:val="0"/>
          <w:sz w:val="24"/>
          <w:szCs w:val="18"/>
          <w:highlight w:val="none"/>
          <w:lang w:val="en-US" w:eastAsia="zh-CN"/>
        </w:rPr>
        <w:t>提供备品、备件及维修服务的价格不高于本合同约定的货物、相关配件及服务价格，且不低于给予任何第三方的优惠价格。</w:t>
      </w:r>
    </w:p>
    <w:p w14:paraId="112CE36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若</w:t>
      </w:r>
      <w:r>
        <w:rPr>
          <w:rFonts w:hint="eastAsia" w:ascii="宋体" w:hAnsi="宋体" w:cs="宋体"/>
          <w:bCs/>
          <w:color w:val="auto"/>
          <w:sz w:val="24"/>
          <w:highlight w:val="none"/>
          <w:lang w:val="en-US" w:eastAsia="zh-CN"/>
        </w:rPr>
        <w:t>中标供应商未按上述（1）-（8）项要求提供售后服务</w:t>
      </w:r>
      <w:r>
        <w:rPr>
          <w:rFonts w:hint="eastAsia" w:ascii="宋体" w:hAnsi="宋体" w:eastAsia="宋体" w:cs="宋体"/>
          <w:bCs/>
          <w:color w:val="auto"/>
          <w:sz w:val="24"/>
          <w:highlight w:val="none"/>
          <w:lang w:val="en-US" w:eastAsia="zh-CN"/>
        </w:rPr>
        <w:t>，须在采购人规定的合理期限内完成整改，整改费用由其自行承担；若中标供应商未按要求及时完成整改</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未达到整改要求、整改态度消极不配合或是拒不整改，</w:t>
      </w:r>
      <w:r>
        <w:rPr>
          <w:rFonts w:hint="eastAsia" w:ascii="宋体" w:hAnsi="宋体" w:cs="宋体"/>
          <w:bCs/>
          <w:color w:val="auto"/>
          <w:sz w:val="24"/>
          <w:highlight w:val="none"/>
          <w:lang w:val="en-US" w:eastAsia="zh-CN"/>
        </w:rPr>
        <w:t>须向采购人支付合同总价30%的违约金，采购人有权终止合同，也可在必要时委派第三方开展</w:t>
      </w:r>
      <w:r>
        <w:rPr>
          <w:rFonts w:hint="eastAsia" w:ascii="宋体" w:hAnsi="宋体" w:eastAsia="宋体" w:cs="Times New Roman"/>
          <w:color w:val="auto"/>
          <w:kern w:val="0"/>
          <w:sz w:val="24"/>
          <w:szCs w:val="18"/>
          <w:highlight w:val="none"/>
          <w:lang w:val="en-US" w:eastAsia="zh-CN"/>
        </w:rPr>
        <w:t>维修或提供技术服务</w:t>
      </w:r>
      <w:r>
        <w:rPr>
          <w:rFonts w:hint="eastAsia" w:ascii="宋体" w:hAnsi="宋体" w:cs="Times New Roman"/>
          <w:color w:val="auto"/>
          <w:kern w:val="0"/>
          <w:sz w:val="24"/>
          <w:szCs w:val="18"/>
          <w:highlight w:val="none"/>
          <w:lang w:val="en-US" w:eastAsia="zh-CN"/>
        </w:rPr>
        <w:t>，</w:t>
      </w:r>
      <w:r>
        <w:rPr>
          <w:rFonts w:hint="eastAsia" w:ascii="宋体" w:hAnsi="宋体" w:eastAsia="宋体" w:cs="Times New Roman"/>
          <w:color w:val="auto"/>
          <w:kern w:val="0"/>
          <w:sz w:val="24"/>
          <w:szCs w:val="18"/>
          <w:highlight w:val="none"/>
          <w:lang w:val="en-US" w:eastAsia="zh-CN"/>
        </w:rPr>
        <w:t>由此产生的全部费用由</w:t>
      </w:r>
      <w:r>
        <w:rPr>
          <w:rFonts w:hint="eastAsia" w:ascii="宋体" w:hAnsi="宋体" w:cs="Times New Roman"/>
          <w:color w:val="auto"/>
          <w:kern w:val="0"/>
          <w:sz w:val="24"/>
          <w:szCs w:val="18"/>
          <w:highlight w:val="none"/>
          <w:lang w:val="en-US" w:eastAsia="zh-CN"/>
        </w:rPr>
        <w:t>中标供应商</w:t>
      </w:r>
      <w:r>
        <w:rPr>
          <w:rFonts w:hint="eastAsia" w:ascii="宋体" w:hAnsi="宋体" w:eastAsia="宋体" w:cs="Times New Roman"/>
          <w:color w:val="auto"/>
          <w:kern w:val="0"/>
          <w:sz w:val="24"/>
          <w:szCs w:val="18"/>
          <w:highlight w:val="none"/>
          <w:lang w:val="en-US" w:eastAsia="zh-CN"/>
        </w:rPr>
        <w:t>承担</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；采购人同时有权不再支付合同相应款项，不予退还履约保证金，追究中标供应商的相关经济与法律责任，中标供应商须退还采购人已支付的全部款项，还可提请相关监督管理部门依法处理</w:t>
      </w:r>
      <w:r>
        <w:rPr>
          <w:rFonts w:hint="eastAsia" w:ascii="宋体" w:hAnsi="宋体" w:eastAsia="宋体" w:cs="宋体"/>
          <w:bCs/>
          <w:color w:val="auto"/>
          <w:sz w:val="24"/>
          <w:highlight w:val="none"/>
          <w:lang w:val="en-US" w:eastAsia="zh-CN"/>
        </w:rPr>
        <w:t>。</w:t>
      </w:r>
    </w:p>
    <w:p w14:paraId="25D6B10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highlight w:val="none"/>
          <w:lang w:eastAsia="zh-CN"/>
        </w:rPr>
      </w:pP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.出现以下情形之一的，采购人有权</w:t>
      </w:r>
      <w:r>
        <w:rPr>
          <w:rFonts w:hint="eastAsia" w:ascii="宋体" w:hAnsi="宋体" w:cs="宋体"/>
          <w:b/>
          <w:color w:val="auto"/>
          <w:sz w:val="24"/>
          <w:highlight w:val="none"/>
          <w:lang w:val="en-US" w:eastAsia="zh-CN"/>
        </w:rPr>
        <w:t>终止</w:t>
      </w:r>
      <w:r>
        <w:rPr>
          <w:rFonts w:hint="eastAsia" w:ascii="宋体" w:hAnsi="宋体" w:cs="宋体"/>
          <w:b/>
          <w:color w:val="auto"/>
          <w:sz w:val="24"/>
          <w:highlight w:val="none"/>
        </w:rPr>
        <w:t>合同</w:t>
      </w:r>
      <w:r>
        <w:rPr>
          <w:rFonts w:hint="eastAsia" w:ascii="宋体" w:hAnsi="宋体" w:cs="宋体"/>
          <w:b/>
          <w:color w:val="auto"/>
          <w:sz w:val="24"/>
          <w:highlight w:val="none"/>
          <w:lang w:eastAsia="zh-CN"/>
        </w:rPr>
        <w:t>：</w:t>
      </w:r>
    </w:p>
    <w:p w14:paraId="2CEE121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 w:val="0"/>
          <w:bCs/>
          <w:color w:val="auto"/>
          <w:sz w:val="24"/>
          <w:highlight w:val="none"/>
        </w:rPr>
        <w:t>（1）合同履行期间，采购人有权对中标供应商提供的货物</w:t>
      </w:r>
      <w:r>
        <w:rPr>
          <w:rFonts w:hint="eastAsia" w:ascii="宋体" w:hAnsi="宋体" w:cs="宋体"/>
          <w:b w:val="0"/>
          <w:bCs/>
          <w:color w:val="auto"/>
          <w:sz w:val="24"/>
          <w:highlight w:val="none"/>
          <w:lang w:eastAsia="zh-CN"/>
        </w:rPr>
        <w:t>开展</w:t>
      </w:r>
      <w:r>
        <w:rPr>
          <w:rFonts w:hint="eastAsia" w:ascii="宋体" w:hAnsi="宋体" w:cs="宋体"/>
          <w:b w:val="0"/>
          <w:bCs/>
          <w:color w:val="auto"/>
          <w:sz w:val="24"/>
          <w:highlight w:val="none"/>
        </w:rPr>
        <w:t>随机破坏性试验。若发现实物材质与清单描述不符，</w:t>
      </w:r>
      <w:r>
        <w:rPr>
          <w:rFonts w:hint="eastAsia" w:ascii="宋体" w:hAnsi="宋体" w:eastAsia="宋体" w:cs="宋体"/>
          <w:bCs/>
          <w:color w:val="auto"/>
          <w:sz w:val="24"/>
          <w:highlight w:val="none"/>
          <w:lang w:val="en-US" w:eastAsia="zh-CN"/>
        </w:rPr>
        <w:t>中标供应商须在采购人规定的合理期限内完成整改，整改费用由其自行承担；若中标供应商未按要求及时完成整改且影响整体履约期限的，除承担相应的逾期违约金外，还须按每日2000元的标准向采购人额外支付违约金；逾期超过7日仍未达到整改要求、整改态度消极不配合或拒不整改的，</w:t>
      </w:r>
      <w:r>
        <w:rPr>
          <w:rFonts w:hint="eastAsia" w:ascii="宋体" w:hAnsi="宋体" w:cs="宋体"/>
          <w:bCs/>
          <w:color w:val="auto"/>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。若对验收结果存在质疑，以相关质量技术检验检测机构出具的检验结果为准；如产生检验费用，由过失方承担。</w:t>
      </w:r>
    </w:p>
    <w:p w14:paraId="76F78BA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val="0"/>
          <w:bCs/>
          <w:color w:val="auto"/>
          <w:sz w:val="24"/>
          <w:highlight w:val="none"/>
        </w:rPr>
      </w:pPr>
      <w:r>
        <w:rPr>
          <w:rFonts w:hint="eastAsia" w:ascii="宋体" w:hAnsi="宋体" w:cs="宋体"/>
          <w:b w:val="0"/>
          <w:bCs/>
          <w:color w:val="auto"/>
          <w:sz w:val="24"/>
          <w:highlight w:val="none"/>
        </w:rPr>
        <w:t>（2）中标供应商所供货物须符合采购文件及投标文件约定的实际参数。货物运抵场地后，采购人有权委托第三方法定检验机构</w:t>
      </w:r>
      <w:r>
        <w:rPr>
          <w:rFonts w:hint="eastAsia" w:ascii="宋体" w:hAnsi="宋体" w:cs="宋体"/>
          <w:b w:val="0"/>
          <w:bCs/>
          <w:color w:val="auto"/>
          <w:sz w:val="24"/>
          <w:highlight w:val="none"/>
          <w:lang w:eastAsia="zh-CN"/>
        </w:rPr>
        <w:t>进行</w:t>
      </w:r>
      <w:r>
        <w:rPr>
          <w:rFonts w:hint="eastAsia" w:ascii="宋体" w:hAnsi="宋体" w:cs="宋体"/>
          <w:b w:val="0"/>
          <w:bCs/>
          <w:color w:val="auto"/>
          <w:sz w:val="24"/>
          <w:highlight w:val="none"/>
        </w:rPr>
        <w:t>抽样检测并出具书面报告。若检测不达标（包括实际供货参数与承诺不符、检测指标不合格等</w:t>
      </w:r>
      <w:r>
        <w:rPr>
          <w:rFonts w:hint="eastAsia" w:ascii="宋体" w:hAnsi="宋体" w:cs="宋体"/>
          <w:b w:val="0"/>
          <w:bCs/>
          <w:color w:val="auto"/>
          <w:sz w:val="24"/>
          <w:highlight w:val="none"/>
          <w:lang w:eastAsia="zh-CN"/>
        </w:rPr>
        <w:t>情形</w:t>
      </w:r>
      <w:r>
        <w:rPr>
          <w:rFonts w:hint="eastAsia" w:ascii="宋体" w:hAnsi="宋体" w:cs="宋体"/>
          <w:b w:val="0"/>
          <w:bCs/>
          <w:color w:val="auto"/>
          <w:sz w:val="24"/>
          <w:highlight w:val="none"/>
        </w:rPr>
        <w:t>），</w:t>
      </w:r>
      <w:r>
        <w:rPr>
          <w:rFonts w:hint="eastAsia" w:ascii="宋体" w:hAnsi="宋体" w:eastAsia="宋体" w:cs="宋体"/>
          <w:bCs/>
          <w:color w:val="auto"/>
          <w:sz w:val="24"/>
          <w:highlight w:val="none"/>
          <w:lang w:val="en-US" w:eastAsia="zh-CN"/>
        </w:rPr>
        <w:t>中标供应商须在采购人规定的合理期限内完成整改，整改费用由其自行承担；若中标供应商未按要求及时完成整改且影响整体履约期限的，除承担相应的逾期违约金外，还须按每日2000元的标准向采购人额外支付违约金；逾期超过7日仍未达到整改要求、整改态度消极不配合或拒不整改的，</w:t>
      </w:r>
      <w:r>
        <w:rPr>
          <w:rFonts w:hint="eastAsia" w:ascii="宋体" w:hAnsi="宋体" w:cs="宋体"/>
          <w:bCs/>
          <w:color w:val="auto"/>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。若对验收结果存在质疑，以相关质量技术检验检测机构出具的检验结果为准；如产生检验费用，由过失方承担。</w:t>
      </w:r>
    </w:p>
    <w:p w14:paraId="602963B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9</w:t>
      </w:r>
      <w:r>
        <w:rPr>
          <w:rFonts w:hint="eastAsia" w:ascii="宋体" w:hAnsi="宋体" w:cs="宋体"/>
          <w:b/>
          <w:bCs w:val="0"/>
          <w:color w:val="auto"/>
          <w:highlight w:val="none"/>
        </w:rPr>
        <w:t>.</w:t>
      </w:r>
      <w:r>
        <w:rPr>
          <w:rFonts w:hint="eastAsia" w:ascii="宋体" w:hAnsi="宋体" w:cs="宋体"/>
          <w:b/>
          <w:bCs w:val="0"/>
          <w:color w:val="auto"/>
          <w:sz w:val="24"/>
          <w:highlight w:val="none"/>
        </w:rPr>
        <w:t>包装要求：</w:t>
      </w:r>
    </w:p>
    <w:p w14:paraId="2E4C3C5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en-US" w:eastAsia="zh-CN"/>
        </w:rPr>
        <w:t>（1）中标供应商</w:t>
      </w:r>
      <w:r>
        <w:rPr>
          <w:rFonts w:hint="eastAsia" w:ascii="宋体" w:hAnsi="宋体" w:eastAsia="宋体" w:cs="Times New Roman"/>
          <w:color w:val="auto"/>
          <w:kern w:val="0"/>
          <w:sz w:val="24"/>
          <w:szCs w:val="18"/>
          <w:highlight w:val="none"/>
          <w:lang w:val="en-US" w:eastAsia="zh-CN"/>
        </w:rPr>
        <w:t>交付的全部合同</w:t>
      </w:r>
      <w:r>
        <w:rPr>
          <w:rFonts w:hint="eastAsia" w:ascii="宋体" w:hAnsi="宋体" w:cs="Times New Roman"/>
          <w:color w:val="auto"/>
          <w:kern w:val="0"/>
          <w:sz w:val="24"/>
          <w:szCs w:val="18"/>
          <w:highlight w:val="none"/>
          <w:lang w:val="en-US" w:eastAsia="zh-CN"/>
        </w:rPr>
        <w:t>标的物，</w:t>
      </w:r>
      <w:r>
        <w:rPr>
          <w:rFonts w:hint="eastAsia" w:ascii="宋体" w:hAnsi="宋体" w:cs="宋体"/>
          <w:bCs/>
          <w:color w:val="auto"/>
          <w:sz w:val="24"/>
          <w:highlight w:val="none"/>
          <w:lang w:val="en-US" w:eastAsia="zh-CN"/>
        </w:rPr>
        <w:t>必须符合国家相关产品包装标准，</w:t>
      </w:r>
      <w:r>
        <w:rPr>
          <w:rFonts w:hint="eastAsia" w:ascii="宋体" w:hAnsi="宋体" w:eastAsia="宋体" w:cs="Times New Roman"/>
          <w:color w:val="auto"/>
          <w:kern w:val="0"/>
          <w:sz w:val="24"/>
          <w:szCs w:val="18"/>
          <w:highlight w:val="none"/>
          <w:lang w:val="en-US" w:eastAsia="zh-CN"/>
        </w:rPr>
        <w:t>采用满足运输要求的坚固包装</w:t>
      </w:r>
      <w:r>
        <w:rPr>
          <w:rFonts w:hint="eastAsia" w:ascii="宋体" w:hAnsi="宋体" w:cs="宋体"/>
          <w:bCs/>
          <w:color w:val="auto"/>
          <w:sz w:val="24"/>
          <w:highlight w:val="none"/>
          <w:lang w:val="en-US" w:eastAsia="zh-CN"/>
        </w:rPr>
        <w:t>，落实防腐、防潮、防震、防锈、防破损、防磕碰、防静电、防火等防护措施，适应长途运输、多次搬运及装卸作业需求，确保产品在运输和存储过程中完好无损，</w:t>
      </w:r>
      <w:r>
        <w:rPr>
          <w:rFonts w:hint="eastAsia" w:ascii="宋体" w:hAnsi="宋体" w:eastAsia="宋体" w:cs="Times New Roman"/>
          <w:color w:val="auto"/>
          <w:kern w:val="0"/>
          <w:sz w:val="24"/>
          <w:szCs w:val="18"/>
          <w:highlight w:val="none"/>
          <w:lang w:val="en-US" w:eastAsia="zh-CN"/>
        </w:rPr>
        <w:t>安全送达</w:t>
      </w:r>
      <w:r>
        <w:rPr>
          <w:rFonts w:hint="eastAsia" w:ascii="宋体" w:hAnsi="宋体" w:cs="Times New Roman"/>
          <w:color w:val="auto"/>
          <w:kern w:val="0"/>
          <w:sz w:val="24"/>
          <w:szCs w:val="18"/>
          <w:highlight w:val="none"/>
          <w:lang w:val="en-US" w:eastAsia="zh-CN"/>
        </w:rPr>
        <w:t>采购人指定的交货地点</w:t>
      </w:r>
      <w:r>
        <w:rPr>
          <w:rFonts w:hint="eastAsia" w:ascii="宋体" w:hAnsi="宋体" w:cs="宋体"/>
          <w:bCs/>
          <w:color w:val="auto"/>
          <w:sz w:val="24"/>
          <w:highlight w:val="none"/>
          <w:lang w:val="en-US" w:eastAsia="zh-CN"/>
        </w:rPr>
        <w:t>。</w:t>
      </w:r>
    </w:p>
    <w:p w14:paraId="3840207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若项目涉及多个分项产品，中标供应商应按不同分项分别包装，方便采购人清点核对及后期安装作业。</w:t>
      </w:r>
    </w:p>
    <w:p w14:paraId="7305D0B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（3）包装应采用不易褪色的油漆标注醒目的中文标识，清晰标注</w:t>
      </w:r>
      <w:r>
        <w:rPr>
          <w:rFonts w:hint="default" w:ascii="宋体" w:hAnsi="宋体" w:cs="宋体"/>
          <w:bCs/>
          <w:color w:val="auto"/>
          <w:sz w:val="24"/>
          <w:highlight w:val="none"/>
          <w:lang w:val="en-US" w:eastAsia="zh-CN"/>
        </w:rPr>
        <w:t>货物名称</w:t>
      </w:r>
      <w:r>
        <w:rPr>
          <w:rFonts w:hint="eastAsia" w:ascii="宋体" w:hAnsi="宋体" w:cs="宋体"/>
          <w:bCs/>
          <w:color w:val="auto"/>
          <w:sz w:val="24"/>
          <w:highlight w:val="none"/>
          <w:lang w:val="en-US" w:eastAsia="zh-CN"/>
        </w:rPr>
        <w:t>、规格型号（主要信息）、生产厂家、生产日期、执行标准、发货单位、发货单位详细地址，以及相应警示标识：包括“勿倒置”“小心轻放”“防潮”等警示标志，同时标注“重心”等供装卸搬运使用的通用标识图案，方便开展装卸搬运作业；如采用集装箱装运，还应额外标注</w:t>
      </w:r>
      <w:r>
        <w:rPr>
          <w:rFonts w:hint="default" w:ascii="宋体" w:hAnsi="宋体" w:cs="宋体"/>
          <w:bCs/>
          <w:color w:val="auto"/>
          <w:sz w:val="24"/>
          <w:highlight w:val="none"/>
          <w:lang w:val="en-US" w:eastAsia="zh-CN"/>
        </w:rPr>
        <w:t>箱号/件号</w:t>
      </w:r>
      <w:r>
        <w:rPr>
          <w:rFonts w:hint="eastAsia" w:ascii="宋体" w:hAnsi="宋体" w:cs="宋体"/>
          <w:bCs/>
          <w:color w:val="auto"/>
          <w:sz w:val="24"/>
          <w:highlight w:val="none"/>
          <w:lang w:val="en-US" w:eastAsia="zh-CN"/>
        </w:rPr>
        <w:t>、</w:t>
      </w:r>
      <w:r>
        <w:rPr>
          <w:rFonts w:hint="default" w:ascii="宋体" w:hAnsi="宋体" w:cs="宋体"/>
          <w:bCs/>
          <w:color w:val="auto"/>
          <w:sz w:val="24"/>
          <w:highlight w:val="none"/>
          <w:lang w:val="en-US" w:eastAsia="zh-CN"/>
        </w:rPr>
        <w:t>毛重（千克）</w:t>
      </w:r>
      <w:r>
        <w:rPr>
          <w:rFonts w:hint="eastAsia" w:ascii="宋体" w:hAnsi="宋体" w:cs="宋体"/>
          <w:bCs/>
          <w:color w:val="auto"/>
          <w:sz w:val="24"/>
          <w:highlight w:val="none"/>
          <w:lang w:val="en-US" w:eastAsia="zh-CN"/>
        </w:rPr>
        <w:t>、</w:t>
      </w:r>
      <w:r>
        <w:rPr>
          <w:rFonts w:hint="default" w:ascii="宋体" w:hAnsi="宋体" w:cs="宋体"/>
          <w:bCs/>
          <w:color w:val="auto"/>
          <w:sz w:val="24"/>
          <w:highlight w:val="none"/>
          <w:lang w:val="en-US" w:eastAsia="zh-CN"/>
        </w:rPr>
        <w:t>尺寸（长×宽×高）</w:t>
      </w:r>
      <w:r>
        <w:rPr>
          <w:rFonts w:hint="eastAsia" w:ascii="宋体" w:hAnsi="宋体" w:cs="宋体"/>
          <w:bCs/>
          <w:color w:val="auto"/>
          <w:sz w:val="24"/>
          <w:highlight w:val="none"/>
          <w:lang w:val="en-US" w:eastAsia="zh-CN"/>
        </w:rPr>
        <w:t>。</w:t>
      </w:r>
    </w:p>
    <w:p w14:paraId="0D61364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（4）原厂原包装产品需保留完整原厂包装，</w:t>
      </w:r>
      <w:r>
        <w:rPr>
          <w:rFonts w:hint="default" w:ascii="宋体" w:hAnsi="宋体" w:eastAsia="宋体" w:cs="Times New Roman"/>
          <w:color w:val="auto"/>
          <w:kern w:val="0"/>
          <w:sz w:val="24"/>
          <w:szCs w:val="18"/>
          <w:highlight w:val="none"/>
          <w:lang w:val="en-US" w:eastAsia="zh-CN"/>
        </w:rPr>
        <w:t>装箱</w:t>
      </w:r>
      <w:r>
        <w:rPr>
          <w:rFonts w:hint="eastAsia" w:ascii="宋体" w:hAnsi="宋体" w:cs="Times New Roman"/>
          <w:color w:val="auto"/>
          <w:kern w:val="0"/>
          <w:sz w:val="24"/>
          <w:szCs w:val="18"/>
          <w:highlight w:val="none"/>
          <w:lang w:val="en-US" w:eastAsia="zh-CN"/>
        </w:rPr>
        <w:t>清单（含货物名称、数量、规格型号、配件清单等）、完整</w:t>
      </w:r>
      <w:r>
        <w:rPr>
          <w:rFonts w:hint="eastAsia" w:ascii="宋体" w:hAnsi="宋体" w:cs="宋体"/>
          <w:bCs/>
          <w:color w:val="auto"/>
          <w:sz w:val="24"/>
          <w:highlight w:val="none"/>
          <w:lang w:val="en-US" w:eastAsia="zh-CN"/>
        </w:rPr>
        <w:t>配件、</w:t>
      </w:r>
      <w:r>
        <w:rPr>
          <w:rFonts w:hint="eastAsia" w:ascii="宋体" w:hAnsi="宋体" w:eastAsia="宋体" w:cs="宋体"/>
          <w:bCs/>
          <w:color w:val="auto"/>
          <w:sz w:val="24"/>
          <w:highlight w:val="none"/>
          <w:lang w:val="en-US" w:eastAsia="zh-CN"/>
        </w:rPr>
        <w:t>原厂质保承诺</w:t>
      </w:r>
      <w:r>
        <w:rPr>
          <w:rFonts w:hint="eastAsia" w:ascii="宋体" w:hAnsi="宋体" w:cs="宋体"/>
          <w:bCs/>
          <w:color w:val="auto"/>
          <w:sz w:val="24"/>
          <w:highlight w:val="none"/>
          <w:lang w:val="en-US" w:eastAsia="zh-CN"/>
        </w:rPr>
        <w:t>（如需）</w:t>
      </w:r>
      <w:r>
        <w:rPr>
          <w:rFonts w:hint="eastAsia" w:ascii="宋体" w:hAnsi="宋体" w:eastAsia="宋体" w:cs="宋体"/>
          <w:bCs/>
          <w:color w:val="auto"/>
          <w:sz w:val="24"/>
          <w:highlight w:val="none"/>
          <w:lang w:val="en-US" w:eastAsia="zh-CN"/>
        </w:rPr>
        <w:t>、原厂保修证明</w:t>
      </w:r>
      <w:r>
        <w:rPr>
          <w:rFonts w:hint="eastAsia" w:ascii="宋体" w:hAnsi="宋体" w:cs="宋体"/>
          <w:bCs/>
          <w:color w:val="auto"/>
          <w:sz w:val="24"/>
          <w:highlight w:val="none"/>
          <w:lang w:val="en-US" w:eastAsia="zh-CN"/>
        </w:rPr>
        <w:t>（书）</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产品</w:t>
      </w:r>
      <w:r>
        <w:rPr>
          <w:rFonts w:hint="eastAsia" w:ascii="宋体" w:hAnsi="宋体" w:eastAsia="宋体" w:cs="宋体"/>
          <w:bCs/>
          <w:color w:val="auto"/>
          <w:sz w:val="24"/>
          <w:highlight w:val="none"/>
          <w:lang w:val="en-US" w:eastAsia="zh-CN"/>
        </w:rPr>
        <w:t>使用说明、</w:t>
      </w:r>
      <w:r>
        <w:rPr>
          <w:rFonts w:hint="default" w:ascii="宋体" w:hAnsi="宋体" w:eastAsia="宋体" w:cs="Times New Roman"/>
          <w:color w:val="auto"/>
          <w:kern w:val="0"/>
          <w:sz w:val="24"/>
          <w:szCs w:val="18"/>
          <w:highlight w:val="none"/>
          <w:lang w:val="en-US" w:eastAsia="zh-CN"/>
        </w:rPr>
        <w:t>质量合格证书</w:t>
      </w:r>
      <w:r>
        <w:rPr>
          <w:rFonts w:hint="eastAsia" w:ascii="宋体" w:hAnsi="宋体" w:eastAsia="宋体" w:cs="宋体"/>
          <w:bCs/>
          <w:color w:val="auto"/>
          <w:sz w:val="24"/>
          <w:highlight w:val="none"/>
          <w:lang w:val="en-US" w:eastAsia="zh-CN"/>
        </w:rPr>
        <w:t>、检测报告</w:t>
      </w:r>
      <w:r>
        <w:rPr>
          <w:rFonts w:hint="eastAsia" w:ascii="宋体" w:hAnsi="宋体" w:cs="宋体"/>
          <w:bCs/>
          <w:color w:val="auto"/>
          <w:sz w:val="24"/>
          <w:highlight w:val="none"/>
          <w:lang w:val="en-US" w:eastAsia="zh-CN"/>
        </w:rPr>
        <w:t>等资料须随包装完整交付。</w:t>
      </w:r>
    </w:p>
    <w:p w14:paraId="15199AE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若中标供应商</w:t>
      </w:r>
      <w:r>
        <w:rPr>
          <w:rFonts w:hint="eastAsia" w:ascii="宋体" w:hAnsi="宋体" w:eastAsia="宋体" w:cs="Times New Roman"/>
          <w:color w:val="auto"/>
          <w:kern w:val="0"/>
          <w:sz w:val="24"/>
          <w:szCs w:val="18"/>
          <w:highlight w:val="none"/>
          <w:lang w:val="en-US" w:eastAsia="zh-CN"/>
        </w:rPr>
        <w:t>交付的</w:t>
      </w:r>
      <w:r>
        <w:rPr>
          <w:rFonts w:hint="eastAsia" w:ascii="宋体" w:hAnsi="宋体" w:cs="Times New Roman"/>
          <w:color w:val="auto"/>
          <w:kern w:val="0"/>
          <w:sz w:val="24"/>
          <w:szCs w:val="18"/>
          <w:highlight w:val="none"/>
          <w:lang w:val="en-US" w:eastAsia="zh-CN"/>
        </w:rPr>
        <w:t>货物未达到前述包装要求</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须在采购人规定的合理期限内完成整改</w:t>
      </w:r>
      <w:r>
        <w:rPr>
          <w:rFonts w:hint="eastAsia" w:ascii="宋体" w:hAnsi="宋体" w:cs="宋体"/>
          <w:bCs/>
          <w:color w:val="auto"/>
          <w:sz w:val="24"/>
          <w:highlight w:val="none"/>
          <w:lang w:val="en-US" w:eastAsia="zh-CN"/>
        </w:rPr>
        <w:t>；若整改涉及货物修理，</w:t>
      </w:r>
      <w:r>
        <w:rPr>
          <w:rFonts w:hint="eastAsia" w:ascii="宋体" w:hAnsi="宋体" w:cs="Times New Roman"/>
          <w:color w:val="auto"/>
          <w:kern w:val="0"/>
          <w:sz w:val="24"/>
          <w:szCs w:val="18"/>
          <w:highlight w:val="none"/>
          <w:lang w:val="en-US" w:eastAsia="zh-CN"/>
        </w:rPr>
        <w:t>须保证货物性能符合出厂合格标准，且需征得采购人同意</w:t>
      </w:r>
      <w:r>
        <w:rPr>
          <w:rFonts w:hint="eastAsia" w:ascii="宋体" w:hAnsi="宋体" w:eastAsia="宋体" w:cs="宋体"/>
          <w:bCs/>
          <w:color w:val="auto"/>
          <w:sz w:val="24"/>
          <w:highlight w:val="none"/>
          <w:lang w:val="en-US" w:eastAsia="zh-CN"/>
        </w:rPr>
        <w:t>，整改费用由中标供应商自行承担。若中标供应商未按要求及时完成整改，影响整体履约期限的，除承担相应逾期违约金外，还须按每日2000元的标准向采购人额外支付违约金；逾期超过7日仍未达到整改要求，或是整改态度消极不配合、拒不整改的，</w:t>
      </w:r>
      <w:r>
        <w:rPr>
          <w:rFonts w:hint="eastAsia" w:ascii="宋体" w:hAnsi="宋体" w:cs="宋体"/>
          <w:bCs/>
          <w:color w:val="auto"/>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；采购人有权终止合同，不再支付合同相应款项，且不予退还履约保证金，同时追究中标供应商的相关经济与法律责任，中标供应商须退还采购人已支付的全部款项，采购人也可提请相关监督管理部门依法处理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。若对验收结果存在质疑，以相关质量技术检验检测机构出具的检验结果为准；由此产生的检验费用，由过失方承担</w:t>
      </w:r>
      <w:r>
        <w:rPr>
          <w:rFonts w:hint="eastAsia" w:ascii="宋体" w:hAnsi="宋体" w:cs="宋体"/>
          <w:bCs/>
          <w:color w:val="auto"/>
          <w:sz w:val="24"/>
          <w:highlight w:val="none"/>
          <w:lang w:val="en-US" w:eastAsia="zh-CN"/>
        </w:rPr>
        <w:t>。</w:t>
      </w:r>
    </w:p>
    <w:p w14:paraId="43EE3D0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10</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eastAsia="zh-CN"/>
        </w:rPr>
        <w:t>存放</w:t>
      </w:r>
      <w:r>
        <w:rPr>
          <w:rFonts w:hint="eastAsia" w:ascii="宋体" w:hAnsi="宋体" w:cs="宋体"/>
          <w:b/>
          <w:bCs w:val="0"/>
          <w:color w:val="auto"/>
          <w:sz w:val="24"/>
          <w:highlight w:val="none"/>
        </w:rPr>
        <w:t>和保护：</w:t>
      </w:r>
    </w:p>
    <w:p w14:paraId="725F134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项目最终验收合格并完成交付前，所有设备（包括配件及工具）的存放保管以及现场保护工作由乙方负责。乙方须避免设备和现场发生任何形式的损坏，同时严格执行国家及当地政府关于安全保卫、环保、治安、防火、防盗、防汛、防台风和文明施工的各项要求，由此产生的全部费用由乙方承担。若在此期间发生设备损坏、丢失，或是作业现场原有设施设备、地面墙面、顶面等被破坏的情况，乙方负责整改，包括补齐、更换设备或将现场修复至原状，并自行承担由此产生的全部费用。</w:t>
      </w:r>
    </w:p>
    <w:p w14:paraId="734302D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2.乙方需根据各类设备材料（包括配件及工具）的不同存放要求，提供符合规范的存放条件，落实防水、防火、防尘、防潮、防撞击、防变形、防盗、防恶意破坏、防损耗、防腐蚀等防护工作。</w:t>
      </w:r>
    </w:p>
    <w:p w14:paraId="3DB0828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3.若中标供应商需在采购人指定场地存放物资，须提前服从采购人的现场管理安排，遵守场地安全管理相关规定，不得违规占用非指定区域存放物资。</w:t>
      </w:r>
    </w:p>
    <w:p w14:paraId="2BD91D7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若未按上述要求提供存放和保护工作，中标供应商须在采购人规定的合理期限内完成整改，整改费用由其自行承担；若中标供应商未按要求及时完成整改，影响整体履约期限，除承担相应逾期违约金外，还须按每日2000元的标准向采购人额外支付违约金；逾期超过7日仍未达到整改要求，或是整改态度消极不配合、拒不整改的，须向采购人支付合同总价30%的违约金，若因此给采购人造成损失，中标供应商还须赔偿相应损失；采购人有权终止合同，不再支付合同相应款项，不予退还履约保证金，同时追究中标供应商的相关经济与法律责任，中标供应商须退还采购人已支付的全部款项，采购人也可提请相关监督管理部门依法处理。若对验收结果存在质疑，以相关质量技术检验检测机构出具的检验结果为准，由此产生的检验费用由过失方承担。</w:t>
      </w:r>
    </w:p>
    <w:p w14:paraId="48B74F68">
      <w:pPr>
        <w:keepNext w:val="0"/>
        <w:keepLines w:val="0"/>
        <w:pageBreakBefore w:val="0"/>
        <w:widowControl w:val="0"/>
        <w:numPr>
          <w:ilvl w:val="0"/>
          <w:numId w:val="0"/>
        </w:numPr>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Cs/>
          <w:color w:val="auto"/>
          <w:sz w:val="24"/>
          <w:highlight w:val="none"/>
        </w:rPr>
      </w:pPr>
      <w:r>
        <w:rPr>
          <w:rFonts w:hint="eastAsia" w:ascii="宋体" w:hAnsi="宋体" w:cs="宋体"/>
          <w:b/>
          <w:bCs w:val="0"/>
          <w:color w:val="auto"/>
          <w:sz w:val="24"/>
          <w:highlight w:val="none"/>
          <w:lang w:val="en-US" w:eastAsia="zh-CN"/>
        </w:rPr>
        <w:t>11.</w:t>
      </w:r>
      <w:r>
        <w:rPr>
          <w:rFonts w:hint="eastAsia" w:ascii="宋体" w:hAnsi="宋体" w:cs="宋体"/>
          <w:b/>
          <w:bCs w:val="0"/>
          <w:color w:val="auto"/>
          <w:sz w:val="24"/>
          <w:highlight w:val="none"/>
        </w:rPr>
        <w:t>系统兼容及对接：</w:t>
      </w:r>
    </w:p>
    <w:p w14:paraId="6E3895E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中标供应商应确保项目各系统、设备之间的整体兼容性，包括与</w:t>
      </w:r>
      <w:r>
        <w:rPr>
          <w:rFonts w:hint="eastAsia" w:ascii="宋体" w:hAnsi="宋体" w:cs="宋体"/>
          <w:bCs/>
          <w:color w:val="auto"/>
          <w:sz w:val="24"/>
          <w:highlight w:val="none"/>
          <w:lang w:eastAsia="zh-CN"/>
        </w:rPr>
        <w:t>采购人</w:t>
      </w:r>
      <w:r>
        <w:rPr>
          <w:rFonts w:hint="eastAsia" w:ascii="宋体" w:hAnsi="宋体" w:cs="宋体"/>
          <w:bCs/>
          <w:color w:val="auto"/>
          <w:sz w:val="24"/>
          <w:highlight w:val="none"/>
        </w:rPr>
        <w:t>原有系统及设备（如有）的兼容，并能按照采购人要求对接相关平台或中心。</w:t>
      </w:r>
      <w:r>
        <w:rPr>
          <w:rFonts w:hint="eastAsia" w:ascii="宋体" w:hAnsi="宋体" w:cs="宋体"/>
          <w:bCs/>
          <w:color w:val="auto"/>
          <w:sz w:val="24"/>
          <w:highlight w:val="none"/>
          <w:lang w:val="en-US" w:eastAsia="zh-CN"/>
        </w:rPr>
        <w:t>若因所供标的物不符合要求导致无法兼容或无缝对接，</w:t>
      </w:r>
      <w:r>
        <w:rPr>
          <w:rFonts w:hint="eastAsia" w:ascii="宋体" w:hAnsi="宋体" w:eastAsia="宋体" w:cs="宋体"/>
          <w:bCs/>
          <w:color w:val="auto"/>
          <w:sz w:val="24"/>
          <w:highlight w:val="none"/>
          <w:lang w:val="en-US" w:eastAsia="zh-CN"/>
        </w:rPr>
        <w:t>中标供应商须在采购人规定的合理期限内完成整改，整改费用由其自行承担；若中标供应商未按要求及时完成整改</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未达到整改要求、整改态度消极不配合或拒不整改，</w:t>
      </w:r>
      <w:r>
        <w:rPr>
          <w:rFonts w:hint="eastAsia" w:ascii="宋体" w:hAnsi="宋体" w:cs="宋体"/>
          <w:bCs/>
          <w:color w:val="auto"/>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w:t>
      </w:r>
    </w:p>
    <w:p w14:paraId="315407B6">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 xml:space="preserve">（三）其他有关说明： </w:t>
      </w:r>
    </w:p>
    <w:p w14:paraId="7E204849">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1.投标报价为投标供应商实现合同目的所需的全部费用，合同采用固定单价计费方式，投标人所报综合单价涵盖货物及其配件</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不得低于原厂配置标准，确保采购人无需另行购置其他配件即可正常使用货物</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的</w:t>
      </w:r>
      <w:r>
        <w:rPr>
          <w:rFonts w:hint="eastAsia" w:ascii="宋体" w:hAnsi="宋体" w:cs="宋体"/>
          <w:bCs/>
          <w:color w:val="auto"/>
          <w:sz w:val="24"/>
          <w:highlight w:val="none"/>
        </w:rPr>
        <w:t>购置费（或生产制作费）、包装、运杂、保险、现场保管、指定卸货地点装卸费、安装调试及措施费（包括安全文明施工、登高作业、为达到安装条件所需进行的打洞、开孔、基础施工、线路改造、成品保护</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电源接线</w:t>
      </w:r>
      <w:r>
        <w:rPr>
          <w:rFonts w:hint="eastAsia" w:ascii="宋体" w:hAnsi="宋体" w:cs="宋体"/>
          <w:bCs/>
          <w:color w:val="auto"/>
          <w:sz w:val="24"/>
          <w:highlight w:val="none"/>
        </w:rPr>
        <w:t>等）、对接测试、试运行调试、检验检测、技术培训、售后服务以及企业管理费、利润、税金等，包含项目正式履约至交付及质保期内的所有费用。</w:t>
      </w:r>
    </w:p>
    <w:p w14:paraId="1EA82CD7">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2.项目履约过程中，若经双方确认，需要对设备的技术参数、性能、功能等内容进行调整时，若调整后的方案优于原方案，相关成本费用由采购人承担，中标供应商不得从中赚取利润，也不得拒绝或拖延提供服务；若调整后的方案劣于原方案，由双方协商调整本次中标单价，调整后的单价原则上不得高于原中标单价。</w:t>
      </w:r>
    </w:p>
    <w:p w14:paraId="168980F0">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.投标供应商须在满足采购文件要求的前提下报价，如有技术偏离，应在投标偏离表中说明（不得出现“负偏离”）。</w:t>
      </w:r>
    </w:p>
    <w:p w14:paraId="2CF588BA">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.知识产权保护：中标供应商对其所销售的货物应当享有知识产权或经权利人合法授权，保证没有侵犯任何第三人的知识产权等权利。</w:t>
      </w:r>
      <w:bookmarkStart w:id="134" w:name="_Hlk163047038"/>
      <w:r>
        <w:rPr>
          <w:rFonts w:hint="eastAsia" w:ascii="宋体" w:hAnsi="宋体" w:cs="宋体"/>
          <w:bCs/>
          <w:color w:val="auto"/>
          <w:sz w:val="24"/>
          <w:highlight w:val="none"/>
        </w:rPr>
        <w:t>因违反前述约定对第三人构成侵权的，应当由中标供应商向第三人承担法律责任；采购人依法向第三人赔偿后，有权向中标供应商追偿。采购人有其他损失的，中标供应商应当赔偿</w:t>
      </w:r>
      <w:bookmarkEnd w:id="134"/>
      <w:r>
        <w:rPr>
          <w:rFonts w:hint="eastAsia" w:ascii="宋体" w:hAnsi="宋体" w:cs="宋体"/>
          <w:bCs/>
          <w:color w:val="auto"/>
          <w:sz w:val="24"/>
          <w:highlight w:val="none"/>
        </w:rPr>
        <w:t>。</w:t>
      </w:r>
    </w:p>
    <w:p w14:paraId="65C3291A">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保密义务：采购人及中标供应商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p>
    <w:p w14:paraId="3BE88587">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.本项目由无锡市惠山区洛社镇人民政府（采购人）负责采购及合同签订，实际使用单位为无锡市惠山区洛社镇</w:t>
      </w:r>
      <w:r>
        <w:rPr>
          <w:rFonts w:hint="eastAsia" w:ascii="宋体" w:hAnsi="宋体" w:cs="宋体"/>
          <w:color w:val="auto"/>
          <w:sz w:val="24"/>
          <w:highlight w:val="none"/>
        </w:rPr>
        <w:t>石塘湾消防站</w:t>
      </w:r>
      <w:r>
        <w:rPr>
          <w:rFonts w:hint="eastAsia" w:ascii="宋体" w:hAnsi="宋体" w:cs="宋体"/>
          <w:bCs/>
          <w:color w:val="auto"/>
          <w:sz w:val="24"/>
          <w:highlight w:val="none"/>
        </w:rPr>
        <w:t>。供应商中标后，</w:t>
      </w:r>
      <w:r>
        <w:rPr>
          <w:rFonts w:hint="eastAsia" w:ascii="宋体" w:hAnsi="宋体" w:cs="宋体"/>
          <w:bCs/>
          <w:color w:val="auto"/>
          <w:sz w:val="24"/>
          <w:highlight w:val="none"/>
          <w:lang w:eastAsia="zh-CN"/>
        </w:rPr>
        <w:t>应按</w:t>
      </w:r>
      <w:r>
        <w:rPr>
          <w:rFonts w:hint="eastAsia" w:ascii="宋体" w:hAnsi="宋体" w:cs="宋体"/>
          <w:bCs/>
          <w:color w:val="auto"/>
          <w:sz w:val="24"/>
          <w:highlight w:val="none"/>
        </w:rPr>
        <w:t>合同约定向实际使用单位提供相应货物及服务，确保所供货物及服务的质量与履约时效。供应商应主动与使用单位对接，明确具体需求，积极配合完成供货任务，不得推诿或延迟履行合同义务。</w:t>
      </w:r>
    </w:p>
    <w:p w14:paraId="20FB75BB">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rPr>
          <w:rFonts w:hint="eastAsia" w:ascii="宋体" w:hAnsi="宋体" w:cs="宋体"/>
          <w:b/>
          <w:color w:val="auto"/>
          <w:sz w:val="24"/>
          <w:highlight w:val="none"/>
        </w:rPr>
      </w:pPr>
      <w:r>
        <w:rPr>
          <w:rFonts w:hint="eastAsia" w:ascii="宋体" w:hAnsi="宋体" w:cs="宋体"/>
          <w:b/>
          <w:color w:val="auto"/>
          <w:sz w:val="24"/>
          <w:highlight w:val="none"/>
        </w:rPr>
        <w:t>（四）付款方式：</w:t>
      </w:r>
    </w:p>
    <w:p w14:paraId="5E431F6E">
      <w:pPr>
        <w:keepNext w:val="0"/>
        <w:keepLines w:val="0"/>
        <w:pageBreakBefore w:val="0"/>
        <w:widowControl w:val="0"/>
        <w:shd w:val="clear" w:color="auto" w:fill="FFFFFF"/>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lang w:eastAsia="zh-CN"/>
        </w:rPr>
        <w:t>合同签订后，货物全部到达现场并完成安装调试，经</w:t>
      </w:r>
      <w:r>
        <w:rPr>
          <w:rFonts w:hint="eastAsia" w:ascii="宋体" w:hAnsi="宋体" w:cs="宋体"/>
          <w:b/>
          <w:color w:val="auto"/>
          <w:sz w:val="24"/>
          <w:highlight w:val="none"/>
          <w:lang w:val="en-US" w:eastAsia="zh-CN"/>
        </w:rPr>
        <w:t>采购人</w:t>
      </w:r>
      <w:r>
        <w:rPr>
          <w:rFonts w:hint="eastAsia" w:ascii="宋体" w:hAnsi="宋体" w:cs="宋体"/>
          <w:b/>
          <w:color w:val="auto"/>
          <w:sz w:val="24"/>
          <w:highlight w:val="none"/>
          <w:lang w:eastAsia="zh-CN"/>
        </w:rPr>
        <w:t>验收合格且结算审核结束后，支付至</w:t>
      </w:r>
      <w:r>
        <w:rPr>
          <w:rFonts w:hint="eastAsia" w:ascii="宋体" w:hAnsi="宋体" w:cs="宋体"/>
          <w:b/>
          <w:color w:val="auto"/>
          <w:sz w:val="24"/>
          <w:highlight w:val="none"/>
          <w:lang w:val="en-US" w:eastAsia="zh-CN"/>
        </w:rPr>
        <w:t>结算</w:t>
      </w:r>
      <w:r>
        <w:rPr>
          <w:rFonts w:hint="eastAsia" w:ascii="宋体" w:hAnsi="宋体" w:cs="宋体"/>
          <w:b/>
          <w:color w:val="auto"/>
          <w:sz w:val="24"/>
          <w:highlight w:val="none"/>
          <w:lang w:eastAsia="zh-CN"/>
        </w:rPr>
        <w:t>价款的70%；结算审核结束满1年后，一次性付清剩余款项。</w:t>
      </w:r>
      <w:r>
        <w:rPr>
          <w:rFonts w:hint="eastAsia" w:ascii="宋体" w:hAnsi="宋体" w:cs="宋体"/>
          <w:b/>
          <w:color w:val="auto"/>
          <w:sz w:val="24"/>
          <w:highlight w:val="none"/>
        </w:rPr>
        <w:t>注：以上所有价款均不计利息，付款时</w:t>
      </w:r>
      <w:r>
        <w:rPr>
          <w:rFonts w:hint="eastAsia" w:ascii="宋体" w:hAnsi="宋体" w:cs="宋体"/>
          <w:b/>
          <w:color w:val="auto"/>
          <w:sz w:val="24"/>
          <w:highlight w:val="none"/>
          <w:lang w:val="en-US" w:eastAsia="zh-CN"/>
        </w:rPr>
        <w:t>中标供应商</w:t>
      </w:r>
      <w:r>
        <w:rPr>
          <w:rFonts w:hint="eastAsia" w:ascii="宋体" w:hAnsi="宋体" w:cs="宋体"/>
          <w:b/>
          <w:color w:val="auto"/>
          <w:sz w:val="24"/>
          <w:highlight w:val="none"/>
        </w:rPr>
        <w:t>须向</w:t>
      </w:r>
      <w:r>
        <w:rPr>
          <w:rFonts w:hint="eastAsia" w:ascii="宋体" w:hAnsi="宋体" w:cs="宋体"/>
          <w:b/>
          <w:color w:val="auto"/>
          <w:sz w:val="24"/>
          <w:highlight w:val="none"/>
          <w:lang w:val="en-US" w:eastAsia="zh-CN"/>
        </w:rPr>
        <w:t>采购人</w:t>
      </w:r>
      <w:r>
        <w:rPr>
          <w:rFonts w:hint="eastAsia" w:ascii="宋体" w:hAnsi="宋体" w:cs="宋体"/>
          <w:b/>
          <w:color w:val="auto"/>
          <w:sz w:val="24"/>
          <w:highlight w:val="none"/>
        </w:rPr>
        <w:t>出具符合其财务要求的正规税务发票。实际付款进度还需根据</w:t>
      </w:r>
      <w:r>
        <w:rPr>
          <w:rFonts w:hint="eastAsia" w:ascii="宋体" w:hAnsi="宋体" w:cs="宋体"/>
          <w:b/>
          <w:color w:val="auto"/>
          <w:sz w:val="24"/>
          <w:highlight w:val="none"/>
          <w:lang w:val="en-US" w:eastAsia="zh-CN"/>
        </w:rPr>
        <w:t>采购人</w:t>
      </w:r>
      <w:r>
        <w:rPr>
          <w:rFonts w:hint="eastAsia" w:ascii="宋体" w:hAnsi="宋体" w:cs="宋体"/>
          <w:b/>
          <w:color w:val="auto"/>
          <w:sz w:val="24"/>
          <w:highlight w:val="none"/>
        </w:rPr>
        <w:t>财政资金拨款进度执行。</w:t>
      </w:r>
    </w:p>
    <w:p w14:paraId="59B22FBF">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rPr>
          <w:rFonts w:hint="eastAsia" w:ascii="宋体" w:hAnsi="宋体" w:cs="宋体"/>
          <w:b/>
          <w:color w:val="auto"/>
          <w:sz w:val="24"/>
          <w:highlight w:val="none"/>
        </w:rPr>
      </w:pPr>
      <w:r>
        <w:rPr>
          <w:rFonts w:hint="eastAsia" w:ascii="宋体" w:hAnsi="宋体" w:cs="宋体"/>
          <w:b/>
          <w:color w:val="auto"/>
          <w:sz w:val="24"/>
          <w:highlight w:val="none"/>
        </w:rPr>
        <w:t>（五）履约保证金：</w:t>
      </w:r>
    </w:p>
    <w:p w14:paraId="299AE89C">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rPr>
          <w:rFonts w:hint="eastAsia" w:ascii="宋体" w:hAnsi="宋体" w:cs="宋体"/>
          <w:bCs/>
          <w:color w:val="auto"/>
          <w:sz w:val="24"/>
          <w:highlight w:val="none"/>
        </w:rPr>
      </w:pPr>
      <w:r>
        <w:rPr>
          <w:rFonts w:ascii="宋体" w:hAnsi="宋体" w:cs="宋体"/>
          <w:bCs/>
          <w:color w:val="auto"/>
          <w:sz w:val="24"/>
          <w:highlight w:val="none"/>
        </w:rPr>
        <w:t>本项目要求提供履约保证金</w:t>
      </w:r>
      <w:r>
        <w:rPr>
          <w:rFonts w:hint="eastAsia" w:ascii="宋体" w:hAnsi="宋体" w:cs="宋体"/>
          <w:bCs/>
          <w:color w:val="auto"/>
          <w:sz w:val="24"/>
          <w:highlight w:val="none"/>
        </w:rPr>
        <w:t>：</w:t>
      </w:r>
    </w:p>
    <w:p w14:paraId="0709E73C">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履约保证金形式：</w:t>
      </w:r>
      <w:r>
        <w:rPr>
          <w:rFonts w:hint="eastAsia" w:ascii="宋体" w:hAnsi="宋体" w:cs="宋体"/>
          <w:bCs/>
          <w:color w:val="auto"/>
          <w:sz w:val="24"/>
          <w:highlight w:val="none"/>
          <w:lang w:eastAsia="zh-CN"/>
        </w:rPr>
        <w:t>采用</w:t>
      </w:r>
      <w:r>
        <w:rPr>
          <w:rFonts w:hint="eastAsia" w:ascii="宋体" w:hAnsi="宋体" w:cs="宋体"/>
          <w:bCs/>
          <w:color w:val="auto"/>
          <w:sz w:val="24"/>
          <w:highlight w:val="none"/>
        </w:rPr>
        <w:t>支票、汇票、本票、保函、电汇等非现金方式缴纳。</w:t>
      </w:r>
    </w:p>
    <w:p w14:paraId="70A8A6AC">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firstLineChars="200"/>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履约保证金金额：为合同价（中标价）的10%。</w:t>
      </w:r>
    </w:p>
    <w:p w14:paraId="77F84B91">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firstLineChars="200"/>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履约担保期限：履约保证金将在中标供应商全部工作内容完成并验收合格后无息退回。</w:t>
      </w:r>
    </w:p>
    <w:p w14:paraId="5A2D0BD0">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firstLineChars="200"/>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履约保证金缴纳时间：中标供应商应在中标通知书发出后7个工作日内，按照采购文件约定及投标文件承诺向采购人提交相应履约保证金。未按时足额提交的，采购人有权取消其中标资格。中标供应商可根据自身情况自主选择是否采用电子履约保函形式，具体操作可登录江苏政府采购网的保险保函模块办理。</w:t>
      </w:r>
    </w:p>
    <w:p w14:paraId="211F55BE">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退付办法：与中标供应商提交履约保证金的方式</w:t>
      </w:r>
      <w:r>
        <w:rPr>
          <w:rFonts w:hint="eastAsia" w:ascii="宋体" w:hAnsi="宋体" w:cs="宋体"/>
          <w:bCs/>
          <w:color w:val="auto"/>
          <w:sz w:val="24"/>
          <w:highlight w:val="none"/>
          <w:lang w:eastAsia="zh-CN"/>
        </w:rPr>
        <w:t>一致</w:t>
      </w:r>
      <w:r>
        <w:rPr>
          <w:rFonts w:hint="eastAsia" w:ascii="宋体" w:hAnsi="宋体" w:cs="宋体"/>
          <w:bCs/>
          <w:color w:val="auto"/>
          <w:sz w:val="24"/>
          <w:highlight w:val="none"/>
        </w:rPr>
        <w:t>。</w:t>
      </w:r>
    </w:p>
    <w:p w14:paraId="2C9FA747">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履约保证金不予退还的情形：①因中标供应商自身原因无法履行或拒绝履行合同义务；②中标供应商在合同履行期间发生质量、安全等重大事故，给采购人造成不良影响及严重经济损失；③中标供应商在履约期限、质量标准、人员工资支付、售后服务等方面存在不履行合同或违反合同约定责任义务的行为；④中标供应商擅自转包或分包中标项目；⑤出现本次采购规定的其他情形。发生上述任一情况，采购人有权扣缴中标供应商部分或全部履约保证金。</w:t>
      </w:r>
    </w:p>
    <w:p w14:paraId="4A6B487C">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auto"/>
          <w:sz w:val="24"/>
          <w:highlight w:val="none"/>
        </w:rPr>
      </w:pPr>
    </w:p>
    <w:p w14:paraId="46E6EC76">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auto"/>
          <w:sz w:val="24"/>
          <w:highlight w:val="none"/>
        </w:rPr>
      </w:pPr>
    </w:p>
    <w:p w14:paraId="72407ADB">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auto"/>
          <w:sz w:val="24"/>
          <w:highlight w:val="none"/>
        </w:rPr>
      </w:pPr>
    </w:p>
    <w:p w14:paraId="1722A7C7">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auto"/>
          <w:sz w:val="24"/>
          <w:highlight w:val="none"/>
        </w:rPr>
      </w:pPr>
    </w:p>
    <w:p w14:paraId="62909890">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auto"/>
          <w:sz w:val="24"/>
          <w:highlight w:val="none"/>
        </w:rPr>
      </w:pPr>
    </w:p>
    <w:p w14:paraId="31AA3DCA">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auto"/>
          <w:sz w:val="24"/>
          <w:highlight w:val="none"/>
        </w:rPr>
      </w:pPr>
    </w:p>
    <w:p w14:paraId="70E4ADB4">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auto"/>
          <w:sz w:val="24"/>
          <w:highlight w:val="none"/>
        </w:rPr>
      </w:pPr>
    </w:p>
    <w:p w14:paraId="510B3B27">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auto"/>
          <w:sz w:val="24"/>
          <w:highlight w:val="none"/>
        </w:rPr>
      </w:pPr>
    </w:p>
    <w:p w14:paraId="2C6ABCCC">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auto"/>
          <w:sz w:val="24"/>
          <w:highlight w:val="none"/>
        </w:rPr>
      </w:pPr>
    </w:p>
    <w:p w14:paraId="6442E1CC">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auto"/>
          <w:sz w:val="24"/>
          <w:highlight w:val="none"/>
        </w:rPr>
      </w:pPr>
    </w:p>
    <w:p w14:paraId="4FEE8585">
      <w:pPr>
        <w:keepNext w:val="0"/>
        <w:keepLines w:val="0"/>
        <w:pageBreakBefore w:val="0"/>
        <w:kinsoku/>
        <w:wordWrap/>
        <w:overflowPunct/>
        <w:topLinePunct w:val="0"/>
        <w:autoSpaceDE/>
        <w:autoSpaceDN/>
        <w:bidi w:val="0"/>
        <w:adjustRightInd/>
        <w:snapToGrid/>
        <w:spacing w:line="400" w:lineRule="exact"/>
        <w:rPr>
          <w:rFonts w:hint="eastAsia" w:ascii="宋体" w:hAnsi="宋体" w:cs="宋体"/>
          <w:b/>
          <w:bCs/>
          <w:color w:val="auto"/>
          <w:sz w:val="24"/>
          <w:highlight w:val="none"/>
        </w:rPr>
      </w:pPr>
    </w:p>
    <w:p w14:paraId="61A7CA0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附件1：</w:t>
      </w:r>
    </w:p>
    <w:p w14:paraId="758DC58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color w:val="auto"/>
          <w:sz w:val="24"/>
          <w:highlight w:val="none"/>
          <w:lang w:val="zh-CN"/>
        </w:rPr>
      </w:pPr>
      <w:r>
        <w:rPr>
          <w:rFonts w:hint="eastAsia" w:ascii="宋体" w:hAnsi="宋体" w:cs="宋体"/>
          <w:b/>
          <w:bCs/>
          <w:color w:val="auto"/>
          <w:sz w:val="24"/>
          <w:highlight w:val="none"/>
          <w:lang w:val="zh-CN"/>
        </w:rPr>
        <w:t>商品包装政府采购需求标准（试行）</w:t>
      </w:r>
    </w:p>
    <w:p w14:paraId="757F9D4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一、适用范围：</w:t>
      </w:r>
    </w:p>
    <w:p w14:paraId="2CE5AAB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zh-CN" w:eastAsia="zh-CN"/>
        </w:rPr>
        <w:t>本标准规定了商品包装所使用的塑料、纸质、木质等材料的环保要求。</w:t>
      </w:r>
    </w:p>
    <w:p w14:paraId="16AF003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二、商品包装环保要求：</w:t>
      </w:r>
    </w:p>
    <w:p w14:paraId="53FBDC5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1.商品包装层数不得超过3层，空隙率不大于40%；</w:t>
      </w:r>
    </w:p>
    <w:p w14:paraId="505F36E2">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zh-CN" w:eastAsia="zh-CN"/>
        </w:rPr>
        <w:t>2.商品包装应尽可能采用单一材质；若因功能需求确需使用不同材质，各材质间应便于分离；</w:t>
      </w:r>
    </w:p>
    <w:p w14:paraId="7B93EBF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zh-CN" w:eastAsia="zh-CN"/>
        </w:rPr>
        <w:t>3.商品包装中铅、汞、镉、六价铬的总含量不得超过100mg/kg；</w:t>
      </w:r>
    </w:p>
    <w:p w14:paraId="0D8682C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zh-CN" w:eastAsia="zh-CN"/>
        </w:rPr>
        <w:t>4.商品包装印刷所用油墨中，挥发性有机化合物（VOCs）含量按重量计不得超过5g；</w:t>
      </w:r>
    </w:p>
    <w:p w14:paraId="74FB039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zh-CN" w:eastAsia="zh-CN"/>
        </w:rPr>
        <w:t>5.塑料材质商品包装的印刷颜色不得超过6色；</w:t>
      </w:r>
    </w:p>
    <w:p w14:paraId="7C83A6ED">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6.纸质商品包装应使用75%以上的可再生纤维原料生产；</w:t>
      </w:r>
    </w:p>
    <w:p w14:paraId="3AE0275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zh-CN" w:eastAsia="zh-CN"/>
        </w:rPr>
        <w:t>7.木质商品包装的原料应来源于可持续经营的森林。</w:t>
      </w:r>
    </w:p>
    <w:p w14:paraId="47B904FF">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三、检测方法：</w:t>
      </w:r>
    </w:p>
    <w:p w14:paraId="4AB36DF3">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zh-CN" w:eastAsia="zh-CN"/>
        </w:rPr>
        <w:t>1.商品包装中重金属（铅、汞、镉、六价铬）总量的检测，按照GB/T 10004-2008《包装用塑料复合膜、袋 干法复合、挤出复合》规定的方法执行；</w:t>
      </w:r>
    </w:p>
    <w:p w14:paraId="375E5B0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zh-CN" w:eastAsia="zh-CN"/>
        </w:rPr>
        <w:t>2.商品包装印刷所用油墨中挥发性有机化合物（VOCs）的检测，按照GB/T 23986-2009《色漆和清漆 挥发性有机化合物（VOC）含量的测定 气相色谱法》规定的方法执行。</w:t>
      </w:r>
    </w:p>
    <w:p w14:paraId="5B9183FB">
      <w:pPr>
        <w:ind w:firstLine="3520"/>
        <w:rPr>
          <w:rFonts w:hint="eastAsia" w:ascii="宋体" w:hAnsi="宋体" w:cs="宋体"/>
          <w:color w:val="auto"/>
          <w:sz w:val="32"/>
          <w:szCs w:val="32"/>
          <w:highlight w:val="none"/>
        </w:rPr>
      </w:pPr>
    </w:p>
    <w:p w14:paraId="613D0360">
      <w:pPr>
        <w:ind w:firstLine="3520"/>
        <w:rPr>
          <w:rFonts w:hint="eastAsia" w:ascii="宋体" w:hAnsi="宋体" w:cs="宋体"/>
          <w:color w:val="auto"/>
          <w:sz w:val="32"/>
          <w:szCs w:val="32"/>
          <w:highlight w:val="none"/>
        </w:rPr>
      </w:pPr>
    </w:p>
    <w:p w14:paraId="3585A491">
      <w:pPr>
        <w:ind w:firstLine="3520"/>
        <w:rPr>
          <w:rFonts w:hint="eastAsia" w:ascii="宋体" w:hAnsi="宋体" w:cs="宋体"/>
          <w:color w:val="auto"/>
          <w:sz w:val="32"/>
          <w:szCs w:val="32"/>
          <w:highlight w:val="none"/>
        </w:rPr>
      </w:pPr>
    </w:p>
    <w:p w14:paraId="469A9478">
      <w:pPr>
        <w:ind w:firstLine="3520"/>
        <w:rPr>
          <w:rFonts w:hint="eastAsia" w:ascii="宋体" w:hAnsi="宋体" w:cs="宋体"/>
          <w:color w:val="auto"/>
          <w:sz w:val="32"/>
          <w:szCs w:val="32"/>
          <w:highlight w:val="none"/>
        </w:rPr>
      </w:pPr>
    </w:p>
    <w:p w14:paraId="2757CDAC">
      <w:pPr>
        <w:ind w:firstLine="3520"/>
        <w:rPr>
          <w:rFonts w:hint="eastAsia" w:ascii="宋体" w:hAnsi="宋体" w:cs="宋体"/>
          <w:color w:val="auto"/>
          <w:sz w:val="32"/>
          <w:szCs w:val="32"/>
          <w:highlight w:val="none"/>
        </w:rPr>
      </w:pPr>
    </w:p>
    <w:p w14:paraId="12DAD48F">
      <w:pPr>
        <w:ind w:firstLine="3520"/>
        <w:rPr>
          <w:rFonts w:hint="eastAsia" w:ascii="宋体" w:hAnsi="宋体" w:cs="宋体"/>
          <w:color w:val="auto"/>
          <w:sz w:val="32"/>
          <w:szCs w:val="32"/>
          <w:highlight w:val="none"/>
        </w:rPr>
      </w:pPr>
    </w:p>
    <w:p w14:paraId="2D31D21A">
      <w:pPr>
        <w:ind w:firstLine="3520"/>
        <w:rPr>
          <w:rFonts w:hint="eastAsia" w:ascii="宋体" w:hAnsi="宋体" w:cs="宋体"/>
          <w:color w:val="auto"/>
          <w:sz w:val="32"/>
          <w:szCs w:val="32"/>
          <w:highlight w:val="none"/>
        </w:rPr>
      </w:pPr>
    </w:p>
    <w:p w14:paraId="5EAE4D2D">
      <w:pPr>
        <w:ind w:firstLine="3520"/>
        <w:rPr>
          <w:rFonts w:hint="eastAsia" w:ascii="宋体" w:hAnsi="宋体" w:cs="宋体"/>
          <w:color w:val="auto"/>
          <w:sz w:val="32"/>
          <w:szCs w:val="32"/>
          <w:highlight w:val="none"/>
        </w:rPr>
      </w:pPr>
    </w:p>
    <w:p w14:paraId="06E7E417">
      <w:pPr>
        <w:ind w:firstLine="3520"/>
        <w:rPr>
          <w:rFonts w:hint="eastAsia" w:ascii="宋体" w:hAnsi="宋体" w:cs="宋体"/>
          <w:color w:val="auto"/>
          <w:sz w:val="32"/>
          <w:szCs w:val="32"/>
          <w:highlight w:val="none"/>
        </w:rPr>
      </w:pPr>
    </w:p>
    <w:p w14:paraId="58121ED3">
      <w:pPr>
        <w:ind w:firstLine="3520"/>
        <w:rPr>
          <w:rFonts w:hint="eastAsia" w:ascii="宋体" w:hAnsi="宋体" w:cs="宋体"/>
          <w:color w:val="auto"/>
          <w:sz w:val="32"/>
          <w:szCs w:val="32"/>
          <w:highlight w:val="none"/>
        </w:rPr>
      </w:pPr>
    </w:p>
    <w:p w14:paraId="2CBFFD6F">
      <w:pPr>
        <w:ind w:firstLine="3520"/>
        <w:rPr>
          <w:rFonts w:hint="eastAsia" w:ascii="宋体" w:hAnsi="宋体" w:cs="宋体"/>
          <w:color w:val="auto"/>
          <w:sz w:val="32"/>
          <w:szCs w:val="32"/>
          <w:highlight w:val="none"/>
        </w:rPr>
      </w:pPr>
    </w:p>
    <w:p w14:paraId="67D4890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b/>
          <w:bCs/>
          <w:color w:val="auto"/>
          <w:sz w:val="24"/>
          <w:highlight w:val="none"/>
          <w:lang w:val="zh-CN"/>
        </w:rPr>
      </w:pPr>
    </w:p>
    <w:p w14:paraId="4EA0AE7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4"/>
          <w:highlight w:val="none"/>
          <w:lang w:val="zh-CN"/>
        </w:rPr>
      </w:pPr>
      <w:r>
        <w:rPr>
          <w:rFonts w:hint="eastAsia" w:ascii="宋体" w:hAnsi="宋体" w:cs="宋体"/>
          <w:b/>
          <w:bCs/>
          <w:color w:val="auto"/>
          <w:sz w:val="24"/>
          <w:highlight w:val="none"/>
          <w:lang w:val="zh-CN"/>
        </w:rPr>
        <w:t>附件2：</w:t>
      </w:r>
    </w:p>
    <w:p w14:paraId="37E01F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快递包装政府采购需求标准（试行）</w:t>
      </w:r>
    </w:p>
    <w:p w14:paraId="31EDA4C2">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一、适用范围</w:t>
      </w:r>
      <w:r>
        <w:rPr>
          <w:rFonts w:hint="eastAsia" w:ascii="宋体" w:hAnsi="宋体" w:cs="宋体"/>
          <w:b/>
          <w:bCs/>
          <w:color w:val="auto"/>
          <w:sz w:val="24"/>
          <w:highlight w:val="none"/>
          <w:lang w:val="zh-CN"/>
        </w:rPr>
        <w:t>：</w:t>
      </w:r>
    </w:p>
    <w:p w14:paraId="33581CE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本标准中的快递包装主要指快递封装材料，包括封套、胶带、面单、包装袋/箱、填充物、集装袋、周转箱等。</w:t>
      </w:r>
    </w:p>
    <w:p w14:paraId="4CDE0D4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二、快递包装环保要求</w:t>
      </w:r>
      <w:r>
        <w:rPr>
          <w:rFonts w:hint="eastAsia" w:ascii="宋体" w:hAnsi="宋体" w:cs="宋体"/>
          <w:b/>
          <w:bCs/>
          <w:color w:val="auto"/>
          <w:sz w:val="24"/>
          <w:highlight w:val="none"/>
          <w:lang w:val="zh-CN"/>
        </w:rPr>
        <w:t>：</w:t>
      </w:r>
    </w:p>
    <w:p w14:paraId="2D7678B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1.快递包装中重金属 （铅、汞、锡、六价铬）总量应不大于100mg/kg；</w:t>
      </w:r>
    </w:p>
    <w:p w14:paraId="694BC831">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2.快递包装印刷使用的油墨中不应添加邻苯二甲酸酐，其挥发性有机化合物（VOCs）含量应不大于5g（以重量计）；</w:t>
      </w:r>
    </w:p>
    <w:p w14:paraId="152EF97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3.快递包装中使用纸基材的包装材料，纸基材中的有机氯的含量应不大于150mg/kg；</w:t>
      </w:r>
    </w:p>
    <w:p w14:paraId="58A86A9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4.快递包装中使用塑料基材的包装材料不得使用邻苯二甲酸二异壬酯、邻苯二甲酸二正辛酯、邻苯二甲酸二（2－乙基己）酯、邻苯二甲酸二异癸酯、邻苯二甲酸丁基苄基酯、邻苯二甲酸二丁酯等作为增塑剂；</w:t>
      </w:r>
    </w:p>
    <w:p w14:paraId="4963F3E2">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5.快递中使用的塑料包装袋不得使用聚氯乙烯作为原料，且原料应为单一材质制成，生物分解率大于60%；</w:t>
      </w:r>
    </w:p>
    <w:p w14:paraId="44F0845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6.快递中使用的充气类填充物不得使用聚氯乙烯作为原料，且原料为单一材质制成，生物分解率大于60%；</w:t>
      </w:r>
    </w:p>
    <w:p w14:paraId="53E72F6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7.快递中使用的集装袋应为单一材质制成，其重复使用次数应不小于80次；</w:t>
      </w:r>
    </w:p>
    <w:p w14:paraId="00C9281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8.快递中应使用幅宽不大于45mm的生物降解胶带；</w:t>
      </w:r>
    </w:p>
    <w:p w14:paraId="3337426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9.快递包装中不得使用溶剂型胶黏剂；</w:t>
      </w:r>
    </w:p>
    <w:p w14:paraId="72EB6AF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10.快递应使用电子面单；</w:t>
      </w:r>
    </w:p>
    <w:p w14:paraId="6CB8DE3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11.直接使用商品包装作为快递包装的商品，其商品包装满足《商品包装政府采购需求标准（试行）》即可；</w:t>
      </w:r>
    </w:p>
    <w:p w14:paraId="5264CE9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12.快递包装产品质量和封装方式应符合相关国家或行业标准技术指标要求。</w:t>
      </w:r>
    </w:p>
    <w:p w14:paraId="7ED3167A">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三、检测方法</w:t>
      </w:r>
      <w:r>
        <w:rPr>
          <w:rFonts w:hint="eastAsia" w:ascii="宋体" w:hAnsi="宋体" w:cs="宋体"/>
          <w:b/>
          <w:bCs/>
          <w:color w:val="auto"/>
          <w:sz w:val="24"/>
          <w:highlight w:val="none"/>
          <w:lang w:val="zh-CN"/>
        </w:rPr>
        <w:t>：</w:t>
      </w:r>
    </w:p>
    <w:p w14:paraId="23126D0B">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1.快递包装中重金属（铅、汞、镉、六价铬）总量的检测按照GB/T 10004-2008《包装用塑料复合膜、袋干法复合、挤出复合》规定的方法进行。</w:t>
      </w:r>
    </w:p>
    <w:p w14:paraId="680BCE42">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2.快递包装印刷使用的油墨中挥发性有机化合物（VOCs）的检测按照GB/T 23986-2009《色漆和清漆挥发性有机化合物（VOC）含量的测定</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气相色谱法》规定的方法进行。</w:t>
      </w:r>
    </w:p>
    <w:p w14:paraId="19FB386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3.快递包装所使用的塑料包装的生物降解率的检测按照 GB/T 20197-2006《降解塑料的定义、分类、标识和降解性能要求》规定的方法进行。</w:t>
      </w:r>
    </w:p>
    <w:p w14:paraId="421EFF1D">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4.快递包装使用纸基材的包装材料中有机氯的检测按照 GB/T 22904-2008《纸浆、纸和纸板总氯和有机氯的检定》规定的方法进行。</w:t>
      </w:r>
    </w:p>
    <w:p w14:paraId="09BBFD0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32"/>
          <w:szCs w:val="32"/>
          <w:highlight w:val="none"/>
        </w:rPr>
      </w:pPr>
      <w:r>
        <w:rPr>
          <w:rFonts w:hint="eastAsia" w:ascii="宋体" w:hAnsi="宋体" w:cs="宋体"/>
          <w:color w:val="auto"/>
          <w:sz w:val="24"/>
          <w:highlight w:val="none"/>
          <w:lang w:val="zh-CN"/>
        </w:rPr>
        <w:t>5.快递包装中使用的生物降解胶带的生物降解率的检测按照 GB/T19277.1《受控堆肥条件下材料最终需氧生物分解能力的测定采用测定释放的二氧化碳的方法 第1部分：通用方法》规定的方法进行。</w:t>
      </w:r>
    </w:p>
    <w:p w14:paraId="0C268DC6">
      <w:pPr>
        <w:keepNext w:val="0"/>
        <w:keepLines w:val="0"/>
        <w:pageBreakBefore w:val="0"/>
        <w:kinsoku/>
        <w:wordWrap/>
        <w:overflowPunct/>
        <w:topLinePunct w:val="0"/>
        <w:autoSpaceDE/>
        <w:autoSpaceDN/>
        <w:bidi w:val="0"/>
        <w:adjustRightInd/>
        <w:snapToGrid/>
        <w:spacing w:line="400" w:lineRule="exact"/>
        <w:jc w:val="left"/>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附：政府采购政策（包括但不限于下列具体政策要求）</w:t>
      </w:r>
    </w:p>
    <w:p w14:paraId="4617F13D">
      <w:pPr>
        <w:keepNext w:val="0"/>
        <w:keepLines w:val="0"/>
        <w:pageBreakBefore w:val="0"/>
        <w:kinsoku/>
        <w:wordWrap/>
        <w:overflowPunct/>
        <w:topLinePunct w:val="0"/>
        <w:autoSpaceDE/>
        <w:autoSpaceDN/>
        <w:bidi w:val="0"/>
        <w:adjustRightInd/>
        <w:snapToGrid/>
        <w:spacing w:line="400" w:lineRule="exact"/>
        <w:ind w:firstLine="482"/>
        <w:contextualSpacing/>
        <w:rPr>
          <w:rFonts w:hint="eastAsia" w:ascii="宋体" w:hAnsi="宋体" w:cs="宋体"/>
          <w:color w:val="auto"/>
          <w:sz w:val="24"/>
          <w:highlight w:val="none"/>
        </w:rPr>
      </w:pPr>
      <w:r>
        <w:rPr>
          <w:rFonts w:hint="eastAsia" w:ascii="宋体" w:hAnsi="宋体" w:cs="宋体"/>
          <w:b/>
          <w:bCs/>
          <w:color w:val="auto"/>
          <w:sz w:val="24"/>
          <w:highlight w:val="none"/>
        </w:rPr>
        <w:t>若因违反</w:t>
      </w:r>
      <w:r>
        <w:rPr>
          <w:rFonts w:hint="eastAsia" w:ascii="宋体" w:hAnsi="宋体" w:cs="宋体"/>
          <w:b/>
          <w:bCs/>
          <w:color w:val="auto"/>
          <w:sz w:val="24"/>
          <w:highlight w:val="none"/>
        </w:rPr>
        <w:t>以下任何一</w:t>
      </w:r>
      <w:r>
        <w:rPr>
          <w:rFonts w:hint="eastAsia" w:ascii="宋体" w:hAnsi="宋体" w:cs="宋体"/>
          <w:b/>
          <w:bCs/>
          <w:color w:val="auto"/>
          <w:sz w:val="24"/>
          <w:highlight w:val="none"/>
        </w:rPr>
        <w:t>条规定而引发任何不利后果，相关风险将由供应商自行承担！</w:t>
      </w:r>
    </w:p>
    <w:p w14:paraId="415D3F08">
      <w:pPr>
        <w:keepNext w:val="0"/>
        <w:keepLines w:val="0"/>
        <w:pageBreakBefore w:val="0"/>
        <w:kinsoku/>
        <w:wordWrap/>
        <w:overflowPunct/>
        <w:topLinePunct w:val="0"/>
        <w:autoSpaceDE/>
        <w:autoSpaceDN/>
        <w:bidi w:val="0"/>
        <w:adjustRightInd/>
        <w:snapToGrid/>
        <w:spacing w:line="400" w:lineRule="exact"/>
        <w:ind w:firstLine="482"/>
        <w:contextualSpacing/>
        <w:rPr>
          <w:rFonts w:hint="eastAsia" w:eastAsia="宋体"/>
          <w:color w:val="auto"/>
          <w:highlight w:val="none"/>
          <w:lang w:eastAsia="zh-CN"/>
        </w:rPr>
      </w:pPr>
      <w:r>
        <w:rPr>
          <w:rFonts w:hint="eastAsia" w:ascii="宋体" w:hAnsi="宋体" w:cs="宋体"/>
          <w:color w:val="auto"/>
          <w:sz w:val="24"/>
          <w:highlight w:val="none"/>
          <w:lang w:eastAsia="zh-CN"/>
        </w:rPr>
        <w:t>1.本项目涉及商品包装、快递包装要求的，应按《关于印发〈商品包装政府采购需求标准（试行）〉〈快递包装政府采购需求标准（试行）〉的通知》（财办库〔2020〕123号）执行。采购人在招标（采购）文件中对商品包装和快递包装提出具体要求的，须在政府采购合同中载明对供应商提供产品及相关快递服务的具体包装要求和履约验收条款，中标（成交）供应商须严格执行；必要时应按要求在履约验收环节出具检测报告。</w:t>
      </w:r>
    </w:p>
    <w:p w14:paraId="63526A4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2.3C强制性产品认证要求：本项目采购标的及配置清单内的产品，凡列入《国家强制性产品认证目录》的，供应商须提供有效期内相应的3C认证证书，证书所载产品信息须与投标产品相符（产品名称因叫法差异无需完全一致，但须为同一类型产品），否则不予认可；未按要求提供、证书无效或信息不符的，符合性审查不通过，作无效标处理。</w:t>
      </w:r>
    </w:p>
    <w:p w14:paraId="4A771C3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强制节能产品认证要求：本项目采购标的属于《节能产品政府采购品目清单》中标注强制采购类别的产品，供应商须提供国家确定认证机构出具、有效期内的节能产品认证证书，证书所载产品信息须与投标产品相符（产品名称因叫法差异无需完全一致，但须为同一类型产品）；未按要求提供、证书无效或信息不符的，符合性审查不通过，作无效标处理。</w:t>
      </w:r>
    </w:p>
    <w:p w14:paraId="1DA1F983">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2"/>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p>
    <w:p w14:paraId="532AB68F">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2"/>
        <w:rPr>
          <w:rFonts w:hint="eastAsia" w:ascii="宋体" w:hAnsi="宋体" w:cs="宋体"/>
          <w:color w:val="auto"/>
          <w:sz w:val="24"/>
          <w:highlight w:val="none"/>
        </w:rPr>
      </w:pPr>
      <w:r>
        <w:rPr>
          <w:rFonts w:hint="eastAsia" w:ascii="宋体" w:hAnsi="宋体" w:cs="宋体"/>
          <w:color w:val="auto"/>
          <w:sz w:val="24"/>
          <w:highlight w:val="none"/>
          <w:lang w:val="en-US" w:eastAsia="zh-CN"/>
        </w:rPr>
        <w:t>5.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473F7170">
      <w:pPr>
        <w:keepNext w:val="0"/>
        <w:keepLines w:val="0"/>
        <w:pageBreakBefore w:val="0"/>
        <w:tabs>
          <w:tab w:val="left" w:pos="840"/>
          <w:tab w:val="left" w:pos="1155"/>
        </w:tabs>
        <w:kinsoku/>
        <w:wordWrap/>
        <w:overflowPunct/>
        <w:topLinePunct w:val="0"/>
        <w:autoSpaceDE/>
        <w:autoSpaceDN/>
        <w:bidi w:val="0"/>
        <w:adjustRightInd/>
        <w:snapToGrid/>
        <w:spacing w:line="400" w:lineRule="exact"/>
        <w:ind w:firstLine="482"/>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.依据《江苏省财政厅关于加强政府绿色采购有关事项的通知》（苏财购〔2023〕65号），本</w:t>
      </w:r>
      <w:r>
        <w:rPr>
          <w:rFonts w:hint="eastAsia" w:ascii="宋体" w:hAnsi="宋体" w:cs="宋体"/>
          <w:bCs/>
          <w:color w:val="auto"/>
          <w:sz w:val="24"/>
          <w:highlight w:val="none"/>
          <w:lang w:eastAsia="zh-CN"/>
        </w:rPr>
        <w:t>项目</w:t>
      </w:r>
      <w:r>
        <w:rPr>
          <w:rFonts w:hint="eastAsia" w:ascii="宋体" w:hAnsi="宋体" w:cs="宋体"/>
          <w:bCs/>
          <w:color w:val="auto"/>
          <w:sz w:val="24"/>
          <w:highlight w:val="none"/>
        </w:rPr>
        <w:t>涉及涂料、胶黏剂、油墨、清洗剂等挥发性有机物产品</w:t>
      </w:r>
      <w:r>
        <w:rPr>
          <w:rFonts w:hint="eastAsia" w:ascii="宋体" w:hAnsi="宋体" w:cs="宋体"/>
          <w:bCs/>
          <w:color w:val="auto"/>
          <w:sz w:val="24"/>
          <w:highlight w:val="none"/>
          <w:lang w:eastAsia="zh-CN"/>
        </w:rPr>
        <w:t>且</w:t>
      </w:r>
      <w:r>
        <w:rPr>
          <w:rFonts w:hint="eastAsia" w:ascii="宋体" w:hAnsi="宋体" w:cs="宋体"/>
          <w:bCs/>
          <w:color w:val="auto"/>
          <w:sz w:val="24"/>
          <w:highlight w:val="none"/>
        </w:rPr>
        <w:t>属于强制性标准</w:t>
      </w:r>
      <w:r>
        <w:rPr>
          <w:rFonts w:hint="eastAsia" w:ascii="宋体" w:hAnsi="宋体" w:cs="宋体"/>
          <w:bCs/>
          <w:color w:val="auto"/>
          <w:sz w:val="24"/>
          <w:highlight w:val="none"/>
          <w:lang w:eastAsia="zh-CN"/>
        </w:rPr>
        <w:t>范畴</w:t>
      </w:r>
      <w:r>
        <w:rPr>
          <w:rFonts w:hint="eastAsia" w:ascii="宋体" w:hAnsi="宋体" w:cs="宋体"/>
          <w:bCs/>
          <w:color w:val="auto"/>
          <w:sz w:val="24"/>
          <w:highlight w:val="none"/>
        </w:rPr>
        <w:t>的，供应商应当执行国家和我省VOCs含量限制标准。</w:t>
      </w:r>
    </w:p>
    <w:p w14:paraId="0799C694">
      <w:pPr>
        <w:keepNext w:val="0"/>
        <w:keepLines w:val="0"/>
        <w:pageBreakBefore w:val="0"/>
        <w:tabs>
          <w:tab w:val="left" w:pos="945"/>
          <w:tab w:val="left" w:pos="1125"/>
        </w:tabs>
        <w:kinsoku/>
        <w:wordWrap/>
        <w:overflowPunct/>
        <w:topLinePunct w:val="0"/>
        <w:autoSpaceDE/>
        <w:autoSpaceDN/>
        <w:bidi w:val="0"/>
        <w:adjustRightInd/>
        <w:snapToGrid/>
        <w:spacing w:line="400" w:lineRule="exact"/>
        <w:ind w:firstLine="482"/>
        <w:rPr>
          <w:rFonts w:hint="eastAsia" w:eastAsia="宋体"/>
          <w:color w:val="auto"/>
          <w:highlight w:val="none"/>
          <w:lang w:eastAsia="zh-CN"/>
        </w:rPr>
      </w:pP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lang w:eastAsia="zh-CN"/>
        </w:rPr>
        <w:t>.本项目中的信息安全产品，必须选择经国家认证的产品，并提供中国信息安全认证中心（中国网络安全审查技术与认证中心）颁发的有效认证证书复印件。</w:t>
      </w:r>
    </w:p>
    <w:p w14:paraId="2D1158EA">
      <w:pPr>
        <w:keepNext w:val="0"/>
        <w:keepLines w:val="0"/>
        <w:pageBreakBefore w:val="0"/>
        <w:kinsoku/>
        <w:wordWrap/>
        <w:overflowPunct/>
        <w:topLinePunct w:val="0"/>
        <w:autoSpaceDE/>
        <w:autoSpaceDN/>
        <w:bidi w:val="0"/>
        <w:adjustRightInd/>
        <w:snapToGrid/>
        <w:spacing w:line="400" w:lineRule="exact"/>
        <w:ind w:firstLine="482"/>
        <w:contextualSpacing/>
        <w:rPr>
          <w:rFonts w:hint="eastAsia" w:eastAsia="宋体"/>
          <w:color w:val="auto"/>
          <w:highlight w:val="none"/>
          <w:lang w:eastAsia="zh-CN"/>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lang w:eastAsia="zh-CN"/>
        </w:rPr>
        <w:t>.本项目涉及数据中心相关设备、运维服务的，应按《关于印发〈绿色数据中心政府采购需求标准（试行）〉的通知》（财办库〔2023〕7号）执行。招标（采购）文件中涉及数据中心相关设备、运维服务的，采购人以《绿色数据中心政府采购需求标准（试行）》提出的指标、标准为准；在政府采购合同中，采购人应明确相关指标的验收方式和违约责任，供应商应按合同约定提供设备或服务。</w:t>
      </w:r>
    </w:p>
    <w:p w14:paraId="384FD4C1">
      <w:pPr>
        <w:keepNext w:val="0"/>
        <w:keepLines w:val="0"/>
        <w:pageBreakBefore w:val="0"/>
        <w:kinsoku/>
        <w:wordWrap/>
        <w:overflowPunct/>
        <w:topLinePunct w:val="0"/>
        <w:autoSpaceDE/>
        <w:autoSpaceDN/>
        <w:bidi w:val="0"/>
        <w:adjustRightInd/>
        <w:snapToGrid/>
        <w:spacing w:line="400" w:lineRule="exact"/>
        <w:ind w:firstLine="482"/>
        <w:rPr>
          <w:rFonts w:hint="eastAsia" w:eastAsia="宋体"/>
          <w:color w:val="auto"/>
          <w:highlight w:val="none"/>
          <w:lang w:eastAsia="zh-CN"/>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.有关中小企业政策，包括落实政府采购政策需满足的资格要求及价格调整的相关内容，详见本文件其他章节。</w:t>
      </w:r>
      <w:r>
        <w:rPr>
          <w:rFonts w:hint="eastAsia" w:ascii="宋体" w:hAnsi="宋体" w:cs="宋体"/>
          <w:bCs/>
          <w:color w:val="auto"/>
          <w:sz w:val="24"/>
          <w:highlight w:val="none"/>
          <w:lang w:eastAsia="zh-CN"/>
        </w:rPr>
        <w:t>中标供应商为残疾人福利性单位的，其《残疾人福利性单位声明函》将随中标公告同步发布，接受社会监督；供应商提供的声明函与事实不符的，依照《</w:t>
      </w:r>
      <w:r>
        <w:rPr>
          <w:rFonts w:hint="eastAsia" w:ascii="宋体" w:hAnsi="宋体" w:cs="宋体"/>
          <w:color w:val="auto"/>
          <w:sz w:val="24"/>
          <w:highlight w:val="none"/>
          <w:lang w:eastAsia="zh-CN"/>
        </w:rPr>
        <w:t>中华人民共和国政府采购法</w:t>
      </w:r>
      <w:r>
        <w:rPr>
          <w:rFonts w:hint="eastAsia" w:ascii="宋体" w:hAnsi="宋体" w:cs="宋体"/>
          <w:bCs/>
          <w:color w:val="auto"/>
          <w:sz w:val="24"/>
          <w:highlight w:val="none"/>
          <w:lang w:eastAsia="zh-CN"/>
        </w:rPr>
        <w:t>》第七十七条第一款规定追究法律责任。依据《政府采购促进中小企业发展管理办法》规定享受扶持政策获得政府采购合同的，小微企业不得将合同分包给大中型企业，中型企业不得将合同分包给大型企业。</w:t>
      </w:r>
    </w:p>
    <w:p w14:paraId="4B80F30B">
      <w:pPr>
        <w:keepNext w:val="0"/>
        <w:keepLines w:val="0"/>
        <w:pageBreakBefore w:val="0"/>
        <w:kinsoku/>
        <w:wordWrap/>
        <w:overflowPunct/>
        <w:topLinePunct w:val="0"/>
        <w:autoSpaceDE/>
        <w:autoSpaceDN/>
        <w:bidi w:val="0"/>
        <w:adjustRightInd/>
        <w:snapToGrid/>
        <w:spacing w:line="400" w:lineRule="exact"/>
        <w:ind w:firstLine="482"/>
        <w:contextualSpacing/>
        <w:rPr>
          <w:rFonts w:hint="eastAsia"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中标、成交供应商可采用合同融资形式，</w:t>
      </w:r>
      <w:r>
        <w:rPr>
          <w:rFonts w:hint="eastAsia" w:ascii="宋体" w:hAnsi="宋体" w:cs="宋体"/>
          <w:color w:val="auto"/>
          <w:sz w:val="24"/>
          <w:highlight w:val="none"/>
          <w:lang w:eastAsia="zh-CN"/>
        </w:rPr>
        <w:t>凭</w:t>
      </w:r>
      <w:r>
        <w:rPr>
          <w:rFonts w:hint="eastAsia" w:ascii="宋体" w:hAnsi="宋体" w:cs="宋体"/>
          <w:color w:val="auto"/>
          <w:sz w:val="24"/>
          <w:highlight w:val="none"/>
        </w:rPr>
        <w:t>政府采购合同办理融资贷款，</w:t>
      </w:r>
      <w:r>
        <w:rPr>
          <w:rFonts w:hint="eastAsia" w:ascii="宋体" w:hAnsi="宋体" w:cs="宋体"/>
          <w:color w:val="auto"/>
          <w:sz w:val="24"/>
          <w:highlight w:val="none"/>
          <w:lang w:eastAsia="zh-CN"/>
        </w:rPr>
        <w:t>具体</w:t>
      </w:r>
      <w:r>
        <w:rPr>
          <w:rFonts w:hint="eastAsia" w:ascii="宋体" w:hAnsi="宋体" w:cs="宋体"/>
          <w:color w:val="auto"/>
          <w:sz w:val="24"/>
          <w:highlight w:val="none"/>
        </w:rPr>
        <w:t>详见政府采购网“政采贷”专栏。</w:t>
      </w:r>
    </w:p>
    <w:p w14:paraId="63D064D3">
      <w:pPr>
        <w:keepNext w:val="0"/>
        <w:keepLines w:val="0"/>
        <w:pageBreakBefore w:val="0"/>
        <w:kinsoku/>
        <w:wordWrap/>
        <w:overflowPunct/>
        <w:topLinePunct w:val="0"/>
        <w:autoSpaceDE/>
        <w:autoSpaceDN/>
        <w:bidi w:val="0"/>
        <w:adjustRightInd/>
        <w:snapToGrid/>
        <w:spacing w:line="400" w:lineRule="exact"/>
        <w:ind w:firstLine="482"/>
        <w:contextualSpacing/>
        <w:rPr>
          <w:rFonts w:hint="eastAsia" w:ascii="宋体" w:hAnsi="宋体" w:cs="宋体"/>
          <w:color w:val="auto"/>
          <w:sz w:val="24"/>
          <w:highlight w:val="none"/>
        </w:rPr>
      </w:pPr>
      <w:r>
        <w:rPr>
          <w:rFonts w:hint="eastAsia" w:ascii="宋体" w:hAnsi="宋体" w:cs="宋体"/>
          <w:color w:val="auto"/>
          <w:sz w:val="24"/>
          <w:highlight w:val="none"/>
          <w:lang w:val="en-US" w:eastAsia="zh-CN"/>
        </w:rPr>
        <w:t>11</w:t>
      </w:r>
      <w:r>
        <w:rPr>
          <w:rFonts w:hint="eastAsia" w:ascii="宋体" w:hAnsi="宋体" w:cs="宋体"/>
          <w:color w:val="auto"/>
          <w:sz w:val="24"/>
          <w:highlight w:val="none"/>
        </w:rPr>
        <w:t>.履约担保是指专业担保机构为中标、成交供应商支付履约保证金的义务向采购人提供的保函担保。</w:t>
      </w:r>
      <w:r>
        <w:rPr>
          <w:rFonts w:hint="eastAsia" w:ascii="宋体" w:hAnsi="宋体" w:cs="宋体"/>
          <w:color w:val="auto"/>
          <w:sz w:val="24"/>
          <w:highlight w:val="none"/>
          <w:lang w:eastAsia="zh-CN"/>
        </w:rPr>
        <w:t>专业担保机构以中标（成交）通知书为凭据，经资信审查后出具保函，中标、成交供应商以保函形式缴纳履约保证金；供应商未按政府采购合同履行约定义务需实际支付保证金的，由专业担保机构按担保函约定履行担保责任。</w:t>
      </w:r>
      <w:r>
        <w:rPr>
          <w:rFonts w:hint="eastAsia" w:ascii="宋体" w:hAnsi="宋体" w:cs="宋体"/>
          <w:color w:val="auto"/>
          <w:sz w:val="24"/>
          <w:highlight w:val="none"/>
        </w:rPr>
        <w:t>中标、成交供应商</w:t>
      </w:r>
      <w:r>
        <w:rPr>
          <w:rFonts w:hint="eastAsia" w:ascii="宋体" w:hAnsi="宋体" w:cs="宋体"/>
          <w:color w:val="auto"/>
          <w:sz w:val="24"/>
          <w:highlight w:val="none"/>
          <w:lang w:eastAsia="zh-CN"/>
        </w:rPr>
        <w:t>可采用</w:t>
      </w:r>
      <w:r>
        <w:rPr>
          <w:rFonts w:hint="eastAsia" w:ascii="宋体" w:hAnsi="宋体" w:cs="宋体"/>
          <w:color w:val="auto"/>
          <w:sz w:val="24"/>
          <w:highlight w:val="none"/>
        </w:rPr>
        <w:t>电子履约保函形式，具体操作可登录江苏政府采购网的保险保函模块办理。</w:t>
      </w:r>
    </w:p>
    <w:p w14:paraId="2AD6513B">
      <w:pPr>
        <w:keepNext w:val="0"/>
        <w:keepLines w:val="0"/>
        <w:pageBreakBefore w:val="0"/>
        <w:kinsoku/>
        <w:wordWrap/>
        <w:overflowPunct/>
        <w:topLinePunct w:val="0"/>
        <w:autoSpaceDE/>
        <w:autoSpaceDN/>
        <w:bidi w:val="0"/>
        <w:adjustRightInd/>
        <w:snapToGrid/>
        <w:spacing w:line="400" w:lineRule="exact"/>
        <w:ind w:firstLine="482"/>
        <w:contextualSpacing/>
        <w:rPr>
          <w:rFonts w:hint="eastAsia" w:eastAsia="宋体"/>
          <w:color w:val="auto"/>
          <w:highlight w:val="none"/>
          <w:lang w:eastAsia="zh-CN"/>
        </w:rPr>
      </w:pPr>
      <w:r>
        <w:rPr>
          <w:rFonts w:hint="eastAsia" w:ascii="宋体" w:hAnsi="宋体" w:cs="宋体"/>
          <w:color w:val="auto"/>
          <w:sz w:val="24"/>
          <w:highlight w:val="none"/>
          <w:lang w:val="en-US" w:eastAsia="zh-CN"/>
        </w:rPr>
        <w:t>12</w:t>
      </w:r>
      <w:r>
        <w:rPr>
          <w:rFonts w:hint="eastAsia" w:ascii="宋体" w:hAnsi="宋体" w:cs="宋体"/>
          <w:color w:val="auto"/>
          <w:sz w:val="24"/>
          <w:highlight w:val="none"/>
          <w:lang w:eastAsia="zh-CN"/>
        </w:rPr>
        <w:t>.本项目中如有涉及数据库、操作系统、通用服务器、工作站、一体式计算机、便携式计算机、台式计算机等七种软硬件的投标供应商，不得违反财政部、工信部共同发布的数据库、操作系统、通用服务器、工作站、一体式计算机、便携式计算机、台式计算机等七类软硬件的需求标准。《需求标准》详见财库〔2023〕29号、30号、31号、32号、33号、34号、35号。在满足《需求标准》的前提下，若采购文件另有要求，投标供应商应予以满足。采购人可在合同中约定，履约验收时可对所提供的七种软硬件进行验收，必要时可委托依法取得检测、认证资质的机构开展检测、认证工作。</w:t>
      </w:r>
    </w:p>
    <w:p w14:paraId="55D1F513">
      <w:pPr>
        <w:keepNext w:val="0"/>
        <w:keepLines w:val="0"/>
        <w:pageBreakBefore w:val="0"/>
        <w:kinsoku/>
        <w:wordWrap/>
        <w:overflowPunct/>
        <w:topLinePunct w:val="0"/>
        <w:autoSpaceDE/>
        <w:autoSpaceDN/>
        <w:bidi w:val="0"/>
        <w:adjustRightInd/>
        <w:snapToGrid/>
        <w:spacing w:line="400" w:lineRule="exact"/>
        <w:ind w:firstLine="482"/>
        <w:contextualSpacing/>
        <w:rPr>
          <w:rFonts w:hint="eastAsia" w:eastAsia="宋体"/>
          <w:color w:val="auto"/>
          <w:highlight w:val="none"/>
          <w:lang w:eastAsia="zh-CN"/>
        </w:rPr>
      </w:pPr>
      <w:r>
        <w:rPr>
          <w:rFonts w:hint="eastAsia" w:ascii="宋体" w:hAnsi="宋体" w:cs="宋体"/>
          <w:color w:val="auto"/>
          <w:sz w:val="24"/>
          <w:highlight w:val="none"/>
          <w:lang w:val="en-US" w:eastAsia="zh-CN"/>
        </w:rPr>
        <w:t>13</w:t>
      </w:r>
      <w:r>
        <w:rPr>
          <w:rFonts w:hint="eastAsia" w:ascii="宋体" w:hAnsi="宋体" w:cs="宋体"/>
          <w:color w:val="auto"/>
          <w:sz w:val="24"/>
          <w:highlight w:val="none"/>
          <w:lang w:eastAsia="zh-CN"/>
        </w:rPr>
        <w:t>.根据苏财办购〔2024〕1号相关要求，采购人应严格依照政府采购法有关规定，在中标、成交通知书发出之日起30日内，按照采购文件确定的事项与中标、成交供应商签订政府采购合同。若因不可抗力原因迟延签订合同，采购人应自不可抗力事由消除之日起7日内完成合同签订。</w:t>
      </w:r>
    </w:p>
    <w:p w14:paraId="6E605546">
      <w:pPr>
        <w:keepNext w:val="0"/>
        <w:keepLines w:val="0"/>
        <w:pageBreakBefore w:val="0"/>
        <w:kinsoku/>
        <w:wordWrap/>
        <w:overflowPunct/>
        <w:topLinePunct w:val="0"/>
        <w:autoSpaceDE/>
        <w:autoSpaceDN/>
        <w:bidi w:val="0"/>
        <w:adjustRightInd/>
        <w:snapToGrid/>
        <w:spacing w:line="400" w:lineRule="exact"/>
        <w:ind w:firstLine="482"/>
        <w:contextualSpacing/>
        <w:rPr>
          <w:rFonts w:hint="eastAsia" w:eastAsia="宋体"/>
          <w:color w:val="auto"/>
          <w:highlight w:val="none"/>
          <w:lang w:eastAsia="zh-CN"/>
        </w:rPr>
      </w:pPr>
      <w:r>
        <w:rPr>
          <w:rFonts w:hint="eastAsia" w:ascii="宋体" w:hAnsi="宋体" w:cs="宋体"/>
          <w:color w:val="auto"/>
          <w:sz w:val="24"/>
          <w:highlight w:val="none"/>
          <w:lang w:eastAsia="zh-CN"/>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cs="宋体"/>
          <w:color w:val="auto"/>
          <w:sz w:val="24"/>
          <w:highlight w:val="none"/>
          <w:lang w:val="en" w:eastAsia="zh-CN"/>
        </w:rPr>
        <w:t>政府采购合同双方当事人不得擅自变更合同。确需依照政府采购法变更合同内容的，采购人应自合同变更之日起2个工作日内，在省级以上财政部门指定的媒体上发布政府采购合同变更公告，但涉及国家秘密、商业秘密及其他依法不得公开的信息除外。</w:t>
      </w:r>
    </w:p>
    <w:p w14:paraId="55E80270">
      <w:pPr>
        <w:keepNext w:val="0"/>
        <w:keepLines w:val="0"/>
        <w:pageBreakBefore w:val="0"/>
        <w:kinsoku/>
        <w:wordWrap/>
        <w:overflowPunct/>
        <w:topLinePunct w:val="0"/>
        <w:autoSpaceDE/>
        <w:autoSpaceDN/>
        <w:bidi w:val="0"/>
        <w:adjustRightInd/>
        <w:snapToGrid/>
        <w:spacing w:line="400" w:lineRule="exact"/>
        <w:ind w:firstLine="482"/>
        <w:contextualSpacing/>
        <w:rPr>
          <w:rFonts w:hint="eastAsia" w:eastAsia="宋体"/>
          <w:color w:val="auto"/>
          <w:highlight w:val="none"/>
          <w:lang w:eastAsia="zh-CN"/>
        </w:rPr>
      </w:pPr>
      <w:r>
        <w:rPr>
          <w:rFonts w:hint="eastAsia" w:ascii="宋体" w:hAnsi="宋体" w:cs="宋体"/>
          <w:color w:val="auto"/>
          <w:sz w:val="24"/>
          <w:highlight w:val="none"/>
          <w:lang w:eastAsia="zh-CN"/>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w:t>
      </w:r>
      <w:r>
        <w:rPr>
          <w:rFonts w:hint="eastAsia" w:ascii="宋体" w:hAnsi="宋体" w:cs="宋体"/>
          <w:color w:val="auto"/>
          <w:sz w:val="24"/>
          <w:highlight w:val="none"/>
          <w:lang w:val="en" w:eastAsia="zh-CN"/>
        </w:rPr>
        <w:t>根据《关于推动解决政府采购异常低价问题的通知》（财库〔2026〕2号）要求，采购人应落实履约验收责任，依法组织履约验收工作，验收内容需覆盖每一项技术和商务要求的履约情况。对于报价触发异常低价投标（响应）审查程序后仍中标（成交）的供应商，采购人应重点关注其履约承诺及实际履约情况。对可分期实施的采购项目，实行分期考核、分期验收、分期支付，及时掌握供应商履约进展。若供应商中标（成交）后无正当理由拒不签订政府采购合同，将依法予以处理；若供应商不履行合同或未按合同约定履行导致验收不合格，采购人应依法追究其违约责任。</w:t>
      </w:r>
    </w:p>
    <w:p w14:paraId="75D622B5">
      <w:pPr>
        <w:keepNext w:val="0"/>
        <w:keepLines w:val="0"/>
        <w:pageBreakBefore w:val="0"/>
        <w:kinsoku/>
        <w:wordWrap/>
        <w:overflowPunct/>
        <w:topLinePunct w:val="0"/>
        <w:autoSpaceDE/>
        <w:autoSpaceDN/>
        <w:bidi w:val="0"/>
        <w:adjustRightInd/>
        <w:snapToGrid/>
        <w:spacing w:line="400" w:lineRule="exact"/>
        <w:ind w:firstLine="482"/>
        <w:contextualSpacing/>
        <w:rPr>
          <w:rFonts w:hint="eastAsia" w:eastAsia="宋体"/>
          <w:color w:val="auto"/>
          <w:highlight w:val="none"/>
          <w:lang w:eastAsia="zh-CN"/>
        </w:rPr>
      </w:pPr>
      <w:r>
        <w:rPr>
          <w:rFonts w:hint="eastAsia" w:ascii="宋体" w:hAnsi="宋体" w:cs="宋体"/>
          <w:color w:val="auto"/>
          <w:sz w:val="24"/>
          <w:highlight w:val="none"/>
          <w:lang w:val="en" w:eastAsia="zh-CN"/>
        </w:rPr>
        <w:t>1</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val="en" w:eastAsia="zh-CN"/>
        </w:rPr>
        <w:t>.根据《国务院办公厅关于在政府采购中实施本国产品标准及相关政策的通知》（国办发〔2025〕34号）要求，国有企业、民营企业、外资企业等各类经营主体平等享受本国产品的政府采购支持政策。本国产品支持政策详见第五章，若采购项目或采购包仅含服务，则不涉及本国产品支持政策。</w:t>
      </w:r>
    </w:p>
    <w:p w14:paraId="4F92CE1C">
      <w:pPr>
        <w:keepNext w:val="0"/>
        <w:keepLines w:val="0"/>
        <w:pageBreakBefore w:val="0"/>
        <w:kinsoku/>
        <w:wordWrap/>
        <w:overflowPunct/>
        <w:topLinePunct w:val="0"/>
        <w:autoSpaceDE/>
        <w:autoSpaceDN/>
        <w:bidi w:val="0"/>
        <w:adjustRightInd/>
        <w:snapToGrid/>
        <w:spacing w:line="400" w:lineRule="exact"/>
        <w:ind w:firstLine="482"/>
        <w:contextualSpacing/>
        <w:rPr>
          <w:color w:val="auto"/>
          <w:highlight w:val="none"/>
        </w:rPr>
      </w:pPr>
      <w:r>
        <w:rPr>
          <w:rFonts w:hint="eastAsia" w:ascii="宋体" w:hAnsi="宋体" w:cs="宋体"/>
          <w:color w:val="auto"/>
          <w:sz w:val="24"/>
          <w:highlight w:val="none"/>
          <w:lang w:val="en"/>
        </w:rPr>
        <w:t>1</w:t>
      </w:r>
      <w:r>
        <w:rPr>
          <w:rFonts w:hint="eastAsia" w:ascii="宋体" w:hAnsi="宋体" w:cs="宋体"/>
          <w:color w:val="auto"/>
          <w:sz w:val="24"/>
          <w:highlight w:val="none"/>
          <w:lang w:val="en-US" w:eastAsia="zh-CN"/>
        </w:rPr>
        <w:t>7</w:t>
      </w:r>
      <w:r>
        <w:rPr>
          <w:rFonts w:hint="eastAsia" w:ascii="宋体" w:hAnsi="宋体" w:cs="宋体"/>
          <w:color w:val="auto"/>
          <w:sz w:val="24"/>
          <w:highlight w:val="none"/>
          <w:lang w:val="en"/>
        </w:rPr>
        <w:t>.本项目中</w:t>
      </w:r>
      <w:r>
        <w:rPr>
          <w:rFonts w:hint="eastAsia" w:ascii="宋体" w:hAnsi="宋体" w:cs="宋体"/>
          <w:color w:val="auto"/>
          <w:sz w:val="24"/>
          <w:highlight w:val="none"/>
          <w:lang w:val="en" w:eastAsia="zh-CN"/>
        </w:rPr>
        <w:t>若</w:t>
      </w:r>
      <w:r>
        <w:rPr>
          <w:rFonts w:hint="eastAsia" w:ascii="宋体" w:hAnsi="宋体" w:cs="宋体"/>
          <w:color w:val="auto"/>
          <w:sz w:val="24"/>
          <w:highlight w:val="none"/>
          <w:lang w:val="en"/>
        </w:rPr>
        <w:t>涉及</w:t>
      </w:r>
      <w:r>
        <w:rPr>
          <w:rFonts w:hint="eastAsia" w:ascii="宋体" w:hAnsi="宋体" w:cs="宋体"/>
          <w:color w:val="auto"/>
          <w:sz w:val="24"/>
          <w:highlight w:val="none"/>
          <w:lang w:val="en" w:eastAsia="zh-CN"/>
        </w:rPr>
        <w:t>须具备</w:t>
      </w:r>
      <w:r>
        <w:rPr>
          <w:rFonts w:hint="eastAsia" w:ascii="宋体" w:hAnsi="宋体" w:cs="宋体"/>
          <w:color w:val="auto"/>
          <w:sz w:val="24"/>
          <w:highlight w:val="none"/>
          <w:lang w:val="en"/>
        </w:rPr>
        <w:t>电信设备进网许可证、无线电发射设备核准证等市场准入类资质的产品，应严格执行国家相关法律法规要求。采购人、中标供应商双方签订合同及验收环节，</w:t>
      </w:r>
      <w:r>
        <w:rPr>
          <w:rFonts w:hint="eastAsia" w:ascii="宋体" w:hAnsi="宋体" w:cs="宋体"/>
          <w:color w:val="auto"/>
          <w:sz w:val="24"/>
          <w:highlight w:val="none"/>
          <w:lang w:val="en" w:eastAsia="zh-CN"/>
        </w:rPr>
        <w:t>需</w:t>
      </w:r>
      <w:r>
        <w:rPr>
          <w:rFonts w:hint="eastAsia" w:ascii="宋体" w:hAnsi="宋体" w:cs="宋体"/>
          <w:color w:val="auto"/>
          <w:sz w:val="24"/>
          <w:highlight w:val="none"/>
          <w:lang w:val="en"/>
        </w:rPr>
        <w:t>包含上述市场准入类资质要求的条款。</w:t>
      </w:r>
    </w:p>
    <w:p w14:paraId="55D6CF1B">
      <w:pPr>
        <w:pStyle w:val="186"/>
        <w:pageBreakBefore/>
        <w:rPr>
          <w:rFonts w:hint="eastAsia" w:ascii="黑体" w:hAnsi="黑体" w:eastAsia="黑体"/>
          <w:b w:val="0"/>
          <w:i w:val="0"/>
          <w:iCs w:val="0"/>
          <w:color w:val="auto"/>
          <w:sz w:val="32"/>
          <w:szCs w:val="32"/>
          <w:highlight w:val="none"/>
          <w:lang w:eastAsia="zh-CN"/>
        </w:rPr>
      </w:pPr>
      <w:r>
        <w:rPr>
          <w:rFonts w:hint="eastAsia" w:ascii="黑体" w:hAnsi="黑体" w:eastAsia="黑体"/>
          <w:b w:val="0"/>
          <w:i w:val="0"/>
          <w:iCs w:val="0"/>
          <w:color w:val="auto"/>
          <w:sz w:val="32"/>
          <w:szCs w:val="32"/>
          <w:highlight w:val="none"/>
          <w:lang w:eastAsia="zh-CN"/>
        </w:rPr>
        <w:t>第四章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rPr>
        <w:t>合同书（格式文本）</w:t>
      </w:r>
      <w:bookmarkEnd w:id="133"/>
    </w:p>
    <w:p w14:paraId="1A901542">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以下为中标后签订本项目合同的通用</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专用</w:t>
      </w:r>
      <w:r>
        <w:rPr>
          <w:rFonts w:hint="eastAsia" w:ascii="宋体" w:hAnsi="宋体"/>
          <w:bCs/>
          <w:color w:val="auto"/>
          <w:sz w:val="24"/>
          <w:highlight w:val="none"/>
        </w:rPr>
        <w:t>条款，中标人不得提出实质性的修改。</w:t>
      </w:r>
    </w:p>
    <w:p w14:paraId="47CB4992">
      <w:pPr>
        <w:spacing w:line="360" w:lineRule="auto"/>
        <w:jc w:val="center"/>
        <w:rPr>
          <w:rFonts w:ascii="宋体" w:hAnsi="宋体" w:eastAsia="宋体" w:cs="Times New Roman"/>
          <w:b/>
          <w:color w:val="auto"/>
          <w:sz w:val="44"/>
          <w:szCs w:val="44"/>
        </w:rPr>
      </w:pPr>
      <w:r>
        <w:rPr>
          <w:rFonts w:hint="eastAsia" w:ascii="宋体" w:hAnsi="宋体" w:eastAsia="宋体" w:cs="Times New Roman"/>
          <w:b/>
          <w:color w:val="auto"/>
          <w:sz w:val="52"/>
          <w:szCs w:val="52"/>
          <w:lang w:val="en-US" w:eastAsia="zh-CN"/>
        </w:rPr>
        <w:t>货物</w:t>
      </w:r>
      <w:r>
        <w:rPr>
          <w:rFonts w:hint="eastAsia" w:ascii="宋体" w:hAnsi="宋体" w:eastAsia="宋体" w:cs="Times New Roman"/>
          <w:b/>
          <w:color w:val="auto"/>
          <w:sz w:val="52"/>
          <w:szCs w:val="52"/>
        </w:rPr>
        <w:t>采购合同</w:t>
      </w:r>
    </w:p>
    <w:p w14:paraId="5CD24ECA">
      <w:pPr>
        <w:spacing w:line="360" w:lineRule="auto"/>
        <w:rPr>
          <w:rFonts w:ascii="宋体" w:hAnsi="宋体" w:eastAsia="宋体" w:cs="Times New Roman"/>
          <w:b/>
          <w:color w:val="auto"/>
          <w:sz w:val="28"/>
          <w:szCs w:val="28"/>
        </w:rPr>
      </w:pPr>
    </w:p>
    <w:p w14:paraId="0B2572AE">
      <w:pPr>
        <w:spacing w:line="360" w:lineRule="auto"/>
        <w:rPr>
          <w:rFonts w:ascii="宋体" w:hAnsi="宋体" w:eastAsia="宋体" w:cs="Times New Roman"/>
          <w:b/>
          <w:color w:val="auto"/>
          <w:sz w:val="44"/>
          <w:szCs w:val="44"/>
        </w:rPr>
      </w:pPr>
    </w:p>
    <w:p w14:paraId="36AD21C7">
      <w:pPr>
        <w:spacing w:line="360" w:lineRule="auto"/>
        <w:rPr>
          <w:rFonts w:ascii="宋体" w:hAnsi="宋体" w:eastAsia="宋体" w:cs="Times New Roman"/>
          <w:b/>
          <w:color w:val="auto"/>
          <w:sz w:val="44"/>
          <w:szCs w:val="44"/>
        </w:rPr>
      </w:pPr>
    </w:p>
    <w:p w14:paraId="2AF59B59">
      <w:pPr>
        <w:spacing w:line="360" w:lineRule="auto"/>
        <w:jc w:val="center"/>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 </w:t>
      </w:r>
    </w:p>
    <w:p w14:paraId="2B5566D2">
      <w:pPr>
        <w:spacing w:line="360" w:lineRule="auto"/>
        <w:jc w:val="center"/>
        <w:rPr>
          <w:rFonts w:ascii="宋体" w:hAnsi="宋体" w:eastAsia="宋体" w:cs="Times New Roman"/>
          <w:b/>
          <w:color w:val="auto"/>
          <w:sz w:val="44"/>
          <w:szCs w:val="44"/>
        </w:rPr>
      </w:pPr>
    </w:p>
    <w:p w14:paraId="5D0B8E26">
      <w:pPr>
        <w:spacing w:line="360" w:lineRule="auto"/>
        <w:jc w:val="center"/>
        <w:rPr>
          <w:rFonts w:ascii="宋体" w:hAnsi="宋体" w:eastAsia="宋体" w:cs="Times New Roman"/>
          <w:b/>
          <w:color w:val="auto"/>
          <w:sz w:val="44"/>
          <w:szCs w:val="44"/>
        </w:rPr>
      </w:pPr>
    </w:p>
    <w:p w14:paraId="0D86AB00">
      <w:pPr>
        <w:spacing w:line="360" w:lineRule="auto"/>
        <w:jc w:val="center"/>
        <w:rPr>
          <w:rFonts w:ascii="宋体" w:hAnsi="宋体" w:eastAsia="宋体" w:cs="Times New Roman"/>
          <w:b/>
          <w:color w:val="auto"/>
          <w:sz w:val="44"/>
          <w:szCs w:val="44"/>
        </w:rPr>
      </w:pPr>
    </w:p>
    <w:p w14:paraId="2E5B0D76">
      <w:pPr>
        <w:spacing w:line="360" w:lineRule="auto"/>
        <w:jc w:val="center"/>
        <w:rPr>
          <w:rFonts w:ascii="宋体" w:hAnsi="宋体" w:eastAsia="宋体" w:cs="Times New Roman"/>
          <w:b/>
          <w:color w:val="auto"/>
          <w:sz w:val="44"/>
          <w:szCs w:val="44"/>
        </w:rPr>
      </w:pPr>
    </w:p>
    <w:p w14:paraId="440A002A">
      <w:pPr>
        <w:spacing w:line="360" w:lineRule="auto"/>
        <w:jc w:val="center"/>
        <w:rPr>
          <w:rFonts w:ascii="宋体" w:hAnsi="宋体" w:eastAsia="宋体" w:cs="Times New Roman"/>
          <w:b/>
          <w:color w:val="auto"/>
          <w:sz w:val="44"/>
          <w:szCs w:val="44"/>
        </w:rPr>
      </w:pPr>
    </w:p>
    <w:p w14:paraId="122A06E9">
      <w:pPr>
        <w:spacing w:line="360" w:lineRule="auto"/>
        <w:jc w:val="center"/>
        <w:rPr>
          <w:rFonts w:ascii="宋体" w:hAnsi="宋体" w:eastAsia="宋体" w:cs="Times New Roman"/>
          <w:b/>
          <w:color w:val="auto"/>
          <w:sz w:val="44"/>
          <w:szCs w:val="44"/>
        </w:rPr>
      </w:pPr>
    </w:p>
    <w:p w14:paraId="09BB6630">
      <w:pPr>
        <w:spacing w:line="360" w:lineRule="auto"/>
        <w:jc w:val="center"/>
        <w:rPr>
          <w:rFonts w:ascii="宋体" w:hAnsi="宋体" w:eastAsia="宋体" w:cs="Times New Roman"/>
          <w:b/>
          <w:color w:val="auto"/>
          <w:sz w:val="44"/>
          <w:szCs w:val="44"/>
        </w:rPr>
      </w:pPr>
    </w:p>
    <w:p w14:paraId="382ED774">
      <w:pPr>
        <w:spacing w:line="360" w:lineRule="auto"/>
        <w:jc w:val="center"/>
        <w:rPr>
          <w:rFonts w:ascii="宋体" w:hAnsi="宋体" w:eastAsia="宋体" w:cs="Times New Roman"/>
          <w:b/>
          <w:color w:val="auto"/>
          <w:sz w:val="44"/>
          <w:szCs w:val="44"/>
        </w:rPr>
      </w:pPr>
    </w:p>
    <w:p w14:paraId="57827D84">
      <w:pPr>
        <w:spacing w:line="360" w:lineRule="auto"/>
        <w:jc w:val="center"/>
        <w:rPr>
          <w:rFonts w:ascii="宋体" w:hAnsi="宋体" w:eastAsia="宋体" w:cs="Times New Roman"/>
          <w:b/>
          <w:color w:val="auto"/>
          <w:sz w:val="44"/>
          <w:szCs w:val="44"/>
        </w:rPr>
      </w:pPr>
    </w:p>
    <w:p w14:paraId="70E849BB">
      <w:pPr>
        <w:spacing w:line="360" w:lineRule="auto"/>
        <w:jc w:val="center"/>
        <w:rPr>
          <w:rFonts w:ascii="宋体" w:hAnsi="宋体" w:eastAsia="宋体" w:cs="Times New Roman"/>
          <w:b/>
          <w:color w:val="auto"/>
          <w:sz w:val="44"/>
          <w:szCs w:val="44"/>
        </w:rPr>
      </w:pPr>
    </w:p>
    <w:p w14:paraId="1F46870A">
      <w:pPr>
        <w:spacing w:line="360" w:lineRule="auto"/>
        <w:jc w:val="left"/>
        <w:rPr>
          <w:rFonts w:hint="default" w:ascii="宋体" w:hAnsi="宋体" w:eastAsia="宋体" w:cs="Times New Roman"/>
          <w:b/>
          <w:color w:val="auto"/>
          <w:sz w:val="32"/>
          <w:szCs w:val="32"/>
          <w:lang w:val="en-US" w:eastAsia="zh-CN"/>
        </w:rPr>
      </w:pPr>
      <w:r>
        <w:rPr>
          <w:rFonts w:hint="eastAsia" w:ascii="宋体" w:hAnsi="宋体" w:eastAsia="宋体" w:cs="Times New Roman"/>
          <w:b/>
          <w:color w:val="auto"/>
          <w:sz w:val="32"/>
          <w:szCs w:val="32"/>
          <w:lang w:eastAsia="zh-CN"/>
        </w:rPr>
        <w:t>项目</w:t>
      </w:r>
      <w:r>
        <w:rPr>
          <w:rFonts w:hint="eastAsia" w:ascii="宋体" w:hAnsi="宋体" w:eastAsia="宋体" w:cs="Times New Roman"/>
          <w:b/>
          <w:color w:val="auto"/>
          <w:sz w:val="32"/>
          <w:szCs w:val="32"/>
          <w:lang w:val="en-US" w:eastAsia="zh-CN"/>
        </w:rPr>
        <w:t>名称：</w:t>
      </w:r>
      <w:r>
        <w:rPr>
          <w:rFonts w:hint="eastAsia" w:ascii="宋体" w:hAnsi="宋体" w:eastAsia="宋体" w:cs="Times New Roman"/>
          <w:b/>
          <w:color w:val="auto"/>
          <w:sz w:val="32"/>
          <w:szCs w:val="32"/>
          <w:u w:val="single"/>
          <w:lang w:val="en-US" w:eastAsia="zh-CN"/>
        </w:rPr>
        <w:t>石塘湾消防站智能化专项采购项目</w:t>
      </w:r>
    </w:p>
    <w:p w14:paraId="4088CE3E">
      <w:pPr>
        <w:spacing w:line="360" w:lineRule="auto"/>
        <w:jc w:val="left"/>
        <w:rPr>
          <w:rFonts w:hint="default" w:ascii="宋体" w:hAnsi="宋体" w:eastAsia="宋体" w:cs="Times New Roman"/>
          <w:b/>
          <w:color w:val="auto"/>
          <w:sz w:val="32"/>
          <w:szCs w:val="32"/>
          <w:u w:val="single"/>
          <w:lang w:val="en-US" w:eastAsia="zh-CN"/>
        </w:rPr>
      </w:pPr>
      <w:r>
        <w:rPr>
          <w:rFonts w:hint="eastAsia" w:ascii="宋体" w:hAnsi="宋体" w:eastAsia="宋体" w:cs="Times New Roman"/>
          <w:b/>
          <w:color w:val="auto"/>
          <w:sz w:val="32"/>
          <w:szCs w:val="32"/>
          <w:lang w:val="en-US" w:eastAsia="zh-CN"/>
        </w:rPr>
        <w:t>项目地址</w:t>
      </w:r>
      <w:r>
        <w:rPr>
          <w:rFonts w:hint="eastAsia" w:ascii="宋体" w:hAnsi="宋体" w:eastAsia="宋体" w:cs="Times New Roman"/>
          <w:b/>
          <w:color w:val="auto"/>
          <w:sz w:val="32"/>
          <w:szCs w:val="32"/>
        </w:rPr>
        <w:t>：</w:t>
      </w:r>
      <w:r>
        <w:rPr>
          <w:rFonts w:hint="eastAsia" w:ascii="宋体" w:hAnsi="宋体" w:eastAsia="宋体" w:cs="Times New Roman"/>
          <w:b/>
          <w:color w:val="auto"/>
          <w:sz w:val="32"/>
          <w:szCs w:val="32"/>
          <w:u w:val="single"/>
          <w:lang w:val="en-US" w:eastAsia="zh-CN"/>
        </w:rPr>
        <w:t>无锡市惠山区洛社镇</w:t>
      </w:r>
    </w:p>
    <w:p w14:paraId="5B334B5A">
      <w:pPr>
        <w:spacing w:line="360" w:lineRule="auto"/>
        <w:jc w:val="left"/>
        <w:rPr>
          <w:rFonts w:hint="default" w:ascii="宋体" w:hAnsi="宋体" w:eastAsia="宋体" w:cs="Times New Roman"/>
          <w:b/>
          <w:color w:val="auto"/>
          <w:sz w:val="32"/>
          <w:szCs w:val="32"/>
          <w:u w:val="single"/>
          <w:lang w:val="en-US" w:eastAsia="zh-CN"/>
        </w:rPr>
      </w:pPr>
      <w:r>
        <w:rPr>
          <w:rFonts w:hint="eastAsia" w:ascii="宋体" w:hAnsi="宋体" w:eastAsia="宋体" w:cs="Times New Roman"/>
          <w:b/>
          <w:color w:val="auto"/>
          <w:sz w:val="32"/>
          <w:szCs w:val="32"/>
          <w:u w:val="none"/>
          <w:lang w:val="en-US" w:eastAsia="zh-CN"/>
        </w:rPr>
        <w:t>签订日期</w:t>
      </w:r>
      <w:r>
        <w:rPr>
          <w:rFonts w:hint="eastAsia" w:ascii="宋体" w:hAnsi="宋体" w:eastAsia="宋体" w:cs="Times New Roman"/>
          <w:b/>
          <w:color w:val="auto"/>
          <w:sz w:val="32"/>
          <w:szCs w:val="32"/>
        </w:rPr>
        <w:t>：</w:t>
      </w:r>
      <w:r>
        <w:rPr>
          <w:rFonts w:hint="eastAsia" w:ascii="宋体" w:hAnsi="宋体" w:eastAsia="宋体" w:cs="Times New Roman"/>
          <w:b/>
          <w:color w:val="auto"/>
          <w:sz w:val="32"/>
          <w:szCs w:val="32"/>
          <w:u w:val="single"/>
          <w:lang w:val="en-US" w:eastAsia="zh-CN"/>
        </w:rPr>
        <w:t>2026年   月   日</w:t>
      </w:r>
    </w:p>
    <w:p w14:paraId="695CCAAA">
      <w:pPr>
        <w:spacing w:line="440" w:lineRule="exact"/>
        <w:jc w:val="center"/>
        <w:outlineLvl w:val="0"/>
        <w:rPr>
          <w:rFonts w:hint="eastAsia" w:ascii="Cambria" w:hAnsi="Cambria" w:eastAsia="宋体" w:cs="Times New Roman"/>
          <w:b/>
          <w:bCs/>
          <w:color w:val="auto"/>
          <w:kern w:val="0"/>
          <w:sz w:val="32"/>
          <w:szCs w:val="32"/>
          <w:highlight w:val="none"/>
          <w:lang w:val="zh-CN"/>
        </w:rPr>
      </w:pPr>
    </w:p>
    <w:p w14:paraId="4E688A36">
      <w:pPr>
        <w:spacing w:line="440" w:lineRule="exact"/>
        <w:jc w:val="center"/>
        <w:outlineLvl w:val="0"/>
        <w:rPr>
          <w:rFonts w:hint="eastAsia" w:ascii="Cambria" w:hAnsi="Cambria" w:eastAsia="宋体" w:cs="Times New Roman"/>
          <w:b/>
          <w:bCs/>
          <w:color w:val="auto"/>
          <w:kern w:val="0"/>
          <w:sz w:val="32"/>
          <w:szCs w:val="32"/>
          <w:highlight w:val="none"/>
          <w:lang w:val="zh-CN"/>
        </w:rPr>
      </w:pPr>
    </w:p>
    <w:p w14:paraId="17EB87E4">
      <w:pPr>
        <w:spacing w:line="440" w:lineRule="exact"/>
        <w:jc w:val="center"/>
        <w:outlineLvl w:val="0"/>
        <w:rPr>
          <w:rFonts w:hint="eastAsia" w:ascii="Cambria" w:hAnsi="Cambria" w:eastAsia="宋体" w:cs="Times New Roman"/>
          <w:b/>
          <w:bCs/>
          <w:color w:val="auto"/>
          <w:kern w:val="0"/>
          <w:sz w:val="32"/>
          <w:szCs w:val="32"/>
          <w:highlight w:val="none"/>
          <w:lang w:val="zh-CN"/>
        </w:rPr>
      </w:pPr>
    </w:p>
    <w:p w14:paraId="1710653B">
      <w:pPr>
        <w:spacing w:line="440" w:lineRule="exact"/>
        <w:jc w:val="center"/>
        <w:outlineLvl w:val="0"/>
        <w:rPr>
          <w:rFonts w:hint="eastAsia" w:ascii="Cambria" w:hAnsi="Cambria" w:eastAsia="宋体" w:cs="Times New Roman"/>
          <w:b/>
          <w:bCs/>
          <w:color w:val="auto"/>
          <w:kern w:val="0"/>
          <w:sz w:val="32"/>
          <w:szCs w:val="32"/>
          <w:highlight w:val="none"/>
          <w:lang w:val="zh-CN"/>
        </w:rPr>
      </w:pPr>
    </w:p>
    <w:p w14:paraId="74144DA5">
      <w:pPr>
        <w:keepNext w:val="0"/>
        <w:keepLines w:val="0"/>
        <w:pageBreakBefore w:val="0"/>
        <w:widowControl w:val="0"/>
        <w:kinsoku/>
        <w:wordWrap/>
        <w:overflowPunct/>
        <w:topLinePunct w:val="0"/>
        <w:autoSpaceDE/>
        <w:autoSpaceDN/>
        <w:bidi w:val="0"/>
        <w:spacing w:line="400" w:lineRule="exact"/>
        <w:jc w:val="center"/>
        <w:textAlignment w:val="auto"/>
        <w:outlineLvl w:val="0"/>
        <w:rPr>
          <w:rFonts w:hint="default" w:ascii="Cambria" w:hAnsi="Cambria" w:eastAsia="宋体" w:cs="Times New Roman"/>
          <w:b/>
          <w:bCs/>
          <w:color w:val="auto"/>
          <w:kern w:val="0"/>
          <w:sz w:val="32"/>
          <w:szCs w:val="32"/>
          <w:highlight w:val="none"/>
          <w:lang w:val="zh-CN"/>
        </w:rPr>
      </w:pPr>
      <w:r>
        <w:rPr>
          <w:rFonts w:hint="eastAsia" w:ascii="Cambria" w:hAnsi="Cambria" w:eastAsia="宋体" w:cs="Times New Roman"/>
          <w:b/>
          <w:bCs/>
          <w:color w:val="auto"/>
          <w:kern w:val="0"/>
          <w:sz w:val="32"/>
          <w:szCs w:val="32"/>
          <w:highlight w:val="none"/>
          <w:lang w:val="zh-CN"/>
        </w:rPr>
        <w:t>合同条款</w:t>
      </w:r>
    </w:p>
    <w:p w14:paraId="49F3A0A3">
      <w:pPr>
        <w:keepNext w:val="0"/>
        <w:keepLines w:val="0"/>
        <w:pageBreakBefore w:val="0"/>
        <w:widowControl w:val="0"/>
        <w:kinsoku/>
        <w:wordWrap/>
        <w:overflowPunct/>
        <w:topLinePunct w:val="0"/>
        <w:autoSpaceDE/>
        <w:autoSpaceDN/>
        <w:bidi w:val="0"/>
        <w:spacing w:line="400" w:lineRule="exact"/>
        <w:textAlignment w:val="auto"/>
        <w:rPr>
          <w:rFonts w:hint="default" w:ascii="宋体" w:hAnsi="宋体" w:eastAsia="宋体" w:cs="Times New Roman"/>
          <w:bCs/>
          <w:color w:val="auto"/>
          <w:kern w:val="0"/>
          <w:sz w:val="24"/>
          <w:szCs w:val="20"/>
          <w:highlight w:val="none"/>
          <w:u w:val="single"/>
          <w:lang w:val="en-US" w:eastAsia="zh-CN"/>
        </w:rPr>
      </w:pPr>
      <w:r>
        <w:rPr>
          <w:rFonts w:hint="eastAsia" w:ascii="宋体" w:hAnsi="宋体" w:eastAsia="宋体" w:cs="Times New Roman"/>
          <w:bCs/>
          <w:color w:val="auto"/>
          <w:kern w:val="0"/>
          <w:sz w:val="24"/>
          <w:szCs w:val="20"/>
          <w:highlight w:val="none"/>
        </w:rPr>
        <w:t>甲方（</w:t>
      </w:r>
      <w:r>
        <w:rPr>
          <w:rFonts w:hint="eastAsia" w:ascii="宋体" w:hAnsi="宋体" w:eastAsia="宋体" w:cs="Times New Roman"/>
          <w:bCs/>
          <w:color w:val="auto"/>
          <w:kern w:val="0"/>
          <w:sz w:val="24"/>
          <w:szCs w:val="20"/>
          <w:highlight w:val="none"/>
          <w:lang w:val="en-US" w:eastAsia="zh-CN"/>
        </w:rPr>
        <w:t>采购人</w:t>
      </w:r>
      <w:r>
        <w:rPr>
          <w:rFonts w:hint="eastAsia" w:ascii="宋体" w:hAnsi="宋体" w:eastAsia="宋体" w:cs="Times New Roman"/>
          <w:bCs/>
          <w:color w:val="auto"/>
          <w:kern w:val="0"/>
          <w:sz w:val="24"/>
          <w:szCs w:val="20"/>
          <w:highlight w:val="none"/>
        </w:rPr>
        <w:t>）：</w:t>
      </w:r>
      <w:r>
        <w:rPr>
          <w:rFonts w:hint="eastAsia" w:ascii="宋体" w:hAnsi="宋体" w:eastAsia="宋体" w:cs="Times New Roman"/>
          <w:bCs/>
          <w:color w:val="auto"/>
          <w:kern w:val="0"/>
          <w:sz w:val="24"/>
          <w:szCs w:val="20"/>
          <w:highlight w:val="none"/>
          <w:u w:val="single"/>
          <w:lang w:eastAsia="zh-CN"/>
        </w:rPr>
        <w:t>无锡市惠山区洛社镇人民政府</w:t>
      </w:r>
    </w:p>
    <w:p w14:paraId="2266640F">
      <w:pPr>
        <w:keepNext w:val="0"/>
        <w:keepLines w:val="0"/>
        <w:pageBreakBefore w:val="0"/>
        <w:widowControl w:val="0"/>
        <w:kinsoku/>
        <w:wordWrap/>
        <w:overflowPunct/>
        <w:topLinePunct w:val="0"/>
        <w:autoSpaceDE/>
        <w:autoSpaceDN/>
        <w:bidi w:val="0"/>
        <w:spacing w:line="400" w:lineRule="exact"/>
        <w:textAlignment w:val="auto"/>
        <w:rPr>
          <w:rFonts w:hint="default" w:ascii="宋体" w:hAnsi="宋体" w:eastAsia="宋体" w:cs="Times New Roman"/>
          <w:b/>
          <w:color w:val="auto"/>
          <w:kern w:val="0"/>
          <w:sz w:val="24"/>
          <w:szCs w:val="20"/>
          <w:highlight w:val="none"/>
          <w:u w:val="single"/>
          <w:lang w:val="en-US" w:eastAsia="zh-CN"/>
        </w:rPr>
      </w:pPr>
      <w:r>
        <w:rPr>
          <w:rFonts w:hint="eastAsia" w:ascii="宋体" w:hAnsi="宋体" w:eastAsia="宋体" w:cs="Times New Roman"/>
          <w:bCs/>
          <w:color w:val="auto"/>
          <w:kern w:val="0"/>
          <w:sz w:val="24"/>
          <w:szCs w:val="20"/>
          <w:highlight w:val="none"/>
        </w:rPr>
        <w:t>乙方（中标方）：</w:t>
      </w:r>
      <w:r>
        <w:rPr>
          <w:rFonts w:hint="eastAsia" w:ascii="宋体" w:hAnsi="宋体" w:eastAsia="宋体" w:cs="Times New Roman"/>
          <w:bCs/>
          <w:color w:val="auto"/>
          <w:kern w:val="0"/>
          <w:sz w:val="24"/>
          <w:szCs w:val="20"/>
          <w:highlight w:val="none"/>
          <w:lang w:val="en-US" w:eastAsia="zh-CN"/>
        </w:rPr>
        <w:t xml:space="preserve">  </w:t>
      </w:r>
    </w:p>
    <w:p w14:paraId="4D195AEE">
      <w:pPr>
        <w:keepNext w:val="0"/>
        <w:keepLines w:val="0"/>
        <w:pageBreakBefore w:val="0"/>
        <w:widowControl w:val="0"/>
        <w:numPr>
          <w:ilvl w:val="0"/>
          <w:numId w:val="4"/>
        </w:numPr>
        <w:tabs>
          <w:tab w:val="left" w:pos="1134"/>
        </w:tabs>
        <w:kinsoku/>
        <w:wordWrap/>
        <w:overflowPunct/>
        <w:topLinePunct w:val="0"/>
        <w:autoSpaceDE/>
        <w:autoSpaceDN/>
        <w:bidi w:val="0"/>
        <w:spacing w:line="400" w:lineRule="exact"/>
        <w:ind w:left="0" w:firstLine="525"/>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
          <w:color w:val="auto"/>
          <w:kern w:val="0"/>
          <w:sz w:val="24"/>
          <w:szCs w:val="20"/>
          <w:highlight w:val="none"/>
        </w:rPr>
        <w:t>项目名称：</w:t>
      </w:r>
      <w:r>
        <w:rPr>
          <w:rFonts w:hint="eastAsia" w:ascii="宋体" w:hAnsi="宋体" w:eastAsia="宋体" w:cs="Times New Roman"/>
          <w:b w:val="0"/>
          <w:bCs/>
          <w:color w:val="auto"/>
          <w:kern w:val="0"/>
          <w:sz w:val="24"/>
          <w:szCs w:val="20"/>
          <w:highlight w:val="none"/>
          <w:u w:val="single"/>
          <w:lang w:val="en-US" w:eastAsia="zh-CN"/>
        </w:rPr>
        <w:t>石塘湾消防站智能化专项采购项目</w:t>
      </w:r>
      <w:r>
        <w:rPr>
          <w:rFonts w:hint="eastAsia" w:ascii="宋体" w:hAnsi="宋体" w:eastAsia="宋体" w:cs="Times New Roman"/>
          <w:b/>
          <w:color w:val="auto"/>
          <w:kern w:val="0"/>
          <w:sz w:val="24"/>
          <w:szCs w:val="20"/>
          <w:highlight w:val="none"/>
          <w:u w:val="none"/>
          <w:lang w:val="en-US" w:eastAsia="zh-CN"/>
        </w:rPr>
        <w:t>。</w:t>
      </w:r>
    </w:p>
    <w:p w14:paraId="174DA6C4">
      <w:pPr>
        <w:keepNext w:val="0"/>
        <w:keepLines w:val="0"/>
        <w:pageBreakBefore w:val="0"/>
        <w:widowControl w:val="0"/>
        <w:numPr>
          <w:ilvl w:val="0"/>
          <w:numId w:val="4"/>
        </w:numPr>
        <w:tabs>
          <w:tab w:val="left" w:pos="1134"/>
        </w:tabs>
        <w:kinsoku/>
        <w:wordWrap/>
        <w:overflowPunct/>
        <w:topLinePunct w:val="0"/>
        <w:autoSpaceDE/>
        <w:autoSpaceDN/>
        <w:bidi w:val="0"/>
        <w:spacing w:line="400" w:lineRule="exact"/>
        <w:ind w:left="0" w:firstLine="525"/>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
          <w:color w:val="auto"/>
          <w:kern w:val="0"/>
          <w:sz w:val="24"/>
          <w:szCs w:val="20"/>
          <w:highlight w:val="none"/>
        </w:rPr>
        <w:t>项目编号：</w:t>
      </w:r>
      <w:r>
        <w:rPr>
          <w:rFonts w:hint="eastAsia" w:ascii="宋体" w:hAnsi="宋体" w:eastAsia="宋体" w:cs="Times New Roman"/>
          <w:b w:val="0"/>
          <w:bCs/>
          <w:color w:val="auto"/>
          <w:kern w:val="0"/>
          <w:sz w:val="24"/>
          <w:szCs w:val="20"/>
          <w:highlight w:val="none"/>
          <w:u w:val="single"/>
          <w:lang w:eastAsia="zh-CN"/>
        </w:rPr>
        <w:t>JSZC-320206-JZCG-G2026-0051</w:t>
      </w:r>
      <w:r>
        <w:rPr>
          <w:rFonts w:hint="eastAsia" w:ascii="宋体" w:hAnsi="宋体" w:eastAsia="宋体" w:cs="Times New Roman"/>
          <w:b/>
          <w:bCs w:val="0"/>
          <w:color w:val="auto"/>
          <w:kern w:val="0"/>
          <w:sz w:val="24"/>
          <w:szCs w:val="20"/>
          <w:highlight w:val="none"/>
          <w:u w:val="none"/>
          <w:lang w:eastAsia="zh-CN"/>
        </w:rPr>
        <w:t>。</w:t>
      </w:r>
    </w:p>
    <w:p w14:paraId="19036C5F">
      <w:pPr>
        <w:keepNext w:val="0"/>
        <w:keepLines w:val="0"/>
        <w:pageBreakBefore w:val="0"/>
        <w:widowControl w:val="0"/>
        <w:numPr>
          <w:ilvl w:val="0"/>
          <w:numId w:val="4"/>
        </w:numPr>
        <w:tabs>
          <w:tab w:val="left" w:pos="1134"/>
        </w:tabs>
        <w:kinsoku/>
        <w:wordWrap/>
        <w:overflowPunct/>
        <w:topLinePunct w:val="0"/>
        <w:autoSpaceDE/>
        <w:autoSpaceDN/>
        <w:bidi w:val="0"/>
        <w:spacing w:line="400" w:lineRule="exact"/>
        <w:ind w:left="0" w:firstLine="525"/>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
          <w:color w:val="auto"/>
          <w:kern w:val="0"/>
          <w:sz w:val="24"/>
          <w:szCs w:val="20"/>
          <w:highlight w:val="none"/>
        </w:rPr>
        <w:t>采购内容：</w:t>
      </w:r>
      <w:r>
        <w:rPr>
          <w:rFonts w:hint="eastAsia" w:ascii="宋体" w:hAnsi="宋体" w:eastAsia="宋体" w:cs="Times New Roman"/>
          <w:b w:val="0"/>
          <w:bCs/>
          <w:color w:val="auto"/>
          <w:kern w:val="0"/>
          <w:sz w:val="24"/>
          <w:szCs w:val="20"/>
          <w:highlight w:val="none"/>
          <w:u w:val="single"/>
        </w:rPr>
        <w:t>石塘湾消防站消防智能化专项设备采购，采购内容包括但不限于演习工作站、无人机</w:t>
      </w:r>
      <w:r>
        <w:rPr>
          <w:rFonts w:hint="eastAsia" w:ascii="宋体" w:hAnsi="宋体" w:eastAsia="宋体" w:cs="Times New Roman"/>
          <w:b w:val="0"/>
          <w:bCs/>
          <w:color w:val="auto"/>
          <w:kern w:val="0"/>
          <w:sz w:val="24"/>
          <w:szCs w:val="20"/>
          <w:highlight w:val="none"/>
          <w:u w:val="single"/>
          <w:lang w:val="en-US" w:eastAsia="zh-CN"/>
        </w:rPr>
        <w:t>及配套服务</w:t>
      </w:r>
      <w:r>
        <w:rPr>
          <w:rFonts w:hint="eastAsia" w:ascii="宋体" w:hAnsi="宋体" w:eastAsia="宋体" w:cs="Times New Roman"/>
          <w:b w:val="0"/>
          <w:bCs/>
          <w:color w:val="auto"/>
          <w:kern w:val="0"/>
          <w:sz w:val="24"/>
          <w:szCs w:val="20"/>
          <w:highlight w:val="none"/>
          <w:u w:val="single"/>
        </w:rPr>
        <w:t>、水带养护机器人、单兵装备、消防快速出警（一短三快）、指挥信息网、体能考试系统（长跑），供应商负责本次采购清单范围内所有货物</w:t>
      </w:r>
      <w:r>
        <w:rPr>
          <w:rFonts w:hint="eastAsia" w:ascii="宋体" w:hAnsi="宋体" w:eastAsia="宋体" w:cs="Times New Roman"/>
          <w:b w:val="0"/>
          <w:bCs/>
          <w:color w:val="auto"/>
          <w:kern w:val="0"/>
          <w:sz w:val="24"/>
          <w:szCs w:val="20"/>
          <w:highlight w:val="none"/>
          <w:u w:val="single"/>
          <w:lang w:val="en-US" w:eastAsia="zh-CN"/>
        </w:rPr>
        <w:t>及其配套附件</w:t>
      </w:r>
      <w:r>
        <w:rPr>
          <w:rFonts w:hint="eastAsia" w:ascii="宋体" w:hAnsi="宋体" w:eastAsia="宋体" w:cs="Times New Roman"/>
          <w:b w:val="0"/>
          <w:bCs/>
          <w:color w:val="auto"/>
          <w:kern w:val="0"/>
          <w:sz w:val="24"/>
          <w:szCs w:val="20"/>
          <w:highlight w:val="none"/>
          <w:u w:val="single"/>
        </w:rPr>
        <w:t>的供货、安装、调试、对接测试、试运行、技术培训、质保及售后等</w:t>
      </w:r>
      <w:r>
        <w:rPr>
          <w:rFonts w:hint="eastAsia" w:ascii="宋体" w:hAnsi="宋体" w:eastAsia="宋体" w:cs="Times New Roman"/>
          <w:b/>
          <w:color w:val="auto"/>
          <w:kern w:val="0"/>
          <w:sz w:val="24"/>
          <w:szCs w:val="20"/>
          <w:highlight w:val="none"/>
          <w:lang w:eastAsia="zh-CN"/>
        </w:rPr>
        <w:t>。</w:t>
      </w:r>
    </w:p>
    <w:p w14:paraId="336130B6">
      <w:pPr>
        <w:keepNext w:val="0"/>
        <w:keepLines w:val="0"/>
        <w:pageBreakBefore w:val="0"/>
        <w:widowControl w:val="0"/>
        <w:numPr>
          <w:ilvl w:val="0"/>
          <w:numId w:val="4"/>
        </w:numPr>
        <w:tabs>
          <w:tab w:val="left" w:pos="1134"/>
        </w:tabs>
        <w:kinsoku/>
        <w:wordWrap/>
        <w:overflowPunct/>
        <w:topLinePunct w:val="0"/>
        <w:autoSpaceDE/>
        <w:autoSpaceDN/>
        <w:bidi w:val="0"/>
        <w:spacing w:line="400" w:lineRule="exact"/>
        <w:ind w:left="0" w:firstLine="525"/>
        <w:textAlignment w:val="auto"/>
        <w:rPr>
          <w:rFonts w:hint="eastAsia" w:ascii="宋体" w:hAnsi="宋体" w:eastAsia="宋体" w:cs="Times New Roman"/>
          <w:b/>
          <w:bCs/>
          <w:color w:val="auto"/>
          <w:kern w:val="0"/>
          <w:sz w:val="24"/>
          <w:szCs w:val="20"/>
          <w:highlight w:val="none"/>
        </w:rPr>
      </w:pPr>
      <w:r>
        <w:rPr>
          <w:rFonts w:hint="eastAsia" w:ascii="宋体" w:hAnsi="宋体" w:eastAsia="宋体" w:cs="Times New Roman"/>
          <w:b/>
          <w:bCs/>
          <w:color w:val="auto"/>
          <w:kern w:val="0"/>
          <w:sz w:val="24"/>
          <w:szCs w:val="20"/>
          <w:highlight w:val="none"/>
        </w:rPr>
        <w:t>合同价格形式及合同价款</w:t>
      </w:r>
    </w:p>
    <w:p w14:paraId="32967270">
      <w:pPr>
        <w:keepNext w:val="0"/>
        <w:keepLines w:val="0"/>
        <w:pageBreakBefore w:val="0"/>
        <w:widowControl w:val="0"/>
        <w:tabs>
          <w:tab w:val="left" w:pos="1134"/>
        </w:tabs>
        <w:kinsoku/>
        <w:wordWrap/>
        <w:overflowPunct/>
        <w:topLinePunct w:val="0"/>
        <w:autoSpaceDE/>
        <w:autoSpaceDN/>
        <w:bidi w:val="0"/>
        <w:spacing w:line="400" w:lineRule="exact"/>
        <w:ind w:left="523"/>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Cs/>
          <w:color w:val="auto"/>
          <w:kern w:val="0"/>
          <w:sz w:val="24"/>
          <w:szCs w:val="20"/>
          <w:highlight w:val="none"/>
        </w:rPr>
        <w:t>合同价格形式：</w:t>
      </w:r>
      <w:r>
        <w:rPr>
          <w:rFonts w:hint="eastAsia" w:ascii="宋体" w:hAnsi="宋体" w:eastAsia="宋体" w:cs="Times New Roman"/>
          <w:bCs/>
          <w:color w:val="auto"/>
          <w:kern w:val="0"/>
          <w:sz w:val="24"/>
          <w:szCs w:val="20"/>
          <w:highlight w:val="none"/>
          <w:lang w:eastAsia="zh-CN"/>
        </w:rPr>
        <w:t>全费用</w:t>
      </w:r>
      <w:r>
        <w:rPr>
          <w:rFonts w:hint="eastAsia" w:ascii="宋体" w:hAnsi="宋体" w:eastAsia="宋体" w:cs="Times New Roman"/>
          <w:b/>
          <w:bCs/>
          <w:color w:val="auto"/>
          <w:kern w:val="0"/>
          <w:sz w:val="24"/>
          <w:szCs w:val="20"/>
          <w:highlight w:val="none"/>
        </w:rPr>
        <w:t>固定单价，单价详见合同附件《明细报价表》。</w:t>
      </w:r>
    </w:p>
    <w:p w14:paraId="50B0EEA1">
      <w:pPr>
        <w:keepNext w:val="0"/>
        <w:keepLines w:val="0"/>
        <w:pageBreakBefore w:val="0"/>
        <w:widowControl w:val="0"/>
        <w:tabs>
          <w:tab w:val="left" w:pos="1134"/>
        </w:tabs>
        <w:kinsoku/>
        <w:wordWrap/>
        <w:overflowPunct/>
        <w:topLinePunct w:val="0"/>
        <w:autoSpaceDE/>
        <w:autoSpaceDN/>
        <w:bidi w:val="0"/>
        <w:spacing w:line="400" w:lineRule="exact"/>
        <w:ind w:left="523"/>
        <w:textAlignment w:val="auto"/>
        <w:rPr>
          <w:rFonts w:hint="eastAsia" w:ascii="宋体" w:hAnsi="宋体" w:cs="Times New Roman" w:eastAsiaTheme="minorEastAsia"/>
          <w:bCs/>
          <w:color w:val="auto"/>
          <w:kern w:val="0"/>
          <w:sz w:val="24"/>
          <w:szCs w:val="20"/>
          <w:highlight w:val="none"/>
          <w:lang w:eastAsia="zh-CN"/>
        </w:rPr>
      </w:pPr>
      <w:r>
        <w:rPr>
          <w:rFonts w:hint="eastAsia" w:ascii="宋体" w:hAnsi="宋体" w:eastAsia="宋体" w:cs="Times New Roman"/>
          <w:bCs/>
          <w:color w:val="auto"/>
          <w:kern w:val="0"/>
          <w:sz w:val="24"/>
          <w:szCs w:val="20"/>
          <w:highlight w:val="none"/>
        </w:rPr>
        <w:t>合同价款：（大写）</w:t>
      </w:r>
      <w:r>
        <w:rPr>
          <w:rFonts w:hint="eastAsia" w:ascii="宋体" w:hAnsi="宋体" w:eastAsia="宋体" w:cs="Times New Roman"/>
          <w:b/>
          <w:bCs/>
          <w:color w:val="auto"/>
          <w:kern w:val="0"/>
          <w:sz w:val="24"/>
          <w:szCs w:val="20"/>
          <w:highlight w:val="none"/>
          <w:u w:val="single"/>
          <w:lang w:val="en-US" w:eastAsia="zh-CN"/>
        </w:rPr>
        <w:t xml:space="preserve">      </w:t>
      </w:r>
      <w:r>
        <w:rPr>
          <w:rFonts w:hint="eastAsia" w:ascii="宋体" w:hAnsi="宋体" w:eastAsia="宋体" w:cs="Times New Roman"/>
          <w:bCs/>
          <w:color w:val="auto"/>
          <w:kern w:val="0"/>
          <w:sz w:val="24"/>
          <w:szCs w:val="20"/>
          <w:highlight w:val="none"/>
        </w:rPr>
        <w:t>；（小写）</w:t>
      </w:r>
      <w:r>
        <w:rPr>
          <w:rFonts w:hint="eastAsia" w:ascii="宋体" w:hAnsi="宋体" w:eastAsia="宋体" w:cs="Times New Roman"/>
          <w:b/>
          <w:bCs/>
          <w:color w:val="auto"/>
          <w:kern w:val="0"/>
          <w:sz w:val="24"/>
          <w:szCs w:val="20"/>
          <w:highlight w:val="none"/>
        </w:rPr>
        <w:t>¥</w:t>
      </w:r>
      <w:r>
        <w:rPr>
          <w:rFonts w:hint="eastAsia" w:ascii="宋体" w:hAnsi="宋体" w:eastAsia="宋体" w:cs="Times New Roman"/>
          <w:b/>
          <w:bCs/>
          <w:color w:val="auto"/>
          <w:kern w:val="0"/>
          <w:sz w:val="24"/>
          <w:szCs w:val="20"/>
          <w:highlight w:val="none"/>
          <w:u w:val="single"/>
          <w:lang w:val="en-US" w:eastAsia="zh-CN"/>
        </w:rPr>
        <w:t xml:space="preserve">       </w:t>
      </w:r>
      <w:r>
        <w:rPr>
          <w:rFonts w:hint="eastAsia" w:ascii="宋体" w:hAnsi="宋体" w:eastAsia="宋体" w:cs="Times New Roman"/>
          <w:b/>
          <w:bCs/>
          <w:color w:val="auto"/>
          <w:kern w:val="0"/>
          <w:sz w:val="24"/>
          <w:szCs w:val="20"/>
          <w:highlight w:val="none"/>
        </w:rPr>
        <w:t>元</w:t>
      </w:r>
      <w:r>
        <w:rPr>
          <w:rFonts w:hint="eastAsia" w:ascii="宋体" w:hAnsi="宋体" w:eastAsia="宋体" w:cs="Times New Roman"/>
          <w:bCs/>
          <w:color w:val="auto"/>
          <w:kern w:val="0"/>
          <w:sz w:val="24"/>
          <w:szCs w:val="20"/>
          <w:highlight w:val="none"/>
        </w:rPr>
        <w:t>。</w:t>
      </w:r>
    </w:p>
    <w:p w14:paraId="44820E4C">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52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本项目为交钥匙项目，合同价款涵盖</w:t>
      </w:r>
      <w:r>
        <w:rPr>
          <w:rFonts w:hint="eastAsia" w:ascii="宋体" w:hAnsi="宋体" w:cs="宋体"/>
          <w:bCs/>
          <w:color w:val="auto"/>
          <w:sz w:val="24"/>
          <w:highlight w:val="none"/>
        </w:rPr>
        <w:t>货物及其配件</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不得低于原厂配置标准，确保采购人无需另行购置其他配件即可正常使用货物</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的</w:t>
      </w:r>
      <w:r>
        <w:rPr>
          <w:rFonts w:hint="eastAsia" w:ascii="宋体" w:hAnsi="宋体" w:cs="宋体"/>
          <w:bCs/>
          <w:color w:val="auto"/>
          <w:sz w:val="24"/>
          <w:highlight w:val="none"/>
        </w:rPr>
        <w:t>购置费（或生产制作费）、包装、运杂、保险、现场保管、指定卸货地点装卸费、安装调试及措施费（包括安全文明施工、登高作业、为达到安装条件所需进行的打洞、开孔、基础施工、线路改造、成品保护</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电源接线</w:t>
      </w:r>
      <w:r>
        <w:rPr>
          <w:rFonts w:hint="eastAsia" w:ascii="宋体" w:hAnsi="宋体" w:cs="宋体"/>
          <w:bCs/>
          <w:color w:val="auto"/>
          <w:sz w:val="24"/>
          <w:highlight w:val="none"/>
        </w:rPr>
        <w:t>等）、对接测试、试运行调试、检验检测、技术培训、售后服务以及企业管理费、利润、税金等，包含项目正式履约至交付及质保期内的所有费用</w:t>
      </w:r>
      <w:r>
        <w:rPr>
          <w:rFonts w:hint="eastAsia" w:ascii="宋体" w:hAnsi="宋体" w:eastAsia="宋体" w:cs="宋体"/>
          <w:color w:val="auto"/>
          <w:kern w:val="0"/>
          <w:sz w:val="24"/>
          <w:szCs w:val="24"/>
          <w:highlight w:val="none"/>
          <w:lang w:val="en-US" w:eastAsia="zh-CN"/>
        </w:rPr>
        <w:t>。</w:t>
      </w:r>
    </w:p>
    <w:p w14:paraId="03110380">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五、完工期限</w:t>
      </w:r>
      <w:r>
        <w:rPr>
          <w:rFonts w:hint="eastAsia" w:ascii="宋体" w:hAnsi="宋体" w:eastAsia="宋体" w:cs="Times New Roman"/>
          <w:b/>
          <w:color w:val="auto"/>
          <w:kern w:val="0"/>
          <w:sz w:val="24"/>
          <w:szCs w:val="20"/>
          <w:highlight w:val="none"/>
        </w:rPr>
        <w:t>：</w:t>
      </w:r>
    </w:p>
    <w:p w14:paraId="006D79B7">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jc w:val="left"/>
        <w:textAlignment w:val="auto"/>
        <w:rPr>
          <w:rFonts w:hint="eastAsia" w:eastAsiaTheme="minorEastAsia"/>
          <w:color w:val="auto"/>
          <w:lang w:eastAsia="zh-CN"/>
        </w:rPr>
      </w:pPr>
      <w:r>
        <w:rPr>
          <w:rFonts w:hint="eastAsia" w:ascii="宋体" w:hAnsi="宋体" w:cs="宋体"/>
          <w:color w:val="auto"/>
          <w:sz w:val="24"/>
          <w:highlight w:val="none"/>
        </w:rPr>
        <w:t>接到通知</w:t>
      </w:r>
      <w:r>
        <w:rPr>
          <w:rFonts w:hint="eastAsia" w:ascii="宋体" w:hAnsi="宋体" w:cs="宋体"/>
          <w:color w:val="auto"/>
          <w:sz w:val="24"/>
          <w:highlight w:val="none"/>
        </w:rPr>
        <w:t>后</w:t>
      </w:r>
      <w:r>
        <w:rPr>
          <w:rFonts w:hint="eastAsia" w:ascii="宋体" w:hAnsi="宋体" w:cs="宋体"/>
          <w:color w:val="auto"/>
          <w:sz w:val="24"/>
          <w:highlight w:val="none"/>
          <w:lang w:val="en-US" w:eastAsia="zh-CN"/>
        </w:rPr>
        <w:t>60</w:t>
      </w:r>
      <w:r>
        <w:rPr>
          <w:rFonts w:hint="eastAsia" w:ascii="宋体" w:hAnsi="宋体" w:cs="宋体"/>
          <w:color w:val="auto"/>
          <w:sz w:val="24"/>
          <w:highlight w:val="none"/>
        </w:rPr>
        <w:t>日历天内完成全部货物的供货、安装调试、对接测试以及与之配套的辅助工作，交付</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使用（具体开始时间根据</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通知为准）</w:t>
      </w:r>
      <w:r>
        <w:rPr>
          <w:rFonts w:hint="eastAsia" w:ascii="宋体" w:hAnsi="宋体" w:cs="宋体"/>
          <w:bCs/>
          <w:color w:val="auto"/>
          <w:sz w:val="24"/>
          <w:highlight w:val="none"/>
        </w:rPr>
        <w:t>。逾期违约金：因</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导致完工期限延误，每延误一天支付2000元违约金；逾期超过20日历天的，</w:t>
      </w:r>
      <w:r>
        <w:rPr>
          <w:rFonts w:hint="eastAsia" w:ascii="宋体" w:hAnsi="宋体" w:cs="宋体"/>
          <w:color w:val="auto"/>
          <w:sz w:val="24"/>
          <w:highlight w:val="none"/>
          <w:lang w:val="en-US" w:eastAsia="zh-CN"/>
        </w:rPr>
        <w:t>甲方</w:t>
      </w:r>
      <w:r>
        <w:rPr>
          <w:rFonts w:hint="eastAsia" w:ascii="宋体" w:hAnsi="宋体" w:cs="宋体"/>
          <w:bCs/>
          <w:color w:val="auto"/>
          <w:sz w:val="24"/>
          <w:highlight w:val="none"/>
        </w:rPr>
        <w:t>有权无条件终止合同</w:t>
      </w:r>
      <w:r>
        <w:rPr>
          <w:rFonts w:hint="eastAsia" w:ascii="宋体" w:hAnsi="宋体" w:eastAsia="宋体" w:cs="Times New Roman"/>
          <w:color w:val="auto"/>
          <w:kern w:val="0"/>
          <w:sz w:val="24"/>
          <w:szCs w:val="24"/>
          <w:highlight w:val="none"/>
          <w:lang w:eastAsia="zh-CN"/>
        </w:rPr>
        <w:t>。</w:t>
      </w:r>
    </w:p>
    <w:p w14:paraId="1784283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jc w:val="left"/>
        <w:textAlignment w:val="auto"/>
        <w:rPr>
          <w:rFonts w:hint="eastAsia" w:eastAsiaTheme="minorEastAsia"/>
          <w:color w:val="auto"/>
          <w:lang w:eastAsia="zh-CN"/>
        </w:rPr>
      </w:pPr>
      <w:r>
        <w:rPr>
          <w:rFonts w:hint="eastAsia" w:ascii="宋体" w:hAnsi="宋体" w:eastAsia="宋体" w:cs="Times New Roman"/>
          <w:color w:val="auto"/>
          <w:kern w:val="0"/>
          <w:sz w:val="24"/>
          <w:szCs w:val="24"/>
          <w:highlight w:val="none"/>
          <w:lang w:val="en-US" w:eastAsia="zh-CN"/>
        </w:rPr>
        <w:t>注：若乙方为代理商或经销商，供货前须向甲方提供有效的进货渠道证明，否则甲方有权拒收该产品。</w:t>
      </w:r>
    </w:p>
    <w:p w14:paraId="3EBFF155">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六、</w:t>
      </w:r>
      <w:r>
        <w:rPr>
          <w:rFonts w:hint="eastAsia" w:ascii="宋体" w:hAnsi="宋体" w:eastAsia="宋体" w:cs="Times New Roman"/>
          <w:b/>
          <w:color w:val="auto"/>
          <w:kern w:val="0"/>
          <w:sz w:val="24"/>
          <w:szCs w:val="20"/>
          <w:highlight w:val="none"/>
        </w:rPr>
        <w:t>质量要求：</w:t>
      </w:r>
      <w:r>
        <w:rPr>
          <w:rFonts w:hint="eastAsia" w:ascii="宋体" w:hAnsi="宋体" w:cs="宋体"/>
          <w:color w:val="auto"/>
          <w:sz w:val="24"/>
          <w:highlight w:val="none"/>
        </w:rPr>
        <w:t>所供货物须为原厂原包装正品，达到国家及行业标准，满足采购需求，一次性验收合格</w:t>
      </w:r>
      <w:r>
        <w:rPr>
          <w:rFonts w:hint="eastAsia" w:ascii="宋体" w:hAnsi="宋体" w:eastAsia="宋体" w:cs="Times New Roman"/>
          <w:bCs/>
          <w:color w:val="auto"/>
          <w:kern w:val="0"/>
          <w:sz w:val="24"/>
          <w:szCs w:val="20"/>
          <w:highlight w:val="none"/>
        </w:rPr>
        <w:t>。</w:t>
      </w:r>
    </w:p>
    <w:p w14:paraId="649A2DAF">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bCs/>
          <w:color w:val="auto"/>
          <w:kern w:val="0"/>
          <w:sz w:val="24"/>
          <w:szCs w:val="20"/>
          <w:highlight w:val="none"/>
          <w:lang w:val="en-US" w:eastAsia="zh-CN"/>
        </w:rPr>
        <w:t>七、免费</w:t>
      </w:r>
      <w:r>
        <w:rPr>
          <w:rFonts w:hint="eastAsia" w:ascii="宋体" w:hAnsi="宋体" w:eastAsia="宋体" w:cs="Times New Roman"/>
          <w:b/>
          <w:bCs/>
          <w:color w:val="auto"/>
          <w:kern w:val="0"/>
          <w:sz w:val="24"/>
          <w:szCs w:val="20"/>
          <w:highlight w:val="none"/>
        </w:rPr>
        <w:t>质保期：</w:t>
      </w:r>
      <w:r>
        <w:rPr>
          <w:rFonts w:hint="eastAsia" w:ascii="宋体" w:hAnsi="宋体" w:eastAsia="宋体" w:cs="Times New Roman"/>
          <w:b/>
          <w:bCs/>
          <w:color w:val="auto"/>
          <w:kern w:val="0"/>
          <w:sz w:val="24"/>
          <w:szCs w:val="20"/>
          <w:highlight w:val="none"/>
          <w:lang w:val="en-US" w:eastAsia="zh-CN"/>
        </w:rPr>
        <w:t>项目</w:t>
      </w:r>
      <w:r>
        <w:rPr>
          <w:rFonts w:hint="eastAsia" w:ascii="宋体" w:hAnsi="宋体" w:eastAsia="宋体" w:cs="Times New Roman"/>
          <w:color w:val="auto"/>
          <w:kern w:val="0"/>
          <w:sz w:val="24"/>
          <w:szCs w:val="20"/>
          <w:highlight w:val="none"/>
        </w:rPr>
        <w:t>整体</w:t>
      </w:r>
      <w:r>
        <w:rPr>
          <w:rFonts w:hint="eastAsia" w:ascii="宋体" w:hAnsi="宋体" w:eastAsia="宋体" w:cs="Times New Roman"/>
          <w:color w:val="auto"/>
          <w:kern w:val="0"/>
          <w:sz w:val="24"/>
          <w:szCs w:val="20"/>
          <w:highlight w:val="none"/>
          <w:lang w:val="en-US" w:eastAsia="zh-CN"/>
        </w:rPr>
        <w:t>免费</w:t>
      </w:r>
      <w:r>
        <w:rPr>
          <w:rFonts w:hint="eastAsia" w:ascii="宋体" w:hAnsi="宋体" w:eastAsia="宋体" w:cs="Times New Roman"/>
          <w:color w:val="auto"/>
          <w:kern w:val="0"/>
          <w:sz w:val="24"/>
          <w:szCs w:val="20"/>
          <w:highlight w:val="none"/>
        </w:rPr>
        <w:t>质保期</w:t>
      </w:r>
      <w:r>
        <w:rPr>
          <w:rFonts w:hint="eastAsia" w:ascii="宋体" w:hAnsi="宋体" w:eastAsia="宋体" w:cs="Times New Roman"/>
          <w:color w:val="auto"/>
          <w:kern w:val="0"/>
          <w:sz w:val="24"/>
          <w:szCs w:val="20"/>
          <w:highlight w:val="none"/>
          <w:u w:val="single"/>
          <w:lang w:val="en-US" w:eastAsia="zh-CN"/>
        </w:rPr>
        <w:t xml:space="preserve">     </w:t>
      </w:r>
      <w:r>
        <w:rPr>
          <w:rFonts w:hint="eastAsia" w:ascii="宋体" w:hAnsi="宋体" w:eastAsia="宋体" w:cs="Times New Roman"/>
          <w:b/>
          <w:bCs/>
          <w:color w:val="auto"/>
          <w:kern w:val="0"/>
          <w:sz w:val="24"/>
          <w:szCs w:val="20"/>
          <w:highlight w:val="none"/>
        </w:rPr>
        <w:t>年</w:t>
      </w:r>
      <w:r>
        <w:rPr>
          <w:rFonts w:hint="eastAsia" w:ascii="宋体" w:hAnsi="宋体" w:eastAsia="宋体" w:cs="Times New Roman"/>
          <w:b/>
          <w:bCs/>
          <w:color w:val="auto"/>
          <w:kern w:val="0"/>
          <w:sz w:val="24"/>
          <w:szCs w:val="20"/>
          <w:highlight w:val="none"/>
          <w:lang w:eastAsia="zh-CN"/>
        </w:rPr>
        <w:t>（</w:t>
      </w:r>
      <w:r>
        <w:rPr>
          <w:rFonts w:hint="eastAsia" w:ascii="宋体" w:hAnsi="宋体" w:eastAsia="宋体" w:cs="Times New Roman"/>
          <w:b/>
          <w:bCs/>
          <w:color w:val="auto"/>
          <w:kern w:val="0"/>
          <w:sz w:val="24"/>
          <w:szCs w:val="20"/>
          <w:highlight w:val="none"/>
          <w:lang w:val="en-US" w:eastAsia="zh-CN"/>
        </w:rPr>
        <w:t>以投标文件中承诺为准</w:t>
      </w:r>
      <w:r>
        <w:rPr>
          <w:rFonts w:hint="eastAsia" w:ascii="宋体" w:hAnsi="宋体" w:eastAsia="宋体" w:cs="Times New Roman"/>
          <w:b/>
          <w:bCs/>
          <w:color w:val="auto"/>
          <w:kern w:val="0"/>
          <w:sz w:val="24"/>
          <w:szCs w:val="20"/>
          <w:highlight w:val="none"/>
          <w:lang w:eastAsia="zh-CN"/>
        </w:rPr>
        <w:t>）</w:t>
      </w:r>
      <w:r>
        <w:rPr>
          <w:rFonts w:hint="eastAsia" w:ascii="宋体" w:hAnsi="宋体" w:eastAsia="宋体" w:cs="Times New Roman"/>
          <w:color w:val="auto"/>
          <w:kern w:val="0"/>
          <w:sz w:val="24"/>
          <w:szCs w:val="20"/>
          <w:highlight w:val="none"/>
        </w:rPr>
        <w:t>，若国家、厂商、行业有更高质保期标准，按国家、厂商、行业的最优标准执行。</w:t>
      </w:r>
      <w:r>
        <w:rPr>
          <w:rFonts w:hint="eastAsia" w:ascii="宋体" w:hAnsi="宋体" w:eastAsia="宋体" w:cs="Times New Roman"/>
          <w:color w:val="auto"/>
          <w:kern w:val="0"/>
          <w:sz w:val="24"/>
          <w:szCs w:val="20"/>
          <w:highlight w:val="none"/>
          <w:lang w:eastAsia="zh-CN"/>
        </w:rPr>
        <w:t>质保期</w:t>
      </w:r>
      <w:r>
        <w:rPr>
          <w:rFonts w:hint="eastAsia" w:ascii="宋体" w:hAnsi="宋体" w:eastAsia="宋体" w:cs="Times New Roman"/>
          <w:color w:val="auto"/>
          <w:kern w:val="0"/>
          <w:sz w:val="24"/>
          <w:szCs w:val="20"/>
          <w:highlight w:val="none"/>
        </w:rPr>
        <w:t>自</w:t>
      </w:r>
      <w:r>
        <w:rPr>
          <w:rFonts w:hint="eastAsia" w:ascii="宋体" w:hAnsi="宋体" w:cs="宋体"/>
          <w:color w:val="auto"/>
          <w:sz w:val="24"/>
          <w:szCs w:val="24"/>
          <w:highlight w:val="none"/>
        </w:rPr>
        <w:t>最终验收合格、交付使用之日起计算</w:t>
      </w:r>
      <w:r>
        <w:rPr>
          <w:rFonts w:hint="eastAsia" w:ascii="宋体" w:hAnsi="宋体" w:eastAsia="宋体" w:cs="Times New Roman"/>
          <w:color w:val="auto"/>
          <w:kern w:val="0"/>
          <w:sz w:val="24"/>
          <w:szCs w:val="20"/>
          <w:highlight w:val="none"/>
        </w:rPr>
        <w:t>。</w:t>
      </w:r>
      <w:r>
        <w:rPr>
          <w:rFonts w:hint="eastAsia" w:ascii="宋体" w:hAnsi="宋体" w:eastAsia="宋体" w:cs="Times New Roman"/>
          <w:color w:val="auto"/>
          <w:kern w:val="0"/>
          <w:sz w:val="24"/>
          <w:szCs w:val="20"/>
          <w:highlight w:val="none"/>
          <w:lang w:val="en-US" w:eastAsia="zh-CN"/>
        </w:rPr>
        <w:t>免费</w:t>
      </w:r>
      <w:r>
        <w:rPr>
          <w:rFonts w:hint="eastAsia" w:ascii="宋体" w:hAnsi="宋体" w:eastAsia="宋体" w:cs="Times New Roman"/>
          <w:color w:val="auto"/>
          <w:kern w:val="0"/>
          <w:sz w:val="24"/>
          <w:szCs w:val="20"/>
          <w:highlight w:val="none"/>
          <w:lang w:eastAsia="zh-CN"/>
        </w:rPr>
        <w:t>质保期内，乙方</w:t>
      </w:r>
      <w:r>
        <w:rPr>
          <w:rFonts w:hint="eastAsia" w:ascii="宋体" w:hAnsi="宋体" w:eastAsia="宋体" w:cs="Times New Roman"/>
          <w:color w:val="auto"/>
          <w:kern w:val="0"/>
          <w:sz w:val="24"/>
          <w:szCs w:val="20"/>
          <w:highlight w:val="none"/>
        </w:rPr>
        <w:t>在收到甲方通知后须在规定时间内到现场进行免费维修。</w:t>
      </w:r>
    </w:p>
    <w:p w14:paraId="09D78152">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八、</w:t>
      </w:r>
      <w:r>
        <w:rPr>
          <w:rFonts w:hint="eastAsia" w:ascii="宋体" w:hAnsi="宋体" w:eastAsia="宋体" w:cs="Times New Roman"/>
          <w:b/>
          <w:color w:val="auto"/>
          <w:kern w:val="0"/>
          <w:sz w:val="24"/>
          <w:szCs w:val="20"/>
          <w:highlight w:val="none"/>
        </w:rPr>
        <w:t>费用支付步骤和办法、乙方账户信息：</w:t>
      </w:r>
    </w:p>
    <w:p w14:paraId="2B88EC19">
      <w:pPr>
        <w:keepNext w:val="0"/>
        <w:keepLines w:val="0"/>
        <w:pageBreakBefore w:val="0"/>
        <w:widowControl w:val="0"/>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bCs/>
          <w:color w:val="auto"/>
          <w:kern w:val="0"/>
          <w:sz w:val="24"/>
          <w:szCs w:val="20"/>
          <w:highlight w:val="none"/>
          <w:lang w:eastAsia="zh-CN"/>
        </w:rPr>
      </w:pPr>
      <w:r>
        <w:rPr>
          <w:rFonts w:hint="eastAsia" w:ascii="宋体" w:hAnsi="宋体" w:eastAsia="宋体" w:cs="Times New Roman"/>
          <w:b/>
          <w:bCs/>
          <w:color w:val="auto"/>
          <w:kern w:val="0"/>
          <w:sz w:val="24"/>
          <w:szCs w:val="20"/>
          <w:highlight w:val="none"/>
        </w:rPr>
        <w:t>1.费用支付步骤和办法</w:t>
      </w:r>
      <w:r>
        <w:rPr>
          <w:rFonts w:hint="eastAsia" w:ascii="宋体" w:hAnsi="宋体" w:eastAsia="宋体" w:cs="Times New Roman"/>
          <w:b/>
          <w:bCs/>
          <w:color w:val="auto"/>
          <w:kern w:val="0"/>
          <w:sz w:val="24"/>
          <w:szCs w:val="20"/>
          <w:highlight w:val="none"/>
          <w:lang w:eastAsia="zh-CN"/>
        </w:rPr>
        <w:t>：</w:t>
      </w:r>
    </w:p>
    <w:p w14:paraId="6A893CC6">
      <w:pPr>
        <w:keepNext w:val="0"/>
        <w:keepLines w:val="0"/>
        <w:pageBreakBefore w:val="0"/>
        <w:widowControl w:val="0"/>
        <w:shd w:val="clear" w:color="auto" w:fill="FFFFFF"/>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cs="宋体"/>
          <w:b/>
          <w:color w:val="auto"/>
          <w:sz w:val="24"/>
          <w:highlight w:val="none"/>
          <w:lang w:eastAsia="zh-CN"/>
        </w:rPr>
        <w:t>合同签订后，货物全部到达现场并完成安装调试，经甲方验收合格且结算审核结束后，支付至</w:t>
      </w:r>
      <w:r>
        <w:rPr>
          <w:rFonts w:hint="eastAsia" w:ascii="宋体" w:hAnsi="宋体" w:cs="宋体"/>
          <w:b/>
          <w:color w:val="auto"/>
          <w:sz w:val="24"/>
          <w:highlight w:val="none"/>
          <w:lang w:val="en-US" w:eastAsia="zh-CN"/>
        </w:rPr>
        <w:t>结算</w:t>
      </w:r>
      <w:r>
        <w:rPr>
          <w:rFonts w:hint="eastAsia" w:ascii="宋体" w:hAnsi="宋体" w:cs="宋体"/>
          <w:b/>
          <w:color w:val="auto"/>
          <w:sz w:val="24"/>
          <w:highlight w:val="none"/>
          <w:lang w:eastAsia="zh-CN"/>
        </w:rPr>
        <w:t>价款的70%；结算审核结束满1年后，一次性付清剩余款项。</w:t>
      </w:r>
      <w:r>
        <w:rPr>
          <w:rFonts w:hint="eastAsia" w:ascii="宋体" w:hAnsi="宋体" w:cs="宋体"/>
          <w:b/>
          <w:color w:val="auto"/>
          <w:sz w:val="24"/>
          <w:highlight w:val="none"/>
        </w:rPr>
        <w:t>注：以上所有价款均不计利息，付款时</w:t>
      </w:r>
      <w:r>
        <w:rPr>
          <w:rFonts w:hint="eastAsia" w:ascii="宋体" w:hAnsi="宋体" w:cs="宋体"/>
          <w:b/>
          <w:color w:val="auto"/>
          <w:sz w:val="24"/>
          <w:highlight w:val="none"/>
          <w:lang w:val="en-US" w:eastAsia="zh-CN"/>
        </w:rPr>
        <w:t>乙方</w:t>
      </w:r>
      <w:r>
        <w:rPr>
          <w:rFonts w:hint="eastAsia" w:ascii="宋体" w:hAnsi="宋体" w:cs="宋体"/>
          <w:b/>
          <w:color w:val="auto"/>
          <w:sz w:val="24"/>
          <w:highlight w:val="none"/>
        </w:rPr>
        <w:t>须向</w:t>
      </w:r>
      <w:r>
        <w:rPr>
          <w:rFonts w:hint="eastAsia" w:ascii="宋体" w:hAnsi="宋体" w:cs="宋体"/>
          <w:b/>
          <w:color w:val="auto"/>
          <w:sz w:val="24"/>
          <w:highlight w:val="none"/>
          <w:lang w:val="en-US" w:eastAsia="zh-CN"/>
        </w:rPr>
        <w:t>甲方</w:t>
      </w:r>
      <w:r>
        <w:rPr>
          <w:rFonts w:hint="eastAsia" w:ascii="宋体" w:hAnsi="宋体" w:cs="宋体"/>
          <w:b/>
          <w:color w:val="auto"/>
          <w:sz w:val="24"/>
          <w:highlight w:val="none"/>
        </w:rPr>
        <w:t>出具符合其财务要求的正规税务发票。实际付款进度还需根据</w:t>
      </w:r>
      <w:r>
        <w:rPr>
          <w:rFonts w:hint="eastAsia" w:ascii="宋体" w:hAnsi="宋体" w:cs="宋体"/>
          <w:b/>
          <w:color w:val="auto"/>
          <w:sz w:val="24"/>
          <w:highlight w:val="none"/>
          <w:lang w:val="en-US" w:eastAsia="zh-CN"/>
        </w:rPr>
        <w:t>甲方</w:t>
      </w:r>
      <w:r>
        <w:rPr>
          <w:rFonts w:hint="eastAsia" w:ascii="宋体" w:hAnsi="宋体" w:cs="宋体"/>
          <w:b/>
          <w:color w:val="auto"/>
          <w:sz w:val="24"/>
          <w:highlight w:val="none"/>
        </w:rPr>
        <w:t>财政资金拨款进度执行</w:t>
      </w:r>
      <w:r>
        <w:rPr>
          <w:rFonts w:hint="eastAsia" w:ascii="宋体" w:hAnsi="宋体" w:cs="宋体"/>
          <w:b/>
          <w:color w:val="auto"/>
          <w:sz w:val="24"/>
          <w:highlight w:val="none"/>
          <w:lang w:eastAsia="zh-CN"/>
        </w:rPr>
        <w:t>。</w:t>
      </w:r>
    </w:p>
    <w:p w14:paraId="129E24CE">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2.乙方账户信息</w:t>
      </w:r>
    </w:p>
    <w:p w14:paraId="57F6AFD4">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eastAsia" w:ascii="宋体" w:hAnsi="宋体" w:eastAsia="宋体" w:cs="Times New Roman"/>
          <w:color w:val="auto"/>
          <w:kern w:val="0"/>
          <w:sz w:val="24"/>
          <w:szCs w:val="24"/>
          <w:highlight w:val="none"/>
        </w:rPr>
        <w:t>账户名：</w:t>
      </w:r>
      <w:r>
        <w:rPr>
          <w:rFonts w:hint="eastAsia" w:ascii="宋体" w:hAnsi="宋体" w:eastAsia="宋体" w:cs="Times New Roman"/>
          <w:color w:val="auto"/>
          <w:kern w:val="0"/>
          <w:sz w:val="24"/>
          <w:szCs w:val="24"/>
          <w:highlight w:val="none"/>
          <w:u w:val="single"/>
          <w:lang w:val="en-US" w:eastAsia="zh-CN"/>
        </w:rPr>
        <w:t xml:space="preserve">                          </w:t>
      </w:r>
    </w:p>
    <w:p w14:paraId="2DC42C50">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eastAsia" w:ascii="宋体" w:hAnsi="宋体" w:eastAsia="宋体" w:cs="Times New Roman"/>
          <w:color w:val="auto"/>
          <w:kern w:val="0"/>
          <w:sz w:val="24"/>
          <w:szCs w:val="24"/>
          <w:highlight w:val="none"/>
        </w:rPr>
        <w:t>开户行：</w:t>
      </w:r>
      <w:r>
        <w:rPr>
          <w:rFonts w:hint="eastAsia" w:ascii="宋体" w:hAnsi="宋体" w:eastAsia="宋体" w:cs="Times New Roman"/>
          <w:color w:val="auto"/>
          <w:kern w:val="0"/>
          <w:sz w:val="24"/>
          <w:szCs w:val="24"/>
          <w:highlight w:val="none"/>
          <w:u w:val="single"/>
          <w:lang w:val="en-US" w:eastAsia="zh-CN"/>
        </w:rPr>
        <w:t xml:space="preserve">                          </w:t>
      </w:r>
    </w:p>
    <w:p w14:paraId="59E4B9CD">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eastAsia" w:ascii="宋体" w:hAnsi="宋体" w:eastAsia="宋体" w:cs="Times New Roman"/>
          <w:color w:val="auto"/>
          <w:kern w:val="0"/>
          <w:sz w:val="24"/>
          <w:szCs w:val="24"/>
          <w:highlight w:val="none"/>
          <w:u w:val="single"/>
          <w:lang w:val="en-US" w:eastAsia="zh-CN"/>
        </w:rPr>
      </w:pPr>
      <w:r>
        <w:rPr>
          <w:rFonts w:hint="eastAsia" w:ascii="宋体" w:hAnsi="宋体" w:eastAsia="宋体" w:cs="Times New Roman"/>
          <w:color w:val="auto"/>
          <w:kern w:val="0"/>
          <w:sz w:val="24"/>
          <w:szCs w:val="24"/>
          <w:highlight w:val="none"/>
        </w:rPr>
        <w:t>账号：</w:t>
      </w:r>
      <w:r>
        <w:rPr>
          <w:rFonts w:hint="eastAsia" w:ascii="宋体" w:hAnsi="宋体" w:eastAsia="宋体" w:cs="Times New Roman"/>
          <w:color w:val="auto"/>
          <w:kern w:val="0"/>
          <w:sz w:val="24"/>
          <w:szCs w:val="24"/>
          <w:highlight w:val="none"/>
          <w:u w:val="single"/>
          <w:lang w:val="en-US" w:eastAsia="zh-CN"/>
        </w:rPr>
        <w:t xml:space="preserve">                          </w:t>
      </w:r>
    </w:p>
    <w:p w14:paraId="1B2E0BE8">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default" w:ascii="宋体" w:hAnsi="宋体" w:eastAsia="宋体" w:cs="Times New Roman"/>
          <w:b/>
          <w:color w:val="auto"/>
          <w:kern w:val="0"/>
          <w:sz w:val="24"/>
          <w:szCs w:val="20"/>
          <w:highlight w:val="none"/>
          <w:lang w:val="en-US" w:eastAsia="zh-CN"/>
        </w:rPr>
      </w:pPr>
      <w:r>
        <w:rPr>
          <w:rFonts w:hint="eastAsia" w:ascii="宋体" w:hAnsi="宋体" w:eastAsia="宋体" w:cs="Times New Roman"/>
          <w:b/>
          <w:color w:val="auto"/>
          <w:kern w:val="0"/>
          <w:sz w:val="24"/>
          <w:szCs w:val="20"/>
          <w:highlight w:val="none"/>
          <w:lang w:val="en-US" w:eastAsia="zh-CN"/>
        </w:rPr>
        <w:t>九、</w:t>
      </w:r>
      <w:r>
        <w:rPr>
          <w:rFonts w:hint="default" w:ascii="宋体" w:hAnsi="宋体" w:eastAsia="宋体" w:cs="Times New Roman"/>
          <w:b/>
          <w:color w:val="auto"/>
          <w:kern w:val="0"/>
          <w:sz w:val="24"/>
          <w:szCs w:val="20"/>
          <w:highlight w:val="none"/>
          <w:lang w:val="en-US" w:eastAsia="zh-CN"/>
        </w:rPr>
        <w:t>采购内容调整、核价、书面确认专项约定</w:t>
      </w:r>
    </w:p>
    <w:p w14:paraId="00C56782">
      <w:pPr>
        <w:keepNext w:val="0"/>
        <w:keepLines w:val="0"/>
        <w:pageBreakBefore w:val="0"/>
        <w:widowControl w:val="0"/>
        <w:shd w:val="clear" w:color="auto" w:fill="FFFFFF"/>
        <w:kinsoku/>
        <w:wordWrap/>
        <w:overflowPunct/>
        <w:topLinePunct w:val="0"/>
        <w:autoSpaceDE/>
        <w:autoSpaceDN/>
        <w:bidi w:val="0"/>
        <w:spacing w:line="400" w:lineRule="exact"/>
        <w:ind w:firstLine="482" w:firstLineChars="200"/>
        <w:textAlignment w:val="auto"/>
        <w:rPr>
          <w:rFonts w:hint="default" w:ascii="宋体" w:hAnsi="宋体" w:eastAsia="宋体" w:cs="Times New Roman"/>
          <w:b/>
          <w:bCs/>
          <w:color w:val="auto"/>
          <w:kern w:val="0"/>
          <w:sz w:val="24"/>
          <w:szCs w:val="24"/>
          <w:highlight w:val="none"/>
          <w:u w:val="single"/>
          <w:lang w:val="en-US" w:eastAsia="zh-CN"/>
        </w:rPr>
      </w:pPr>
      <w:r>
        <w:rPr>
          <w:rFonts w:hint="default" w:ascii="宋体" w:hAnsi="宋体" w:eastAsia="宋体" w:cs="Times New Roman"/>
          <w:b/>
          <w:bCs/>
          <w:color w:val="auto"/>
          <w:kern w:val="0"/>
          <w:sz w:val="24"/>
          <w:szCs w:val="24"/>
          <w:highlight w:val="none"/>
          <w:u w:val="single"/>
          <w:lang w:val="en-US" w:eastAsia="zh-CN"/>
        </w:rPr>
        <w:t>1.</w:t>
      </w:r>
      <w:r>
        <w:rPr>
          <w:rFonts w:hint="eastAsia" w:ascii="宋体" w:hAnsi="宋体" w:eastAsia="宋体" w:cs="Times New Roman"/>
          <w:b/>
          <w:bCs/>
          <w:color w:val="auto"/>
          <w:kern w:val="0"/>
          <w:sz w:val="24"/>
          <w:szCs w:val="24"/>
          <w:highlight w:val="none"/>
          <w:u w:val="single"/>
          <w:lang w:val="en-US" w:eastAsia="zh-CN"/>
        </w:rPr>
        <w:t>采购</w:t>
      </w:r>
      <w:r>
        <w:rPr>
          <w:rFonts w:hint="default" w:ascii="宋体" w:hAnsi="宋体" w:eastAsia="宋体" w:cs="Times New Roman"/>
          <w:b/>
          <w:bCs/>
          <w:color w:val="auto"/>
          <w:kern w:val="0"/>
          <w:sz w:val="24"/>
          <w:szCs w:val="24"/>
          <w:highlight w:val="none"/>
          <w:u w:val="single"/>
          <w:lang w:val="en-US" w:eastAsia="zh-CN"/>
        </w:rPr>
        <w:t>清单核减权限</w:t>
      </w:r>
    </w:p>
    <w:p w14:paraId="6E99F3A6">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eastAsia" w:eastAsiaTheme="minorEastAsia"/>
          <w:color w:val="auto"/>
          <w:highlight w:val="none"/>
          <w:lang w:eastAsia="zh-CN"/>
        </w:rPr>
      </w:pPr>
      <w:r>
        <w:rPr>
          <w:rFonts w:hint="eastAsia" w:ascii="宋体" w:hAnsi="宋体" w:eastAsia="宋体" w:cs="Times New Roman"/>
          <w:color w:val="auto"/>
          <w:kern w:val="0"/>
          <w:sz w:val="24"/>
          <w:szCs w:val="24"/>
          <w:highlight w:val="none"/>
          <w:u w:val="single"/>
          <w:lang w:val="en-US" w:eastAsia="zh-CN"/>
        </w:rPr>
        <w:t>甲方享有采购清单单方核减权，可根据项目实际需求、预算调整、使用规划，以书面形式通知乙方调整采购货物的品种与数量，核减部分对应的合同价款同步扣减，结算时按照实际确认的供货清单计价，乙方不得以此为由提出工期延误、索赔、加价等要求</w:t>
      </w:r>
      <w:r>
        <w:rPr>
          <w:rFonts w:hint="eastAsia" w:ascii="宋体" w:hAnsi="宋体" w:eastAsia="宋体" w:cs="Times New Roman"/>
          <w:color w:val="auto"/>
          <w:kern w:val="0"/>
          <w:sz w:val="24"/>
          <w:szCs w:val="24"/>
          <w:highlight w:val="none"/>
          <w:u w:val="none"/>
          <w:lang w:val="en-US" w:eastAsia="zh-CN"/>
        </w:rPr>
        <w:t>。</w:t>
      </w:r>
    </w:p>
    <w:p w14:paraId="083F7C93">
      <w:pPr>
        <w:keepNext w:val="0"/>
        <w:keepLines w:val="0"/>
        <w:pageBreakBefore w:val="0"/>
        <w:widowControl w:val="0"/>
        <w:shd w:val="clear" w:color="auto" w:fill="FFFFFF"/>
        <w:kinsoku/>
        <w:wordWrap/>
        <w:overflowPunct/>
        <w:topLinePunct w:val="0"/>
        <w:autoSpaceDE/>
        <w:autoSpaceDN/>
        <w:bidi w:val="0"/>
        <w:spacing w:line="400" w:lineRule="exact"/>
        <w:ind w:firstLine="482" w:firstLineChars="200"/>
        <w:textAlignment w:val="auto"/>
        <w:rPr>
          <w:rFonts w:hint="default" w:ascii="宋体" w:hAnsi="宋体" w:eastAsia="宋体" w:cs="Times New Roman"/>
          <w:b/>
          <w:bCs/>
          <w:color w:val="auto"/>
          <w:kern w:val="0"/>
          <w:sz w:val="24"/>
          <w:szCs w:val="24"/>
          <w:highlight w:val="none"/>
          <w:u w:val="single"/>
          <w:lang w:val="en-US" w:eastAsia="zh-CN"/>
        </w:rPr>
      </w:pPr>
      <w:r>
        <w:rPr>
          <w:rFonts w:hint="default" w:ascii="宋体" w:hAnsi="宋体" w:eastAsia="宋体" w:cs="Times New Roman"/>
          <w:b/>
          <w:bCs/>
          <w:color w:val="auto"/>
          <w:kern w:val="0"/>
          <w:sz w:val="24"/>
          <w:szCs w:val="24"/>
          <w:highlight w:val="none"/>
          <w:u w:val="single"/>
          <w:lang w:val="en-US" w:eastAsia="zh-CN"/>
        </w:rPr>
        <w:t>2.采购内容变更/增购流程</w:t>
      </w:r>
    </w:p>
    <w:p w14:paraId="48F92262">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default" w:ascii="宋体" w:hAnsi="宋体" w:eastAsia="宋体" w:cs="Times New Roman"/>
          <w:color w:val="auto"/>
          <w:kern w:val="0"/>
          <w:sz w:val="24"/>
          <w:szCs w:val="24"/>
          <w:highlight w:val="none"/>
          <w:u w:val="single"/>
          <w:lang w:val="en-US" w:eastAsia="zh-CN"/>
        </w:rPr>
        <w:t>若出现以下采购内容变动情形，乙方不得自行生产、备货、供货、</w:t>
      </w:r>
      <w:r>
        <w:rPr>
          <w:rFonts w:hint="eastAsia" w:ascii="宋体" w:hAnsi="宋体" w:eastAsia="宋体" w:cs="Times New Roman"/>
          <w:color w:val="auto"/>
          <w:kern w:val="0"/>
          <w:sz w:val="24"/>
          <w:szCs w:val="24"/>
          <w:highlight w:val="none"/>
          <w:u w:val="single"/>
          <w:lang w:val="en-US" w:eastAsia="zh-CN"/>
        </w:rPr>
        <w:t>安装</w:t>
      </w:r>
      <w:r>
        <w:rPr>
          <w:rFonts w:hint="default" w:ascii="宋体" w:hAnsi="宋体" w:eastAsia="宋体" w:cs="Times New Roman"/>
          <w:color w:val="auto"/>
          <w:kern w:val="0"/>
          <w:sz w:val="24"/>
          <w:szCs w:val="24"/>
          <w:highlight w:val="none"/>
          <w:u w:val="single"/>
          <w:lang w:val="en-US" w:eastAsia="zh-CN"/>
        </w:rPr>
        <w:t>，必须履行书面核价确认流程</w:t>
      </w:r>
      <w:r>
        <w:rPr>
          <w:rFonts w:hint="default" w:ascii="宋体" w:hAnsi="宋体" w:eastAsia="宋体" w:cs="Times New Roman"/>
          <w:color w:val="auto"/>
          <w:kern w:val="0"/>
          <w:sz w:val="24"/>
          <w:szCs w:val="24"/>
          <w:highlight w:val="none"/>
          <w:u w:val="none"/>
          <w:lang w:val="en-US" w:eastAsia="zh-CN"/>
        </w:rPr>
        <w:t>：</w:t>
      </w:r>
    </w:p>
    <w:p w14:paraId="4E38F167">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Times New Roman"/>
          <w:color w:val="auto"/>
          <w:kern w:val="0"/>
          <w:sz w:val="24"/>
          <w:szCs w:val="24"/>
          <w:highlight w:val="none"/>
          <w:u w:val="single"/>
          <w:lang w:val="en-US" w:eastAsia="zh-CN"/>
        </w:rPr>
        <w:t>（1）新增采购清单以外的货物、设备及配件</w:t>
      </w:r>
      <w:r>
        <w:rPr>
          <w:rFonts w:hint="eastAsia" w:ascii="宋体" w:hAnsi="宋体" w:eastAsia="宋体" w:cs="Times New Roman"/>
          <w:color w:val="auto"/>
          <w:kern w:val="0"/>
          <w:sz w:val="24"/>
          <w:szCs w:val="24"/>
          <w:highlight w:val="none"/>
          <w:u w:val="none"/>
          <w:lang w:val="en-US" w:eastAsia="zh-CN"/>
        </w:rPr>
        <w:t>；</w:t>
      </w:r>
    </w:p>
    <w:p w14:paraId="5B9D7317">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Times New Roman"/>
          <w:color w:val="auto"/>
          <w:kern w:val="0"/>
          <w:sz w:val="24"/>
          <w:szCs w:val="24"/>
          <w:highlight w:val="none"/>
          <w:u w:val="single"/>
          <w:lang w:val="en-US" w:eastAsia="zh-CN"/>
        </w:rPr>
        <w:t>（2）变更原有货物的品牌、规格、型号、技术参数及配置标准</w:t>
      </w:r>
      <w:r>
        <w:rPr>
          <w:rFonts w:hint="eastAsia" w:ascii="宋体" w:hAnsi="宋体" w:eastAsia="宋体" w:cs="Times New Roman"/>
          <w:color w:val="auto"/>
          <w:kern w:val="0"/>
          <w:sz w:val="24"/>
          <w:szCs w:val="24"/>
          <w:highlight w:val="none"/>
          <w:u w:val="none"/>
          <w:lang w:val="en-US" w:eastAsia="zh-CN"/>
        </w:rPr>
        <w:t>；</w:t>
      </w:r>
    </w:p>
    <w:p w14:paraId="06CAACAE">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Times New Roman"/>
          <w:color w:val="auto"/>
          <w:kern w:val="0"/>
          <w:sz w:val="24"/>
          <w:szCs w:val="24"/>
          <w:highlight w:val="none"/>
          <w:u w:val="single"/>
          <w:lang w:val="en-US" w:eastAsia="zh-CN"/>
        </w:rPr>
        <w:t>（3）增加采购清单中原有货物的采购数量</w:t>
      </w:r>
      <w:r>
        <w:rPr>
          <w:rFonts w:hint="eastAsia" w:ascii="宋体" w:hAnsi="宋体" w:eastAsia="宋体" w:cs="Times New Roman"/>
          <w:color w:val="auto"/>
          <w:kern w:val="0"/>
          <w:sz w:val="24"/>
          <w:szCs w:val="24"/>
          <w:highlight w:val="none"/>
          <w:u w:val="none"/>
          <w:lang w:val="en-US" w:eastAsia="zh-CN"/>
        </w:rPr>
        <w:t>；</w:t>
      </w:r>
    </w:p>
    <w:p w14:paraId="52A9471C">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default" w:ascii="宋体" w:hAnsi="宋体" w:eastAsia="宋体" w:cs="Times New Roman"/>
          <w:color w:val="auto"/>
          <w:kern w:val="0"/>
          <w:sz w:val="24"/>
          <w:szCs w:val="24"/>
          <w:highlight w:val="none"/>
          <w:u w:val="single"/>
          <w:lang w:val="en-US" w:eastAsia="zh-CN"/>
        </w:rPr>
        <w:t>（4）调整供货范围、配套辅材</w:t>
      </w:r>
      <w:r>
        <w:rPr>
          <w:rFonts w:hint="eastAsia" w:ascii="宋体" w:hAnsi="宋体" w:eastAsia="宋体" w:cs="Times New Roman"/>
          <w:color w:val="auto"/>
          <w:kern w:val="0"/>
          <w:sz w:val="24"/>
          <w:szCs w:val="24"/>
          <w:highlight w:val="none"/>
          <w:u w:val="single"/>
          <w:lang w:val="en-US" w:eastAsia="zh-CN"/>
        </w:rPr>
        <w:t>及</w:t>
      </w:r>
      <w:r>
        <w:rPr>
          <w:rFonts w:hint="default" w:ascii="宋体" w:hAnsi="宋体" w:eastAsia="宋体" w:cs="Times New Roman"/>
          <w:color w:val="auto"/>
          <w:kern w:val="0"/>
          <w:sz w:val="24"/>
          <w:szCs w:val="24"/>
          <w:highlight w:val="none"/>
          <w:u w:val="single"/>
          <w:lang w:val="en-US" w:eastAsia="zh-CN"/>
        </w:rPr>
        <w:t>安装配套内容</w:t>
      </w:r>
      <w:r>
        <w:rPr>
          <w:rFonts w:hint="default" w:ascii="宋体" w:hAnsi="宋体" w:eastAsia="宋体" w:cs="Times New Roman"/>
          <w:color w:val="auto"/>
          <w:kern w:val="0"/>
          <w:sz w:val="24"/>
          <w:szCs w:val="24"/>
          <w:highlight w:val="none"/>
          <w:u w:val="none"/>
          <w:lang w:val="en-US" w:eastAsia="zh-CN"/>
        </w:rPr>
        <w:t>。</w:t>
      </w:r>
    </w:p>
    <w:p w14:paraId="662ABCB6">
      <w:pPr>
        <w:keepNext w:val="0"/>
        <w:keepLines w:val="0"/>
        <w:pageBreakBefore w:val="0"/>
        <w:widowControl w:val="0"/>
        <w:shd w:val="clear" w:color="auto" w:fill="FFFFFF"/>
        <w:kinsoku/>
        <w:wordWrap/>
        <w:overflowPunct/>
        <w:topLinePunct w:val="0"/>
        <w:autoSpaceDE/>
        <w:autoSpaceDN/>
        <w:bidi w:val="0"/>
        <w:spacing w:line="400" w:lineRule="exact"/>
        <w:ind w:firstLine="482" w:firstLineChars="200"/>
        <w:textAlignment w:val="auto"/>
        <w:rPr>
          <w:rFonts w:hint="default" w:ascii="宋体" w:hAnsi="宋体" w:eastAsia="宋体" w:cs="Times New Roman"/>
          <w:b/>
          <w:bCs/>
          <w:color w:val="auto"/>
          <w:kern w:val="0"/>
          <w:sz w:val="24"/>
          <w:szCs w:val="24"/>
          <w:highlight w:val="none"/>
          <w:u w:val="single"/>
          <w:lang w:val="en-US" w:eastAsia="zh-CN"/>
        </w:rPr>
      </w:pPr>
      <w:r>
        <w:rPr>
          <w:rFonts w:hint="default" w:ascii="宋体" w:hAnsi="宋体" w:eastAsia="宋体" w:cs="Times New Roman"/>
          <w:b/>
          <w:bCs/>
          <w:color w:val="auto"/>
          <w:kern w:val="0"/>
          <w:sz w:val="24"/>
          <w:szCs w:val="24"/>
          <w:highlight w:val="none"/>
          <w:u w:val="single"/>
          <w:lang w:val="en-US" w:eastAsia="zh-CN"/>
        </w:rPr>
        <w:t>3.乙方申请核价义务</w:t>
      </w:r>
    </w:p>
    <w:p w14:paraId="3ACB9B5E">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eastAsia" w:ascii="宋体" w:hAnsi="宋体" w:eastAsia="宋体" w:cs="Times New Roman"/>
          <w:color w:val="auto"/>
          <w:kern w:val="0"/>
          <w:sz w:val="24"/>
          <w:szCs w:val="24"/>
          <w:highlight w:val="none"/>
          <w:u w:val="single"/>
          <w:lang w:val="en-US" w:eastAsia="zh-CN"/>
        </w:rPr>
        <w:t>发生上述采购内容变动时，乙方须在知晓变更需求后的3个工作日内向甲方提交《采购内容变更核价申请单》，内容应包括变更明细、规格参数、数量、单价、总价、报价依据、供货周期、配套服务说明，并附上对应的报价测算资料</w:t>
      </w:r>
      <w:r>
        <w:rPr>
          <w:rFonts w:hint="default" w:ascii="宋体" w:hAnsi="宋体" w:eastAsia="宋体" w:cs="Times New Roman"/>
          <w:color w:val="auto"/>
          <w:kern w:val="0"/>
          <w:sz w:val="24"/>
          <w:szCs w:val="24"/>
          <w:highlight w:val="none"/>
          <w:u w:val="none"/>
          <w:lang w:val="en-US" w:eastAsia="zh-CN"/>
        </w:rPr>
        <w:t>。</w:t>
      </w:r>
    </w:p>
    <w:p w14:paraId="2B9F781E">
      <w:pPr>
        <w:keepNext w:val="0"/>
        <w:keepLines w:val="0"/>
        <w:pageBreakBefore w:val="0"/>
        <w:widowControl w:val="0"/>
        <w:shd w:val="clear" w:color="auto" w:fill="FFFFFF"/>
        <w:kinsoku/>
        <w:wordWrap/>
        <w:overflowPunct/>
        <w:topLinePunct w:val="0"/>
        <w:autoSpaceDE/>
        <w:autoSpaceDN/>
        <w:bidi w:val="0"/>
        <w:spacing w:line="400" w:lineRule="exact"/>
        <w:ind w:firstLine="482" w:firstLineChars="200"/>
        <w:textAlignment w:val="auto"/>
        <w:rPr>
          <w:rFonts w:hint="default" w:ascii="宋体" w:hAnsi="宋体" w:eastAsia="宋体" w:cs="Times New Roman"/>
          <w:b/>
          <w:bCs/>
          <w:color w:val="auto"/>
          <w:kern w:val="0"/>
          <w:sz w:val="24"/>
          <w:szCs w:val="24"/>
          <w:highlight w:val="none"/>
          <w:u w:val="single"/>
          <w:lang w:val="en-US" w:eastAsia="zh-CN"/>
        </w:rPr>
      </w:pPr>
      <w:r>
        <w:rPr>
          <w:rFonts w:hint="default" w:ascii="宋体" w:hAnsi="宋体" w:eastAsia="宋体" w:cs="Times New Roman"/>
          <w:b/>
          <w:bCs/>
          <w:color w:val="auto"/>
          <w:kern w:val="0"/>
          <w:sz w:val="24"/>
          <w:szCs w:val="24"/>
          <w:highlight w:val="none"/>
          <w:u w:val="single"/>
          <w:lang w:val="en-US" w:eastAsia="zh-CN"/>
        </w:rPr>
        <w:t>4.甲方书面确认生效规则</w:t>
      </w:r>
    </w:p>
    <w:p w14:paraId="3C26BF66">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default" w:ascii="宋体" w:hAnsi="宋体" w:eastAsia="宋体" w:cs="Times New Roman"/>
          <w:color w:val="auto"/>
          <w:kern w:val="0"/>
          <w:sz w:val="24"/>
          <w:szCs w:val="24"/>
          <w:highlight w:val="none"/>
          <w:u w:val="single"/>
          <w:lang w:val="en-US" w:eastAsia="zh-CN"/>
        </w:rPr>
        <w:t>甲方收到乙方核价申请后，</w:t>
      </w:r>
      <w:r>
        <w:rPr>
          <w:rFonts w:hint="eastAsia" w:ascii="宋体" w:hAnsi="宋体" w:eastAsia="宋体" w:cs="Times New Roman"/>
          <w:color w:val="auto"/>
          <w:kern w:val="0"/>
          <w:sz w:val="24"/>
          <w:szCs w:val="24"/>
          <w:highlight w:val="none"/>
          <w:u w:val="single"/>
          <w:lang w:val="en-US" w:eastAsia="zh-CN"/>
        </w:rPr>
        <w:t>将</w:t>
      </w:r>
      <w:r>
        <w:rPr>
          <w:rFonts w:hint="default" w:ascii="宋体" w:hAnsi="宋体" w:eastAsia="宋体" w:cs="Times New Roman"/>
          <w:color w:val="auto"/>
          <w:kern w:val="0"/>
          <w:sz w:val="24"/>
          <w:szCs w:val="24"/>
          <w:highlight w:val="none"/>
          <w:u w:val="single"/>
          <w:lang w:val="en-US" w:eastAsia="zh-CN"/>
        </w:rPr>
        <w:t>组织内部审核</w:t>
      </w:r>
      <w:r>
        <w:rPr>
          <w:rFonts w:hint="eastAsia" w:ascii="宋体" w:hAnsi="宋体" w:eastAsia="宋体" w:cs="Times New Roman"/>
          <w:color w:val="auto"/>
          <w:kern w:val="0"/>
          <w:sz w:val="24"/>
          <w:szCs w:val="24"/>
          <w:highlight w:val="none"/>
          <w:u w:val="single"/>
          <w:lang w:val="en-US" w:eastAsia="zh-CN"/>
        </w:rPr>
        <w:t>与</w:t>
      </w:r>
      <w:r>
        <w:rPr>
          <w:rFonts w:hint="default" w:ascii="宋体" w:hAnsi="宋体" w:eastAsia="宋体" w:cs="Times New Roman"/>
          <w:color w:val="auto"/>
          <w:kern w:val="0"/>
          <w:sz w:val="24"/>
          <w:szCs w:val="24"/>
          <w:highlight w:val="none"/>
          <w:u w:val="single"/>
          <w:lang w:val="en-US" w:eastAsia="zh-CN"/>
        </w:rPr>
        <w:t>价格比对，审核通过后出具加盖甲方公章的《采购变更确认单》，</w:t>
      </w:r>
      <w:r>
        <w:rPr>
          <w:rFonts w:hint="eastAsia" w:ascii="宋体" w:hAnsi="宋体" w:eastAsia="宋体" w:cs="Times New Roman"/>
          <w:color w:val="auto"/>
          <w:kern w:val="0"/>
          <w:sz w:val="24"/>
          <w:szCs w:val="24"/>
          <w:highlight w:val="none"/>
          <w:u w:val="single"/>
          <w:lang w:val="en-US" w:eastAsia="zh-CN"/>
        </w:rPr>
        <w:t>明确</w:t>
      </w:r>
      <w:r>
        <w:rPr>
          <w:rFonts w:hint="default" w:ascii="宋体" w:hAnsi="宋体" w:eastAsia="宋体" w:cs="Times New Roman"/>
          <w:color w:val="auto"/>
          <w:kern w:val="0"/>
          <w:sz w:val="24"/>
          <w:szCs w:val="24"/>
          <w:highlight w:val="none"/>
          <w:u w:val="single"/>
          <w:lang w:val="en-US" w:eastAsia="zh-CN"/>
        </w:rPr>
        <w:t>载明变更明细、审定单价、变更总价款、调整后</w:t>
      </w:r>
      <w:r>
        <w:rPr>
          <w:rFonts w:hint="eastAsia" w:ascii="宋体" w:hAnsi="宋体" w:eastAsia="宋体" w:cs="Times New Roman"/>
          <w:color w:val="auto"/>
          <w:kern w:val="0"/>
          <w:sz w:val="24"/>
          <w:szCs w:val="24"/>
          <w:highlight w:val="none"/>
          <w:u w:val="single"/>
          <w:lang w:val="en-US" w:eastAsia="zh-CN"/>
        </w:rPr>
        <w:t>合同总价以及</w:t>
      </w:r>
      <w:r>
        <w:rPr>
          <w:rFonts w:hint="default" w:ascii="宋体" w:hAnsi="宋体" w:eastAsia="宋体" w:cs="Times New Roman"/>
          <w:color w:val="auto"/>
          <w:kern w:val="0"/>
          <w:sz w:val="24"/>
          <w:szCs w:val="24"/>
          <w:highlight w:val="none"/>
          <w:u w:val="single"/>
          <w:lang w:val="en-US" w:eastAsia="zh-CN"/>
        </w:rPr>
        <w:t>变更后交货周期</w:t>
      </w:r>
      <w:r>
        <w:rPr>
          <w:rFonts w:hint="default" w:ascii="宋体" w:hAnsi="宋体" w:eastAsia="宋体" w:cs="Times New Roman"/>
          <w:color w:val="auto"/>
          <w:kern w:val="0"/>
          <w:sz w:val="24"/>
          <w:szCs w:val="24"/>
          <w:highlight w:val="none"/>
          <w:u w:val="none"/>
          <w:lang w:val="en-US" w:eastAsia="zh-CN"/>
        </w:rPr>
        <w:t>。</w:t>
      </w:r>
    </w:p>
    <w:p w14:paraId="7E6A06B6">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eastAsia" w:ascii="宋体" w:hAnsi="宋体" w:eastAsia="宋体" w:cs="Times New Roman"/>
          <w:color w:val="auto"/>
          <w:kern w:val="0"/>
          <w:sz w:val="24"/>
          <w:szCs w:val="24"/>
          <w:highlight w:val="none"/>
          <w:u w:val="single"/>
          <w:lang w:val="en-US" w:eastAsia="zh-CN"/>
        </w:rPr>
        <w:t>未经甲方出具加盖公章的书面确认文件，乙方擅自实施变更供货、增配、替换设备的，甲方有权对变更部分款项不予结算，且乙方需自行承担全部物料、人工、运输损失，同时甲方有权追究乙方的违约责任</w:t>
      </w:r>
      <w:r>
        <w:rPr>
          <w:rFonts w:hint="eastAsia" w:ascii="宋体" w:hAnsi="宋体" w:eastAsia="宋体" w:cs="Times New Roman"/>
          <w:i w:val="0"/>
          <w:iCs w:val="0"/>
          <w:color w:val="auto"/>
          <w:kern w:val="0"/>
          <w:sz w:val="24"/>
          <w:szCs w:val="24"/>
          <w:highlight w:val="none"/>
          <w:u w:val="none"/>
          <w:lang w:val="en-US" w:eastAsia="zh-CN"/>
        </w:rPr>
        <w:t>。</w:t>
      </w:r>
    </w:p>
    <w:p w14:paraId="2FDC6D41">
      <w:pPr>
        <w:keepNext w:val="0"/>
        <w:keepLines w:val="0"/>
        <w:pageBreakBefore w:val="0"/>
        <w:widowControl w:val="0"/>
        <w:shd w:val="clear" w:color="auto" w:fill="FFFFFF"/>
        <w:kinsoku/>
        <w:wordWrap/>
        <w:overflowPunct/>
        <w:topLinePunct w:val="0"/>
        <w:autoSpaceDE/>
        <w:autoSpaceDN/>
        <w:bidi w:val="0"/>
        <w:spacing w:line="400" w:lineRule="exact"/>
        <w:ind w:firstLine="482" w:firstLineChars="200"/>
        <w:textAlignment w:val="auto"/>
        <w:rPr>
          <w:rFonts w:hint="default" w:ascii="宋体" w:hAnsi="宋体" w:eastAsia="宋体" w:cs="Times New Roman"/>
          <w:b/>
          <w:bCs/>
          <w:color w:val="auto"/>
          <w:kern w:val="0"/>
          <w:sz w:val="24"/>
          <w:szCs w:val="24"/>
          <w:highlight w:val="none"/>
          <w:u w:val="single"/>
          <w:lang w:val="en-US" w:eastAsia="zh-CN"/>
        </w:rPr>
      </w:pPr>
      <w:r>
        <w:rPr>
          <w:rFonts w:hint="default" w:ascii="宋体" w:hAnsi="宋体" w:eastAsia="宋体" w:cs="Times New Roman"/>
          <w:b/>
          <w:bCs/>
          <w:color w:val="auto"/>
          <w:kern w:val="0"/>
          <w:sz w:val="24"/>
          <w:szCs w:val="24"/>
          <w:highlight w:val="none"/>
          <w:u w:val="single"/>
          <w:lang w:val="en-US" w:eastAsia="zh-CN"/>
        </w:rPr>
        <w:t>5.变更价款计价规则</w:t>
      </w:r>
    </w:p>
    <w:p w14:paraId="52E913BB">
      <w:pPr>
        <w:keepNext w:val="0"/>
        <w:keepLines w:val="0"/>
        <w:pageBreakBefore w:val="0"/>
        <w:widowControl w:val="0"/>
        <w:shd w:val="clear" w:color="auto" w:fill="FFFFFF"/>
        <w:kinsoku/>
        <w:wordWrap/>
        <w:overflowPunct/>
        <w:topLinePunct w:val="0"/>
        <w:autoSpaceDE/>
        <w:autoSpaceDN/>
        <w:bidi w:val="0"/>
        <w:spacing w:line="400" w:lineRule="exact"/>
        <w:ind w:firstLine="422"/>
        <w:textAlignment w:val="auto"/>
        <w:rPr>
          <w:rFonts w:hint="eastAsia" w:eastAsiaTheme="minorEastAsia"/>
          <w:color w:val="auto"/>
          <w:lang w:eastAsia="zh-CN"/>
        </w:rPr>
      </w:pPr>
      <w:r>
        <w:rPr>
          <w:rFonts w:hint="eastAsia" w:ascii="宋体" w:hAnsi="宋体" w:eastAsia="宋体" w:cs="Times New Roman"/>
          <w:color w:val="auto"/>
          <w:kern w:val="0"/>
          <w:sz w:val="24"/>
          <w:szCs w:val="24"/>
          <w:highlight w:val="none"/>
          <w:u w:val="single"/>
          <w:lang w:val="en-US" w:eastAsia="zh-CN"/>
        </w:rPr>
        <w:t>（1）清单内已有同类货物变更增加采购量的，按合同附件《明细报价表》约定的固定单价执行</w:t>
      </w:r>
      <w:r>
        <w:rPr>
          <w:rFonts w:hint="eastAsia" w:ascii="宋体" w:hAnsi="宋体" w:eastAsia="宋体" w:cs="Times New Roman"/>
          <w:color w:val="auto"/>
          <w:kern w:val="0"/>
          <w:sz w:val="24"/>
          <w:szCs w:val="24"/>
          <w:highlight w:val="none"/>
          <w:u w:val="none"/>
          <w:lang w:val="en-US" w:eastAsia="zh-CN"/>
        </w:rPr>
        <w:t>；</w:t>
      </w:r>
    </w:p>
    <w:p w14:paraId="4F5458B9">
      <w:pPr>
        <w:keepNext w:val="0"/>
        <w:keepLines w:val="0"/>
        <w:pageBreakBefore w:val="0"/>
        <w:widowControl w:val="0"/>
        <w:shd w:val="clear" w:color="auto" w:fill="FFFFFF"/>
        <w:kinsoku/>
        <w:wordWrap/>
        <w:overflowPunct/>
        <w:topLinePunct w:val="0"/>
        <w:autoSpaceDE/>
        <w:autoSpaceDN/>
        <w:bidi w:val="0"/>
        <w:spacing w:line="400" w:lineRule="exact"/>
        <w:ind w:firstLine="422"/>
        <w:textAlignment w:val="auto"/>
        <w:rPr>
          <w:rFonts w:hint="default" w:ascii="宋体" w:hAnsi="宋体" w:eastAsia="宋体" w:cs="Times New Roman"/>
          <w:color w:val="auto"/>
          <w:kern w:val="0"/>
          <w:sz w:val="24"/>
          <w:szCs w:val="24"/>
          <w:highlight w:val="none"/>
          <w:u w:val="single"/>
          <w:lang w:val="en-US" w:eastAsia="zh-CN"/>
        </w:rPr>
      </w:pPr>
      <w:r>
        <w:rPr>
          <w:rFonts w:hint="default" w:ascii="宋体" w:hAnsi="宋体" w:eastAsia="宋体" w:cs="Times New Roman"/>
          <w:color w:val="auto"/>
          <w:kern w:val="0"/>
          <w:sz w:val="24"/>
          <w:szCs w:val="24"/>
          <w:highlight w:val="none"/>
          <w:u w:val="single"/>
          <w:lang w:val="en-US" w:eastAsia="zh-CN"/>
        </w:rPr>
        <w:t>（2）清单无对应品类</w:t>
      </w:r>
      <w:r>
        <w:rPr>
          <w:rFonts w:hint="eastAsia" w:ascii="宋体" w:hAnsi="宋体" w:eastAsia="宋体" w:cs="Times New Roman"/>
          <w:color w:val="auto"/>
          <w:kern w:val="0"/>
          <w:sz w:val="24"/>
          <w:szCs w:val="24"/>
          <w:highlight w:val="none"/>
          <w:u w:val="single"/>
          <w:lang w:val="en-US" w:eastAsia="zh-CN"/>
        </w:rPr>
        <w:t>的</w:t>
      </w:r>
      <w:r>
        <w:rPr>
          <w:rFonts w:hint="default" w:ascii="宋体" w:hAnsi="宋体" w:eastAsia="宋体" w:cs="Times New Roman"/>
          <w:color w:val="auto"/>
          <w:kern w:val="0"/>
          <w:sz w:val="24"/>
          <w:szCs w:val="24"/>
          <w:highlight w:val="none"/>
          <w:u w:val="single"/>
          <w:lang w:val="en-US" w:eastAsia="zh-CN"/>
        </w:rPr>
        <w:t>新增货物：</w:t>
      </w:r>
      <w:r>
        <w:rPr>
          <w:rFonts w:hint="eastAsia" w:ascii="宋体" w:hAnsi="宋体" w:eastAsia="宋体" w:cs="Times New Roman"/>
          <w:color w:val="auto"/>
          <w:kern w:val="0"/>
          <w:sz w:val="24"/>
          <w:szCs w:val="24"/>
          <w:highlight w:val="none"/>
          <w:u w:val="single"/>
          <w:lang w:val="en-US" w:eastAsia="zh-CN"/>
        </w:rPr>
        <w:t>由</w:t>
      </w:r>
      <w:r>
        <w:rPr>
          <w:rFonts w:hint="default" w:ascii="宋体" w:hAnsi="宋体" w:eastAsia="宋体" w:cs="Times New Roman"/>
          <w:color w:val="auto"/>
          <w:kern w:val="0"/>
          <w:sz w:val="24"/>
          <w:szCs w:val="24"/>
          <w:highlight w:val="none"/>
          <w:u w:val="single"/>
          <w:lang w:val="en-US" w:eastAsia="zh-CN"/>
        </w:rPr>
        <w:t>乙方申报报价，甲方参照市场行情、招标同类价格、政府采购限价审核定价，</w:t>
      </w:r>
      <w:r>
        <w:rPr>
          <w:rFonts w:hint="eastAsia" w:ascii="宋体" w:hAnsi="宋体" w:eastAsia="宋体" w:cs="Times New Roman"/>
          <w:color w:val="auto"/>
          <w:kern w:val="0"/>
          <w:sz w:val="24"/>
          <w:szCs w:val="24"/>
          <w:highlight w:val="none"/>
          <w:u w:val="single"/>
          <w:lang w:val="en-US" w:eastAsia="zh-CN"/>
        </w:rPr>
        <w:t>最终以</w:t>
      </w:r>
      <w:r>
        <w:rPr>
          <w:rFonts w:hint="default" w:ascii="宋体" w:hAnsi="宋体" w:eastAsia="宋体" w:cs="Times New Roman"/>
          <w:color w:val="auto"/>
          <w:kern w:val="0"/>
          <w:sz w:val="24"/>
          <w:szCs w:val="24"/>
          <w:highlight w:val="none"/>
          <w:u w:val="single"/>
          <w:lang w:val="en-US" w:eastAsia="zh-CN"/>
        </w:rPr>
        <w:t>甲方审定价格</w:t>
      </w:r>
      <w:r>
        <w:rPr>
          <w:rFonts w:hint="eastAsia" w:ascii="宋体" w:hAnsi="宋体" w:eastAsia="宋体" w:cs="Times New Roman"/>
          <w:color w:val="auto"/>
          <w:kern w:val="0"/>
          <w:sz w:val="24"/>
          <w:szCs w:val="24"/>
          <w:highlight w:val="none"/>
          <w:u w:val="single"/>
          <w:lang w:val="en-US" w:eastAsia="zh-CN"/>
        </w:rPr>
        <w:t>×</w:t>
      </w:r>
      <w:r>
        <w:rPr>
          <w:rFonts w:hint="default" w:ascii="宋体" w:hAnsi="宋体" w:eastAsia="宋体" w:cs="Times New Roman"/>
          <w:color w:val="auto"/>
          <w:kern w:val="0"/>
          <w:sz w:val="24"/>
          <w:szCs w:val="24"/>
          <w:highlight w:val="none"/>
          <w:u w:val="single"/>
          <w:lang w:val="en-US" w:eastAsia="zh-CN"/>
        </w:rPr>
        <w:t>（中标价/最高投标限价）作为结算依据</w:t>
      </w:r>
      <w:r>
        <w:rPr>
          <w:rFonts w:hint="default" w:ascii="宋体" w:hAnsi="宋体" w:eastAsia="宋体" w:cs="Times New Roman"/>
          <w:color w:val="auto"/>
          <w:kern w:val="0"/>
          <w:sz w:val="24"/>
          <w:szCs w:val="24"/>
          <w:highlight w:val="none"/>
          <w:u w:val="none"/>
          <w:lang w:val="en-US" w:eastAsia="zh-CN"/>
        </w:rPr>
        <w:t>；</w:t>
      </w:r>
    </w:p>
    <w:p w14:paraId="7A36ACB7">
      <w:pPr>
        <w:keepNext w:val="0"/>
        <w:keepLines w:val="0"/>
        <w:pageBreakBefore w:val="0"/>
        <w:widowControl w:val="0"/>
        <w:shd w:val="clear" w:color="auto" w:fill="FFFFFF"/>
        <w:kinsoku/>
        <w:wordWrap/>
        <w:overflowPunct/>
        <w:topLinePunct w:val="0"/>
        <w:autoSpaceDE/>
        <w:autoSpaceDN/>
        <w:bidi w:val="0"/>
        <w:spacing w:line="400" w:lineRule="exact"/>
        <w:ind w:firstLine="422"/>
        <w:textAlignment w:val="auto"/>
        <w:rPr>
          <w:rFonts w:hint="default" w:ascii="宋体" w:hAnsi="宋体" w:eastAsia="宋体" w:cs="Times New Roman"/>
          <w:color w:val="auto"/>
          <w:kern w:val="0"/>
          <w:sz w:val="24"/>
          <w:szCs w:val="24"/>
          <w:highlight w:val="none"/>
          <w:u w:val="single"/>
          <w:lang w:val="en-US" w:eastAsia="zh-CN"/>
        </w:rPr>
      </w:pPr>
      <w:r>
        <w:rPr>
          <w:rFonts w:hint="default" w:ascii="宋体" w:hAnsi="宋体" w:eastAsia="宋体" w:cs="Times New Roman"/>
          <w:color w:val="auto"/>
          <w:kern w:val="0"/>
          <w:sz w:val="24"/>
          <w:szCs w:val="24"/>
          <w:highlight w:val="none"/>
          <w:u w:val="single"/>
          <w:lang w:val="en-US" w:eastAsia="zh-CN"/>
        </w:rPr>
        <w:t>（3）项目履约过程中，若经双方确认，需要对设备的技术参数、性能、功能等内容进行调整时，若调整后的方案优于原方案，相关成本费用由采购人承担</w:t>
      </w:r>
      <w:r>
        <w:rPr>
          <w:rFonts w:hint="eastAsia" w:ascii="宋体" w:hAnsi="宋体" w:eastAsia="宋体" w:cs="Times New Roman"/>
          <w:color w:val="auto"/>
          <w:kern w:val="0"/>
          <w:sz w:val="24"/>
          <w:szCs w:val="24"/>
          <w:highlight w:val="none"/>
          <w:u w:val="single"/>
          <w:lang w:val="en-US" w:eastAsia="zh-CN"/>
        </w:rPr>
        <w:t>（采购人可委托第三方供应商报价或委托第三方咨询机构出具调研价格）</w:t>
      </w:r>
      <w:r>
        <w:rPr>
          <w:rFonts w:hint="default" w:ascii="宋体" w:hAnsi="宋体" w:eastAsia="宋体" w:cs="Times New Roman"/>
          <w:color w:val="auto"/>
          <w:kern w:val="0"/>
          <w:sz w:val="24"/>
          <w:szCs w:val="24"/>
          <w:highlight w:val="none"/>
          <w:u w:val="single"/>
          <w:lang w:val="en-US" w:eastAsia="zh-CN"/>
        </w:rPr>
        <w:t>，中标供应商不得从中赚取利润，也不得拒绝或拖延提供服务；若调整后的方案劣于原方案，</w:t>
      </w:r>
      <w:r>
        <w:rPr>
          <w:rFonts w:hint="eastAsia" w:ascii="宋体" w:hAnsi="宋体" w:eastAsia="宋体" w:cs="Times New Roman"/>
          <w:color w:val="auto"/>
          <w:kern w:val="0"/>
          <w:sz w:val="24"/>
          <w:szCs w:val="24"/>
          <w:highlight w:val="none"/>
          <w:u w:val="single"/>
          <w:lang w:val="en-US" w:eastAsia="zh-CN"/>
        </w:rPr>
        <w:t>采购人</w:t>
      </w:r>
      <w:r>
        <w:rPr>
          <w:rFonts w:hint="default" w:ascii="宋体" w:hAnsi="宋体" w:eastAsia="宋体" w:cs="Times New Roman"/>
          <w:color w:val="auto"/>
          <w:kern w:val="0"/>
          <w:sz w:val="24"/>
          <w:szCs w:val="24"/>
          <w:highlight w:val="none"/>
          <w:u w:val="single"/>
          <w:lang w:val="en-US" w:eastAsia="zh-CN"/>
        </w:rPr>
        <w:t>有权下调对应</w:t>
      </w:r>
      <w:r>
        <w:rPr>
          <w:rFonts w:hint="eastAsia" w:ascii="宋体" w:hAnsi="宋体" w:eastAsia="宋体" w:cs="Times New Roman"/>
          <w:color w:val="auto"/>
          <w:kern w:val="0"/>
          <w:sz w:val="24"/>
          <w:szCs w:val="24"/>
          <w:highlight w:val="none"/>
          <w:u w:val="single"/>
          <w:lang w:val="en-US" w:eastAsia="zh-CN"/>
        </w:rPr>
        <w:t>中标</w:t>
      </w:r>
      <w:r>
        <w:rPr>
          <w:rFonts w:hint="default" w:ascii="宋体" w:hAnsi="宋体" w:eastAsia="宋体" w:cs="Times New Roman"/>
          <w:color w:val="auto"/>
          <w:kern w:val="0"/>
          <w:sz w:val="24"/>
          <w:szCs w:val="24"/>
          <w:highlight w:val="none"/>
          <w:u w:val="single"/>
          <w:lang w:val="en-US" w:eastAsia="zh-CN"/>
        </w:rPr>
        <w:t>单价，调整后的单价</w:t>
      </w:r>
      <w:r>
        <w:rPr>
          <w:rFonts w:hint="eastAsia" w:ascii="宋体" w:hAnsi="宋体" w:eastAsia="宋体" w:cs="Times New Roman"/>
          <w:color w:val="auto"/>
          <w:kern w:val="0"/>
          <w:sz w:val="24"/>
          <w:szCs w:val="24"/>
          <w:highlight w:val="none"/>
          <w:u w:val="single"/>
          <w:lang w:val="en-US" w:eastAsia="zh-CN"/>
        </w:rPr>
        <w:t>经</w:t>
      </w:r>
      <w:r>
        <w:rPr>
          <w:rFonts w:hint="default" w:ascii="宋体" w:hAnsi="宋体" w:eastAsia="宋体" w:cs="Times New Roman"/>
          <w:color w:val="auto"/>
          <w:kern w:val="0"/>
          <w:sz w:val="24"/>
          <w:szCs w:val="24"/>
          <w:highlight w:val="none"/>
          <w:u w:val="single"/>
          <w:lang w:val="en-US" w:eastAsia="zh-CN"/>
        </w:rPr>
        <w:t>双方书面确认后执行</w:t>
      </w:r>
      <w:r>
        <w:rPr>
          <w:rFonts w:hint="default" w:ascii="宋体" w:hAnsi="宋体" w:eastAsia="宋体" w:cs="Times New Roman"/>
          <w:color w:val="auto"/>
          <w:kern w:val="0"/>
          <w:sz w:val="24"/>
          <w:szCs w:val="24"/>
          <w:highlight w:val="none"/>
          <w:u w:val="none"/>
          <w:lang w:val="en-US" w:eastAsia="zh-CN"/>
        </w:rPr>
        <w:t>。</w:t>
      </w:r>
    </w:p>
    <w:p w14:paraId="12F021E8">
      <w:pPr>
        <w:keepNext w:val="0"/>
        <w:keepLines w:val="0"/>
        <w:pageBreakBefore w:val="0"/>
        <w:widowControl w:val="0"/>
        <w:shd w:val="clear" w:color="auto" w:fill="FFFFFF"/>
        <w:kinsoku/>
        <w:wordWrap/>
        <w:overflowPunct/>
        <w:topLinePunct w:val="0"/>
        <w:autoSpaceDE/>
        <w:autoSpaceDN/>
        <w:bidi w:val="0"/>
        <w:spacing w:line="400" w:lineRule="exact"/>
        <w:ind w:firstLine="482" w:firstLineChars="200"/>
        <w:textAlignment w:val="auto"/>
        <w:rPr>
          <w:rFonts w:hint="default" w:ascii="宋体" w:hAnsi="宋体" w:eastAsia="宋体" w:cs="Times New Roman"/>
          <w:b/>
          <w:bCs/>
          <w:color w:val="auto"/>
          <w:kern w:val="0"/>
          <w:sz w:val="24"/>
          <w:szCs w:val="24"/>
          <w:highlight w:val="none"/>
          <w:u w:val="single"/>
          <w:lang w:val="en-US" w:eastAsia="zh-CN"/>
        </w:rPr>
      </w:pPr>
      <w:r>
        <w:rPr>
          <w:rFonts w:hint="default" w:ascii="宋体" w:hAnsi="宋体" w:eastAsia="宋体" w:cs="Times New Roman"/>
          <w:b/>
          <w:bCs/>
          <w:color w:val="auto"/>
          <w:kern w:val="0"/>
          <w:sz w:val="24"/>
          <w:szCs w:val="24"/>
          <w:highlight w:val="none"/>
          <w:u w:val="single"/>
          <w:lang w:val="en-US" w:eastAsia="zh-CN"/>
        </w:rPr>
        <w:t>6.变更文件效力</w:t>
      </w:r>
    </w:p>
    <w:p w14:paraId="470896BA">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default" w:ascii="宋体" w:hAnsi="宋体" w:eastAsia="宋体" w:cs="Times New Roman"/>
          <w:color w:val="auto"/>
          <w:kern w:val="0"/>
          <w:sz w:val="24"/>
          <w:szCs w:val="24"/>
          <w:highlight w:val="none"/>
          <w:u w:val="single"/>
          <w:lang w:val="en-US" w:eastAsia="zh-CN"/>
        </w:rPr>
        <w:t>《采购变更确认单》为本合同补充文件，与本合同、</w:t>
      </w:r>
      <w:r>
        <w:rPr>
          <w:rFonts w:hint="eastAsia" w:ascii="宋体" w:hAnsi="宋体" w:eastAsia="宋体" w:cs="Times New Roman"/>
          <w:color w:val="auto"/>
          <w:kern w:val="0"/>
          <w:sz w:val="24"/>
          <w:szCs w:val="24"/>
          <w:highlight w:val="none"/>
          <w:u w:val="single"/>
          <w:lang w:val="en-US" w:eastAsia="zh-CN"/>
        </w:rPr>
        <w:t>采购文件</w:t>
      </w:r>
      <w:r>
        <w:rPr>
          <w:rFonts w:hint="default" w:ascii="宋体" w:hAnsi="宋体" w:eastAsia="宋体" w:cs="Times New Roman"/>
          <w:color w:val="auto"/>
          <w:kern w:val="0"/>
          <w:sz w:val="24"/>
          <w:szCs w:val="24"/>
          <w:highlight w:val="none"/>
          <w:u w:val="single"/>
          <w:lang w:val="en-US" w:eastAsia="zh-CN"/>
        </w:rPr>
        <w:t>、投标文件具备同等法律效力，作为最终结算唯一依据</w:t>
      </w:r>
      <w:r>
        <w:rPr>
          <w:rFonts w:hint="default" w:ascii="宋体" w:hAnsi="宋体" w:eastAsia="宋体" w:cs="Times New Roman"/>
          <w:color w:val="auto"/>
          <w:kern w:val="0"/>
          <w:sz w:val="24"/>
          <w:szCs w:val="24"/>
          <w:highlight w:val="none"/>
          <w:u w:val="none"/>
          <w:lang w:val="en-US" w:eastAsia="zh-CN"/>
        </w:rPr>
        <w:t>。</w:t>
      </w:r>
    </w:p>
    <w:p w14:paraId="36B8C4EA">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w:t>
      </w:r>
      <w:r>
        <w:rPr>
          <w:rFonts w:hint="eastAsia" w:ascii="宋体" w:hAnsi="宋体" w:eastAsia="宋体" w:cs="Times New Roman"/>
          <w:b/>
          <w:color w:val="auto"/>
          <w:kern w:val="0"/>
          <w:sz w:val="24"/>
          <w:szCs w:val="20"/>
          <w:highlight w:val="none"/>
        </w:rPr>
        <w:t>采购清单及</w:t>
      </w:r>
      <w:r>
        <w:rPr>
          <w:rFonts w:hint="eastAsia" w:ascii="宋体" w:hAnsi="宋体" w:eastAsia="宋体" w:cs="Times New Roman"/>
          <w:b/>
          <w:color w:val="auto"/>
          <w:kern w:val="0"/>
          <w:sz w:val="24"/>
          <w:szCs w:val="20"/>
          <w:highlight w:val="none"/>
          <w:lang w:val="en-US" w:eastAsia="zh-CN"/>
        </w:rPr>
        <w:t>合同规定的相关</w:t>
      </w:r>
      <w:r>
        <w:rPr>
          <w:rFonts w:hint="eastAsia" w:ascii="宋体" w:hAnsi="宋体" w:eastAsia="宋体" w:cs="Times New Roman"/>
          <w:b/>
          <w:color w:val="auto"/>
          <w:kern w:val="0"/>
          <w:sz w:val="24"/>
          <w:szCs w:val="20"/>
          <w:highlight w:val="none"/>
        </w:rPr>
        <w:t>要求</w:t>
      </w:r>
    </w:p>
    <w:p w14:paraId="47B14189">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2"/>
        <w:textAlignment w:val="auto"/>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一</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采购清单：详见附件。</w:t>
      </w:r>
    </w:p>
    <w:p w14:paraId="69501A08">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2"/>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二</w:t>
      </w:r>
      <w:r>
        <w:rPr>
          <w:rFonts w:hint="eastAsia" w:ascii="宋体" w:hAnsi="宋体" w:eastAsia="宋体" w:cs="宋体"/>
          <w:b/>
          <w:bCs/>
          <w:color w:val="auto"/>
          <w:kern w:val="0"/>
          <w:sz w:val="24"/>
          <w:szCs w:val="24"/>
          <w:highlight w:val="none"/>
          <w:lang w:eastAsia="zh-CN"/>
        </w:rPr>
        <w:t>）</w:t>
      </w:r>
      <w:r>
        <w:rPr>
          <w:rFonts w:hint="eastAsia" w:ascii="宋体" w:hAnsi="宋体" w:eastAsia="宋体" w:cs="Times New Roman"/>
          <w:b/>
          <w:color w:val="auto"/>
          <w:kern w:val="0"/>
          <w:sz w:val="24"/>
          <w:szCs w:val="20"/>
          <w:highlight w:val="none"/>
          <w:lang w:val="en-US" w:eastAsia="zh-CN"/>
        </w:rPr>
        <w:t>相关</w:t>
      </w:r>
      <w:r>
        <w:rPr>
          <w:rFonts w:hint="eastAsia" w:ascii="宋体" w:hAnsi="宋体" w:eastAsia="宋体" w:cs="Times New Roman"/>
          <w:b/>
          <w:color w:val="auto"/>
          <w:kern w:val="0"/>
          <w:sz w:val="24"/>
          <w:szCs w:val="20"/>
          <w:highlight w:val="none"/>
        </w:rPr>
        <w:t>要求</w:t>
      </w:r>
      <w:r>
        <w:rPr>
          <w:rFonts w:hint="eastAsia" w:ascii="宋体" w:hAnsi="宋体" w:eastAsia="宋体" w:cs="宋体"/>
          <w:b/>
          <w:bCs/>
          <w:color w:val="auto"/>
          <w:kern w:val="0"/>
          <w:sz w:val="24"/>
          <w:szCs w:val="24"/>
          <w:highlight w:val="none"/>
          <w:lang w:eastAsia="zh-CN"/>
        </w:rPr>
        <w:t>：</w:t>
      </w:r>
    </w:p>
    <w:p w14:paraId="597354E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1</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val="en-US" w:eastAsia="zh-CN"/>
        </w:rPr>
        <w:t>项目基本要求：</w:t>
      </w:r>
    </w:p>
    <w:p w14:paraId="0F3650F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项目履约期间，乙方须指派项目负责人，统筹项目整体计划的制定与推进、与各部门（含甲方）及相关人员的协调沟通与对接、人力调配与管理、质量与安全管理等工作，全面负责项目从生产实施、现场安装</w:t>
      </w:r>
      <w:r>
        <w:rPr>
          <w:rFonts w:hint="eastAsia" w:ascii="宋体" w:hAnsi="宋体" w:cs="宋体"/>
          <w:bCs/>
          <w:color w:val="auto"/>
          <w:sz w:val="24"/>
          <w:highlight w:val="none"/>
          <w:lang w:val="en-US" w:eastAsia="zh-CN"/>
        </w:rPr>
        <w:t>调试</w:t>
      </w:r>
      <w:r>
        <w:rPr>
          <w:rFonts w:hint="eastAsia" w:ascii="宋体" w:hAnsi="宋体" w:eastAsia="宋体" w:cs="宋体"/>
          <w:bCs/>
          <w:color w:val="auto"/>
          <w:sz w:val="24"/>
          <w:highlight w:val="none"/>
          <w:lang w:val="en-US" w:eastAsia="zh-CN"/>
        </w:rPr>
        <w:t>、试运行、质保及售后服务的全流程工作</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必要时，乙方须邀请</w:t>
      </w:r>
      <w:r>
        <w:rPr>
          <w:rFonts w:hint="eastAsia" w:ascii="宋体" w:hAnsi="宋体" w:cs="宋体"/>
          <w:bCs/>
          <w:color w:val="auto"/>
          <w:sz w:val="24"/>
          <w:highlight w:val="none"/>
          <w:lang w:val="en-US" w:eastAsia="zh-CN"/>
        </w:rPr>
        <w:t>厂家</w:t>
      </w:r>
      <w:r>
        <w:rPr>
          <w:rFonts w:hint="eastAsia" w:ascii="宋体" w:hAnsi="宋体" w:eastAsia="宋体" w:cs="宋体"/>
          <w:bCs/>
          <w:color w:val="auto"/>
          <w:sz w:val="24"/>
          <w:highlight w:val="none"/>
          <w:lang w:val="en-US" w:eastAsia="zh-CN"/>
        </w:rPr>
        <w:t>技术人员，</w:t>
      </w:r>
      <w:r>
        <w:rPr>
          <w:rFonts w:hint="eastAsia" w:ascii="宋体" w:hAnsi="宋体" w:eastAsia="宋体" w:cs="宋体"/>
          <w:bCs/>
          <w:color w:val="auto"/>
          <w:sz w:val="24"/>
          <w:highlight w:val="none"/>
          <w:lang w:eastAsia="zh-CN"/>
        </w:rPr>
        <w:t>负责</w:t>
      </w:r>
      <w:r>
        <w:rPr>
          <w:rFonts w:hint="eastAsia" w:ascii="宋体" w:hAnsi="宋体" w:eastAsia="宋体" w:cs="宋体"/>
          <w:bCs/>
          <w:color w:val="auto"/>
          <w:sz w:val="24"/>
          <w:highlight w:val="none"/>
          <w:lang w:val="en-US" w:eastAsia="zh-CN"/>
        </w:rPr>
        <w:t>现场</w:t>
      </w:r>
      <w:r>
        <w:rPr>
          <w:rFonts w:hint="eastAsia" w:ascii="宋体" w:hAnsi="宋体" w:eastAsia="宋体" w:cs="宋体"/>
          <w:bCs/>
          <w:color w:val="auto"/>
          <w:sz w:val="24"/>
          <w:highlight w:val="none"/>
          <w:lang w:eastAsia="zh-CN"/>
        </w:rPr>
        <w:t>安装</w:t>
      </w:r>
      <w:r>
        <w:rPr>
          <w:rFonts w:hint="eastAsia" w:ascii="宋体" w:hAnsi="宋体" w:eastAsia="宋体" w:cs="宋体"/>
          <w:bCs/>
          <w:color w:val="auto"/>
          <w:sz w:val="24"/>
          <w:highlight w:val="none"/>
          <w:lang w:val="en-US" w:eastAsia="zh-CN"/>
        </w:rPr>
        <w:t>调试、试运行调试、质保与售后服务</w:t>
      </w:r>
      <w:r>
        <w:rPr>
          <w:rFonts w:hint="eastAsia" w:ascii="宋体" w:hAnsi="宋体" w:eastAsia="宋体" w:cs="宋体"/>
          <w:bCs/>
          <w:color w:val="auto"/>
          <w:sz w:val="24"/>
          <w:highlight w:val="none"/>
          <w:lang w:eastAsia="zh-CN"/>
        </w:rPr>
        <w:t>的技术指导与质量监督工作。</w:t>
      </w:r>
      <w:r>
        <w:rPr>
          <w:rFonts w:hint="eastAsia" w:ascii="宋体" w:hAnsi="宋体" w:cs="宋体"/>
          <w:bCs/>
          <w:color w:val="auto"/>
          <w:sz w:val="24"/>
          <w:highlight w:val="none"/>
          <w:lang w:val="en-US" w:eastAsia="zh-CN"/>
        </w:rPr>
        <w:t>若项目负责人或厂家技术人员无法胜任工作，乙方须按照甲方要求在规定时限内完成人员更换，且更换后人员的资质不得低于原人员，更换人选须征得甲方同意。</w:t>
      </w:r>
    </w:p>
    <w:p w14:paraId="131EEC9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项目履约期间，</w:t>
      </w:r>
      <w:r>
        <w:rPr>
          <w:rFonts w:hint="eastAsia" w:ascii="宋体" w:hAnsi="宋体" w:eastAsia="宋体" w:cs="宋体"/>
          <w:bCs/>
          <w:color w:val="auto"/>
          <w:sz w:val="24"/>
          <w:highlight w:val="none"/>
          <w:lang w:val="en-US" w:eastAsia="zh-CN"/>
        </w:rPr>
        <w:t>乙方应委派经甲方及中标标的物生产厂家认可，且具备相应经验、能力与资质的技术团队（包括项目负责人、专业技术人员、安装调试人员、</w:t>
      </w:r>
      <w:r>
        <w:rPr>
          <w:rFonts w:hint="eastAsia" w:ascii="宋体" w:hAnsi="宋体" w:cs="宋体"/>
          <w:bCs/>
          <w:color w:val="auto"/>
          <w:sz w:val="24"/>
          <w:highlight w:val="none"/>
          <w:lang w:val="en-US" w:eastAsia="zh-CN"/>
        </w:rPr>
        <w:t>技术培训人员、</w:t>
      </w:r>
      <w:r>
        <w:rPr>
          <w:rFonts w:hint="eastAsia" w:ascii="宋体" w:hAnsi="宋体" w:eastAsia="宋体" w:cs="宋体"/>
          <w:bCs/>
          <w:color w:val="auto"/>
          <w:sz w:val="24"/>
          <w:highlight w:val="none"/>
          <w:lang w:val="en-US" w:eastAsia="zh-CN"/>
        </w:rPr>
        <w:t>售后服务人员等），负责所供硬件的安装调试、试运行</w:t>
      </w:r>
      <w:r>
        <w:rPr>
          <w:rFonts w:hint="eastAsia" w:ascii="宋体" w:hAnsi="宋体" w:cs="宋体"/>
          <w:bCs/>
          <w:color w:val="auto"/>
          <w:sz w:val="24"/>
          <w:highlight w:val="none"/>
          <w:lang w:val="en-US" w:eastAsia="zh-CN"/>
        </w:rPr>
        <w:t>以及质保与售后服务工作</w:t>
      </w:r>
      <w:r>
        <w:rPr>
          <w:rFonts w:hint="eastAsia" w:ascii="宋体" w:hAnsi="宋体" w:eastAsia="宋体" w:cs="宋体"/>
          <w:bCs/>
          <w:color w:val="auto"/>
          <w:sz w:val="24"/>
          <w:highlight w:val="none"/>
          <w:lang w:val="en-US" w:eastAsia="zh-CN"/>
        </w:rPr>
        <w:t>。该技术团队须具备对应专业知识与技术水平，熟悉所供</w:t>
      </w:r>
      <w:r>
        <w:rPr>
          <w:rFonts w:hint="eastAsia" w:ascii="宋体" w:hAnsi="宋体" w:cs="宋体"/>
          <w:bCs/>
          <w:color w:val="auto"/>
          <w:sz w:val="24"/>
          <w:highlight w:val="none"/>
          <w:lang w:val="en-US" w:eastAsia="zh-CN"/>
        </w:rPr>
        <w:t>设备</w:t>
      </w:r>
      <w:r>
        <w:rPr>
          <w:rFonts w:hint="eastAsia" w:ascii="宋体" w:hAnsi="宋体" w:eastAsia="宋体" w:cs="宋体"/>
          <w:bCs/>
          <w:color w:val="auto"/>
          <w:sz w:val="24"/>
          <w:highlight w:val="none"/>
          <w:lang w:val="en-US" w:eastAsia="zh-CN"/>
        </w:rPr>
        <w:t>的功能、性</w:t>
      </w:r>
      <w:r>
        <w:rPr>
          <w:rFonts w:hint="eastAsia" w:ascii="宋体" w:hAnsi="宋体" w:cs="宋体"/>
          <w:bCs/>
          <w:color w:val="auto"/>
          <w:sz w:val="24"/>
          <w:highlight w:val="none"/>
          <w:lang w:val="en-US" w:eastAsia="zh-CN"/>
        </w:rPr>
        <w:t>能、</w:t>
      </w:r>
      <w:r>
        <w:rPr>
          <w:rFonts w:hint="eastAsia" w:ascii="宋体" w:hAnsi="宋体" w:eastAsia="宋体" w:cs="宋体"/>
          <w:bCs/>
          <w:color w:val="auto"/>
          <w:sz w:val="24"/>
          <w:highlight w:val="none"/>
          <w:lang w:val="en-US" w:eastAsia="zh-CN"/>
        </w:rPr>
        <w:t>技术指标及相关调试要求，有足够能力承担相应任务，确保系统满足使用需求并正常投入运行。</w:t>
      </w:r>
      <w:r>
        <w:rPr>
          <w:rFonts w:hint="eastAsia" w:ascii="宋体" w:hAnsi="宋体" w:cs="宋体"/>
          <w:bCs/>
          <w:color w:val="auto"/>
          <w:sz w:val="24"/>
          <w:highlight w:val="none"/>
          <w:lang w:val="en-US" w:eastAsia="zh-CN"/>
        </w:rPr>
        <w:t>若技术团队人员无法胜任工作，乙方须按照甲方要求在规定时限内完成人员更换，且更换后人员的资质不得低于原人员，更换人选须征得甲方同意。</w:t>
      </w:r>
    </w:p>
    <w:p w14:paraId="39123E4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cs="宋体"/>
          <w:b w:val="0"/>
          <w:bCs/>
          <w:color w:val="auto"/>
          <w:sz w:val="24"/>
          <w:highlight w:val="none"/>
          <w:lang w:val="en-US" w:eastAsia="zh-CN"/>
        </w:rPr>
        <w:t>（3）</w:t>
      </w:r>
      <w:r>
        <w:rPr>
          <w:rFonts w:hint="eastAsia" w:ascii="宋体" w:hAnsi="宋体" w:cs="宋体"/>
          <w:bCs/>
          <w:color w:val="auto"/>
          <w:sz w:val="24"/>
          <w:highlight w:val="none"/>
          <w:lang w:val="en-US" w:eastAsia="zh-CN"/>
        </w:rPr>
        <w:t>项目履约期间，</w:t>
      </w:r>
      <w:r>
        <w:rPr>
          <w:rFonts w:hint="eastAsia" w:ascii="宋体" w:hAnsi="宋体" w:cs="宋体"/>
          <w:bCs/>
          <w:color w:val="auto"/>
          <w:sz w:val="24"/>
          <w:highlight w:val="none"/>
          <w:lang w:eastAsia="zh-CN"/>
        </w:rPr>
        <w:t>甲方有权对乙方所投</w:t>
      </w:r>
      <w:r>
        <w:rPr>
          <w:rFonts w:hint="eastAsia" w:ascii="宋体" w:hAnsi="宋体" w:cs="宋体"/>
          <w:bCs/>
          <w:color w:val="auto"/>
          <w:sz w:val="24"/>
          <w:highlight w:val="none"/>
          <w:lang w:val="en-US" w:eastAsia="zh-CN"/>
        </w:rPr>
        <w:t>标的物</w:t>
      </w:r>
      <w:r>
        <w:rPr>
          <w:rFonts w:hint="eastAsia" w:ascii="宋体" w:hAnsi="宋体" w:cs="宋体"/>
          <w:bCs/>
          <w:color w:val="auto"/>
          <w:sz w:val="24"/>
          <w:highlight w:val="none"/>
          <w:lang w:eastAsia="zh-CN"/>
        </w:rPr>
        <w:t>的生产厂家进行现场考察，</w:t>
      </w:r>
      <w:r>
        <w:rPr>
          <w:rFonts w:hint="eastAsia" w:ascii="宋体" w:hAnsi="宋体" w:cs="宋体"/>
          <w:bCs/>
          <w:color w:val="auto"/>
          <w:sz w:val="24"/>
          <w:highlight w:val="none"/>
          <w:lang w:val="en-US" w:eastAsia="zh-CN"/>
        </w:rPr>
        <w:t>考察内容包括</w:t>
      </w:r>
      <w:r>
        <w:rPr>
          <w:rFonts w:hint="eastAsia" w:ascii="宋体" w:hAnsi="宋体" w:cs="宋体"/>
          <w:bCs/>
          <w:color w:val="auto"/>
          <w:sz w:val="24"/>
          <w:highlight w:val="none"/>
          <w:lang w:eastAsia="zh-CN"/>
        </w:rPr>
        <w:t>生产厂家</w:t>
      </w:r>
      <w:r>
        <w:rPr>
          <w:rFonts w:hint="eastAsia" w:ascii="宋体" w:hAnsi="宋体" w:cs="宋体"/>
          <w:bCs/>
          <w:color w:val="auto"/>
          <w:sz w:val="24"/>
          <w:highlight w:val="none"/>
          <w:lang w:val="en-US" w:eastAsia="zh-CN"/>
        </w:rPr>
        <w:t>的</w:t>
      </w:r>
      <w:r>
        <w:rPr>
          <w:rFonts w:hint="eastAsia" w:ascii="宋体" w:hAnsi="宋体" w:cs="宋体"/>
          <w:bCs/>
          <w:color w:val="auto"/>
          <w:sz w:val="24"/>
          <w:highlight w:val="none"/>
          <w:lang w:eastAsia="zh-CN"/>
        </w:rPr>
        <w:t>生产、供货能力，</w:t>
      </w:r>
      <w:r>
        <w:rPr>
          <w:rFonts w:hint="eastAsia" w:ascii="宋体" w:hAnsi="宋体" w:cs="宋体"/>
          <w:bCs/>
          <w:color w:val="auto"/>
          <w:sz w:val="24"/>
          <w:highlight w:val="none"/>
          <w:lang w:val="en-US" w:eastAsia="zh-CN"/>
        </w:rPr>
        <w:t>是否</w:t>
      </w:r>
      <w:r>
        <w:rPr>
          <w:rFonts w:hint="eastAsia" w:ascii="宋体" w:hAnsi="宋体" w:cs="宋体"/>
          <w:bCs/>
          <w:color w:val="auto"/>
          <w:sz w:val="24"/>
          <w:highlight w:val="none"/>
          <w:lang w:eastAsia="zh-CN"/>
        </w:rPr>
        <w:t>存在弄虚作假、</w:t>
      </w:r>
      <w:r>
        <w:rPr>
          <w:rFonts w:hint="eastAsia" w:ascii="宋体" w:hAnsi="宋体" w:cs="宋体"/>
          <w:bCs/>
          <w:color w:val="auto"/>
          <w:sz w:val="24"/>
          <w:highlight w:val="none"/>
          <w:lang w:val="en-US" w:eastAsia="zh-CN"/>
        </w:rPr>
        <w:t>是否能按要求提供原厂质保等</w:t>
      </w:r>
      <w:r>
        <w:rPr>
          <w:rFonts w:hint="eastAsia" w:ascii="宋体" w:hAnsi="宋体" w:eastAsia="宋体" w:cs="宋体"/>
          <w:bCs/>
          <w:color w:val="auto"/>
          <w:sz w:val="24"/>
          <w:highlight w:val="none"/>
          <w:lang w:eastAsia="zh-CN"/>
        </w:rPr>
        <w:t>。</w:t>
      </w:r>
    </w:p>
    <w:p w14:paraId="3EE963D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4）</w:t>
      </w:r>
      <w:r>
        <w:rPr>
          <w:rFonts w:hint="eastAsia" w:ascii="宋体" w:hAnsi="宋体" w:cs="宋体"/>
          <w:bCs/>
          <w:color w:val="auto"/>
          <w:sz w:val="24"/>
          <w:highlight w:val="none"/>
          <w:lang w:val="en-US" w:eastAsia="zh-CN"/>
        </w:rPr>
        <w:t>项目履约期间，</w:t>
      </w:r>
      <w:r>
        <w:rPr>
          <w:rFonts w:hint="eastAsia" w:ascii="宋体" w:hAnsi="宋体" w:eastAsia="宋体" w:cs="宋体"/>
          <w:bCs/>
          <w:color w:val="auto"/>
          <w:sz w:val="24"/>
          <w:highlight w:val="none"/>
          <w:lang w:val="en-US" w:eastAsia="zh-CN"/>
        </w:rPr>
        <w:t>乙方须</w:t>
      </w:r>
      <w:r>
        <w:rPr>
          <w:rFonts w:hint="eastAsia" w:ascii="宋体" w:hAnsi="宋体" w:cs="宋体"/>
          <w:bCs/>
          <w:color w:val="auto"/>
          <w:sz w:val="24"/>
          <w:highlight w:val="none"/>
          <w:lang w:val="en-US" w:eastAsia="zh-CN"/>
        </w:rPr>
        <w:t>全权负责</w:t>
      </w:r>
      <w:r>
        <w:rPr>
          <w:rFonts w:hint="eastAsia" w:ascii="宋体" w:hAnsi="宋体" w:eastAsia="宋体" w:cs="宋体"/>
          <w:bCs/>
          <w:color w:val="auto"/>
          <w:sz w:val="24"/>
          <w:highlight w:val="none"/>
          <w:lang w:val="en-US" w:eastAsia="zh-CN"/>
        </w:rPr>
        <w:t>履约全流程（含运输、装卸、安装调试、</w:t>
      </w:r>
      <w:r>
        <w:rPr>
          <w:rFonts w:hint="eastAsia" w:ascii="宋体" w:hAnsi="宋体" w:cs="宋体"/>
          <w:bCs/>
          <w:color w:val="auto"/>
          <w:sz w:val="24"/>
          <w:highlight w:val="none"/>
          <w:lang w:val="en-US" w:eastAsia="zh-CN"/>
        </w:rPr>
        <w:t>试运行、质保及</w:t>
      </w:r>
      <w:r>
        <w:rPr>
          <w:rFonts w:hint="eastAsia" w:ascii="宋体" w:hAnsi="宋体" w:eastAsia="宋体" w:cs="宋体"/>
          <w:bCs/>
          <w:color w:val="auto"/>
          <w:sz w:val="24"/>
          <w:highlight w:val="none"/>
          <w:lang w:val="en-US" w:eastAsia="zh-CN"/>
        </w:rPr>
        <w:t>售后服务等各阶段）</w:t>
      </w:r>
      <w:r>
        <w:rPr>
          <w:rFonts w:hint="eastAsia" w:ascii="宋体" w:hAnsi="宋体" w:cs="宋体"/>
          <w:bCs/>
          <w:color w:val="auto"/>
          <w:sz w:val="24"/>
          <w:highlight w:val="none"/>
          <w:lang w:val="en-US" w:eastAsia="zh-CN"/>
        </w:rPr>
        <w:t>的安全管理工作，</w:t>
      </w:r>
      <w:r>
        <w:rPr>
          <w:rFonts w:hint="eastAsia" w:ascii="宋体" w:hAnsi="宋体" w:eastAsia="宋体" w:cs="宋体"/>
          <w:bCs/>
          <w:color w:val="auto"/>
          <w:sz w:val="24"/>
          <w:highlight w:val="none"/>
          <w:lang w:val="en-US" w:eastAsia="zh-CN"/>
        </w:rPr>
        <w:t>严格遵守</w:t>
      </w:r>
      <w:r>
        <w:rPr>
          <w:rFonts w:hint="eastAsia" w:ascii="宋体" w:hAnsi="宋体" w:cs="宋体"/>
          <w:bCs/>
          <w:color w:val="auto"/>
          <w:sz w:val="24"/>
          <w:highlight w:val="none"/>
          <w:lang w:val="en-US" w:eastAsia="zh-CN"/>
        </w:rPr>
        <w:t>国家相关行业规范及项目现场</w:t>
      </w:r>
      <w:r>
        <w:rPr>
          <w:rFonts w:hint="eastAsia" w:ascii="宋体" w:hAnsi="宋体" w:eastAsia="宋体" w:cs="宋体"/>
          <w:bCs/>
          <w:color w:val="auto"/>
          <w:sz w:val="24"/>
          <w:highlight w:val="none"/>
          <w:lang w:val="en-US" w:eastAsia="zh-CN"/>
        </w:rPr>
        <w:t>安全生产规章制度</w:t>
      </w:r>
      <w:r>
        <w:rPr>
          <w:rFonts w:hint="eastAsia" w:ascii="宋体" w:hAnsi="宋体" w:cs="宋体"/>
          <w:bCs/>
          <w:color w:val="auto"/>
          <w:sz w:val="24"/>
          <w:highlight w:val="none"/>
          <w:lang w:val="en-US" w:eastAsia="zh-CN"/>
        </w:rPr>
        <w:t>与</w:t>
      </w:r>
      <w:r>
        <w:rPr>
          <w:rFonts w:hint="eastAsia" w:ascii="宋体" w:hAnsi="宋体" w:eastAsia="宋体" w:cs="宋体"/>
          <w:bCs/>
          <w:color w:val="auto"/>
          <w:sz w:val="24"/>
          <w:highlight w:val="none"/>
          <w:lang w:val="en-US" w:eastAsia="zh-CN"/>
        </w:rPr>
        <w:t>管理规定，建立健全安全责任制，主动配合甲方及相关安全检查人员的监督检查，采取必要安全防护措施</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消除各类事故隐患，确保履约过程中不发生人身安全事故、火灾事故</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因机械质量问题引发的现场损坏事故。</w:t>
      </w:r>
    </w:p>
    <w:p w14:paraId="7CC2028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（5）项目履约期间</w:t>
      </w:r>
      <w:r>
        <w:rPr>
          <w:rFonts w:hint="eastAsia" w:ascii="宋体" w:hAnsi="宋体" w:eastAsia="宋体" w:cs="Times New Roman"/>
          <w:color w:val="auto"/>
          <w:kern w:val="0"/>
          <w:sz w:val="24"/>
          <w:szCs w:val="18"/>
          <w:highlight w:val="none"/>
          <w:lang w:val="en-US" w:eastAsia="zh-CN"/>
        </w:rPr>
        <w:t>，若涉及提升</w:t>
      </w:r>
      <w:r>
        <w:rPr>
          <w:rFonts w:hint="eastAsia" w:ascii="宋体" w:hAnsi="宋体" w:cs="Times New Roman"/>
          <w:color w:val="auto"/>
          <w:kern w:val="0"/>
          <w:sz w:val="24"/>
          <w:szCs w:val="18"/>
          <w:highlight w:val="none"/>
          <w:lang w:val="en-US" w:eastAsia="zh-CN"/>
        </w:rPr>
        <w:t>设备性能、安全等级等内容</w:t>
      </w:r>
      <w:r>
        <w:rPr>
          <w:rFonts w:hint="eastAsia" w:ascii="宋体" w:hAnsi="宋体" w:eastAsia="宋体" w:cs="Times New Roman"/>
          <w:color w:val="auto"/>
          <w:kern w:val="0"/>
          <w:sz w:val="24"/>
          <w:szCs w:val="18"/>
          <w:highlight w:val="none"/>
          <w:lang w:val="en-US" w:eastAsia="zh-CN"/>
        </w:rPr>
        <w:t>的软件升级，</w:t>
      </w:r>
      <w:r>
        <w:rPr>
          <w:rFonts w:hint="eastAsia" w:ascii="宋体" w:hAnsi="宋体" w:cs="Times New Roman"/>
          <w:color w:val="auto"/>
          <w:kern w:val="0"/>
          <w:sz w:val="24"/>
          <w:szCs w:val="18"/>
          <w:highlight w:val="none"/>
          <w:lang w:val="en-US" w:eastAsia="zh-CN"/>
        </w:rPr>
        <w:t>无论甲方</w:t>
      </w:r>
      <w:r>
        <w:rPr>
          <w:rFonts w:hint="eastAsia" w:ascii="宋体" w:hAnsi="宋体" w:eastAsia="宋体" w:cs="Times New Roman"/>
          <w:color w:val="auto"/>
          <w:kern w:val="0"/>
          <w:sz w:val="24"/>
          <w:szCs w:val="18"/>
          <w:highlight w:val="none"/>
          <w:lang w:val="en-US" w:eastAsia="zh-CN"/>
        </w:rPr>
        <w:t>是否知晓、是否向</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提出升级需求，乙方都应当在该升级版本正式投入应用时，立即主动为</w:t>
      </w:r>
      <w:r>
        <w:rPr>
          <w:rFonts w:hint="eastAsia" w:ascii="宋体" w:hAnsi="宋体" w:cs="Times New Roman"/>
          <w:color w:val="auto"/>
          <w:kern w:val="0"/>
          <w:sz w:val="24"/>
          <w:szCs w:val="18"/>
          <w:highlight w:val="none"/>
          <w:lang w:val="en-US" w:eastAsia="zh-CN"/>
        </w:rPr>
        <w:t>甲方</w:t>
      </w:r>
      <w:r>
        <w:rPr>
          <w:rFonts w:hint="eastAsia" w:ascii="宋体" w:hAnsi="宋体" w:eastAsia="宋体" w:cs="Times New Roman"/>
          <w:color w:val="auto"/>
          <w:kern w:val="0"/>
          <w:sz w:val="24"/>
          <w:szCs w:val="18"/>
          <w:highlight w:val="none"/>
          <w:lang w:val="en-US" w:eastAsia="zh-CN"/>
        </w:rPr>
        <w:t>完成免费</w:t>
      </w:r>
      <w:r>
        <w:rPr>
          <w:rFonts w:hint="eastAsia" w:ascii="宋体" w:hAnsi="宋体" w:cs="Times New Roman"/>
          <w:color w:val="auto"/>
          <w:kern w:val="0"/>
          <w:sz w:val="24"/>
          <w:szCs w:val="18"/>
          <w:highlight w:val="none"/>
          <w:lang w:val="en-US" w:eastAsia="zh-CN"/>
        </w:rPr>
        <w:t>升级与</w:t>
      </w:r>
      <w:r>
        <w:rPr>
          <w:rFonts w:hint="eastAsia" w:ascii="宋体" w:hAnsi="宋体" w:eastAsia="宋体" w:cs="Times New Roman"/>
          <w:color w:val="auto"/>
          <w:kern w:val="0"/>
          <w:sz w:val="24"/>
          <w:szCs w:val="18"/>
          <w:highlight w:val="none"/>
          <w:lang w:val="en-US" w:eastAsia="zh-CN"/>
        </w:rPr>
        <w:t>更新调试，不得附加任何额外条件。</w:t>
      </w:r>
    </w:p>
    <w:p w14:paraId="4F072CD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lang w:val="en-US" w:eastAsia="zh-CN"/>
        </w:rPr>
        <w:t>项目履约期间</w:t>
      </w:r>
      <w:r>
        <w:rPr>
          <w:rFonts w:hint="eastAsia" w:ascii="宋体" w:hAnsi="宋体" w:eastAsia="宋体" w:cs="Times New Roman"/>
          <w:color w:val="auto"/>
          <w:kern w:val="0"/>
          <w:sz w:val="24"/>
          <w:szCs w:val="18"/>
          <w:highlight w:val="none"/>
          <w:lang w:val="en-US" w:eastAsia="zh-CN"/>
        </w:rPr>
        <w:t>，</w:t>
      </w:r>
      <w:r>
        <w:rPr>
          <w:rFonts w:hint="eastAsia" w:ascii="宋体" w:hAnsi="宋体" w:eastAsia="宋体" w:cs="宋体"/>
          <w:bCs/>
          <w:color w:val="auto"/>
          <w:sz w:val="24"/>
          <w:highlight w:val="none"/>
          <w:lang w:val="en-US" w:eastAsia="zh-CN"/>
        </w:rPr>
        <w:t>乙方须负责该项目所有人员的人事、劳资管理，为项目人员办理社会保险、商业保险及计生相关手续，保证合法用工，严禁违法用工、雇佣童工等违规行为；同时提供劳动用工手续办理、工资结算发放、经济补偿金发放、社会保险缴纳、保险理赔处理、人事档案管理等管理服务，处理合同服务期内的所有劳资及管理纠纷，</w:t>
      </w:r>
      <w:r>
        <w:rPr>
          <w:rFonts w:hint="eastAsia" w:ascii="宋体" w:hAnsi="宋体" w:eastAsia="宋体" w:cs="宋体"/>
          <w:b w:val="0"/>
          <w:bCs/>
          <w:color w:val="auto"/>
          <w:sz w:val="24"/>
          <w:szCs w:val="24"/>
          <w:highlight w:val="none"/>
          <w:lang w:val="en-US" w:eastAsia="zh-CN"/>
        </w:rPr>
        <w:t>落实甲方根据规章制度和工作需要提出的其他管理要求。</w:t>
      </w:r>
    </w:p>
    <w:p w14:paraId="418C582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项目履约期间，</w:t>
      </w:r>
      <w:r>
        <w:rPr>
          <w:rFonts w:hint="eastAsia" w:ascii="宋体" w:hAnsi="宋体" w:eastAsia="宋体" w:cs="宋体"/>
          <w:bCs/>
          <w:color w:val="auto"/>
          <w:sz w:val="24"/>
          <w:highlight w:val="none"/>
          <w:lang w:eastAsia="zh-CN"/>
        </w:rPr>
        <w:t>乙方</w:t>
      </w:r>
      <w:r>
        <w:rPr>
          <w:rFonts w:hint="eastAsia" w:ascii="宋体" w:hAnsi="宋体" w:eastAsia="宋体" w:cs="宋体"/>
          <w:bCs/>
          <w:color w:val="auto"/>
          <w:sz w:val="24"/>
          <w:highlight w:val="none"/>
          <w:lang w:val="en-US" w:eastAsia="zh-CN"/>
        </w:rPr>
        <w:t>须</w:t>
      </w:r>
      <w:r>
        <w:rPr>
          <w:rFonts w:hint="eastAsia" w:ascii="宋体" w:hAnsi="宋体" w:eastAsia="宋体" w:cs="宋体"/>
          <w:bCs/>
          <w:color w:val="auto"/>
          <w:sz w:val="24"/>
          <w:highlight w:val="none"/>
          <w:lang w:eastAsia="zh-CN"/>
        </w:rPr>
        <w:t>负责及时清理</w:t>
      </w:r>
      <w:r>
        <w:rPr>
          <w:rFonts w:hint="eastAsia" w:ascii="宋体" w:hAnsi="宋体" w:eastAsia="宋体" w:cs="宋体"/>
          <w:bCs/>
          <w:color w:val="auto"/>
          <w:sz w:val="24"/>
          <w:highlight w:val="none"/>
          <w:lang w:val="en-US" w:eastAsia="zh-CN"/>
        </w:rPr>
        <w:t>履约全流程（含运输、装卸、安装调试、</w:t>
      </w:r>
      <w:r>
        <w:rPr>
          <w:rFonts w:hint="eastAsia" w:ascii="宋体" w:hAnsi="宋体" w:cs="宋体"/>
          <w:bCs/>
          <w:color w:val="auto"/>
          <w:sz w:val="24"/>
          <w:highlight w:val="none"/>
          <w:lang w:val="en-US" w:eastAsia="zh-CN"/>
        </w:rPr>
        <w:t>试运行、质保及</w:t>
      </w:r>
      <w:r>
        <w:rPr>
          <w:rFonts w:hint="eastAsia" w:ascii="宋体" w:hAnsi="宋体" w:eastAsia="宋体" w:cs="宋体"/>
          <w:bCs/>
          <w:color w:val="auto"/>
          <w:sz w:val="24"/>
          <w:highlight w:val="none"/>
          <w:lang w:val="en-US" w:eastAsia="zh-CN"/>
        </w:rPr>
        <w:t>售后服务等各阶段）产生的所有</w:t>
      </w:r>
      <w:r>
        <w:rPr>
          <w:rFonts w:hint="eastAsia" w:ascii="宋体" w:hAnsi="宋体" w:eastAsia="宋体" w:cs="宋体"/>
          <w:bCs/>
          <w:color w:val="auto"/>
          <w:sz w:val="24"/>
          <w:highlight w:val="none"/>
          <w:lang w:eastAsia="zh-CN"/>
        </w:rPr>
        <w:t>垃圾，保持场地整洁。</w:t>
      </w:r>
    </w:p>
    <w:p w14:paraId="1C61879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en-US" w:eastAsia="zh-CN"/>
        </w:rPr>
        <w:t>针对上述第（1）-（6）项所列要求，若乙方发生违约行为，须向甲方支付合同总价30%的违约金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；甲方有权终止合同，不再支付合同相应款项，履约保证金不予退还，并追究乙方的相关经济与法律责任（乙方须退还甲方已支付的全部款项），同时可提请相关监督管理部门依法处理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针对上述第</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7</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款所列要求，若乙方发生违约行为，</w:t>
      </w:r>
      <w:r>
        <w:rPr>
          <w:rFonts w:hint="eastAsia" w:ascii="宋体" w:hAnsi="宋体" w:eastAsia="宋体" w:cs="宋体"/>
          <w:bCs/>
          <w:color w:val="auto"/>
          <w:sz w:val="24"/>
          <w:highlight w:val="none"/>
          <w:lang w:val="en-US" w:eastAsia="zh-CN"/>
        </w:rPr>
        <w:t>乙方须在甲方规定的合理期限内完成整改（包括更换不符合要求的技术团队人员等），整改费用由其自行承担；若乙方未按要求及时完成整改且影响整体履约期限的，除承担相应的逾期违约金外，还</w:t>
      </w:r>
      <w:r>
        <w:rPr>
          <w:rFonts w:hint="eastAsia" w:ascii="宋体" w:hAnsi="宋体" w:cs="宋体"/>
          <w:bCs/>
          <w:color w:val="auto"/>
          <w:sz w:val="24"/>
          <w:highlight w:val="none"/>
          <w:lang w:val="en-US" w:eastAsia="zh-CN"/>
        </w:rPr>
        <w:t>需</w:t>
      </w:r>
      <w:r>
        <w:rPr>
          <w:rFonts w:hint="eastAsia" w:ascii="宋体" w:hAnsi="宋体" w:eastAsia="宋体" w:cs="宋体"/>
          <w:bCs/>
          <w:color w:val="auto"/>
          <w:sz w:val="24"/>
          <w:highlight w:val="none"/>
          <w:lang w:val="en-US" w:eastAsia="zh-CN"/>
        </w:rPr>
        <w:t>按2000元/天的标准向甲方额外支付违约金；逾期超过7日仍未达到整改要求、整改态度消极不配合或拒不整改的，违约</w:t>
      </w:r>
      <w:r>
        <w:rPr>
          <w:rFonts w:hint="eastAsia" w:ascii="宋体" w:hAnsi="宋体" w:cs="宋体"/>
          <w:bCs/>
          <w:color w:val="auto"/>
          <w:sz w:val="24"/>
          <w:highlight w:val="none"/>
          <w:lang w:val="en-US" w:eastAsia="zh-CN"/>
        </w:rPr>
        <w:t>处理方式与第（1）-（6）款一致。</w:t>
      </w:r>
    </w:p>
    <w:p w14:paraId="1889D1D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2.标的物基本</w:t>
      </w:r>
      <w:r>
        <w:rPr>
          <w:rFonts w:hint="eastAsia" w:ascii="宋体" w:hAnsi="宋体" w:cs="宋体"/>
          <w:b/>
          <w:bCs w:val="0"/>
          <w:color w:val="auto"/>
          <w:sz w:val="24"/>
          <w:highlight w:val="none"/>
        </w:rPr>
        <w:t>要求：</w:t>
      </w:r>
    </w:p>
    <w:p w14:paraId="3761A2E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lang w:val="en-US" w:eastAsia="zh-CN"/>
        </w:rPr>
        <w:t>所有硬件设备（含配件）须为厂商原装全新合格产品，</w:t>
      </w:r>
      <w:r>
        <w:rPr>
          <w:rFonts w:hint="eastAsia" w:ascii="宋体" w:hAnsi="宋体" w:eastAsia="宋体" w:cs="宋体"/>
          <w:bCs/>
          <w:color w:val="auto"/>
          <w:sz w:val="24"/>
          <w:highlight w:val="none"/>
          <w:lang w:val="en-US" w:eastAsia="zh-CN"/>
        </w:rPr>
        <w:t>所有预装及配套软件</w:t>
      </w:r>
      <w:r>
        <w:rPr>
          <w:rFonts w:hint="eastAsia" w:ascii="宋体" w:hAnsi="宋体" w:cs="宋体"/>
          <w:bCs/>
          <w:color w:val="auto"/>
          <w:sz w:val="24"/>
          <w:highlight w:val="none"/>
          <w:lang w:val="en-US" w:eastAsia="zh-CN"/>
        </w:rPr>
        <w:t>（如有）</w:t>
      </w:r>
      <w:r>
        <w:rPr>
          <w:rFonts w:hint="eastAsia" w:ascii="宋体" w:hAnsi="宋体" w:eastAsia="宋体" w:cs="宋体"/>
          <w:bCs/>
          <w:color w:val="auto"/>
          <w:sz w:val="24"/>
          <w:highlight w:val="none"/>
          <w:lang w:val="en-US" w:eastAsia="zh-CN"/>
        </w:rPr>
        <w:t>均须为拥有合法授权的正版产品</w:t>
      </w:r>
      <w:r>
        <w:rPr>
          <w:rFonts w:hint="eastAsia" w:ascii="宋体" w:hAnsi="宋体" w:cs="宋体"/>
          <w:bCs/>
          <w:color w:val="auto"/>
          <w:sz w:val="24"/>
          <w:highlight w:val="none"/>
          <w:lang w:val="en-US" w:eastAsia="zh-CN"/>
        </w:rPr>
        <w:t>，不得</w:t>
      </w:r>
      <w:r>
        <w:rPr>
          <w:rFonts w:hint="eastAsia" w:ascii="宋体" w:hAnsi="宋体" w:eastAsia="宋体" w:cs="Times New Roman"/>
          <w:color w:val="auto"/>
          <w:kern w:val="0"/>
          <w:sz w:val="24"/>
          <w:szCs w:val="18"/>
          <w:highlight w:val="none"/>
          <w:lang w:val="en-US" w:eastAsia="zh-CN"/>
        </w:rPr>
        <w:t>存在质量缺陷</w:t>
      </w:r>
      <w:r>
        <w:rPr>
          <w:rFonts w:hint="eastAsia" w:ascii="宋体" w:hAnsi="宋体" w:cs="宋体"/>
          <w:bCs/>
          <w:color w:val="auto"/>
          <w:sz w:val="24"/>
          <w:highlight w:val="none"/>
          <w:lang w:val="en-US" w:eastAsia="zh-CN"/>
        </w:rPr>
        <w:t>；硬件设备的配置、型号、性能参数、质保期限，配套软件的功能、技术指标，以及硬件设备的质保要求、系统整体的使用功能需求，均须符合国家相关标准及本次采购文件的规定要求。</w:t>
      </w:r>
    </w:p>
    <w:p w14:paraId="20D6FB1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）所有无需特殊安装的外露钢制件（</w:t>
      </w:r>
      <w:r>
        <w:rPr>
          <w:rFonts w:hint="eastAsia" w:ascii="宋体" w:hAnsi="宋体" w:cs="宋体"/>
          <w:bCs/>
          <w:color w:val="auto"/>
          <w:sz w:val="24"/>
          <w:highlight w:val="none"/>
          <w:lang w:val="en-US" w:eastAsia="zh-CN"/>
        </w:rPr>
        <w:t>如有</w:t>
      </w:r>
      <w:r>
        <w:rPr>
          <w:rFonts w:hint="eastAsia" w:ascii="宋体" w:hAnsi="宋体" w:cs="宋体"/>
          <w:bCs/>
          <w:color w:val="auto"/>
          <w:sz w:val="24"/>
          <w:highlight w:val="none"/>
          <w:lang w:eastAsia="zh-CN"/>
        </w:rPr>
        <w:t>），表面须进行除锈、防腐及防刮擦处理；非外露的零件、部件及整机等，应在制造过程中完成除锈与防腐蚀处理。</w:t>
      </w:r>
    </w:p>
    <w:p w14:paraId="2EE9F72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3）所有硬件设备（含配件）须具备防水、防火、防压、防摔、防漏电等防护功能，以保障设备的耐久性与使用寿命，且应便于日常清洁与维修维护。</w:t>
      </w:r>
    </w:p>
    <w:p w14:paraId="7BC0DAF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cs="Times New Roman"/>
          <w:color w:val="auto"/>
          <w:kern w:val="0"/>
          <w:sz w:val="24"/>
          <w:szCs w:val="18"/>
          <w:highlight w:val="none"/>
          <w:lang w:val="en-US" w:eastAsia="zh-CN"/>
        </w:rPr>
        <w:t>（4）</w:t>
      </w:r>
      <w:r>
        <w:rPr>
          <w:rFonts w:hint="eastAsia" w:ascii="宋体" w:hAnsi="宋体" w:eastAsia="宋体" w:cs="Times New Roman"/>
          <w:color w:val="auto"/>
          <w:kern w:val="0"/>
          <w:sz w:val="24"/>
          <w:szCs w:val="18"/>
          <w:highlight w:val="none"/>
          <w:lang w:val="en-US" w:eastAsia="zh-CN"/>
        </w:rPr>
        <w:t>提供完整有效的技术资料，安排专业技术人员开展现场指导</w:t>
      </w:r>
      <w:r>
        <w:rPr>
          <w:rFonts w:hint="eastAsia" w:ascii="宋体" w:hAnsi="宋体" w:cs="Times New Roman"/>
          <w:color w:val="auto"/>
          <w:kern w:val="0"/>
          <w:sz w:val="24"/>
          <w:szCs w:val="18"/>
          <w:highlight w:val="none"/>
          <w:lang w:val="en-US" w:eastAsia="zh-CN"/>
        </w:rPr>
        <w:t>与培训，确保货物</w:t>
      </w:r>
      <w:r>
        <w:rPr>
          <w:rFonts w:hint="eastAsia" w:ascii="宋体" w:hAnsi="宋体" w:eastAsia="宋体" w:cs="Times New Roman"/>
          <w:color w:val="auto"/>
          <w:kern w:val="0"/>
          <w:sz w:val="24"/>
          <w:szCs w:val="18"/>
          <w:highlight w:val="none"/>
          <w:lang w:val="en-US" w:eastAsia="zh-CN"/>
        </w:rPr>
        <w:t>运行指标与技术性能达到合同约定要求。</w:t>
      </w:r>
    </w:p>
    <w:p w14:paraId="66A3275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针对上述第（1）款所列要求，若乙方发生违约行为，须向甲方支付合同总价30%的违约金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；甲方有权终止合同，不再支付合同相应款项，履约保证金不予退还，并追究乙方的相关经济与法律责任（乙方须退还甲方已支付的全部款项），同时可提请相关监督管理部门依法处理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针对上述</w:t>
      </w:r>
      <w:r>
        <w:rPr>
          <w:rFonts w:hint="eastAsia" w:ascii="宋体" w:hAnsi="宋体" w:eastAsia="宋体" w:cs="宋体"/>
          <w:bCs/>
          <w:color w:val="auto"/>
          <w:sz w:val="24"/>
          <w:highlight w:val="none"/>
          <w:lang w:val="en-US" w:eastAsia="zh-CN"/>
        </w:rPr>
        <w:t>第（2）（3）</w:t>
      </w: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lang w:val="en-US" w:eastAsia="zh-CN"/>
        </w:rPr>
        <w:t>款</w:t>
      </w:r>
      <w:r>
        <w:rPr>
          <w:rFonts w:hint="eastAsia" w:ascii="宋体" w:hAnsi="宋体" w:cs="宋体"/>
          <w:bCs/>
          <w:color w:val="auto"/>
          <w:sz w:val="24"/>
          <w:highlight w:val="none"/>
          <w:lang w:val="en-US" w:eastAsia="zh-CN"/>
        </w:rPr>
        <w:t>所列要求，若乙方发生违约行为</w:t>
      </w:r>
      <w:r>
        <w:rPr>
          <w:rFonts w:hint="eastAsia" w:ascii="宋体" w:hAnsi="宋体" w:eastAsia="宋体" w:cs="宋体"/>
          <w:bCs/>
          <w:color w:val="auto"/>
          <w:sz w:val="24"/>
          <w:highlight w:val="none"/>
          <w:lang w:val="en-US" w:eastAsia="zh-CN"/>
        </w:rPr>
        <w:t>，乙方须在甲方规定的合理期限内完成整改，整改费用由其自行承担；若乙方未按要求及时完成整改且影响整体履约期限的，除承担相应的逾期违约金外，还</w:t>
      </w:r>
      <w:r>
        <w:rPr>
          <w:rFonts w:hint="eastAsia" w:ascii="宋体" w:hAnsi="宋体" w:cs="宋体"/>
          <w:bCs/>
          <w:color w:val="auto"/>
          <w:sz w:val="24"/>
          <w:highlight w:val="none"/>
          <w:lang w:val="en-US" w:eastAsia="zh-CN"/>
        </w:rPr>
        <w:t>需</w:t>
      </w:r>
      <w:r>
        <w:rPr>
          <w:rFonts w:hint="eastAsia" w:ascii="宋体" w:hAnsi="宋体" w:eastAsia="宋体" w:cs="宋体"/>
          <w:bCs/>
          <w:color w:val="auto"/>
          <w:sz w:val="24"/>
          <w:highlight w:val="none"/>
          <w:lang w:val="en-US" w:eastAsia="zh-CN"/>
        </w:rPr>
        <w:t>按2000元/天的标准向甲方额外支付违约金；逾期超过7日仍未达到整改要求、整改态度消极不配合或拒不整改的，违约</w:t>
      </w:r>
      <w:r>
        <w:rPr>
          <w:rFonts w:hint="eastAsia" w:ascii="宋体" w:hAnsi="宋体" w:cs="宋体"/>
          <w:bCs/>
          <w:color w:val="auto"/>
          <w:sz w:val="24"/>
          <w:highlight w:val="none"/>
          <w:lang w:val="en-US" w:eastAsia="zh-CN"/>
        </w:rPr>
        <w:t>处理方式与第（1）款一致。</w:t>
      </w:r>
    </w:p>
    <w:p w14:paraId="1C414D8D">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3</w:t>
      </w:r>
      <w:r>
        <w:rPr>
          <w:rFonts w:hint="eastAsia" w:ascii="宋体" w:hAnsi="宋体" w:eastAsia="宋体" w:cs="宋体"/>
          <w:b/>
          <w:bCs w:val="0"/>
          <w:color w:val="auto"/>
          <w:sz w:val="24"/>
          <w:highlight w:val="none"/>
          <w:lang w:eastAsia="zh-CN"/>
        </w:rPr>
        <w:t>.</w:t>
      </w:r>
      <w:r>
        <w:rPr>
          <w:rFonts w:hint="eastAsia" w:ascii="宋体" w:hAnsi="宋体" w:cs="宋体"/>
          <w:b/>
          <w:bCs w:val="0"/>
          <w:color w:val="auto"/>
          <w:sz w:val="24"/>
          <w:highlight w:val="none"/>
          <w:lang w:val="en-US" w:eastAsia="zh-CN"/>
        </w:rPr>
        <w:t>交货要求：</w:t>
      </w:r>
    </w:p>
    <w:p w14:paraId="403D038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宋体"/>
          <w:color w:val="auto"/>
          <w:lang w:eastAsia="zh-CN"/>
        </w:rPr>
      </w:pPr>
      <w:r>
        <w:rPr>
          <w:rFonts w:hint="eastAsia" w:ascii="宋体" w:hAnsi="宋体" w:eastAsia="宋体" w:cs="Times New Roman"/>
          <w:color w:val="auto"/>
          <w:kern w:val="0"/>
          <w:sz w:val="24"/>
          <w:szCs w:val="18"/>
          <w:highlight w:val="none"/>
          <w:lang w:val="en-US" w:eastAsia="zh-CN"/>
        </w:rPr>
        <w:t>（1）乙方负责办理运输与保险手续，将货物运送至指定交货地点，运输、保险、装卸等全部相关费用均由乙方承担。</w:t>
      </w:r>
      <w:r>
        <w:rPr>
          <w:rFonts w:hint="eastAsia" w:ascii="宋体" w:hAnsi="宋体" w:cs="Times New Roman"/>
          <w:color w:val="auto"/>
          <w:kern w:val="0"/>
          <w:sz w:val="24"/>
          <w:szCs w:val="18"/>
          <w:highlight w:val="none"/>
          <w:lang w:val="en-US" w:eastAsia="zh-CN"/>
        </w:rPr>
        <w:t>货物运输须严格遵守相关规定，不得超载（含货物、人员超载）、超范围运输，全程行驶须符合规范，驾驶员需持证上岗，运输车辆须合法合规。</w:t>
      </w:r>
    </w:p>
    <w:p w14:paraId="22641052">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宋体"/>
          <w:color w:val="auto"/>
          <w:lang w:eastAsia="zh-CN"/>
        </w:rPr>
      </w:pPr>
      <w:r>
        <w:rPr>
          <w:rFonts w:hint="eastAsia" w:ascii="宋体" w:hAnsi="宋体" w:eastAsia="宋体" w:cs="Times New Roman"/>
          <w:color w:val="auto"/>
          <w:kern w:val="0"/>
          <w:sz w:val="24"/>
          <w:szCs w:val="18"/>
          <w:highlight w:val="none"/>
          <w:lang w:val="en-US" w:eastAsia="zh-CN"/>
        </w:rPr>
        <w:t>（2）乙方需为合同</w:t>
      </w:r>
      <w:r>
        <w:rPr>
          <w:rFonts w:hint="eastAsia" w:ascii="宋体" w:hAnsi="宋体" w:cs="Times New Roman"/>
          <w:color w:val="auto"/>
          <w:kern w:val="0"/>
          <w:sz w:val="24"/>
          <w:szCs w:val="18"/>
          <w:highlight w:val="none"/>
          <w:lang w:val="en-US" w:eastAsia="zh-CN"/>
        </w:rPr>
        <w:t>项下所有货物</w:t>
      </w:r>
      <w:r>
        <w:rPr>
          <w:rFonts w:hint="eastAsia" w:ascii="宋体" w:hAnsi="宋体" w:eastAsia="宋体" w:cs="Times New Roman"/>
          <w:color w:val="auto"/>
          <w:kern w:val="0"/>
          <w:sz w:val="24"/>
          <w:szCs w:val="18"/>
          <w:highlight w:val="none"/>
          <w:lang w:val="en-US" w:eastAsia="zh-CN"/>
        </w:rPr>
        <w:t>办理</w:t>
      </w:r>
      <w:r>
        <w:rPr>
          <w:rFonts w:hint="eastAsia" w:ascii="宋体" w:hAnsi="宋体" w:cs="Times New Roman"/>
          <w:color w:val="auto"/>
          <w:kern w:val="0"/>
          <w:sz w:val="24"/>
          <w:szCs w:val="18"/>
          <w:highlight w:val="none"/>
          <w:lang w:val="en-US" w:eastAsia="zh-CN"/>
        </w:rPr>
        <w:t>全程</w:t>
      </w:r>
      <w:r>
        <w:rPr>
          <w:rFonts w:hint="eastAsia" w:ascii="宋体" w:hAnsi="宋体" w:eastAsia="宋体" w:cs="Times New Roman"/>
          <w:color w:val="auto"/>
          <w:kern w:val="0"/>
          <w:sz w:val="24"/>
          <w:szCs w:val="18"/>
          <w:highlight w:val="none"/>
          <w:lang w:val="en-US" w:eastAsia="zh-CN"/>
        </w:rPr>
        <w:t>保险，覆盖范围自货物出厂起至完成</w:t>
      </w:r>
      <w:r>
        <w:rPr>
          <w:rFonts w:hint="eastAsia" w:ascii="宋体" w:hAnsi="宋体" w:cs="Times New Roman"/>
          <w:color w:val="auto"/>
          <w:kern w:val="0"/>
          <w:sz w:val="24"/>
          <w:szCs w:val="18"/>
          <w:highlight w:val="none"/>
          <w:lang w:val="en-US" w:eastAsia="zh-CN"/>
        </w:rPr>
        <w:t>验收</w:t>
      </w:r>
      <w:r>
        <w:rPr>
          <w:rFonts w:hint="eastAsia" w:ascii="宋体" w:hAnsi="宋体" w:eastAsia="宋体" w:cs="Times New Roman"/>
          <w:color w:val="auto"/>
          <w:kern w:val="0"/>
          <w:sz w:val="24"/>
          <w:szCs w:val="18"/>
          <w:highlight w:val="none"/>
          <w:lang w:val="en-US" w:eastAsia="zh-CN"/>
        </w:rPr>
        <w:t>移交至交货地点止，投保“一切险”。</w:t>
      </w:r>
    </w:p>
    <w:p w14:paraId="513962F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Theme="minorEastAsia"/>
          <w:color w:val="auto"/>
          <w:lang w:eastAsia="zh-CN"/>
        </w:rPr>
      </w:pPr>
      <w:r>
        <w:rPr>
          <w:rFonts w:hint="eastAsia" w:ascii="宋体" w:hAnsi="宋体" w:eastAsia="宋体" w:cs="Times New Roman"/>
          <w:color w:val="auto"/>
          <w:kern w:val="0"/>
          <w:sz w:val="24"/>
          <w:szCs w:val="18"/>
          <w:highlight w:val="none"/>
          <w:lang w:val="en-US" w:eastAsia="zh-CN"/>
        </w:rPr>
        <w:t>（3）货物应运至</w:t>
      </w:r>
      <w:r>
        <w:rPr>
          <w:rFonts w:hint="eastAsia" w:ascii="宋体" w:hAnsi="宋体" w:cs="Times New Roman"/>
          <w:color w:val="auto"/>
          <w:kern w:val="0"/>
          <w:sz w:val="24"/>
          <w:szCs w:val="18"/>
          <w:highlight w:val="none"/>
          <w:lang w:val="en-US" w:eastAsia="zh-CN"/>
        </w:rPr>
        <w:t>甲方</w:t>
      </w:r>
      <w:r>
        <w:rPr>
          <w:rFonts w:hint="eastAsia" w:ascii="宋体" w:hAnsi="宋体" w:eastAsia="宋体" w:cs="Times New Roman"/>
          <w:color w:val="auto"/>
          <w:kern w:val="0"/>
          <w:sz w:val="24"/>
          <w:szCs w:val="18"/>
          <w:highlight w:val="none"/>
          <w:lang w:val="en-US" w:eastAsia="zh-CN"/>
        </w:rPr>
        <w:t>指定地点，并卸至</w:t>
      </w:r>
      <w:r>
        <w:rPr>
          <w:rFonts w:hint="eastAsia" w:ascii="宋体" w:hAnsi="宋体" w:cs="Times New Roman"/>
          <w:color w:val="auto"/>
          <w:kern w:val="0"/>
          <w:sz w:val="24"/>
          <w:szCs w:val="18"/>
          <w:highlight w:val="none"/>
          <w:lang w:val="en-US" w:eastAsia="zh-CN"/>
        </w:rPr>
        <w:t>甲方</w:t>
      </w:r>
      <w:r>
        <w:rPr>
          <w:rFonts w:hint="eastAsia" w:ascii="宋体" w:hAnsi="宋体" w:eastAsia="宋体" w:cs="Times New Roman"/>
          <w:color w:val="auto"/>
          <w:kern w:val="0"/>
          <w:sz w:val="24"/>
          <w:szCs w:val="18"/>
          <w:highlight w:val="none"/>
          <w:lang w:val="en-US" w:eastAsia="zh-CN"/>
        </w:rPr>
        <w:t>指定位置，若</w:t>
      </w:r>
      <w:r>
        <w:rPr>
          <w:rFonts w:hint="eastAsia" w:ascii="宋体" w:hAnsi="宋体" w:cs="Times New Roman"/>
          <w:color w:val="auto"/>
          <w:kern w:val="0"/>
          <w:sz w:val="24"/>
          <w:szCs w:val="18"/>
          <w:highlight w:val="none"/>
          <w:lang w:val="en-US" w:eastAsia="zh-CN"/>
        </w:rPr>
        <w:t>现场交货</w:t>
      </w:r>
      <w:r>
        <w:rPr>
          <w:rFonts w:hint="eastAsia" w:ascii="宋体" w:hAnsi="宋体" w:eastAsia="宋体" w:cs="Times New Roman"/>
          <w:color w:val="auto"/>
          <w:kern w:val="0"/>
          <w:sz w:val="24"/>
          <w:szCs w:val="18"/>
          <w:highlight w:val="none"/>
          <w:lang w:val="en-US" w:eastAsia="zh-CN"/>
        </w:rPr>
        <w:t>场地狭窄，乙方必须</w:t>
      </w:r>
      <w:r>
        <w:rPr>
          <w:rFonts w:hint="eastAsia" w:ascii="宋体" w:hAnsi="宋体" w:cs="Times New Roman"/>
          <w:color w:val="auto"/>
          <w:kern w:val="0"/>
          <w:sz w:val="24"/>
          <w:szCs w:val="18"/>
          <w:highlight w:val="none"/>
          <w:lang w:val="en-US" w:eastAsia="zh-CN"/>
        </w:rPr>
        <w:t>提前告知甲方；若场地受限问题无法克服，乙方须自行准备对应措施，保障</w:t>
      </w:r>
      <w:r>
        <w:rPr>
          <w:rFonts w:hint="eastAsia" w:ascii="宋体" w:hAnsi="宋体" w:eastAsia="宋体" w:cs="Times New Roman"/>
          <w:color w:val="auto"/>
          <w:kern w:val="0"/>
          <w:sz w:val="24"/>
          <w:szCs w:val="18"/>
          <w:highlight w:val="none"/>
          <w:lang w:val="en-US" w:eastAsia="zh-CN"/>
        </w:rPr>
        <w:t>项目进度不被延误；开箱清点与初步检验</w:t>
      </w:r>
      <w:r>
        <w:rPr>
          <w:rFonts w:hint="eastAsia" w:ascii="宋体" w:hAnsi="宋体" w:cs="Times New Roman"/>
          <w:color w:val="auto"/>
          <w:kern w:val="0"/>
          <w:sz w:val="24"/>
          <w:szCs w:val="18"/>
          <w:highlight w:val="none"/>
          <w:lang w:val="en-US" w:eastAsia="zh-CN"/>
        </w:rPr>
        <w:t>工作，乙方必须全程在甲方监督下完成</w:t>
      </w:r>
      <w:r>
        <w:rPr>
          <w:rFonts w:hint="eastAsia" w:ascii="宋体" w:hAnsi="宋体" w:eastAsia="宋体" w:cs="Times New Roman"/>
          <w:color w:val="auto"/>
          <w:kern w:val="0"/>
          <w:sz w:val="24"/>
          <w:szCs w:val="18"/>
          <w:highlight w:val="none"/>
          <w:lang w:val="en-US" w:eastAsia="zh-CN"/>
        </w:rPr>
        <w:t>；若甲方</w:t>
      </w:r>
      <w:r>
        <w:rPr>
          <w:rFonts w:hint="eastAsia" w:ascii="宋体" w:hAnsi="宋体" w:cs="Times New Roman"/>
          <w:color w:val="auto"/>
          <w:kern w:val="0"/>
          <w:sz w:val="24"/>
          <w:szCs w:val="18"/>
          <w:highlight w:val="none"/>
          <w:lang w:val="en-US" w:eastAsia="zh-CN"/>
        </w:rPr>
        <w:t>因故无法立即</w:t>
      </w:r>
      <w:r>
        <w:rPr>
          <w:rFonts w:hint="eastAsia" w:ascii="宋体" w:hAnsi="宋体" w:eastAsia="宋体" w:cs="Times New Roman"/>
          <w:color w:val="auto"/>
          <w:kern w:val="0"/>
          <w:sz w:val="24"/>
          <w:szCs w:val="18"/>
          <w:highlight w:val="none"/>
          <w:lang w:val="en-US" w:eastAsia="zh-CN"/>
        </w:rPr>
        <w:t>到场</w:t>
      </w:r>
      <w:r>
        <w:rPr>
          <w:rFonts w:hint="eastAsia" w:ascii="宋体" w:hAnsi="宋体" w:cs="Times New Roman"/>
          <w:color w:val="auto"/>
          <w:kern w:val="0"/>
          <w:sz w:val="24"/>
          <w:szCs w:val="18"/>
          <w:highlight w:val="none"/>
          <w:lang w:val="en-US" w:eastAsia="zh-CN"/>
        </w:rPr>
        <w:t>参与验收</w:t>
      </w:r>
      <w:r>
        <w:rPr>
          <w:rFonts w:hint="eastAsia" w:ascii="宋体" w:hAnsi="宋体" w:eastAsia="宋体" w:cs="Times New Roman"/>
          <w:color w:val="auto"/>
          <w:kern w:val="0"/>
          <w:sz w:val="24"/>
          <w:szCs w:val="18"/>
          <w:highlight w:val="none"/>
          <w:lang w:val="en-US" w:eastAsia="zh-CN"/>
        </w:rPr>
        <w:t>，乙方需承担</w:t>
      </w:r>
      <w:r>
        <w:rPr>
          <w:rFonts w:hint="eastAsia" w:ascii="宋体" w:hAnsi="宋体" w:cs="Times New Roman"/>
          <w:color w:val="auto"/>
          <w:kern w:val="0"/>
          <w:sz w:val="24"/>
          <w:szCs w:val="18"/>
          <w:highlight w:val="none"/>
          <w:lang w:val="en-US" w:eastAsia="zh-CN"/>
        </w:rPr>
        <w:t>相应</w:t>
      </w:r>
      <w:r>
        <w:rPr>
          <w:rFonts w:hint="eastAsia" w:ascii="宋体" w:hAnsi="宋体" w:eastAsia="宋体" w:cs="Times New Roman"/>
          <w:color w:val="auto"/>
          <w:kern w:val="0"/>
          <w:sz w:val="24"/>
          <w:szCs w:val="18"/>
          <w:highlight w:val="none"/>
          <w:lang w:val="en-US" w:eastAsia="zh-CN"/>
        </w:rPr>
        <w:t>保管责任，该责任持续至</w:t>
      </w:r>
      <w:r>
        <w:rPr>
          <w:rFonts w:hint="eastAsia" w:ascii="宋体" w:hAnsi="宋体" w:cs="Times New Roman"/>
          <w:color w:val="auto"/>
          <w:kern w:val="0"/>
          <w:sz w:val="24"/>
          <w:szCs w:val="18"/>
          <w:highlight w:val="none"/>
          <w:lang w:val="en-US" w:eastAsia="zh-CN"/>
        </w:rPr>
        <w:t>货物验收合格</w:t>
      </w:r>
      <w:r>
        <w:rPr>
          <w:rFonts w:hint="eastAsia" w:ascii="宋体" w:hAnsi="宋体" w:eastAsia="宋体" w:cs="Times New Roman"/>
          <w:color w:val="auto"/>
          <w:kern w:val="0"/>
          <w:sz w:val="24"/>
          <w:szCs w:val="18"/>
          <w:highlight w:val="none"/>
          <w:lang w:val="en-US" w:eastAsia="zh-CN"/>
        </w:rPr>
        <w:t>为止。</w:t>
      </w:r>
    </w:p>
    <w:p w14:paraId="2074AF5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Theme="minorEastAsia"/>
          <w:color w:val="auto"/>
          <w:lang w:eastAsia="zh-CN"/>
        </w:rPr>
      </w:pPr>
      <w:r>
        <w:rPr>
          <w:rFonts w:hint="eastAsia" w:ascii="宋体" w:hAnsi="宋体" w:eastAsia="宋体" w:cs="Times New Roman"/>
          <w:color w:val="auto"/>
          <w:kern w:val="0"/>
          <w:sz w:val="24"/>
          <w:szCs w:val="18"/>
          <w:highlight w:val="none"/>
          <w:lang w:val="en-US" w:eastAsia="zh-CN"/>
        </w:rPr>
        <w:t>（</w:t>
      </w:r>
      <w:r>
        <w:rPr>
          <w:rFonts w:hint="eastAsia" w:ascii="宋体" w:hAnsi="宋体" w:cs="Times New Roman"/>
          <w:color w:val="auto"/>
          <w:kern w:val="0"/>
          <w:sz w:val="24"/>
          <w:szCs w:val="18"/>
          <w:highlight w:val="none"/>
          <w:lang w:val="en-US" w:eastAsia="zh-CN"/>
        </w:rPr>
        <w:t>4</w:t>
      </w:r>
      <w:r>
        <w:rPr>
          <w:rFonts w:hint="eastAsia" w:ascii="宋体" w:hAnsi="宋体" w:eastAsia="宋体" w:cs="Times New Roman"/>
          <w:color w:val="auto"/>
          <w:kern w:val="0"/>
          <w:sz w:val="24"/>
          <w:szCs w:val="18"/>
          <w:highlight w:val="none"/>
          <w:lang w:val="en-US" w:eastAsia="zh-CN"/>
        </w:rPr>
        <w:t>）乙方应在货物运抵指定地点</w:t>
      </w:r>
      <w:r>
        <w:rPr>
          <w:rFonts w:hint="eastAsia" w:ascii="宋体" w:hAnsi="宋体" w:cs="Times New Roman"/>
          <w:color w:val="auto"/>
          <w:kern w:val="0"/>
          <w:sz w:val="24"/>
          <w:szCs w:val="18"/>
          <w:highlight w:val="none"/>
          <w:lang w:val="en-US" w:eastAsia="zh-CN"/>
        </w:rPr>
        <w:t>五</w:t>
      </w:r>
      <w:r>
        <w:rPr>
          <w:rFonts w:hint="eastAsia" w:ascii="宋体" w:hAnsi="宋体" w:eastAsia="宋体" w:cs="Times New Roman"/>
          <w:color w:val="auto"/>
          <w:kern w:val="0"/>
          <w:sz w:val="24"/>
          <w:szCs w:val="18"/>
          <w:highlight w:val="none"/>
          <w:lang w:val="en-US" w:eastAsia="zh-CN"/>
        </w:rPr>
        <w:t>日前，向甲方提供货物</w:t>
      </w:r>
      <w:r>
        <w:rPr>
          <w:rFonts w:hint="eastAsia" w:ascii="宋体" w:hAnsi="宋体" w:cs="Times New Roman"/>
          <w:color w:val="auto"/>
          <w:kern w:val="0"/>
          <w:sz w:val="24"/>
          <w:szCs w:val="18"/>
          <w:highlight w:val="none"/>
          <w:lang w:val="en-US" w:eastAsia="zh-CN"/>
        </w:rPr>
        <w:t>发车、到达、</w:t>
      </w:r>
      <w:r>
        <w:rPr>
          <w:rFonts w:hint="eastAsia" w:ascii="宋体" w:hAnsi="宋体" w:eastAsia="宋体" w:cs="Times New Roman"/>
          <w:color w:val="auto"/>
          <w:kern w:val="0"/>
          <w:sz w:val="24"/>
          <w:szCs w:val="18"/>
          <w:highlight w:val="none"/>
          <w:lang w:val="en-US" w:eastAsia="zh-CN"/>
        </w:rPr>
        <w:t>卸车</w:t>
      </w:r>
      <w:r>
        <w:rPr>
          <w:rFonts w:hint="eastAsia" w:ascii="宋体" w:hAnsi="宋体" w:cs="Times New Roman"/>
          <w:color w:val="auto"/>
          <w:kern w:val="0"/>
          <w:sz w:val="24"/>
          <w:szCs w:val="18"/>
          <w:highlight w:val="none"/>
          <w:lang w:val="en-US" w:eastAsia="zh-CN"/>
        </w:rPr>
        <w:t>及</w:t>
      </w:r>
      <w:r>
        <w:rPr>
          <w:rFonts w:hint="eastAsia" w:ascii="宋体" w:hAnsi="宋体" w:eastAsia="宋体" w:cs="Times New Roman"/>
          <w:color w:val="auto"/>
          <w:kern w:val="0"/>
          <w:sz w:val="24"/>
          <w:szCs w:val="18"/>
          <w:highlight w:val="none"/>
          <w:lang w:val="en-US" w:eastAsia="zh-CN"/>
        </w:rPr>
        <w:t>清点计划，</w:t>
      </w:r>
      <w:r>
        <w:rPr>
          <w:rFonts w:hint="eastAsia" w:ascii="宋体" w:hAnsi="宋体" w:cs="Times New Roman"/>
          <w:color w:val="auto"/>
          <w:kern w:val="0"/>
          <w:sz w:val="24"/>
          <w:szCs w:val="18"/>
          <w:highlight w:val="none"/>
          <w:lang w:val="en-US" w:eastAsia="zh-CN"/>
        </w:rPr>
        <w:t>计划</w:t>
      </w:r>
      <w:r>
        <w:rPr>
          <w:rFonts w:hint="eastAsia" w:ascii="宋体" w:hAnsi="宋体" w:eastAsia="宋体" w:cs="Times New Roman"/>
          <w:color w:val="auto"/>
          <w:kern w:val="0"/>
          <w:sz w:val="24"/>
          <w:szCs w:val="18"/>
          <w:highlight w:val="none"/>
          <w:lang w:val="en-US" w:eastAsia="zh-CN"/>
        </w:rPr>
        <w:t>内容</w:t>
      </w:r>
      <w:r>
        <w:rPr>
          <w:rFonts w:hint="eastAsia" w:ascii="宋体" w:hAnsi="宋体" w:cs="Times New Roman"/>
          <w:color w:val="auto"/>
          <w:kern w:val="0"/>
          <w:sz w:val="24"/>
          <w:szCs w:val="18"/>
          <w:highlight w:val="none"/>
          <w:lang w:val="en-US" w:eastAsia="zh-CN"/>
        </w:rPr>
        <w:t>应</w:t>
      </w:r>
      <w:r>
        <w:rPr>
          <w:rFonts w:hint="eastAsia" w:ascii="宋体" w:hAnsi="宋体" w:eastAsia="宋体" w:cs="Times New Roman"/>
          <w:color w:val="auto"/>
          <w:kern w:val="0"/>
          <w:sz w:val="24"/>
          <w:szCs w:val="18"/>
          <w:highlight w:val="none"/>
          <w:lang w:val="en-US" w:eastAsia="zh-CN"/>
        </w:rPr>
        <w:t>包括</w:t>
      </w:r>
      <w:r>
        <w:rPr>
          <w:rFonts w:hint="eastAsia" w:ascii="宋体" w:hAnsi="宋体" w:cs="Times New Roman"/>
          <w:color w:val="auto"/>
          <w:kern w:val="0"/>
          <w:sz w:val="24"/>
          <w:szCs w:val="18"/>
          <w:highlight w:val="none"/>
          <w:lang w:val="en-US" w:eastAsia="zh-CN"/>
        </w:rPr>
        <w:t>拟到达</w:t>
      </w:r>
      <w:r>
        <w:rPr>
          <w:rFonts w:hint="eastAsia" w:ascii="宋体" w:hAnsi="宋体" w:eastAsia="宋体" w:cs="Times New Roman"/>
          <w:color w:val="auto"/>
          <w:kern w:val="0"/>
          <w:sz w:val="24"/>
          <w:szCs w:val="18"/>
          <w:highlight w:val="none"/>
          <w:lang w:val="en-US" w:eastAsia="zh-CN"/>
        </w:rPr>
        <w:t>设备名称、数量、箱数、型号规格、重量、体积、拟发运时间及其他必要说明，并于发运当日</w:t>
      </w:r>
      <w:r>
        <w:rPr>
          <w:rFonts w:hint="eastAsia" w:ascii="宋体" w:hAnsi="宋体" w:cs="Times New Roman"/>
          <w:color w:val="auto"/>
          <w:kern w:val="0"/>
          <w:sz w:val="24"/>
          <w:szCs w:val="18"/>
          <w:highlight w:val="none"/>
          <w:lang w:val="en-US" w:eastAsia="zh-CN"/>
        </w:rPr>
        <w:t>再次</w:t>
      </w:r>
      <w:r>
        <w:rPr>
          <w:rFonts w:hint="eastAsia" w:ascii="宋体" w:hAnsi="宋体" w:eastAsia="宋体" w:cs="Times New Roman"/>
          <w:color w:val="auto"/>
          <w:kern w:val="0"/>
          <w:sz w:val="24"/>
          <w:szCs w:val="18"/>
          <w:highlight w:val="none"/>
          <w:lang w:val="en-US" w:eastAsia="zh-CN"/>
        </w:rPr>
        <w:t>通知甲方。</w:t>
      </w:r>
    </w:p>
    <w:p w14:paraId="1E6708F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bCs w:val="0"/>
          <w:color w:val="auto"/>
          <w:sz w:val="24"/>
          <w:highlight w:val="none"/>
          <w:lang w:eastAsia="zh-CN"/>
        </w:rPr>
      </w:pPr>
      <w:r>
        <w:rPr>
          <w:rFonts w:hint="eastAsia" w:ascii="宋体" w:hAnsi="宋体" w:cs="宋体"/>
          <w:bCs/>
          <w:color w:val="auto"/>
          <w:sz w:val="24"/>
          <w:highlight w:val="none"/>
          <w:lang w:val="en-US" w:eastAsia="zh-CN"/>
        </w:rPr>
        <w:t>针对上述第（1）-（3）款所列要求，若乙方发生违约行为，须向甲方支付合同总价30%的违约金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；甲方有权终止合同，不再支付合同相应款项，履约保证金不予退还，并追究乙方的相关经济与法律责任（乙方须退还甲方已支付的全部款项），同时可提请相关监督管理部门依法处理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针对上述</w:t>
      </w:r>
      <w:r>
        <w:rPr>
          <w:rFonts w:hint="eastAsia" w:ascii="宋体" w:hAnsi="宋体" w:eastAsia="宋体" w:cs="宋体"/>
          <w:bCs/>
          <w:color w:val="auto"/>
          <w:sz w:val="24"/>
          <w:highlight w:val="none"/>
          <w:lang w:val="en-US" w:eastAsia="zh-CN"/>
        </w:rPr>
        <w:t>第</w:t>
      </w: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lang w:val="en-US" w:eastAsia="zh-CN"/>
        </w:rPr>
        <w:t>款</w:t>
      </w:r>
      <w:r>
        <w:rPr>
          <w:rFonts w:hint="eastAsia" w:ascii="宋体" w:hAnsi="宋体" w:cs="宋体"/>
          <w:bCs/>
          <w:color w:val="auto"/>
          <w:sz w:val="24"/>
          <w:highlight w:val="none"/>
          <w:lang w:val="en-US" w:eastAsia="zh-CN"/>
        </w:rPr>
        <w:t>所列要求，若乙方发生违约行为</w:t>
      </w:r>
      <w:r>
        <w:rPr>
          <w:rFonts w:hint="eastAsia" w:ascii="宋体" w:hAnsi="宋体" w:eastAsia="宋体" w:cs="宋体"/>
          <w:bCs/>
          <w:color w:val="auto"/>
          <w:sz w:val="24"/>
          <w:highlight w:val="none"/>
          <w:lang w:val="en-US" w:eastAsia="zh-CN"/>
        </w:rPr>
        <w:t>，乙方须在甲方规定的合理期限内完成整改，整改费用由其自行承担；若乙方未按要求及时完成整改且影响整体履约期限的，除承担相应的逾期违约金外，还</w:t>
      </w:r>
      <w:r>
        <w:rPr>
          <w:rFonts w:hint="eastAsia" w:ascii="宋体" w:hAnsi="宋体" w:cs="宋体"/>
          <w:bCs/>
          <w:color w:val="auto"/>
          <w:sz w:val="24"/>
          <w:highlight w:val="none"/>
          <w:lang w:val="en-US" w:eastAsia="zh-CN"/>
        </w:rPr>
        <w:t>需</w:t>
      </w:r>
      <w:r>
        <w:rPr>
          <w:rFonts w:hint="eastAsia" w:ascii="宋体" w:hAnsi="宋体" w:eastAsia="宋体" w:cs="宋体"/>
          <w:bCs/>
          <w:color w:val="auto"/>
          <w:sz w:val="24"/>
          <w:highlight w:val="none"/>
          <w:lang w:val="en-US" w:eastAsia="zh-CN"/>
        </w:rPr>
        <w:t>按2000元/天的标准向甲方额外支付违约金；逾期超过7日仍未达到整改要求、整改态度消极不配合或拒不整改的，违约</w:t>
      </w:r>
      <w:r>
        <w:rPr>
          <w:rFonts w:hint="eastAsia" w:ascii="宋体" w:hAnsi="宋体" w:cs="宋体"/>
          <w:bCs/>
          <w:color w:val="auto"/>
          <w:sz w:val="24"/>
          <w:highlight w:val="none"/>
          <w:lang w:val="en-US" w:eastAsia="zh-CN"/>
        </w:rPr>
        <w:t>处理方式与第（1）-（3）款一致。</w:t>
      </w:r>
    </w:p>
    <w:p w14:paraId="2902942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bCs w:val="0"/>
          <w:color w:val="auto"/>
          <w:sz w:val="24"/>
          <w:highlight w:val="none"/>
          <w:lang w:eastAsia="zh-CN"/>
        </w:rPr>
      </w:pPr>
      <w:r>
        <w:rPr>
          <w:rFonts w:hint="eastAsia" w:ascii="宋体" w:hAnsi="宋体" w:cs="宋体"/>
          <w:b/>
          <w:bCs w:val="0"/>
          <w:color w:val="auto"/>
          <w:sz w:val="24"/>
          <w:highlight w:val="none"/>
          <w:lang w:val="en-US" w:eastAsia="zh-CN"/>
        </w:rPr>
        <w:t>4.</w:t>
      </w:r>
      <w:r>
        <w:rPr>
          <w:rFonts w:hint="eastAsia" w:ascii="宋体" w:hAnsi="宋体" w:eastAsia="宋体" w:cs="宋体"/>
          <w:b/>
          <w:bCs w:val="0"/>
          <w:color w:val="auto"/>
          <w:sz w:val="24"/>
          <w:highlight w:val="none"/>
          <w:lang w:eastAsia="zh-CN"/>
        </w:rPr>
        <w:t>安装调试要求：</w:t>
      </w:r>
    </w:p>
    <w:p w14:paraId="71E3E76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（1）</w:t>
      </w:r>
      <w:r>
        <w:rPr>
          <w:rFonts w:hint="eastAsia" w:ascii="宋体" w:hAnsi="宋体" w:eastAsia="宋体" w:cs="宋体"/>
          <w:bCs/>
          <w:color w:val="auto"/>
          <w:sz w:val="24"/>
          <w:highlight w:val="none"/>
          <w:lang w:val="en-US" w:eastAsia="zh-CN"/>
        </w:rPr>
        <w:t>乙方须充分掌握项目整体进度要求，确保在规定期限内完成标的物（含软硬件）的安装调试工作，及时解决安装调试过程中出现的各类技术问题，并服从甲方的管理与检查。</w:t>
      </w:r>
    </w:p>
    <w:p w14:paraId="336A18E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乙方须自行准备</w:t>
      </w:r>
      <w:r>
        <w:rPr>
          <w:rFonts w:hint="eastAsia" w:ascii="宋体" w:hAnsi="宋体" w:eastAsia="宋体" w:cs="宋体"/>
          <w:bCs/>
          <w:color w:val="auto"/>
          <w:sz w:val="24"/>
          <w:highlight w:val="none"/>
          <w:lang w:eastAsia="zh-CN"/>
        </w:rPr>
        <w:t>现场安装及调试所需的专用工具、</w:t>
      </w:r>
      <w:r>
        <w:rPr>
          <w:rFonts w:hint="eastAsia" w:ascii="宋体" w:hAnsi="宋体" w:eastAsia="宋体" w:cs="宋体"/>
          <w:bCs/>
          <w:color w:val="auto"/>
          <w:sz w:val="24"/>
          <w:highlight w:val="none"/>
          <w:lang w:val="en-US" w:eastAsia="zh-CN"/>
        </w:rPr>
        <w:t>设备、材料及其他相关工具，并负责妥善保管，不得随意存放，以防丢失或损坏；进场前须对相关工具设备进行必要的性能安全检查；完工后，须及时运出现场。</w:t>
      </w:r>
    </w:p>
    <w:p w14:paraId="5EDB056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lang w:eastAsia="zh-CN"/>
        </w:rPr>
        <w:t>）乙方</w:t>
      </w:r>
      <w:r>
        <w:rPr>
          <w:rFonts w:hint="eastAsia" w:ascii="宋体" w:hAnsi="宋体" w:eastAsia="宋体" w:cs="宋体"/>
          <w:bCs/>
          <w:color w:val="auto"/>
          <w:sz w:val="24"/>
          <w:highlight w:val="none"/>
          <w:lang w:val="en-US" w:eastAsia="zh-CN"/>
        </w:rPr>
        <w:t>须负责成品保护工作，若</w:t>
      </w:r>
      <w:r>
        <w:rPr>
          <w:rFonts w:hint="eastAsia" w:ascii="宋体" w:hAnsi="宋体" w:eastAsia="宋体" w:cs="宋体"/>
          <w:bCs/>
          <w:color w:val="auto"/>
          <w:sz w:val="24"/>
          <w:highlight w:val="none"/>
          <w:lang w:eastAsia="zh-CN"/>
        </w:rPr>
        <w:t>因</w:t>
      </w:r>
      <w:r>
        <w:rPr>
          <w:rFonts w:hint="eastAsia" w:ascii="宋体" w:hAnsi="宋体" w:eastAsia="宋体" w:cs="宋体"/>
          <w:bCs/>
          <w:color w:val="auto"/>
          <w:sz w:val="24"/>
          <w:highlight w:val="none"/>
          <w:lang w:val="en-US" w:eastAsia="zh-CN"/>
        </w:rPr>
        <w:t>自身</w:t>
      </w:r>
      <w:r>
        <w:rPr>
          <w:rFonts w:hint="eastAsia" w:ascii="宋体" w:hAnsi="宋体" w:eastAsia="宋体" w:cs="宋体"/>
          <w:bCs/>
          <w:color w:val="auto"/>
          <w:sz w:val="24"/>
          <w:highlight w:val="none"/>
          <w:lang w:eastAsia="zh-CN"/>
        </w:rPr>
        <w:t>原因导致安装过程中</w:t>
      </w:r>
      <w:r>
        <w:rPr>
          <w:rFonts w:hint="eastAsia" w:ascii="宋体" w:hAnsi="宋体" w:eastAsia="宋体" w:cs="宋体"/>
          <w:bCs/>
          <w:color w:val="auto"/>
          <w:sz w:val="24"/>
          <w:highlight w:val="none"/>
          <w:lang w:val="en-US" w:eastAsia="zh-CN"/>
        </w:rPr>
        <w:t>造成现场已有</w:t>
      </w:r>
      <w:r>
        <w:rPr>
          <w:rFonts w:hint="eastAsia" w:ascii="宋体" w:hAnsi="宋体" w:eastAsia="宋体" w:cs="宋体"/>
          <w:bCs/>
          <w:color w:val="auto"/>
          <w:sz w:val="24"/>
          <w:highlight w:val="none"/>
          <w:lang w:eastAsia="zh-CN"/>
        </w:rPr>
        <w:t>设施</w:t>
      </w:r>
      <w:r>
        <w:rPr>
          <w:rFonts w:hint="eastAsia" w:ascii="宋体" w:hAnsi="宋体" w:eastAsia="宋体" w:cs="宋体"/>
          <w:bCs/>
          <w:color w:val="auto"/>
          <w:sz w:val="24"/>
          <w:highlight w:val="none"/>
          <w:lang w:val="en-US" w:eastAsia="zh-CN"/>
        </w:rPr>
        <w:t>设备</w:t>
      </w:r>
      <w:r>
        <w:rPr>
          <w:rFonts w:hint="eastAsia" w:ascii="宋体" w:hAnsi="宋体" w:eastAsia="宋体" w:cs="宋体"/>
          <w:bCs/>
          <w:color w:val="auto"/>
          <w:sz w:val="24"/>
          <w:highlight w:val="none"/>
          <w:lang w:eastAsia="zh-CN"/>
        </w:rPr>
        <w:t>或地面破损的，</w:t>
      </w:r>
      <w:r>
        <w:rPr>
          <w:rFonts w:hint="eastAsia" w:ascii="宋体" w:hAnsi="宋体" w:eastAsia="宋体" w:cs="宋体"/>
          <w:bCs/>
          <w:color w:val="auto"/>
          <w:sz w:val="24"/>
          <w:highlight w:val="none"/>
          <w:lang w:val="en-US" w:eastAsia="zh-CN"/>
        </w:rPr>
        <w:t>须在规定时间内</w:t>
      </w:r>
      <w:r>
        <w:rPr>
          <w:rFonts w:hint="eastAsia" w:ascii="宋体" w:hAnsi="宋体" w:eastAsia="宋体" w:cs="宋体"/>
          <w:bCs/>
          <w:color w:val="auto"/>
          <w:sz w:val="24"/>
          <w:highlight w:val="none"/>
          <w:lang w:eastAsia="zh-CN"/>
        </w:rPr>
        <w:t>负责修复至原状。</w:t>
      </w:r>
    </w:p>
    <w:p w14:paraId="5904A8C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乙方在</w:t>
      </w:r>
      <w:r>
        <w:rPr>
          <w:rFonts w:hint="eastAsia" w:ascii="宋体" w:hAnsi="宋体" w:eastAsia="宋体" w:cs="宋体"/>
          <w:bCs/>
          <w:color w:val="auto"/>
          <w:sz w:val="24"/>
          <w:highlight w:val="none"/>
          <w:lang w:eastAsia="zh-CN"/>
        </w:rPr>
        <w:t>安装</w:t>
      </w:r>
      <w:r>
        <w:rPr>
          <w:rFonts w:hint="eastAsia" w:ascii="宋体" w:hAnsi="宋体" w:eastAsia="宋体" w:cs="宋体"/>
          <w:bCs/>
          <w:color w:val="auto"/>
          <w:sz w:val="24"/>
          <w:highlight w:val="none"/>
          <w:lang w:val="en-US" w:eastAsia="zh-CN"/>
        </w:rPr>
        <w:t>调试</w:t>
      </w:r>
      <w:r>
        <w:rPr>
          <w:rFonts w:hint="eastAsia" w:ascii="宋体" w:hAnsi="宋体" w:eastAsia="宋体" w:cs="宋体"/>
          <w:bCs/>
          <w:color w:val="auto"/>
          <w:sz w:val="24"/>
          <w:highlight w:val="none"/>
          <w:lang w:eastAsia="zh-CN"/>
        </w:rPr>
        <w:t>过程中如发现</w:t>
      </w:r>
      <w:r>
        <w:rPr>
          <w:rFonts w:hint="eastAsia" w:ascii="宋体" w:hAnsi="宋体" w:eastAsia="宋体" w:cs="宋体"/>
          <w:bCs/>
          <w:color w:val="auto"/>
          <w:sz w:val="24"/>
          <w:highlight w:val="none"/>
          <w:lang w:val="en-US" w:eastAsia="zh-CN"/>
        </w:rPr>
        <w:t>标的物存在原厂</w:t>
      </w:r>
      <w:r>
        <w:rPr>
          <w:rFonts w:hint="eastAsia" w:ascii="宋体" w:hAnsi="宋体" w:eastAsia="宋体" w:cs="宋体"/>
          <w:bCs/>
          <w:color w:val="auto"/>
          <w:sz w:val="24"/>
          <w:highlight w:val="none"/>
          <w:lang w:eastAsia="zh-CN"/>
        </w:rPr>
        <w:t>质量问题（</w:t>
      </w:r>
      <w:r>
        <w:rPr>
          <w:rFonts w:hint="eastAsia" w:ascii="宋体" w:hAnsi="宋体" w:eastAsia="宋体" w:cs="宋体"/>
          <w:bCs/>
          <w:color w:val="auto"/>
          <w:sz w:val="24"/>
          <w:highlight w:val="none"/>
          <w:lang w:val="en-US" w:eastAsia="zh-CN"/>
        </w:rPr>
        <w:t>包括质量缺陷、</w:t>
      </w:r>
      <w:r>
        <w:rPr>
          <w:rFonts w:hint="eastAsia" w:ascii="宋体" w:hAnsi="宋体" w:cs="宋体"/>
          <w:bCs/>
          <w:color w:val="auto"/>
          <w:sz w:val="24"/>
          <w:highlight w:val="none"/>
          <w:lang w:val="en-US" w:eastAsia="zh-CN"/>
        </w:rPr>
        <w:t>系统</w:t>
      </w:r>
      <w:r>
        <w:rPr>
          <w:rFonts w:hint="eastAsia" w:ascii="宋体" w:hAnsi="宋体" w:eastAsia="宋体" w:cs="宋体"/>
          <w:bCs/>
          <w:color w:val="auto"/>
          <w:sz w:val="24"/>
          <w:highlight w:val="none"/>
          <w:lang w:val="en-US" w:eastAsia="zh-CN"/>
        </w:rPr>
        <w:t>漏洞等</w:t>
      </w:r>
      <w:r>
        <w:rPr>
          <w:rFonts w:hint="eastAsia" w:ascii="宋体" w:hAnsi="宋体" w:eastAsia="宋体" w:cs="宋体"/>
          <w:bCs/>
          <w:color w:val="auto"/>
          <w:sz w:val="24"/>
          <w:highlight w:val="none"/>
          <w:lang w:eastAsia="zh-CN"/>
        </w:rPr>
        <w:t>），应及时联系生产厂家处理。</w:t>
      </w:r>
    </w:p>
    <w:p w14:paraId="73A8439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乙方须完成所有</w:t>
      </w:r>
      <w:r>
        <w:rPr>
          <w:rFonts w:hint="eastAsia" w:ascii="宋体" w:hAnsi="宋体" w:cs="宋体"/>
          <w:bCs/>
          <w:color w:val="auto"/>
          <w:sz w:val="24"/>
          <w:highlight w:val="none"/>
          <w:lang w:val="en-US" w:eastAsia="zh-CN"/>
        </w:rPr>
        <w:t>设备</w:t>
      </w:r>
      <w:r>
        <w:rPr>
          <w:rFonts w:hint="eastAsia" w:ascii="宋体" w:hAnsi="宋体" w:eastAsia="宋体" w:cs="宋体"/>
          <w:bCs/>
          <w:color w:val="auto"/>
          <w:sz w:val="24"/>
          <w:highlight w:val="none"/>
          <w:lang w:val="en-US" w:eastAsia="zh-CN"/>
        </w:rPr>
        <w:t>预装及配套软件的全流程配置、部署、安装、调试、对接测试及试运行工作，确保</w:t>
      </w:r>
      <w:r>
        <w:rPr>
          <w:rFonts w:hint="eastAsia" w:ascii="宋体" w:hAnsi="宋体" w:cs="宋体"/>
          <w:bCs/>
          <w:color w:val="auto"/>
          <w:sz w:val="24"/>
          <w:highlight w:val="none"/>
          <w:lang w:val="en-US" w:eastAsia="zh-CN"/>
        </w:rPr>
        <w:t>设备配套</w:t>
      </w:r>
      <w:r>
        <w:rPr>
          <w:rFonts w:hint="eastAsia" w:ascii="宋体" w:hAnsi="宋体" w:eastAsia="宋体" w:cs="宋体"/>
          <w:bCs/>
          <w:color w:val="auto"/>
          <w:sz w:val="24"/>
          <w:highlight w:val="none"/>
          <w:lang w:val="en-US" w:eastAsia="zh-CN"/>
        </w:rPr>
        <w:t>软件可正常激活使用、运行稳定，且能够匹配项目整体功能需求和运行要求。</w:t>
      </w:r>
    </w:p>
    <w:p w14:paraId="40E5F0E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乙方须完成所有硬件设备及其配件的全流程安装、调试、对接测试及试运行工作，确保设备可正常启用、运行稳定，且能够匹配项目整体功能需求与系统运行要求。所有设备安装需符合国家及行业现行相关标准规范，同时满足项目现场安装作业管理要求；安装位置、线路走向须严格按照甲方确认的方案实施，不得擅自改动；安装过程中需做好布线整理，所有线路应固定规整并做好标识，以便后期运维检修；所有硬件设备需安装牢固、端正平整，安装完成后需通电进行功能测试，确保设备通电正常、功能运行符合设计要求</w:t>
      </w:r>
      <w:r>
        <w:rPr>
          <w:rFonts w:hint="eastAsia" w:ascii="宋体" w:hAnsi="宋体" w:cs="宋体"/>
          <w:bCs/>
          <w:color w:val="auto"/>
          <w:sz w:val="24"/>
          <w:highlight w:val="none"/>
          <w:lang w:val="en-US" w:eastAsia="zh-CN"/>
        </w:rPr>
        <w:t>。</w:t>
      </w:r>
    </w:p>
    <w:p w14:paraId="3465791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（7）安装调试全部完成后，乙方须先自行对安装质量进行全面自检，自检合格后方可向甲方申请验收；验收期间须安排技术人员全程跟踪，并及时记录相关问题。</w:t>
      </w:r>
    </w:p>
    <w:p w14:paraId="01969EA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针对上述全部条款所列要求，若乙方发生违约行为，</w:t>
      </w:r>
      <w:r>
        <w:rPr>
          <w:rFonts w:hint="eastAsia" w:ascii="宋体" w:hAnsi="宋体" w:eastAsia="宋体" w:cs="宋体"/>
          <w:bCs/>
          <w:color w:val="auto"/>
          <w:sz w:val="24"/>
          <w:highlight w:val="none"/>
          <w:lang w:val="en-US" w:eastAsia="zh-CN"/>
        </w:rPr>
        <w:t>须在甲方规定的合理期限内完成整改，整改费用由其自行承担；若乙方未按要求及时完成整改且影响整体履约期限的，除承担相应的逾期违约金外，还须按2000元/天的标准向甲方额外支付违约金；逾期超过7日仍未达到整改要求、整改态度消极不配合或拒不整改的，</w:t>
      </w:r>
      <w:r>
        <w:rPr>
          <w:rFonts w:hint="eastAsia" w:ascii="宋体" w:hAnsi="宋体" w:cs="宋体"/>
          <w:bCs/>
          <w:color w:val="auto"/>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；甲方有权终止合同，不再支付合同相应款项，履约保证金不予退还，并追究乙方的相关经济与法律责任（乙方须退还甲方已支付的全部款项），同时可提请相关监督管理部门依法处理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w:t>
      </w:r>
    </w:p>
    <w:p w14:paraId="237E430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5</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val="en-US" w:eastAsia="zh-CN"/>
        </w:rPr>
        <w:t>交付</w:t>
      </w:r>
      <w:r>
        <w:rPr>
          <w:rFonts w:hint="eastAsia" w:ascii="宋体" w:hAnsi="宋体" w:cs="宋体"/>
          <w:b/>
          <w:bCs w:val="0"/>
          <w:color w:val="auto"/>
          <w:sz w:val="24"/>
          <w:highlight w:val="none"/>
        </w:rPr>
        <w:t>验收：</w:t>
      </w:r>
    </w:p>
    <w:p w14:paraId="5DE0154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（1）标的物验收：</w:t>
      </w:r>
    </w:p>
    <w:p w14:paraId="1678BA2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①</w:t>
      </w:r>
      <w:r>
        <w:rPr>
          <w:rFonts w:hint="eastAsia" w:ascii="宋体" w:hAnsi="宋体" w:eastAsia="宋体" w:cs="宋体"/>
          <w:bCs/>
          <w:color w:val="auto"/>
          <w:sz w:val="24"/>
          <w:highlight w:val="none"/>
          <w:lang w:eastAsia="zh-CN"/>
        </w:rPr>
        <w:t>验收地点：</w:t>
      </w:r>
      <w:r>
        <w:rPr>
          <w:rFonts w:hint="eastAsia" w:ascii="宋体" w:hAnsi="宋体" w:eastAsia="宋体" w:cs="宋体"/>
          <w:bCs/>
          <w:color w:val="auto"/>
          <w:sz w:val="24"/>
          <w:highlight w:val="none"/>
          <w:lang w:val="en-US" w:eastAsia="zh-CN"/>
        </w:rPr>
        <w:t>设备最终完成安装调试的地点（若需</w:t>
      </w:r>
      <w:r>
        <w:rPr>
          <w:rFonts w:hint="eastAsia" w:ascii="宋体" w:hAnsi="宋体" w:cs="宋体"/>
          <w:b w:val="0"/>
          <w:bCs w:val="0"/>
          <w:color w:val="auto"/>
          <w:sz w:val="24"/>
          <w:highlight w:val="none"/>
          <w:lang w:val="en-US" w:eastAsia="zh-CN"/>
        </w:rPr>
        <w:t>分地点安装调试，应包含所有安装调试地点</w:t>
      </w:r>
      <w:r>
        <w:rPr>
          <w:rFonts w:hint="eastAsia" w:ascii="宋体" w:hAnsi="宋体" w:eastAsia="宋体" w:cs="宋体"/>
          <w:bCs/>
          <w:color w:val="auto"/>
          <w:sz w:val="24"/>
          <w:highlight w:val="none"/>
          <w:lang w:val="en-US" w:eastAsia="zh-CN"/>
        </w:rPr>
        <w:t>）。</w:t>
      </w:r>
    </w:p>
    <w:p w14:paraId="133EBDF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②</w:t>
      </w:r>
      <w:r>
        <w:rPr>
          <w:rFonts w:hint="eastAsia" w:ascii="宋体" w:hAnsi="宋体" w:eastAsia="宋体" w:cs="宋体"/>
          <w:bCs/>
          <w:color w:val="auto"/>
          <w:sz w:val="24"/>
          <w:highlight w:val="none"/>
          <w:lang w:eastAsia="zh-CN"/>
        </w:rPr>
        <w:t>验收时间：</w:t>
      </w:r>
      <w:r>
        <w:rPr>
          <w:rFonts w:hint="eastAsia" w:ascii="宋体" w:hAnsi="宋体" w:eastAsia="宋体" w:cs="宋体"/>
          <w:bCs/>
          <w:color w:val="auto"/>
          <w:sz w:val="24"/>
          <w:highlight w:val="none"/>
          <w:lang w:val="en-US" w:eastAsia="zh-CN"/>
        </w:rPr>
        <w:t>若设备分批次交付，最后一批设备到达现场的日期即视为设备的交货期。设备到达甲方指定地点的当天工作时间内，由甲方及其委托的第三方验收机构（如有）进行验收；若当天不具备验收条件，验收工作最迟不超过</w:t>
      </w:r>
      <w:r>
        <w:rPr>
          <w:rFonts w:hint="eastAsia" w:ascii="宋体" w:hAnsi="宋体" w:cs="宋体"/>
          <w:bCs/>
          <w:color w:val="auto"/>
          <w:sz w:val="24"/>
          <w:highlight w:val="none"/>
          <w:lang w:val="en-US" w:eastAsia="zh-CN"/>
        </w:rPr>
        <w:t>到货</w:t>
      </w:r>
      <w:r>
        <w:rPr>
          <w:rFonts w:hint="eastAsia" w:ascii="宋体" w:hAnsi="宋体" w:eastAsia="宋体" w:cs="宋体"/>
          <w:bCs/>
          <w:color w:val="auto"/>
          <w:sz w:val="24"/>
          <w:highlight w:val="none"/>
          <w:lang w:val="en-US" w:eastAsia="zh-CN"/>
        </w:rPr>
        <w:t>后的3天，期间甲方将为设备提供必要的存储条件（乙方应提前通过书面、电话等方式通知甲方到货时间，以便甲方安排接收及验收工作）。若甲方逾期未验收，乙方应书面告知甲方在合理期限内完成验收。验收不合格的，不受上述验收期限约束。</w:t>
      </w:r>
    </w:p>
    <w:p w14:paraId="67EB915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③</w:t>
      </w:r>
      <w:r>
        <w:rPr>
          <w:rFonts w:hint="eastAsia" w:ascii="宋体" w:hAnsi="宋体" w:eastAsia="宋体" w:cs="宋体"/>
          <w:bCs/>
          <w:color w:val="auto"/>
          <w:sz w:val="24"/>
          <w:highlight w:val="none"/>
          <w:lang w:eastAsia="zh-CN"/>
        </w:rPr>
        <w:t>验收</w:t>
      </w:r>
      <w:r>
        <w:rPr>
          <w:rFonts w:hint="eastAsia" w:ascii="宋体" w:hAnsi="宋体" w:eastAsia="宋体" w:cs="宋体"/>
          <w:bCs/>
          <w:color w:val="auto"/>
          <w:sz w:val="24"/>
          <w:highlight w:val="none"/>
          <w:lang w:val="en-US" w:eastAsia="zh-CN"/>
        </w:rPr>
        <w:t>内容包括以下两部分：</w:t>
      </w:r>
    </w:p>
    <w:p w14:paraId="4AD440E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eastAsia="宋体" w:cs="宋体"/>
          <w:bCs/>
          <w:color w:val="auto"/>
          <w:sz w:val="24"/>
          <w:highlight w:val="none"/>
          <w:lang w:val="en-US" w:eastAsia="zh-CN"/>
        </w:rPr>
        <w:t>a.外观及资料核查：设备的包装、数量、外观、配置情况，以及随设备一同交付的</w:t>
      </w:r>
      <w:r>
        <w:rPr>
          <w:rFonts w:hint="eastAsia" w:ascii="宋体" w:hAnsi="宋体" w:cs="宋体"/>
          <w:bCs/>
          <w:color w:val="auto"/>
          <w:sz w:val="24"/>
          <w:highlight w:val="none"/>
          <w:lang w:val="en-US" w:eastAsia="zh-CN"/>
        </w:rPr>
        <w:t>包装</w:t>
      </w:r>
      <w:r>
        <w:rPr>
          <w:rFonts w:hint="eastAsia" w:ascii="宋体" w:hAnsi="宋体" w:eastAsia="宋体" w:cs="宋体"/>
          <w:bCs/>
          <w:color w:val="auto"/>
          <w:sz w:val="24"/>
          <w:highlight w:val="none"/>
          <w:lang w:val="en-US" w:eastAsia="zh-CN"/>
        </w:rPr>
        <w:t>资料</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包括但不限于</w:t>
      </w:r>
      <w:r>
        <w:rPr>
          <w:rFonts w:hint="default" w:ascii="宋体" w:hAnsi="宋体" w:eastAsia="宋体" w:cs="Times New Roman"/>
          <w:color w:val="auto"/>
          <w:kern w:val="0"/>
          <w:sz w:val="24"/>
          <w:szCs w:val="18"/>
          <w:highlight w:val="none"/>
          <w:lang w:val="en-US" w:eastAsia="zh-CN"/>
        </w:rPr>
        <w:t>装箱</w:t>
      </w:r>
      <w:r>
        <w:rPr>
          <w:rFonts w:hint="eastAsia" w:ascii="宋体" w:hAnsi="宋体" w:cs="Times New Roman"/>
          <w:color w:val="auto"/>
          <w:kern w:val="0"/>
          <w:sz w:val="24"/>
          <w:szCs w:val="18"/>
          <w:highlight w:val="none"/>
          <w:lang w:val="en-US" w:eastAsia="zh-CN"/>
        </w:rPr>
        <w:t>清单（含货物名称、数量、规格型号、配件清单等）、完整</w:t>
      </w:r>
      <w:r>
        <w:rPr>
          <w:rFonts w:hint="eastAsia" w:ascii="宋体" w:hAnsi="宋体" w:cs="宋体"/>
          <w:bCs/>
          <w:color w:val="auto"/>
          <w:sz w:val="24"/>
          <w:highlight w:val="none"/>
          <w:lang w:val="en-US" w:eastAsia="zh-CN"/>
        </w:rPr>
        <w:t>配件、</w:t>
      </w:r>
      <w:r>
        <w:rPr>
          <w:rFonts w:hint="eastAsia" w:ascii="宋体" w:hAnsi="宋体" w:eastAsia="宋体" w:cs="宋体"/>
          <w:bCs/>
          <w:color w:val="auto"/>
          <w:sz w:val="24"/>
          <w:highlight w:val="none"/>
          <w:lang w:val="en-US" w:eastAsia="zh-CN"/>
        </w:rPr>
        <w:t>原厂质保承诺</w:t>
      </w:r>
      <w:r>
        <w:rPr>
          <w:rFonts w:hint="eastAsia" w:ascii="宋体" w:hAnsi="宋体" w:cs="宋体"/>
          <w:bCs/>
          <w:color w:val="auto"/>
          <w:sz w:val="24"/>
          <w:highlight w:val="none"/>
          <w:lang w:val="en-US" w:eastAsia="zh-CN"/>
        </w:rPr>
        <w:t>（如需）</w:t>
      </w:r>
      <w:r>
        <w:rPr>
          <w:rFonts w:hint="eastAsia" w:ascii="宋体" w:hAnsi="宋体" w:eastAsia="宋体" w:cs="宋体"/>
          <w:bCs/>
          <w:color w:val="auto"/>
          <w:sz w:val="24"/>
          <w:highlight w:val="none"/>
          <w:lang w:val="en-US" w:eastAsia="zh-CN"/>
        </w:rPr>
        <w:t>、原厂保修证明</w:t>
      </w:r>
      <w:r>
        <w:rPr>
          <w:rFonts w:hint="eastAsia" w:ascii="宋体" w:hAnsi="宋体" w:cs="宋体"/>
          <w:bCs/>
          <w:color w:val="auto"/>
          <w:sz w:val="24"/>
          <w:highlight w:val="none"/>
          <w:lang w:val="en-US" w:eastAsia="zh-CN"/>
        </w:rPr>
        <w:t>（书）</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产品</w:t>
      </w:r>
      <w:r>
        <w:rPr>
          <w:rFonts w:hint="eastAsia" w:ascii="宋体" w:hAnsi="宋体" w:eastAsia="宋体" w:cs="宋体"/>
          <w:bCs/>
          <w:color w:val="auto"/>
          <w:sz w:val="24"/>
          <w:highlight w:val="none"/>
          <w:lang w:val="en-US" w:eastAsia="zh-CN"/>
        </w:rPr>
        <w:t>使用说明、</w:t>
      </w:r>
      <w:r>
        <w:rPr>
          <w:rFonts w:hint="default" w:ascii="宋体" w:hAnsi="宋体" w:eastAsia="宋体" w:cs="Times New Roman"/>
          <w:color w:val="auto"/>
          <w:kern w:val="0"/>
          <w:sz w:val="24"/>
          <w:szCs w:val="18"/>
          <w:highlight w:val="none"/>
          <w:lang w:val="en-US" w:eastAsia="zh-CN"/>
        </w:rPr>
        <w:t>质量合格证书</w:t>
      </w:r>
      <w:r>
        <w:rPr>
          <w:rFonts w:hint="eastAsia" w:ascii="宋体" w:hAnsi="宋体" w:eastAsia="宋体" w:cs="宋体"/>
          <w:bCs/>
          <w:color w:val="auto"/>
          <w:sz w:val="24"/>
          <w:highlight w:val="none"/>
          <w:lang w:val="en-US" w:eastAsia="zh-CN"/>
        </w:rPr>
        <w:t>、检测报告等</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w:t>
      </w:r>
    </w:p>
    <w:p w14:paraId="5DCF02F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eastAsia="宋体" w:cs="宋体"/>
          <w:bCs/>
          <w:color w:val="auto"/>
          <w:sz w:val="24"/>
          <w:highlight w:val="none"/>
          <w:lang w:val="en-US" w:eastAsia="zh-CN"/>
        </w:rPr>
        <w:t>b.质量及性能检测：设备（含配件）的质量、性能（包括本次采购要求的防护功能、除锈及防腐蚀工艺等）、技术指标及功能性等。</w:t>
      </w:r>
    </w:p>
    <w:p w14:paraId="5CF99DD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en-US" w:eastAsia="zh-CN"/>
        </w:rPr>
        <w:t>④</w:t>
      </w:r>
      <w:r>
        <w:rPr>
          <w:rFonts w:hint="eastAsia" w:ascii="宋体" w:hAnsi="宋体" w:eastAsia="宋体" w:cs="宋体"/>
          <w:bCs/>
          <w:color w:val="auto"/>
          <w:sz w:val="24"/>
          <w:highlight w:val="none"/>
          <w:lang w:val="en-US" w:eastAsia="zh-CN"/>
        </w:rPr>
        <w:t>交货验收须满足以下要求，否则甲方有权拒绝验收：</w:t>
      </w:r>
    </w:p>
    <w:p w14:paraId="3B105E9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eastAsia="宋体" w:cs="宋体"/>
          <w:bCs/>
          <w:color w:val="auto"/>
          <w:sz w:val="24"/>
          <w:highlight w:val="none"/>
          <w:lang w:val="en-US" w:eastAsia="zh-CN"/>
        </w:rPr>
        <w:t>a.所有设备的外包装须保持未拆封状态，包装上的各类标签不得涂改或撕毁，设备数量</w:t>
      </w:r>
      <w:r>
        <w:rPr>
          <w:rFonts w:hint="eastAsia" w:ascii="宋体" w:hAnsi="宋体" w:cs="宋体"/>
          <w:bCs/>
          <w:color w:val="auto"/>
          <w:sz w:val="24"/>
          <w:highlight w:val="none"/>
          <w:lang w:val="en-US" w:eastAsia="zh-CN"/>
        </w:rPr>
        <w:t>、品种、规格型号</w:t>
      </w:r>
      <w:r>
        <w:rPr>
          <w:rFonts w:hint="eastAsia" w:ascii="宋体" w:hAnsi="宋体" w:eastAsia="宋体" w:cs="宋体"/>
          <w:bCs/>
          <w:color w:val="auto"/>
          <w:sz w:val="24"/>
          <w:highlight w:val="none"/>
          <w:lang w:val="en-US" w:eastAsia="zh-CN"/>
        </w:rPr>
        <w:t>须准确无误。</w:t>
      </w:r>
    </w:p>
    <w:p w14:paraId="69067EF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eastAsia="宋体" w:cs="宋体"/>
          <w:bCs/>
          <w:color w:val="auto"/>
          <w:sz w:val="24"/>
          <w:highlight w:val="none"/>
          <w:lang w:val="en-US" w:eastAsia="zh-CN"/>
        </w:rPr>
        <w:t>b.所有设备（含配件）须为全新、未使用过的原装合格正品，开箱时状态完好，外观整洁无瑕疵。</w:t>
      </w:r>
    </w:p>
    <w:p w14:paraId="18B4882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c.所有设备的装箱资料须完整、真实有效。</w:t>
      </w:r>
    </w:p>
    <w:p w14:paraId="6ABDF95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Times New Roman"/>
          <w:color w:val="auto"/>
          <w:kern w:val="0"/>
          <w:sz w:val="24"/>
          <w:szCs w:val="18"/>
          <w:highlight w:val="none"/>
          <w:lang w:val="en-US" w:eastAsia="zh-CN"/>
        </w:rPr>
        <w:t>⑤双方签署设备</w:t>
      </w:r>
      <w:r>
        <w:rPr>
          <w:rFonts w:hint="eastAsia" w:ascii="宋体" w:hAnsi="宋体" w:cs="Times New Roman"/>
          <w:color w:val="auto"/>
          <w:kern w:val="0"/>
          <w:sz w:val="24"/>
          <w:szCs w:val="18"/>
          <w:highlight w:val="none"/>
          <w:lang w:val="en-US" w:eastAsia="zh-CN"/>
        </w:rPr>
        <w:t>验收资料</w:t>
      </w:r>
      <w:r>
        <w:rPr>
          <w:rFonts w:hint="eastAsia" w:ascii="宋体" w:hAnsi="宋体" w:eastAsia="宋体" w:cs="Times New Roman"/>
          <w:color w:val="auto"/>
          <w:kern w:val="0"/>
          <w:sz w:val="24"/>
          <w:szCs w:val="18"/>
          <w:highlight w:val="none"/>
          <w:lang w:val="en-US" w:eastAsia="zh-CN"/>
        </w:rPr>
        <w:t>后，即视为该批次设备交货完成。</w:t>
      </w:r>
      <w:r>
        <w:rPr>
          <w:rFonts w:hint="eastAsia" w:ascii="宋体" w:hAnsi="宋体" w:cs="Times New Roman"/>
          <w:color w:val="auto"/>
          <w:kern w:val="0"/>
          <w:sz w:val="24"/>
          <w:szCs w:val="18"/>
          <w:highlight w:val="none"/>
          <w:lang w:val="en-US" w:eastAsia="zh-CN"/>
        </w:rPr>
        <w:t>验收资料</w:t>
      </w:r>
      <w:r>
        <w:rPr>
          <w:rFonts w:hint="eastAsia" w:ascii="宋体" w:hAnsi="宋体" w:eastAsia="宋体" w:cs="Times New Roman"/>
          <w:color w:val="auto"/>
          <w:kern w:val="0"/>
          <w:sz w:val="24"/>
          <w:szCs w:val="18"/>
          <w:highlight w:val="none"/>
          <w:lang w:val="en-US" w:eastAsia="zh-CN"/>
        </w:rPr>
        <w:t>一式两份，由双方各执一份。完成交货后，货物所有权正式转移；交货完成前，</w:t>
      </w:r>
      <w:r>
        <w:rPr>
          <w:rFonts w:hint="eastAsia" w:ascii="宋体" w:hAnsi="宋体" w:cs="Times New Roman"/>
          <w:color w:val="auto"/>
          <w:kern w:val="0"/>
          <w:sz w:val="24"/>
          <w:szCs w:val="18"/>
          <w:highlight w:val="none"/>
          <w:lang w:val="en-US" w:eastAsia="zh-CN"/>
        </w:rPr>
        <w:t>所有</w:t>
      </w:r>
      <w:r>
        <w:rPr>
          <w:rFonts w:hint="eastAsia" w:ascii="宋体" w:hAnsi="宋体" w:eastAsia="宋体" w:cs="Times New Roman"/>
          <w:color w:val="auto"/>
          <w:kern w:val="0"/>
          <w:sz w:val="24"/>
          <w:szCs w:val="18"/>
          <w:highlight w:val="none"/>
          <w:lang w:val="en-US" w:eastAsia="zh-CN"/>
        </w:rPr>
        <w:t>风险与责任由乙方</w:t>
      </w:r>
      <w:r>
        <w:rPr>
          <w:rFonts w:hint="eastAsia" w:ascii="宋体" w:hAnsi="宋体" w:cs="Times New Roman"/>
          <w:color w:val="auto"/>
          <w:kern w:val="0"/>
          <w:sz w:val="24"/>
          <w:szCs w:val="18"/>
          <w:highlight w:val="none"/>
          <w:lang w:val="en-US" w:eastAsia="zh-CN"/>
        </w:rPr>
        <w:t>自行</w:t>
      </w:r>
      <w:r>
        <w:rPr>
          <w:rFonts w:hint="eastAsia" w:ascii="宋体" w:hAnsi="宋体" w:eastAsia="宋体" w:cs="Times New Roman"/>
          <w:color w:val="auto"/>
          <w:kern w:val="0"/>
          <w:sz w:val="24"/>
          <w:szCs w:val="18"/>
          <w:highlight w:val="none"/>
          <w:lang w:val="en-US" w:eastAsia="zh-CN"/>
        </w:rPr>
        <w:t>承担。</w:t>
      </w:r>
    </w:p>
    <w:p w14:paraId="1D84B61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经验收判定为不合格或被拒收的设备，乙方须在甲方规定的合理期限内完成整改（仅接受换货，不接受退货返修），整改费用由其自行承担；若乙方未按要求及时完成整改且影响整体履约期限的，除承担相应的逾期违约金外，还须按每日2000元的标准向甲方额外支付违约金；逾期超过7日仍未达到整改要求、整改态度消极不配合或拒不整改的，</w:t>
      </w:r>
      <w:r>
        <w:rPr>
          <w:rFonts w:hint="eastAsia" w:ascii="宋体" w:hAnsi="宋体" w:cs="宋体"/>
          <w:bCs/>
          <w:color w:val="auto"/>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；甲方有权终止合同，不再支付合同相应款项，履约保证金不予退还，并追究乙方的相关经济与法律责任（乙方须退还甲方已支付的全部款项），同时可提请相关监督管理部门依法处理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。若对验收结果存在质疑，以相关质量技术检验检测机构出具的检验结果为准；如产生检验费用，由过失方承担。</w:t>
      </w:r>
    </w:p>
    <w:p w14:paraId="5A70627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（2）项目整体验收：</w:t>
      </w:r>
    </w:p>
    <w:p w14:paraId="1C75556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①项目所有标的物完成安装调试、试运行合格且功能测试通过后，方可进入项目整体验收环节；甲方将依据国家相关规定、本采购文件、乙方的投标文件及合同约定的内容与验收标准，对系统开展整体试运行测试验收工作，针对项目全部履约内容、功能指标、整体运行稳定性、兼容性及适配性进行全流程核查，对照合同约定的所有要求逐一核验，同时核查供货清单与实际交付内容是否一致、过程文档资料是否完整规范等。</w:t>
      </w:r>
    </w:p>
    <w:p w14:paraId="0AADBF5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②</w:t>
      </w:r>
      <w:r>
        <w:rPr>
          <w:rFonts w:hint="eastAsia" w:ascii="宋体" w:hAnsi="宋体" w:cs="宋体"/>
          <w:bCs/>
          <w:color w:val="auto"/>
          <w:sz w:val="24"/>
          <w:highlight w:val="none"/>
          <w:lang w:val="en-US" w:eastAsia="zh-CN"/>
        </w:rPr>
        <w:t>乙方应在项目满足验收条件后3日内向甲方提交正式验收申请，</w:t>
      </w:r>
      <w:r>
        <w:rPr>
          <w:rFonts w:hint="eastAsia" w:ascii="宋体" w:hAnsi="宋体" w:eastAsia="宋体" w:cs="宋体"/>
          <w:bCs/>
          <w:color w:val="auto"/>
          <w:sz w:val="24"/>
          <w:highlight w:val="none"/>
          <w:lang w:val="en-US" w:eastAsia="zh-CN"/>
        </w:rPr>
        <w:t>甲方须在收到验收申请之日起</w:t>
      </w:r>
      <w:r>
        <w:rPr>
          <w:rFonts w:hint="eastAsia" w:ascii="宋体" w:hAnsi="宋体" w:cs="宋体"/>
          <w:bCs/>
          <w:color w:val="auto"/>
          <w:sz w:val="24"/>
          <w:highlight w:val="none"/>
          <w:lang w:val="en-US" w:eastAsia="zh-CN"/>
        </w:rPr>
        <w:t>7</w:t>
      </w:r>
      <w:r>
        <w:rPr>
          <w:rFonts w:hint="eastAsia" w:ascii="宋体" w:hAnsi="宋体" w:eastAsia="宋体" w:cs="宋体"/>
          <w:bCs/>
          <w:color w:val="auto"/>
          <w:sz w:val="24"/>
          <w:highlight w:val="none"/>
          <w:lang w:val="en-US" w:eastAsia="zh-CN"/>
        </w:rPr>
        <w:t>日内组织验收。</w:t>
      </w:r>
    </w:p>
    <w:p w14:paraId="0F884E1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③自履约开始至</w:t>
      </w:r>
      <w:r>
        <w:rPr>
          <w:rFonts w:hint="eastAsia" w:ascii="宋体" w:hAnsi="宋体" w:eastAsia="宋体" w:cs="宋体"/>
          <w:bCs/>
          <w:color w:val="auto"/>
          <w:sz w:val="24"/>
          <w:highlight w:val="none"/>
          <w:lang w:val="en-US" w:eastAsia="zh-CN"/>
        </w:rPr>
        <w:t>验收</w:t>
      </w:r>
      <w:r>
        <w:rPr>
          <w:rFonts w:hint="eastAsia" w:ascii="宋体" w:hAnsi="宋体" w:cs="宋体"/>
          <w:bCs/>
          <w:color w:val="auto"/>
          <w:sz w:val="24"/>
          <w:highlight w:val="none"/>
          <w:lang w:val="en-US" w:eastAsia="zh-CN"/>
        </w:rPr>
        <w:t>结束期间</w:t>
      </w:r>
      <w:r>
        <w:rPr>
          <w:rFonts w:hint="eastAsia" w:ascii="宋体" w:hAnsi="宋体" w:eastAsia="宋体" w:cs="宋体"/>
          <w:bCs/>
          <w:color w:val="auto"/>
          <w:sz w:val="24"/>
          <w:highlight w:val="none"/>
          <w:lang w:val="en-US" w:eastAsia="zh-CN"/>
        </w:rPr>
        <w:t>产生的</w:t>
      </w:r>
      <w:r>
        <w:rPr>
          <w:rFonts w:hint="eastAsia" w:ascii="宋体" w:hAnsi="宋体" w:cs="宋体"/>
          <w:bCs/>
          <w:color w:val="auto"/>
          <w:sz w:val="24"/>
          <w:highlight w:val="none"/>
          <w:lang w:val="en-US" w:eastAsia="zh-CN"/>
        </w:rPr>
        <w:t>所有</w:t>
      </w:r>
      <w:r>
        <w:rPr>
          <w:rFonts w:hint="eastAsia" w:ascii="宋体" w:hAnsi="宋体" w:eastAsia="宋体" w:cs="宋体"/>
          <w:bCs/>
          <w:color w:val="auto"/>
          <w:sz w:val="24"/>
          <w:highlight w:val="none"/>
          <w:lang w:val="en-US" w:eastAsia="zh-CN"/>
        </w:rPr>
        <w:t>相关文档</w:t>
      </w:r>
      <w:r>
        <w:rPr>
          <w:rFonts w:hint="eastAsia" w:ascii="宋体" w:hAnsi="宋体" w:cs="宋体"/>
          <w:bCs/>
          <w:color w:val="auto"/>
          <w:sz w:val="24"/>
          <w:highlight w:val="none"/>
          <w:lang w:val="en-US" w:eastAsia="zh-CN"/>
        </w:rPr>
        <w:t>资料（含电子文档），乙方应及时记录并存档，在项目交付时，须将全套资料移交给甲方</w:t>
      </w:r>
      <w:r>
        <w:rPr>
          <w:rFonts w:hint="eastAsia" w:ascii="宋体" w:hAnsi="宋体" w:eastAsia="宋体" w:cs="宋体"/>
          <w:bCs/>
          <w:color w:val="auto"/>
          <w:sz w:val="24"/>
          <w:highlight w:val="none"/>
          <w:lang w:val="en-US" w:eastAsia="zh-CN"/>
        </w:rPr>
        <w:t>。</w:t>
      </w:r>
    </w:p>
    <w:p w14:paraId="38870B8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④</w:t>
      </w:r>
      <w:r>
        <w:rPr>
          <w:rFonts w:hint="eastAsia" w:ascii="宋体" w:hAnsi="宋体" w:eastAsia="宋体" w:cs="宋体"/>
          <w:bCs/>
          <w:color w:val="auto"/>
          <w:sz w:val="24"/>
          <w:highlight w:val="none"/>
          <w:lang w:val="en-US" w:eastAsia="zh-CN"/>
        </w:rPr>
        <w:t>验收合格后，由双方签署项目整体验收合格证明，项目正式交付使用。</w:t>
      </w:r>
      <w:r>
        <w:rPr>
          <w:rFonts w:hint="eastAsia" w:ascii="宋体" w:hAnsi="宋体" w:cs="Times New Roman"/>
          <w:color w:val="auto"/>
          <w:kern w:val="0"/>
          <w:sz w:val="24"/>
          <w:szCs w:val="18"/>
          <w:highlight w:val="none"/>
          <w:lang w:val="en-US" w:eastAsia="zh-CN"/>
        </w:rPr>
        <w:t>验收证明资料</w:t>
      </w:r>
      <w:r>
        <w:rPr>
          <w:rFonts w:hint="eastAsia" w:ascii="宋体" w:hAnsi="宋体" w:eastAsia="宋体" w:cs="Times New Roman"/>
          <w:color w:val="auto"/>
          <w:kern w:val="0"/>
          <w:sz w:val="24"/>
          <w:szCs w:val="18"/>
          <w:highlight w:val="none"/>
          <w:lang w:val="en-US" w:eastAsia="zh-CN"/>
        </w:rPr>
        <w:t>一式两份，由双方各执一份。</w:t>
      </w:r>
    </w:p>
    <w:p w14:paraId="39DB729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若项目整体验收不合格，乙方须在甲方规定的合理期限内完成整改，整改费用由其自行承担；若乙方未按要求及时完成整改且影响整体履约期限的，除承担相应的逾期违约金外，还须按每日2000元的标准向甲方额外支付违约金；逾期超过7日仍未达到整改要求、整改态度消极不配合或拒不整改的，</w:t>
      </w:r>
      <w:r>
        <w:rPr>
          <w:rFonts w:hint="eastAsia" w:ascii="宋体" w:hAnsi="宋体" w:cs="宋体"/>
          <w:bCs/>
          <w:color w:val="auto"/>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；甲方有权终止合同，不再支付合同相应款项，履约保证金不予退还，并追究乙方的相关经济与法律责任（乙方须退还甲方已支付的全部款项），同时可提请相关监督管理部门依法处理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。若对验收结果存在质疑，以相关质量技术检验检测机构出具的检验结果为准；如产生检验费用，由过失方承担。</w:t>
      </w:r>
    </w:p>
    <w:p w14:paraId="64AF93E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6</w:t>
      </w:r>
      <w:r>
        <w:rPr>
          <w:rFonts w:hint="eastAsia" w:ascii="宋体" w:hAnsi="宋体" w:cs="宋体"/>
          <w:b/>
          <w:bCs w:val="0"/>
          <w:color w:val="auto"/>
          <w:sz w:val="24"/>
          <w:highlight w:val="none"/>
        </w:rPr>
        <w:t>.培训</w:t>
      </w:r>
      <w:r>
        <w:rPr>
          <w:rFonts w:hint="eastAsia" w:ascii="宋体" w:hAnsi="宋体" w:cs="宋体"/>
          <w:b/>
          <w:bCs w:val="0"/>
          <w:color w:val="auto"/>
          <w:sz w:val="24"/>
          <w:highlight w:val="none"/>
          <w:lang w:val="en-US" w:eastAsia="zh-CN"/>
        </w:rPr>
        <w:t>服务</w:t>
      </w:r>
      <w:r>
        <w:rPr>
          <w:rFonts w:hint="eastAsia" w:ascii="宋体" w:hAnsi="宋体" w:cs="宋体"/>
          <w:b/>
          <w:bCs w:val="0"/>
          <w:color w:val="auto"/>
          <w:sz w:val="24"/>
          <w:highlight w:val="none"/>
        </w:rPr>
        <w:t>要求：</w:t>
      </w:r>
    </w:p>
    <w:p w14:paraId="4C8DB3A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eastAsia="宋体" w:cs="宋体"/>
          <w:bCs/>
          <w:color w:val="auto"/>
          <w:sz w:val="24"/>
          <w:highlight w:val="none"/>
          <w:lang w:val="en-US" w:eastAsia="zh-CN"/>
        </w:rPr>
        <w:t>（1）乙方</w:t>
      </w:r>
      <w:r>
        <w:rPr>
          <w:rFonts w:hint="eastAsia" w:ascii="宋体" w:hAnsi="宋体" w:cs="宋体"/>
          <w:bCs/>
          <w:color w:val="auto"/>
          <w:sz w:val="24"/>
          <w:highlight w:val="none"/>
          <w:lang w:val="en-US" w:eastAsia="zh-CN"/>
        </w:rPr>
        <w:t>须</w:t>
      </w:r>
      <w:r>
        <w:rPr>
          <w:rFonts w:hint="eastAsia" w:ascii="宋体" w:hAnsi="宋体" w:eastAsia="宋体" w:cs="宋体"/>
          <w:bCs/>
          <w:color w:val="auto"/>
          <w:sz w:val="24"/>
          <w:highlight w:val="none"/>
          <w:lang w:val="en-US" w:eastAsia="zh-CN"/>
        </w:rPr>
        <w:t>无偿提供培训</w:t>
      </w:r>
      <w:r>
        <w:rPr>
          <w:rFonts w:hint="eastAsia" w:ascii="宋体" w:hAnsi="宋体" w:cs="宋体"/>
          <w:bCs/>
          <w:color w:val="auto"/>
          <w:sz w:val="24"/>
          <w:highlight w:val="none"/>
          <w:lang w:val="en-US" w:eastAsia="zh-CN"/>
        </w:rPr>
        <w:t>相关</w:t>
      </w:r>
      <w:r>
        <w:rPr>
          <w:rFonts w:hint="eastAsia" w:ascii="宋体" w:hAnsi="宋体" w:eastAsia="宋体" w:cs="宋体"/>
          <w:bCs/>
          <w:color w:val="auto"/>
          <w:sz w:val="24"/>
          <w:highlight w:val="none"/>
          <w:lang w:val="en-US" w:eastAsia="zh-CN"/>
        </w:rPr>
        <w:t>资料</w:t>
      </w:r>
      <w:r>
        <w:rPr>
          <w:rFonts w:hint="eastAsia" w:ascii="宋体" w:hAnsi="宋体" w:cs="宋体"/>
          <w:bCs/>
          <w:color w:val="auto"/>
          <w:sz w:val="24"/>
          <w:highlight w:val="none"/>
          <w:lang w:val="en-US" w:eastAsia="zh-CN"/>
        </w:rPr>
        <w:t>，包括：①</w:t>
      </w:r>
      <w:r>
        <w:rPr>
          <w:rFonts w:hint="eastAsia" w:ascii="宋体" w:hAnsi="宋体" w:eastAsia="宋体" w:cs="宋体"/>
          <w:bCs/>
          <w:color w:val="auto"/>
          <w:sz w:val="24"/>
          <w:highlight w:val="none"/>
          <w:lang w:val="en-US" w:eastAsia="zh-CN"/>
        </w:rPr>
        <w:t>所有标的物的配置参数、操作说明等资料（含</w:t>
      </w:r>
      <w:r>
        <w:rPr>
          <w:rFonts w:hint="eastAsia" w:ascii="宋体" w:hAnsi="宋体" w:cs="宋体"/>
          <w:bCs/>
          <w:color w:val="auto"/>
          <w:sz w:val="24"/>
          <w:highlight w:val="none"/>
          <w:lang w:val="en-US" w:eastAsia="zh-CN"/>
        </w:rPr>
        <w:t>电子版</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；②</w:t>
      </w:r>
      <w:r>
        <w:rPr>
          <w:rFonts w:hint="eastAsia" w:ascii="宋体" w:hAnsi="宋体" w:eastAsia="宋体" w:cs="宋体"/>
          <w:bCs/>
          <w:color w:val="auto"/>
          <w:sz w:val="24"/>
          <w:highlight w:val="none"/>
          <w:lang w:val="en-US" w:eastAsia="zh-CN"/>
        </w:rPr>
        <w:t>培训用文字资料、讲义等相关用品</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含PPT讲稿或视频等</w:t>
      </w:r>
      <w:r>
        <w:rPr>
          <w:rFonts w:hint="eastAsia" w:ascii="宋体" w:hAnsi="宋体" w:cs="宋体"/>
          <w:bCs/>
          <w:color w:val="auto"/>
          <w:sz w:val="24"/>
          <w:highlight w:val="none"/>
          <w:lang w:val="en-US" w:eastAsia="zh-CN"/>
        </w:rPr>
        <w:t>电子版）</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本项目</w:t>
      </w:r>
      <w:r>
        <w:rPr>
          <w:rFonts w:hint="eastAsia" w:ascii="宋体" w:hAnsi="宋体" w:eastAsia="宋体" w:cs="宋体"/>
          <w:bCs/>
          <w:color w:val="auto"/>
          <w:sz w:val="24"/>
          <w:highlight w:val="none"/>
          <w:lang w:val="en-US" w:eastAsia="zh-CN"/>
        </w:rPr>
        <w:t>所有培训费用（含培训教材费）及</w:t>
      </w:r>
      <w:r>
        <w:rPr>
          <w:rFonts w:hint="eastAsia" w:ascii="宋体" w:hAnsi="宋体" w:cs="宋体"/>
          <w:bCs/>
          <w:color w:val="auto"/>
          <w:sz w:val="24"/>
          <w:highlight w:val="none"/>
          <w:lang w:val="en-US" w:eastAsia="zh-CN"/>
        </w:rPr>
        <w:t>与培训有关的</w:t>
      </w:r>
      <w:r>
        <w:rPr>
          <w:rFonts w:hint="eastAsia" w:ascii="宋体" w:hAnsi="宋体" w:eastAsia="宋体" w:cs="宋体"/>
          <w:bCs/>
          <w:color w:val="auto"/>
          <w:sz w:val="24"/>
          <w:highlight w:val="none"/>
          <w:lang w:val="en-US" w:eastAsia="zh-CN"/>
        </w:rPr>
        <w:t>各项支出均已包含在本次投标总价内。</w:t>
      </w:r>
    </w:p>
    <w:p w14:paraId="11BBEAA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eastAsia="宋体" w:cs="宋体"/>
          <w:bCs/>
          <w:color w:val="auto"/>
          <w:sz w:val="24"/>
          <w:highlight w:val="none"/>
          <w:lang w:val="en-US" w:eastAsia="zh-CN"/>
        </w:rPr>
        <w:t>（2）乙方须委派经验丰富的专业技术人员开展技术培训，完成对甲方至少2名操作人员的培训</w:t>
      </w:r>
      <w:r>
        <w:rPr>
          <w:rFonts w:hint="eastAsia" w:ascii="宋体" w:hAnsi="宋体" w:cs="宋体"/>
          <w:bCs/>
          <w:color w:val="auto"/>
          <w:sz w:val="24"/>
          <w:highlight w:val="none"/>
          <w:lang w:val="en-US" w:eastAsia="zh-CN"/>
        </w:rPr>
        <w:t>工作</w:t>
      </w:r>
      <w:r>
        <w:rPr>
          <w:rFonts w:hint="eastAsia" w:ascii="宋体" w:hAnsi="宋体" w:eastAsia="宋体" w:cs="宋体"/>
          <w:bCs/>
          <w:color w:val="auto"/>
          <w:sz w:val="24"/>
          <w:highlight w:val="none"/>
          <w:lang w:val="en-US" w:eastAsia="zh-CN"/>
        </w:rPr>
        <w:t>。</w:t>
      </w:r>
    </w:p>
    <w:p w14:paraId="4B9F0AE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val="en-US" w:eastAsia="zh-CN"/>
        </w:rPr>
        <w:t>（3）乙方须提供包含培训计划、内容、课时等要素的完善培训方案，报甲方确认后实施；</w:t>
      </w:r>
      <w:r>
        <w:rPr>
          <w:rFonts w:hint="eastAsia" w:ascii="宋体" w:hAnsi="宋体" w:cs="宋体"/>
          <w:bCs/>
          <w:color w:val="auto"/>
          <w:sz w:val="24"/>
          <w:highlight w:val="none"/>
          <w:lang w:val="en-US" w:eastAsia="zh-CN"/>
        </w:rPr>
        <w:t>培训过程中，培训讲师需结合甲方实际使用场景讲解操作流程，针对参训人员提出的问题现场答疑，确保培训贴合实际使用需求。</w:t>
      </w:r>
    </w:p>
    <w:p w14:paraId="2043EE1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4）乙方须安排专业技术人员针对项目配套硬件设备的基本功能、日常使用操作及保养规范开展现场讲解培训，确保参训人员熟悉设备连接调试方法，掌握常规操作流程；针对设备常见突发故障开展专项培训，讲解故障排查思路与基础应急处理方法，保障参训人员能够准确识别故障类型，完成简单故障的现场处置。</w:t>
      </w:r>
    </w:p>
    <w:p w14:paraId="78C7081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（5）乙方须针对项目涉及的产品功能模块、操作流程、权限管理、数据导出等核心内容，开展专项实操培训，安排专人进行上机指导，辅助参训人员完成全流程操作练习，及时纠正操作误区，保障培训效果</w:t>
      </w:r>
      <w:r>
        <w:rPr>
          <w:rFonts w:hint="eastAsia" w:ascii="宋体" w:hAnsi="宋体" w:eastAsia="宋体" w:cs="宋体"/>
          <w:bCs/>
          <w:color w:val="auto"/>
          <w:sz w:val="24"/>
          <w:highlight w:val="none"/>
          <w:lang w:val="en-US" w:eastAsia="zh-CN"/>
        </w:rPr>
        <w:t>。</w:t>
      </w:r>
    </w:p>
    <w:p w14:paraId="2079897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（6）乙方须在培训结束后安排现场实操考核（如需），考核通过方可结束培训，确保参训人员能够独立完成标的物的基础操作、日常故障排查与常规维护，并配合甲方完成培训效果验收。</w:t>
      </w:r>
    </w:p>
    <w:p w14:paraId="7B98AFF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val="en-US" w:eastAsia="zh-CN"/>
        </w:rPr>
        <w:t>若</w:t>
      </w:r>
      <w:r>
        <w:rPr>
          <w:rFonts w:hint="eastAsia" w:ascii="宋体" w:hAnsi="宋体" w:cs="宋体"/>
          <w:bCs/>
          <w:color w:val="auto"/>
          <w:sz w:val="24"/>
          <w:highlight w:val="none"/>
          <w:lang w:val="en-US" w:eastAsia="zh-CN"/>
        </w:rPr>
        <w:t>未按上述要求提供培训服务</w:t>
      </w:r>
      <w:r>
        <w:rPr>
          <w:rFonts w:hint="eastAsia" w:ascii="宋体" w:hAnsi="宋体" w:eastAsia="宋体" w:cs="宋体"/>
          <w:bCs/>
          <w:color w:val="auto"/>
          <w:sz w:val="24"/>
          <w:highlight w:val="none"/>
          <w:lang w:val="en-US" w:eastAsia="zh-CN"/>
        </w:rPr>
        <w:t>，乙方须在甲方规定的合理期限内完成整改，整改费用由其自行承担；若乙方未按要求及时完成整改</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未达到整改要求、整改态度消极不配合或拒不整改的，</w:t>
      </w:r>
      <w:r>
        <w:rPr>
          <w:rFonts w:hint="eastAsia" w:ascii="宋体" w:hAnsi="宋体" w:cs="宋体"/>
          <w:bCs/>
          <w:color w:val="auto"/>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；甲方有权终止合同，不再支付合同相应款项，履约保证金不予退还，并追究乙方的相关经济与法律责任（乙方须退还甲方已支付的全部款项），同时可提请相关监督管理部门依法处理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w:t>
      </w:r>
    </w:p>
    <w:p w14:paraId="4C37BEB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7</w:t>
      </w:r>
      <w:r>
        <w:rPr>
          <w:rFonts w:hint="eastAsia" w:ascii="宋体" w:hAnsi="宋体" w:cs="宋体"/>
          <w:b/>
          <w:bCs w:val="0"/>
          <w:color w:val="auto"/>
          <w:sz w:val="24"/>
          <w:highlight w:val="none"/>
        </w:rPr>
        <w:t>.售后服务要求：</w:t>
      </w:r>
    </w:p>
    <w:p w14:paraId="150F74E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Times New Roman"/>
          <w:color w:val="auto"/>
          <w:kern w:val="0"/>
          <w:sz w:val="24"/>
          <w:szCs w:val="18"/>
          <w:highlight w:val="none"/>
          <w:lang w:val="en-US" w:eastAsia="zh-CN"/>
        </w:rPr>
      </w:pPr>
      <w:r>
        <w:rPr>
          <w:rFonts w:hint="eastAsia" w:ascii="宋体" w:hAnsi="宋体" w:cs="Times New Roman"/>
          <w:color w:val="auto"/>
          <w:kern w:val="0"/>
          <w:sz w:val="24"/>
          <w:szCs w:val="18"/>
          <w:highlight w:val="none"/>
          <w:lang w:val="en-US" w:eastAsia="zh-CN"/>
        </w:rPr>
        <w:t>乙方针对本</w:t>
      </w:r>
      <w:r>
        <w:rPr>
          <w:rFonts w:hint="eastAsia" w:ascii="宋体" w:hAnsi="宋体" w:eastAsia="宋体" w:cs="Times New Roman"/>
          <w:color w:val="auto"/>
          <w:kern w:val="0"/>
          <w:sz w:val="24"/>
          <w:szCs w:val="18"/>
          <w:highlight w:val="none"/>
          <w:lang w:val="en-US" w:eastAsia="zh-CN"/>
        </w:rPr>
        <w:t>合同</w:t>
      </w:r>
      <w:r>
        <w:rPr>
          <w:rFonts w:hint="eastAsia" w:ascii="宋体" w:hAnsi="宋体" w:cs="Times New Roman"/>
          <w:color w:val="auto"/>
          <w:kern w:val="0"/>
          <w:sz w:val="24"/>
          <w:szCs w:val="18"/>
          <w:highlight w:val="none"/>
          <w:lang w:val="en-US" w:eastAsia="zh-CN"/>
        </w:rPr>
        <w:t>项下全部标的物，</w:t>
      </w:r>
      <w:r>
        <w:rPr>
          <w:rFonts w:hint="eastAsia" w:ascii="宋体" w:hAnsi="宋体" w:cs="宋体"/>
          <w:bCs/>
          <w:color w:val="auto"/>
          <w:sz w:val="24"/>
          <w:highlight w:val="none"/>
          <w:lang w:val="en-US" w:eastAsia="zh-CN"/>
        </w:rPr>
        <w:t>提供</w:t>
      </w:r>
      <w:r>
        <w:rPr>
          <w:rFonts w:hint="eastAsia" w:ascii="宋体" w:hAnsi="宋体" w:cs="宋体"/>
          <w:color w:val="auto"/>
          <w:sz w:val="24"/>
          <w:highlight w:val="none"/>
          <w:lang w:val="en-US" w:eastAsia="zh-CN"/>
        </w:rPr>
        <w:t>自交付之日起算的2年整体</w:t>
      </w:r>
      <w:r>
        <w:rPr>
          <w:rFonts w:hint="eastAsia" w:ascii="宋体" w:hAnsi="宋体" w:cs="宋体"/>
          <w:bCs/>
          <w:color w:val="auto"/>
          <w:sz w:val="24"/>
          <w:highlight w:val="none"/>
        </w:rPr>
        <w:t>免费</w:t>
      </w:r>
      <w:r>
        <w:rPr>
          <w:rFonts w:hint="eastAsia" w:ascii="宋体" w:hAnsi="宋体" w:cs="宋体"/>
          <w:color w:val="auto"/>
          <w:sz w:val="24"/>
          <w:highlight w:val="none"/>
          <w:lang w:val="en-US" w:eastAsia="zh-CN"/>
        </w:rPr>
        <w:t>质保服务</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将</w:t>
      </w:r>
      <w:r>
        <w:rPr>
          <w:rFonts w:hint="eastAsia" w:ascii="宋体" w:hAnsi="宋体" w:cs="宋体"/>
          <w:bCs/>
          <w:color w:val="auto"/>
          <w:sz w:val="24"/>
          <w:highlight w:val="none"/>
        </w:rPr>
        <w:t>依</w:t>
      </w:r>
      <w:r>
        <w:rPr>
          <w:rFonts w:hint="eastAsia" w:ascii="宋体" w:hAnsi="宋体" w:cs="宋体"/>
          <w:bCs/>
          <w:color w:val="auto"/>
          <w:sz w:val="24"/>
          <w:highlight w:val="none"/>
          <w:lang w:eastAsia="zh-CN"/>
        </w:rPr>
        <w:t>照</w:t>
      </w:r>
      <w:r>
        <w:rPr>
          <w:rFonts w:hint="eastAsia" w:ascii="宋体" w:hAnsi="宋体" w:cs="宋体"/>
          <w:bCs/>
          <w:color w:val="auto"/>
          <w:sz w:val="24"/>
          <w:highlight w:val="none"/>
        </w:rPr>
        <w:t>国家“三包服务政策（包退、包换、包修）”及</w:t>
      </w:r>
      <w:r>
        <w:rPr>
          <w:rFonts w:hint="eastAsia" w:ascii="宋体" w:hAnsi="宋体" w:cs="宋体"/>
          <w:bCs/>
          <w:color w:val="auto"/>
          <w:sz w:val="24"/>
          <w:highlight w:val="none"/>
          <w:lang w:eastAsia="zh-CN"/>
        </w:rPr>
        <w:t>设备生产厂家</w:t>
      </w:r>
      <w:r>
        <w:rPr>
          <w:rFonts w:hint="eastAsia" w:ascii="宋体" w:hAnsi="宋体" w:cs="宋体"/>
          <w:bCs/>
          <w:color w:val="auto"/>
          <w:sz w:val="24"/>
          <w:highlight w:val="none"/>
        </w:rPr>
        <w:t>相关</w:t>
      </w:r>
      <w:r>
        <w:rPr>
          <w:rFonts w:hint="eastAsia" w:ascii="宋体" w:hAnsi="宋体" w:cs="宋体"/>
          <w:bCs/>
          <w:color w:val="auto"/>
          <w:sz w:val="24"/>
          <w:highlight w:val="none"/>
          <w:lang w:eastAsia="zh-CN"/>
        </w:rPr>
        <w:t>规定</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提供</w:t>
      </w:r>
      <w:r>
        <w:rPr>
          <w:rFonts w:hint="eastAsia" w:ascii="宋体" w:hAnsi="宋体" w:cs="宋体"/>
          <w:color w:val="auto"/>
          <w:sz w:val="24"/>
          <w:szCs w:val="18"/>
          <w:highlight w:val="none"/>
          <w:lang w:val="en-US" w:eastAsia="zh-CN"/>
        </w:rPr>
        <w:t>设备</w:t>
      </w:r>
      <w:r>
        <w:rPr>
          <w:rFonts w:hint="eastAsia" w:ascii="宋体" w:hAnsi="宋体" w:cs="宋体"/>
          <w:bCs/>
          <w:color w:val="auto"/>
          <w:sz w:val="24"/>
          <w:highlight w:val="none"/>
        </w:rPr>
        <w:t>整体（含</w:t>
      </w:r>
      <w:r>
        <w:rPr>
          <w:rFonts w:hint="eastAsia" w:ascii="宋体" w:hAnsi="宋体" w:cs="宋体"/>
          <w:bCs/>
          <w:color w:val="auto"/>
          <w:sz w:val="24"/>
          <w:highlight w:val="none"/>
          <w:lang w:val="en-US" w:eastAsia="zh-CN"/>
        </w:rPr>
        <w:t>配件</w:t>
      </w:r>
      <w:r>
        <w:rPr>
          <w:rFonts w:hint="eastAsia" w:ascii="宋体" w:hAnsi="宋体" w:cs="宋体"/>
          <w:bCs/>
          <w:color w:val="auto"/>
          <w:sz w:val="24"/>
          <w:highlight w:val="none"/>
        </w:rPr>
        <w:t>）原厂免费上门保修服务</w:t>
      </w:r>
      <w:r>
        <w:rPr>
          <w:rFonts w:hint="eastAsia" w:ascii="宋体" w:hAnsi="宋体" w:eastAsia="宋体" w:cs="Times New Roman"/>
          <w:color w:val="auto"/>
          <w:kern w:val="0"/>
          <w:sz w:val="24"/>
          <w:szCs w:val="18"/>
          <w:highlight w:val="none"/>
          <w:lang w:val="en-US" w:eastAsia="zh-CN"/>
        </w:rPr>
        <w:t>，</w:t>
      </w:r>
      <w:r>
        <w:rPr>
          <w:rFonts w:hint="eastAsia" w:ascii="宋体" w:hAnsi="宋体" w:cs="Times New Roman"/>
          <w:color w:val="auto"/>
          <w:kern w:val="0"/>
          <w:sz w:val="24"/>
          <w:szCs w:val="18"/>
          <w:highlight w:val="none"/>
          <w:lang w:val="en-US" w:eastAsia="zh-CN"/>
        </w:rPr>
        <w:t>并承诺按照如下要求执行</w:t>
      </w:r>
      <w:r>
        <w:rPr>
          <w:rFonts w:hint="eastAsia" w:ascii="宋体" w:hAnsi="宋体" w:eastAsia="宋体" w:cs="Times New Roman"/>
          <w:color w:val="auto"/>
          <w:kern w:val="0"/>
          <w:sz w:val="24"/>
          <w:szCs w:val="18"/>
          <w:highlight w:val="none"/>
          <w:lang w:val="en-US" w:eastAsia="zh-CN"/>
        </w:rPr>
        <w:t>：</w:t>
      </w:r>
    </w:p>
    <w:p w14:paraId="79A1D0B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eastAsia="宋体"/>
          <w:color w:val="auto"/>
          <w:highlight w:val="none"/>
          <w:lang w:eastAsia="zh-CN"/>
        </w:rPr>
      </w:pPr>
      <w:r>
        <w:rPr>
          <w:rFonts w:hint="eastAsia" w:ascii="宋体" w:hAnsi="宋体" w:cs="宋体"/>
          <w:bCs/>
          <w:color w:val="auto"/>
          <w:sz w:val="24"/>
          <w:highlight w:val="none"/>
          <w:lang w:val="en-US" w:eastAsia="zh-CN"/>
        </w:rPr>
        <w:t>（1）向甲方提供以下资料：随</w:t>
      </w:r>
      <w:r>
        <w:rPr>
          <w:rFonts w:hint="eastAsia" w:ascii="宋体" w:hAnsi="宋体" w:cs="宋体"/>
          <w:color w:val="auto"/>
          <w:sz w:val="24"/>
          <w:szCs w:val="18"/>
          <w:highlight w:val="none"/>
          <w:lang w:val="en-US" w:eastAsia="zh-CN"/>
        </w:rPr>
        <w:t>设备</w:t>
      </w:r>
      <w:r>
        <w:rPr>
          <w:rFonts w:hint="eastAsia" w:ascii="宋体" w:hAnsi="宋体" w:cs="宋体"/>
          <w:bCs/>
          <w:color w:val="auto"/>
          <w:sz w:val="24"/>
          <w:highlight w:val="none"/>
          <w:lang w:val="en-US" w:eastAsia="zh-CN"/>
        </w:rPr>
        <w:t>免费配备的配件清单（含易损易耗件、备品备件）；质保服务内容及相关承诺；响应时间与故障解决时限；质保期满后主要配件（含易损易耗件、备品备件）的报价。同时须</w:t>
      </w:r>
      <w:r>
        <w:rPr>
          <w:rFonts w:hint="eastAsia" w:ascii="宋体" w:hAnsi="宋体" w:cs="宋体"/>
          <w:color w:val="auto"/>
          <w:sz w:val="24"/>
          <w:szCs w:val="18"/>
          <w:highlight w:val="none"/>
          <w:lang w:val="en-US" w:eastAsia="zh-CN"/>
        </w:rPr>
        <w:t>承诺，质保期满后提供终身技术支持、指导及优惠维修服务，保障甲方能及时采购所需</w:t>
      </w:r>
      <w:r>
        <w:rPr>
          <w:rFonts w:hint="eastAsia" w:ascii="宋体" w:hAnsi="宋体" w:cs="宋体"/>
          <w:bCs/>
          <w:color w:val="auto"/>
          <w:sz w:val="24"/>
          <w:highlight w:val="none"/>
          <w:lang w:val="en-US" w:eastAsia="zh-CN"/>
        </w:rPr>
        <w:t>配件（含易损易耗件、备品备件）</w:t>
      </w:r>
      <w:r>
        <w:rPr>
          <w:rFonts w:hint="eastAsia" w:ascii="宋体" w:hAnsi="宋体" w:cs="宋体"/>
          <w:color w:val="auto"/>
          <w:sz w:val="24"/>
          <w:szCs w:val="18"/>
          <w:highlight w:val="none"/>
          <w:lang w:val="en-US" w:eastAsia="zh-CN"/>
        </w:rPr>
        <w:t>；质保期满后的设备维修仅收取材料成本费，维修工时费终身全免。</w:t>
      </w:r>
    </w:p>
    <w:p w14:paraId="0E24440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免费质保期内，若</w:t>
      </w:r>
      <w:r>
        <w:rPr>
          <w:rFonts w:hint="eastAsia" w:ascii="宋体" w:hAnsi="宋体" w:cs="宋体"/>
          <w:color w:val="auto"/>
          <w:sz w:val="24"/>
          <w:szCs w:val="18"/>
          <w:highlight w:val="none"/>
          <w:lang w:val="en-US" w:eastAsia="zh-CN"/>
        </w:rPr>
        <w:t>设备</w:t>
      </w:r>
      <w:r>
        <w:rPr>
          <w:rFonts w:hint="eastAsia" w:ascii="宋体" w:hAnsi="宋体" w:cs="宋体"/>
          <w:bCs/>
          <w:color w:val="auto"/>
          <w:sz w:val="24"/>
          <w:highlight w:val="none"/>
          <w:lang w:val="en-US" w:eastAsia="zh-CN"/>
        </w:rPr>
        <w:t>出现质量问题，乙方须在接到报修通知后2小时内响应并抵达现场，于4小时内排除故障；如遇紧急情况，须严格按照甲方规定的时限完成故障处理。若无法排除故障，须提供同规格可用产品或可行解决方案供甲方临时使用，直至故障解决。如需更换设备或送修，乙方须在48小时内完成相关工作，更换或送修期间对甲方造成的相关损失等全部费用，均由乙方承担。</w:t>
      </w:r>
    </w:p>
    <w:p w14:paraId="6ECA063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en-US" w:eastAsia="zh-CN"/>
        </w:rPr>
        <w:t>（3）免费质保期内，除人为损坏及不可抗力因素外，所有设备质量问题的维修（包括设备整体更换、配件更换、返厂保修等）及配套服务所产生的费用均由乙方承担，且须</w:t>
      </w:r>
      <w:r>
        <w:rPr>
          <w:rFonts w:hint="eastAsia" w:ascii="宋体" w:hAnsi="宋体" w:cs="宋体"/>
          <w:color w:val="auto"/>
          <w:sz w:val="24"/>
          <w:szCs w:val="18"/>
          <w:highlight w:val="none"/>
          <w:lang w:val="en-US" w:eastAsia="zh-CN"/>
        </w:rPr>
        <w:t>免费修复至设备原始性能要求</w:t>
      </w:r>
      <w:r>
        <w:rPr>
          <w:rFonts w:hint="eastAsia" w:ascii="宋体" w:hAnsi="宋体" w:cs="宋体"/>
          <w:bCs/>
          <w:color w:val="auto"/>
          <w:sz w:val="24"/>
          <w:highlight w:val="none"/>
          <w:lang w:val="en-US" w:eastAsia="zh-CN"/>
        </w:rPr>
        <w:t>。</w:t>
      </w:r>
    </w:p>
    <w:p w14:paraId="0CBE386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en-US" w:eastAsia="zh-CN"/>
        </w:rPr>
        <w:t>（4）免费质保期内</w:t>
      </w:r>
      <w:r>
        <w:rPr>
          <w:rFonts w:hint="eastAsia" w:ascii="宋体" w:hAnsi="宋体" w:cs="宋体"/>
          <w:color w:val="auto"/>
          <w:sz w:val="24"/>
          <w:szCs w:val="18"/>
          <w:highlight w:val="none"/>
          <w:lang w:val="en-US" w:eastAsia="zh-CN"/>
        </w:rPr>
        <w:t>，若经确认设备故障系出厂缺陷导致，且已完成保修，则该设备的免费质保期自保修后恢复正常工作之日起重新计算；</w:t>
      </w:r>
      <w:r>
        <w:rPr>
          <w:rFonts w:hint="eastAsia" w:ascii="宋体" w:hAnsi="宋体" w:eastAsia="宋体" w:cs="Times New Roman"/>
          <w:color w:val="auto"/>
          <w:kern w:val="0"/>
          <w:sz w:val="24"/>
          <w:szCs w:val="18"/>
          <w:highlight w:val="none"/>
          <w:lang w:val="en-US" w:eastAsia="zh-CN"/>
        </w:rPr>
        <w:t>若因更换、修理或续补货物导致</w:t>
      </w:r>
      <w:r>
        <w:rPr>
          <w:rFonts w:hint="eastAsia" w:ascii="宋体" w:hAnsi="宋体" w:cs="Times New Roman"/>
          <w:color w:val="auto"/>
          <w:kern w:val="0"/>
          <w:sz w:val="24"/>
          <w:szCs w:val="18"/>
          <w:highlight w:val="none"/>
          <w:lang w:val="en-US" w:eastAsia="zh-CN"/>
        </w:rPr>
        <w:t>设备</w:t>
      </w:r>
      <w:r>
        <w:rPr>
          <w:rFonts w:hint="eastAsia" w:ascii="宋体" w:hAnsi="宋体" w:eastAsia="宋体" w:cs="Times New Roman"/>
          <w:color w:val="auto"/>
          <w:kern w:val="0"/>
          <w:sz w:val="24"/>
          <w:szCs w:val="18"/>
          <w:highlight w:val="none"/>
          <w:lang w:val="en-US" w:eastAsia="zh-CN"/>
        </w:rPr>
        <w:t>停止运行，</w:t>
      </w:r>
      <w:r>
        <w:rPr>
          <w:rFonts w:hint="eastAsia" w:ascii="宋体" w:hAnsi="宋体" w:cs="宋体"/>
          <w:color w:val="auto"/>
          <w:sz w:val="24"/>
          <w:szCs w:val="18"/>
          <w:highlight w:val="none"/>
          <w:lang w:val="en-US" w:eastAsia="zh-CN"/>
        </w:rPr>
        <w:t>则该设备的免费质保期</w:t>
      </w:r>
      <w:r>
        <w:rPr>
          <w:rFonts w:hint="eastAsia" w:ascii="宋体" w:hAnsi="宋体" w:eastAsia="宋体" w:cs="Times New Roman"/>
          <w:color w:val="auto"/>
          <w:kern w:val="0"/>
          <w:sz w:val="24"/>
          <w:szCs w:val="18"/>
          <w:highlight w:val="none"/>
          <w:lang w:val="en-US" w:eastAsia="zh-CN"/>
        </w:rPr>
        <w:t>应当按照实际停止运行的时长相应延长。</w:t>
      </w:r>
    </w:p>
    <w:p w14:paraId="53284C7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lang w:eastAsia="zh-CN"/>
        </w:rPr>
        <w:t>）乙方</w:t>
      </w:r>
      <w:r>
        <w:rPr>
          <w:rFonts w:hint="eastAsia" w:ascii="宋体" w:hAnsi="宋体" w:cs="宋体"/>
          <w:bCs/>
          <w:color w:val="auto"/>
          <w:sz w:val="24"/>
          <w:highlight w:val="none"/>
        </w:rPr>
        <w:t>在提供售后服务过程中，所需人员、车辆、工具、耗材及仪表等</w:t>
      </w:r>
      <w:r>
        <w:rPr>
          <w:rFonts w:hint="eastAsia" w:ascii="宋体" w:hAnsi="宋体" w:cs="宋体"/>
          <w:bCs/>
          <w:color w:val="auto"/>
          <w:sz w:val="24"/>
          <w:highlight w:val="none"/>
          <w:lang w:eastAsia="zh-CN"/>
        </w:rPr>
        <w:t>均由其</w:t>
      </w:r>
      <w:r>
        <w:rPr>
          <w:rFonts w:hint="eastAsia" w:ascii="宋体" w:hAnsi="宋体" w:cs="宋体"/>
          <w:bCs/>
          <w:color w:val="auto"/>
          <w:sz w:val="24"/>
          <w:highlight w:val="none"/>
        </w:rPr>
        <w:t>自行准备</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相关</w:t>
      </w:r>
      <w:r>
        <w:rPr>
          <w:rFonts w:hint="eastAsia" w:ascii="宋体" w:hAnsi="宋体" w:cs="宋体"/>
          <w:bCs/>
          <w:color w:val="auto"/>
          <w:sz w:val="24"/>
          <w:highlight w:val="none"/>
          <w:lang w:val="en-US" w:eastAsia="zh-CN"/>
        </w:rPr>
        <w:t>费用</w:t>
      </w:r>
      <w:r>
        <w:rPr>
          <w:rFonts w:hint="eastAsia" w:ascii="宋体" w:hAnsi="宋体" w:cs="宋体"/>
          <w:bCs/>
          <w:color w:val="auto"/>
          <w:sz w:val="24"/>
          <w:highlight w:val="none"/>
        </w:rPr>
        <w:t>自行承担。</w:t>
      </w:r>
    </w:p>
    <w:p w14:paraId="4E31757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lang w:eastAsia="zh-CN"/>
        </w:rPr>
        <w:t>）免费质保期内，乙方须每半年安排专人上门对货物进行免费巡检，排查潜在故障隐患，并向甲方提交书面巡检报告；若发现问题须立即进行现场维修处理，相关费用仍由乙方承担。</w:t>
      </w:r>
    </w:p>
    <w:p w14:paraId="55A25B3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lang w:eastAsia="zh-CN"/>
        </w:rPr>
        <w:t>）免费质保期内，乙方须安排固定专人作为本项目的售后服务对接人，提供7</w:t>
      </w:r>
      <w:r>
        <w:rPr>
          <w:rFonts w:hint="eastAsia" w:ascii="宋体" w:hAnsi="宋体" w:cs="宋体"/>
          <w:bCs/>
          <w:color w:val="auto"/>
          <w:sz w:val="24"/>
          <w:highlight w:val="none"/>
          <w:lang w:val="en-US" w:eastAsia="zh-CN"/>
        </w:rPr>
        <w:t>*</w:t>
      </w:r>
      <w:r>
        <w:rPr>
          <w:rFonts w:hint="eastAsia" w:ascii="宋体" w:hAnsi="宋体" w:cs="宋体"/>
          <w:bCs/>
          <w:color w:val="auto"/>
          <w:sz w:val="24"/>
          <w:highlight w:val="none"/>
          <w:lang w:eastAsia="zh-CN"/>
        </w:rPr>
        <w:t>24小时可接通的联系方式，若对接人发生变更须提前15个工作日书面告知甲方。</w:t>
      </w:r>
    </w:p>
    <w:p w14:paraId="0DAD71B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免费质保期届满后</w:t>
      </w:r>
      <w:r>
        <w:rPr>
          <w:rFonts w:hint="eastAsia" w:ascii="宋体" w:hAnsi="宋体" w:eastAsia="宋体" w:cs="Times New Roman"/>
          <w:color w:val="auto"/>
          <w:kern w:val="0"/>
          <w:sz w:val="24"/>
          <w:szCs w:val="18"/>
          <w:highlight w:val="none"/>
          <w:lang w:val="en-US" w:eastAsia="zh-CN"/>
        </w:rPr>
        <w:t>，若</w:t>
      </w:r>
      <w:r>
        <w:rPr>
          <w:rFonts w:hint="eastAsia" w:ascii="宋体" w:hAnsi="宋体" w:cs="Times New Roman"/>
          <w:color w:val="auto"/>
          <w:kern w:val="0"/>
          <w:sz w:val="24"/>
          <w:szCs w:val="18"/>
          <w:highlight w:val="none"/>
          <w:lang w:val="en-US" w:eastAsia="zh-CN"/>
        </w:rPr>
        <w:t>设备因</w:t>
      </w:r>
      <w:r>
        <w:rPr>
          <w:rFonts w:hint="eastAsia" w:ascii="宋体" w:hAnsi="宋体" w:eastAsia="宋体" w:cs="Times New Roman"/>
          <w:color w:val="auto"/>
          <w:kern w:val="0"/>
          <w:sz w:val="24"/>
          <w:szCs w:val="18"/>
          <w:highlight w:val="none"/>
          <w:lang w:val="en-US" w:eastAsia="zh-CN"/>
        </w:rPr>
        <w:t>硬件或软件的固有缺陷与瑕疵突发紧急故障，</w:t>
      </w:r>
      <w:r>
        <w:rPr>
          <w:rFonts w:hint="eastAsia" w:ascii="宋体" w:hAnsi="宋体" w:cs="Times New Roman"/>
          <w:color w:val="auto"/>
          <w:kern w:val="0"/>
          <w:sz w:val="24"/>
          <w:szCs w:val="18"/>
          <w:highlight w:val="none"/>
          <w:lang w:val="en-US" w:eastAsia="zh-CN"/>
        </w:rPr>
        <w:t>乙方应</w:t>
      </w:r>
      <w:r>
        <w:rPr>
          <w:rFonts w:hint="eastAsia" w:ascii="宋体" w:hAnsi="宋体" w:eastAsia="宋体" w:cs="Times New Roman"/>
          <w:color w:val="auto"/>
          <w:kern w:val="0"/>
          <w:sz w:val="24"/>
          <w:szCs w:val="18"/>
          <w:highlight w:val="none"/>
          <w:lang w:val="en-US" w:eastAsia="zh-CN"/>
        </w:rPr>
        <w:t>在接到</w:t>
      </w:r>
      <w:r>
        <w:rPr>
          <w:rFonts w:hint="eastAsia" w:ascii="宋体" w:hAnsi="宋体" w:cs="Times New Roman"/>
          <w:color w:val="auto"/>
          <w:kern w:val="0"/>
          <w:sz w:val="24"/>
          <w:szCs w:val="18"/>
          <w:highlight w:val="none"/>
          <w:lang w:val="en-US" w:eastAsia="zh-CN"/>
        </w:rPr>
        <w:t>甲方</w:t>
      </w:r>
      <w:r>
        <w:rPr>
          <w:rFonts w:hint="eastAsia" w:ascii="宋体" w:hAnsi="宋体" w:eastAsia="宋体" w:cs="Times New Roman"/>
          <w:color w:val="auto"/>
          <w:kern w:val="0"/>
          <w:sz w:val="24"/>
          <w:szCs w:val="18"/>
          <w:highlight w:val="none"/>
          <w:lang w:val="en-US" w:eastAsia="zh-CN"/>
        </w:rPr>
        <w:t>通知后立即提供电话支持与远程协助，并按照</w:t>
      </w:r>
      <w:r>
        <w:rPr>
          <w:rFonts w:hint="eastAsia" w:ascii="宋体" w:hAnsi="宋体" w:cs="Times New Roman"/>
          <w:color w:val="auto"/>
          <w:kern w:val="0"/>
          <w:sz w:val="24"/>
          <w:szCs w:val="18"/>
          <w:highlight w:val="none"/>
          <w:lang w:val="en-US" w:eastAsia="zh-CN"/>
        </w:rPr>
        <w:t>甲方要求的</w:t>
      </w:r>
      <w:r>
        <w:rPr>
          <w:rFonts w:hint="eastAsia" w:ascii="宋体" w:hAnsi="宋体" w:eastAsia="宋体" w:cs="Times New Roman"/>
          <w:color w:val="auto"/>
          <w:kern w:val="0"/>
          <w:sz w:val="24"/>
          <w:szCs w:val="18"/>
          <w:highlight w:val="none"/>
          <w:lang w:val="en-US" w:eastAsia="zh-CN"/>
        </w:rPr>
        <w:t>时限抵达现场，尽快完成故障排查修复</w:t>
      </w:r>
      <w:r>
        <w:rPr>
          <w:rFonts w:hint="eastAsia" w:ascii="宋体" w:hAnsi="宋体" w:cs="Times New Roman"/>
          <w:color w:val="auto"/>
          <w:kern w:val="0"/>
          <w:sz w:val="24"/>
          <w:szCs w:val="18"/>
          <w:highlight w:val="none"/>
          <w:lang w:val="en-US" w:eastAsia="zh-CN"/>
        </w:rPr>
        <w:t>（包括</w:t>
      </w:r>
      <w:r>
        <w:rPr>
          <w:rFonts w:hint="eastAsia" w:ascii="宋体" w:hAnsi="宋体" w:cs="宋体"/>
          <w:bCs/>
          <w:color w:val="auto"/>
          <w:sz w:val="24"/>
          <w:highlight w:val="none"/>
          <w:lang w:val="en-US" w:eastAsia="zh-CN"/>
        </w:rPr>
        <w:t>回厂返修</w:t>
      </w:r>
      <w:r>
        <w:rPr>
          <w:rFonts w:hint="eastAsia" w:ascii="宋体" w:hAnsi="宋体" w:cs="Times New Roman"/>
          <w:color w:val="auto"/>
          <w:kern w:val="0"/>
          <w:sz w:val="24"/>
          <w:szCs w:val="18"/>
          <w:highlight w:val="none"/>
          <w:lang w:val="en-US" w:eastAsia="zh-CN"/>
        </w:rPr>
        <w:t>），相关费用由乙方承担；若故障无法解决，乙方须负责</w:t>
      </w:r>
      <w:r>
        <w:rPr>
          <w:rFonts w:hint="eastAsia" w:ascii="宋体" w:hAnsi="宋体" w:cs="宋体"/>
          <w:bCs/>
          <w:color w:val="auto"/>
          <w:sz w:val="24"/>
          <w:highlight w:val="none"/>
          <w:lang w:val="en-US" w:eastAsia="zh-CN"/>
        </w:rPr>
        <w:t>更换设备，相关费用由双方另行协商（旧设备可按折旧抵扣，乙方须承诺回收旧设备，新设备须给予优惠，价格不得高于本次中标单价）</w:t>
      </w:r>
      <w:r>
        <w:rPr>
          <w:rFonts w:hint="eastAsia" w:ascii="宋体" w:hAnsi="宋体" w:eastAsia="宋体" w:cs="Times New Roman"/>
          <w:color w:val="auto"/>
          <w:kern w:val="0"/>
          <w:sz w:val="24"/>
          <w:szCs w:val="18"/>
          <w:highlight w:val="none"/>
          <w:lang w:val="en-US" w:eastAsia="zh-CN"/>
        </w:rPr>
        <w:t>。</w:t>
      </w:r>
    </w:p>
    <w:p w14:paraId="69C9AFA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本合同约定的免费质保期届满后，</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仍须为</w:t>
      </w:r>
      <w:r>
        <w:rPr>
          <w:rFonts w:hint="eastAsia" w:ascii="宋体" w:hAnsi="宋体" w:cs="Times New Roman"/>
          <w:color w:val="auto"/>
          <w:kern w:val="0"/>
          <w:sz w:val="24"/>
          <w:szCs w:val="18"/>
          <w:highlight w:val="none"/>
          <w:lang w:val="en-US" w:eastAsia="zh-CN"/>
        </w:rPr>
        <w:t>甲方持续</w:t>
      </w:r>
      <w:r>
        <w:rPr>
          <w:rFonts w:hint="eastAsia" w:ascii="宋体" w:hAnsi="宋体" w:eastAsia="宋体" w:cs="Times New Roman"/>
          <w:color w:val="auto"/>
          <w:kern w:val="0"/>
          <w:sz w:val="24"/>
          <w:szCs w:val="18"/>
          <w:highlight w:val="none"/>
          <w:lang w:val="en-US" w:eastAsia="zh-CN"/>
        </w:rPr>
        <w:t>提供设备维修</w:t>
      </w:r>
      <w:r>
        <w:rPr>
          <w:rFonts w:hint="eastAsia" w:ascii="宋体" w:hAnsi="宋体" w:cs="Times New Roman"/>
          <w:color w:val="auto"/>
          <w:kern w:val="0"/>
          <w:sz w:val="24"/>
          <w:szCs w:val="18"/>
          <w:highlight w:val="none"/>
          <w:lang w:val="en-US" w:eastAsia="zh-CN"/>
        </w:rPr>
        <w:t>、技术支持与指导</w:t>
      </w:r>
      <w:r>
        <w:rPr>
          <w:rFonts w:hint="eastAsia" w:ascii="宋体" w:hAnsi="宋体" w:eastAsia="宋体" w:cs="Times New Roman"/>
          <w:color w:val="auto"/>
          <w:kern w:val="0"/>
          <w:sz w:val="24"/>
          <w:szCs w:val="18"/>
          <w:highlight w:val="none"/>
          <w:lang w:val="en-US" w:eastAsia="zh-CN"/>
        </w:rPr>
        <w:t>服务，</w:t>
      </w:r>
      <w:r>
        <w:rPr>
          <w:rFonts w:hint="eastAsia" w:ascii="宋体" w:hAnsi="宋体" w:cs="Times New Roman"/>
          <w:color w:val="auto"/>
          <w:kern w:val="0"/>
          <w:sz w:val="24"/>
          <w:szCs w:val="18"/>
          <w:highlight w:val="none"/>
          <w:lang w:val="en-US" w:eastAsia="zh-CN"/>
        </w:rPr>
        <w:t>甲方</w:t>
      </w:r>
      <w:r>
        <w:rPr>
          <w:rFonts w:hint="eastAsia" w:ascii="宋体" w:hAnsi="宋体" w:eastAsia="宋体" w:cs="Times New Roman"/>
          <w:color w:val="auto"/>
          <w:kern w:val="0"/>
          <w:sz w:val="24"/>
          <w:szCs w:val="18"/>
          <w:highlight w:val="none"/>
          <w:lang w:val="en-US" w:eastAsia="zh-CN"/>
        </w:rPr>
        <w:t>将按照</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给出的不低于其他第三方的优惠价格支付相关费用；同时</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保证，在本合同货物的全使用周期内，向</w:t>
      </w:r>
      <w:r>
        <w:rPr>
          <w:rFonts w:hint="eastAsia" w:ascii="宋体" w:hAnsi="宋体" w:cs="Times New Roman"/>
          <w:color w:val="auto"/>
          <w:kern w:val="0"/>
          <w:sz w:val="24"/>
          <w:szCs w:val="18"/>
          <w:highlight w:val="none"/>
          <w:lang w:val="en-US" w:eastAsia="zh-CN"/>
        </w:rPr>
        <w:t>甲方</w:t>
      </w:r>
      <w:r>
        <w:rPr>
          <w:rFonts w:hint="eastAsia" w:ascii="宋体" w:hAnsi="宋体" w:eastAsia="宋体" w:cs="Times New Roman"/>
          <w:color w:val="auto"/>
          <w:kern w:val="0"/>
          <w:sz w:val="24"/>
          <w:szCs w:val="18"/>
          <w:highlight w:val="none"/>
          <w:lang w:val="en-US" w:eastAsia="zh-CN"/>
        </w:rPr>
        <w:t>提供备品、备件及维修服务的价格不高于本合同约定的货物、相关配件及服务价格，且不低于给予任何第三方的优惠价格。</w:t>
      </w:r>
    </w:p>
    <w:p w14:paraId="655D179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若</w:t>
      </w:r>
      <w:r>
        <w:rPr>
          <w:rFonts w:hint="eastAsia" w:ascii="宋体" w:hAnsi="宋体" w:cs="宋体"/>
          <w:bCs/>
          <w:color w:val="auto"/>
          <w:sz w:val="24"/>
          <w:highlight w:val="none"/>
          <w:lang w:val="en-US" w:eastAsia="zh-CN"/>
        </w:rPr>
        <w:t>乙方未按上述（1）-（8）项要求提供售后服务</w:t>
      </w:r>
      <w:r>
        <w:rPr>
          <w:rFonts w:hint="eastAsia" w:ascii="宋体" w:hAnsi="宋体" w:eastAsia="宋体" w:cs="宋体"/>
          <w:bCs/>
          <w:color w:val="auto"/>
          <w:sz w:val="24"/>
          <w:highlight w:val="none"/>
          <w:lang w:val="en-US" w:eastAsia="zh-CN"/>
        </w:rPr>
        <w:t>，须在甲方规定的合理期限内完成整改，整改费用由其自行承担；若乙方未按要求及时完成整改</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未达到整改要求、整改态度消极不配合或是拒不整改，</w:t>
      </w:r>
      <w:r>
        <w:rPr>
          <w:rFonts w:hint="eastAsia" w:ascii="宋体" w:hAnsi="宋体" w:cs="宋体"/>
          <w:bCs/>
          <w:color w:val="auto"/>
          <w:sz w:val="24"/>
          <w:highlight w:val="none"/>
          <w:lang w:val="en-US" w:eastAsia="zh-CN"/>
        </w:rPr>
        <w:t>须向甲方支付合同总价30%的违约金，甲方有权终止合同，也可在必要时委派第三方开展</w:t>
      </w:r>
      <w:r>
        <w:rPr>
          <w:rFonts w:hint="eastAsia" w:ascii="宋体" w:hAnsi="宋体" w:eastAsia="宋体" w:cs="Times New Roman"/>
          <w:color w:val="auto"/>
          <w:kern w:val="0"/>
          <w:sz w:val="24"/>
          <w:szCs w:val="18"/>
          <w:highlight w:val="none"/>
          <w:lang w:val="en-US" w:eastAsia="zh-CN"/>
        </w:rPr>
        <w:t>维修或提供技术服务</w:t>
      </w:r>
      <w:r>
        <w:rPr>
          <w:rFonts w:hint="eastAsia" w:ascii="宋体" w:hAnsi="宋体" w:cs="Times New Roman"/>
          <w:color w:val="auto"/>
          <w:kern w:val="0"/>
          <w:sz w:val="24"/>
          <w:szCs w:val="18"/>
          <w:highlight w:val="none"/>
          <w:lang w:val="en-US" w:eastAsia="zh-CN"/>
        </w:rPr>
        <w:t>，</w:t>
      </w:r>
      <w:r>
        <w:rPr>
          <w:rFonts w:hint="eastAsia" w:ascii="宋体" w:hAnsi="宋体" w:eastAsia="宋体" w:cs="Times New Roman"/>
          <w:color w:val="auto"/>
          <w:kern w:val="0"/>
          <w:sz w:val="24"/>
          <w:szCs w:val="18"/>
          <w:highlight w:val="none"/>
          <w:lang w:val="en-US" w:eastAsia="zh-CN"/>
        </w:rPr>
        <w:t>由此产生的全部费用由</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承担</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；甲方同时有权不再支付合同相应款项，不予退还履约保证金，追究乙方的相关经济与法律责任，乙方须退还甲方已支付的全部款项，还可提请相关监督管理部门依法处理</w:t>
      </w:r>
      <w:r>
        <w:rPr>
          <w:rFonts w:hint="eastAsia" w:ascii="宋体" w:hAnsi="宋体" w:eastAsia="宋体" w:cs="宋体"/>
          <w:bCs/>
          <w:color w:val="auto"/>
          <w:sz w:val="24"/>
          <w:highlight w:val="none"/>
          <w:lang w:val="en-US" w:eastAsia="zh-CN"/>
        </w:rPr>
        <w:t>。</w:t>
      </w:r>
    </w:p>
    <w:p w14:paraId="5536DE9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highlight w:val="none"/>
          <w:lang w:eastAsia="zh-CN"/>
        </w:rPr>
      </w:pP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.出现以下情形之一的，</w:t>
      </w:r>
      <w:r>
        <w:rPr>
          <w:rFonts w:hint="eastAsia" w:ascii="宋体" w:hAnsi="宋体" w:cs="宋体"/>
          <w:b/>
          <w:color w:val="auto"/>
          <w:sz w:val="24"/>
          <w:highlight w:val="none"/>
          <w:lang w:eastAsia="zh-CN"/>
        </w:rPr>
        <w:t>甲方</w:t>
      </w:r>
      <w:r>
        <w:rPr>
          <w:rFonts w:hint="eastAsia" w:ascii="宋体" w:hAnsi="宋体" w:cs="宋体"/>
          <w:b/>
          <w:color w:val="auto"/>
          <w:sz w:val="24"/>
          <w:highlight w:val="none"/>
        </w:rPr>
        <w:t>有权</w:t>
      </w:r>
      <w:r>
        <w:rPr>
          <w:rFonts w:hint="eastAsia" w:ascii="宋体" w:hAnsi="宋体" w:cs="宋体"/>
          <w:b/>
          <w:color w:val="auto"/>
          <w:sz w:val="24"/>
          <w:highlight w:val="none"/>
          <w:lang w:val="en-US" w:eastAsia="zh-CN"/>
        </w:rPr>
        <w:t>终止</w:t>
      </w:r>
      <w:r>
        <w:rPr>
          <w:rFonts w:hint="eastAsia" w:ascii="宋体" w:hAnsi="宋体" w:cs="宋体"/>
          <w:b/>
          <w:color w:val="auto"/>
          <w:sz w:val="24"/>
          <w:highlight w:val="none"/>
        </w:rPr>
        <w:t>合同</w:t>
      </w:r>
      <w:r>
        <w:rPr>
          <w:rFonts w:hint="eastAsia" w:ascii="宋体" w:hAnsi="宋体" w:cs="宋体"/>
          <w:b/>
          <w:color w:val="auto"/>
          <w:sz w:val="24"/>
          <w:highlight w:val="none"/>
          <w:lang w:eastAsia="zh-CN"/>
        </w:rPr>
        <w:t>：</w:t>
      </w:r>
    </w:p>
    <w:p w14:paraId="71C916F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 w:val="0"/>
          <w:bCs/>
          <w:color w:val="auto"/>
          <w:sz w:val="24"/>
          <w:highlight w:val="none"/>
        </w:rPr>
        <w:t>（1）合同履行期间，</w:t>
      </w:r>
      <w:r>
        <w:rPr>
          <w:rFonts w:hint="eastAsia" w:ascii="宋体" w:hAnsi="宋体" w:cs="宋体"/>
          <w:b w:val="0"/>
          <w:bCs/>
          <w:color w:val="auto"/>
          <w:sz w:val="24"/>
          <w:highlight w:val="none"/>
          <w:lang w:eastAsia="zh-CN"/>
        </w:rPr>
        <w:t>甲方</w:t>
      </w:r>
      <w:r>
        <w:rPr>
          <w:rFonts w:hint="eastAsia" w:ascii="宋体" w:hAnsi="宋体" w:cs="宋体"/>
          <w:b w:val="0"/>
          <w:bCs/>
          <w:color w:val="auto"/>
          <w:sz w:val="24"/>
          <w:highlight w:val="none"/>
        </w:rPr>
        <w:t>有权对</w:t>
      </w:r>
      <w:r>
        <w:rPr>
          <w:rFonts w:hint="eastAsia" w:ascii="宋体" w:hAnsi="宋体" w:cs="宋体"/>
          <w:b w:val="0"/>
          <w:bCs/>
          <w:color w:val="auto"/>
          <w:sz w:val="24"/>
          <w:highlight w:val="none"/>
          <w:lang w:eastAsia="zh-CN"/>
        </w:rPr>
        <w:t>乙方</w:t>
      </w:r>
      <w:r>
        <w:rPr>
          <w:rFonts w:hint="eastAsia" w:ascii="宋体" w:hAnsi="宋体" w:cs="宋体"/>
          <w:b w:val="0"/>
          <w:bCs/>
          <w:color w:val="auto"/>
          <w:sz w:val="24"/>
          <w:highlight w:val="none"/>
        </w:rPr>
        <w:t>提供的货物</w:t>
      </w:r>
      <w:r>
        <w:rPr>
          <w:rFonts w:hint="eastAsia" w:ascii="宋体" w:hAnsi="宋体" w:cs="宋体"/>
          <w:b w:val="0"/>
          <w:bCs/>
          <w:color w:val="auto"/>
          <w:sz w:val="24"/>
          <w:highlight w:val="none"/>
          <w:lang w:eastAsia="zh-CN"/>
        </w:rPr>
        <w:t>开展</w:t>
      </w:r>
      <w:r>
        <w:rPr>
          <w:rFonts w:hint="eastAsia" w:ascii="宋体" w:hAnsi="宋体" w:cs="宋体"/>
          <w:b w:val="0"/>
          <w:bCs/>
          <w:color w:val="auto"/>
          <w:sz w:val="24"/>
          <w:highlight w:val="none"/>
        </w:rPr>
        <w:t>随机破坏性试验。若发现实物材质与清单描述不符，</w:t>
      </w:r>
      <w:r>
        <w:rPr>
          <w:rFonts w:hint="eastAsia" w:ascii="宋体" w:hAnsi="宋体" w:eastAsia="宋体" w:cs="宋体"/>
          <w:bCs/>
          <w:color w:val="auto"/>
          <w:sz w:val="24"/>
          <w:highlight w:val="none"/>
          <w:lang w:val="en-US" w:eastAsia="zh-CN"/>
        </w:rPr>
        <w:t>乙方须在甲方规定的合理期限内完成整改，整改费用由其自行承担；若乙方未按要求及时完成整改且影响整体履约期限的，除承担相应的逾期违约金外，还须按每日2000元的标准向甲方额外支付违约金；逾期超过7日仍未达到整改要求、整改态度消极不配合或拒不整改的，</w:t>
      </w:r>
      <w:r>
        <w:rPr>
          <w:rFonts w:hint="eastAsia" w:ascii="宋体" w:hAnsi="宋体" w:cs="宋体"/>
          <w:bCs/>
          <w:color w:val="auto"/>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；甲方有权终止合同，不再支付合同相应款项，履约保证金不予退还，并追究乙方的相关经济与法律责任（乙方须退还甲方已支付的全部款项），同时可提请相关监督管理部门依法处理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。若对验收结果存在质疑，以相关质量技术检验检测机构出具的检验结果为准；如产生检验费用，由过失方承担。</w:t>
      </w:r>
    </w:p>
    <w:p w14:paraId="2FE9B45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val="0"/>
          <w:bCs/>
          <w:color w:val="auto"/>
          <w:sz w:val="24"/>
          <w:highlight w:val="none"/>
        </w:rPr>
      </w:pPr>
      <w:r>
        <w:rPr>
          <w:rFonts w:hint="eastAsia" w:ascii="宋体" w:hAnsi="宋体" w:cs="宋体"/>
          <w:b w:val="0"/>
          <w:bCs/>
          <w:color w:val="auto"/>
          <w:sz w:val="24"/>
          <w:highlight w:val="none"/>
        </w:rPr>
        <w:t>（2）</w:t>
      </w:r>
      <w:r>
        <w:rPr>
          <w:rFonts w:hint="eastAsia" w:ascii="宋体" w:hAnsi="宋体" w:cs="宋体"/>
          <w:b w:val="0"/>
          <w:bCs/>
          <w:color w:val="auto"/>
          <w:sz w:val="24"/>
          <w:highlight w:val="none"/>
          <w:lang w:eastAsia="zh-CN"/>
        </w:rPr>
        <w:t>乙方</w:t>
      </w:r>
      <w:r>
        <w:rPr>
          <w:rFonts w:hint="eastAsia" w:ascii="宋体" w:hAnsi="宋体" w:cs="宋体"/>
          <w:b w:val="0"/>
          <w:bCs/>
          <w:color w:val="auto"/>
          <w:sz w:val="24"/>
          <w:highlight w:val="none"/>
        </w:rPr>
        <w:t>所供货物须符合采购文件及投标文件约定的实际参数。货物运抵场地后，</w:t>
      </w:r>
      <w:r>
        <w:rPr>
          <w:rFonts w:hint="eastAsia" w:ascii="宋体" w:hAnsi="宋体" w:cs="宋体"/>
          <w:b w:val="0"/>
          <w:bCs/>
          <w:color w:val="auto"/>
          <w:sz w:val="24"/>
          <w:highlight w:val="none"/>
          <w:lang w:eastAsia="zh-CN"/>
        </w:rPr>
        <w:t>甲方</w:t>
      </w:r>
      <w:r>
        <w:rPr>
          <w:rFonts w:hint="eastAsia" w:ascii="宋体" w:hAnsi="宋体" w:cs="宋体"/>
          <w:b w:val="0"/>
          <w:bCs/>
          <w:color w:val="auto"/>
          <w:sz w:val="24"/>
          <w:highlight w:val="none"/>
        </w:rPr>
        <w:t>有权委托第三方法定检验机构</w:t>
      </w:r>
      <w:r>
        <w:rPr>
          <w:rFonts w:hint="eastAsia" w:ascii="宋体" w:hAnsi="宋体" w:cs="宋体"/>
          <w:b w:val="0"/>
          <w:bCs/>
          <w:color w:val="auto"/>
          <w:sz w:val="24"/>
          <w:highlight w:val="none"/>
          <w:lang w:eastAsia="zh-CN"/>
        </w:rPr>
        <w:t>进行</w:t>
      </w:r>
      <w:r>
        <w:rPr>
          <w:rFonts w:hint="eastAsia" w:ascii="宋体" w:hAnsi="宋体" w:cs="宋体"/>
          <w:b w:val="0"/>
          <w:bCs/>
          <w:color w:val="auto"/>
          <w:sz w:val="24"/>
          <w:highlight w:val="none"/>
        </w:rPr>
        <w:t>抽样检测并出具书面报告。若检测不达标（包括实际供货参数与承诺不符、检测指标不合格等</w:t>
      </w:r>
      <w:r>
        <w:rPr>
          <w:rFonts w:hint="eastAsia" w:ascii="宋体" w:hAnsi="宋体" w:cs="宋体"/>
          <w:b w:val="0"/>
          <w:bCs/>
          <w:color w:val="auto"/>
          <w:sz w:val="24"/>
          <w:highlight w:val="none"/>
          <w:lang w:eastAsia="zh-CN"/>
        </w:rPr>
        <w:t>情形</w:t>
      </w:r>
      <w:r>
        <w:rPr>
          <w:rFonts w:hint="eastAsia" w:ascii="宋体" w:hAnsi="宋体" w:cs="宋体"/>
          <w:b w:val="0"/>
          <w:bCs/>
          <w:color w:val="auto"/>
          <w:sz w:val="24"/>
          <w:highlight w:val="none"/>
        </w:rPr>
        <w:t>），</w:t>
      </w:r>
      <w:r>
        <w:rPr>
          <w:rFonts w:hint="eastAsia" w:ascii="宋体" w:hAnsi="宋体" w:eastAsia="宋体" w:cs="宋体"/>
          <w:bCs/>
          <w:color w:val="auto"/>
          <w:sz w:val="24"/>
          <w:highlight w:val="none"/>
          <w:lang w:val="en-US" w:eastAsia="zh-CN"/>
        </w:rPr>
        <w:t>乙方须在甲方规定的合理期限内完成整改，整改费用由其自行承担；若乙方未按要求及时完成整改且影响整体履约期限的，除承担相应的逾期违约金外，还须按每日2000元的标准向甲方额外支付违约金；逾期超过7日仍未达到整改要求、整改态度消极不配合或拒不整改的，</w:t>
      </w:r>
      <w:r>
        <w:rPr>
          <w:rFonts w:hint="eastAsia" w:ascii="宋体" w:hAnsi="宋体" w:cs="宋体"/>
          <w:bCs/>
          <w:color w:val="auto"/>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；甲方有权终止合同，不再支付合同相应款项，履约保证金不予退还，并追究乙方的相关经济与法律责任（乙方须退还甲方已支付的全部款项），同时可提请相关监督管理部门依法处理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。若对验收结果存在质疑，以相关质量技术检验检测机构出具的检验结果为准；如产生检验费用，由过失方承担。</w:t>
      </w:r>
    </w:p>
    <w:p w14:paraId="1201E81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9</w:t>
      </w:r>
      <w:r>
        <w:rPr>
          <w:rFonts w:hint="eastAsia" w:ascii="宋体" w:hAnsi="宋体" w:cs="宋体"/>
          <w:b/>
          <w:bCs w:val="0"/>
          <w:color w:val="auto"/>
          <w:highlight w:val="none"/>
        </w:rPr>
        <w:t>.</w:t>
      </w:r>
      <w:r>
        <w:rPr>
          <w:rFonts w:hint="eastAsia" w:ascii="宋体" w:hAnsi="宋体" w:cs="宋体"/>
          <w:b/>
          <w:bCs w:val="0"/>
          <w:color w:val="auto"/>
          <w:sz w:val="24"/>
          <w:highlight w:val="none"/>
        </w:rPr>
        <w:t>包装要求：</w:t>
      </w:r>
    </w:p>
    <w:p w14:paraId="4CF2BB3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en-US" w:eastAsia="zh-CN"/>
        </w:rPr>
        <w:t>（1）乙方</w:t>
      </w:r>
      <w:r>
        <w:rPr>
          <w:rFonts w:hint="eastAsia" w:ascii="宋体" w:hAnsi="宋体" w:eastAsia="宋体" w:cs="Times New Roman"/>
          <w:color w:val="auto"/>
          <w:kern w:val="0"/>
          <w:sz w:val="24"/>
          <w:szCs w:val="18"/>
          <w:highlight w:val="none"/>
          <w:lang w:val="en-US" w:eastAsia="zh-CN"/>
        </w:rPr>
        <w:t>交付的全部合同</w:t>
      </w:r>
      <w:r>
        <w:rPr>
          <w:rFonts w:hint="eastAsia" w:ascii="宋体" w:hAnsi="宋体" w:cs="Times New Roman"/>
          <w:color w:val="auto"/>
          <w:kern w:val="0"/>
          <w:sz w:val="24"/>
          <w:szCs w:val="18"/>
          <w:highlight w:val="none"/>
          <w:lang w:val="en-US" w:eastAsia="zh-CN"/>
        </w:rPr>
        <w:t>标的物，</w:t>
      </w:r>
      <w:r>
        <w:rPr>
          <w:rFonts w:hint="eastAsia" w:ascii="宋体" w:hAnsi="宋体" w:cs="宋体"/>
          <w:bCs/>
          <w:color w:val="auto"/>
          <w:sz w:val="24"/>
          <w:highlight w:val="none"/>
          <w:lang w:val="en-US" w:eastAsia="zh-CN"/>
        </w:rPr>
        <w:t>必须符合国家相关产品包装标准，</w:t>
      </w:r>
      <w:r>
        <w:rPr>
          <w:rFonts w:hint="eastAsia" w:ascii="宋体" w:hAnsi="宋体" w:eastAsia="宋体" w:cs="Times New Roman"/>
          <w:color w:val="auto"/>
          <w:kern w:val="0"/>
          <w:sz w:val="24"/>
          <w:szCs w:val="18"/>
          <w:highlight w:val="none"/>
          <w:lang w:val="en-US" w:eastAsia="zh-CN"/>
        </w:rPr>
        <w:t>采用满足运输要求的坚固包装</w:t>
      </w:r>
      <w:r>
        <w:rPr>
          <w:rFonts w:hint="eastAsia" w:ascii="宋体" w:hAnsi="宋体" w:cs="宋体"/>
          <w:bCs/>
          <w:color w:val="auto"/>
          <w:sz w:val="24"/>
          <w:highlight w:val="none"/>
          <w:lang w:val="en-US" w:eastAsia="zh-CN"/>
        </w:rPr>
        <w:t>，落实防腐、防潮、防震、防锈、防破损、防磕碰、防静电、防火等防护措施，适应长途运输、多次搬运及装卸作业需求，确保产品在运输和存储过程中完好无损，</w:t>
      </w:r>
      <w:r>
        <w:rPr>
          <w:rFonts w:hint="eastAsia" w:ascii="宋体" w:hAnsi="宋体" w:eastAsia="宋体" w:cs="Times New Roman"/>
          <w:color w:val="auto"/>
          <w:kern w:val="0"/>
          <w:sz w:val="24"/>
          <w:szCs w:val="18"/>
          <w:highlight w:val="none"/>
          <w:lang w:val="en-US" w:eastAsia="zh-CN"/>
        </w:rPr>
        <w:t>安全送达</w:t>
      </w:r>
      <w:r>
        <w:rPr>
          <w:rFonts w:hint="eastAsia" w:ascii="宋体" w:hAnsi="宋体" w:cs="Times New Roman"/>
          <w:color w:val="auto"/>
          <w:kern w:val="0"/>
          <w:sz w:val="24"/>
          <w:szCs w:val="18"/>
          <w:highlight w:val="none"/>
          <w:lang w:val="en-US" w:eastAsia="zh-CN"/>
        </w:rPr>
        <w:t>甲方指定的交货地点</w:t>
      </w:r>
      <w:r>
        <w:rPr>
          <w:rFonts w:hint="eastAsia" w:ascii="宋体" w:hAnsi="宋体" w:cs="宋体"/>
          <w:bCs/>
          <w:color w:val="auto"/>
          <w:sz w:val="24"/>
          <w:highlight w:val="none"/>
          <w:lang w:val="en-US" w:eastAsia="zh-CN"/>
        </w:rPr>
        <w:t>。</w:t>
      </w:r>
    </w:p>
    <w:p w14:paraId="702A584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若项目涉及多个分项产品，乙方应按不同分项分别包装，方便甲方清点核对及后期安装作业。</w:t>
      </w:r>
    </w:p>
    <w:p w14:paraId="3920476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（3）包装应采用不易褪色的油漆标注醒目的中文标识，清晰标注</w:t>
      </w:r>
      <w:r>
        <w:rPr>
          <w:rFonts w:hint="default" w:ascii="宋体" w:hAnsi="宋体" w:cs="宋体"/>
          <w:bCs/>
          <w:color w:val="auto"/>
          <w:sz w:val="24"/>
          <w:highlight w:val="none"/>
          <w:lang w:val="en-US" w:eastAsia="zh-CN"/>
        </w:rPr>
        <w:t>货物名称</w:t>
      </w:r>
      <w:r>
        <w:rPr>
          <w:rFonts w:hint="eastAsia" w:ascii="宋体" w:hAnsi="宋体" w:cs="宋体"/>
          <w:bCs/>
          <w:color w:val="auto"/>
          <w:sz w:val="24"/>
          <w:highlight w:val="none"/>
          <w:lang w:val="en-US" w:eastAsia="zh-CN"/>
        </w:rPr>
        <w:t>、规格型号（主要信息）、生产厂家、生产日期、执行标准、发货单位、发货单位详细地址，以及相应警示标识：包括“勿倒置”“小心轻放”“防潮”等警示标志，同时标注“重心”等供装卸搬运使用的通用标识图案，方便开展装卸搬运作业；如采用集装箱装运，还应额外标注</w:t>
      </w:r>
      <w:r>
        <w:rPr>
          <w:rFonts w:hint="default" w:ascii="宋体" w:hAnsi="宋体" w:cs="宋体"/>
          <w:bCs/>
          <w:color w:val="auto"/>
          <w:sz w:val="24"/>
          <w:highlight w:val="none"/>
          <w:lang w:val="en-US" w:eastAsia="zh-CN"/>
        </w:rPr>
        <w:t>箱号/件号</w:t>
      </w:r>
      <w:r>
        <w:rPr>
          <w:rFonts w:hint="eastAsia" w:ascii="宋体" w:hAnsi="宋体" w:cs="宋体"/>
          <w:bCs/>
          <w:color w:val="auto"/>
          <w:sz w:val="24"/>
          <w:highlight w:val="none"/>
          <w:lang w:val="en-US" w:eastAsia="zh-CN"/>
        </w:rPr>
        <w:t>、</w:t>
      </w:r>
      <w:r>
        <w:rPr>
          <w:rFonts w:hint="default" w:ascii="宋体" w:hAnsi="宋体" w:cs="宋体"/>
          <w:bCs/>
          <w:color w:val="auto"/>
          <w:sz w:val="24"/>
          <w:highlight w:val="none"/>
          <w:lang w:val="en-US" w:eastAsia="zh-CN"/>
        </w:rPr>
        <w:t>毛重（千克）</w:t>
      </w:r>
      <w:r>
        <w:rPr>
          <w:rFonts w:hint="eastAsia" w:ascii="宋体" w:hAnsi="宋体" w:cs="宋体"/>
          <w:bCs/>
          <w:color w:val="auto"/>
          <w:sz w:val="24"/>
          <w:highlight w:val="none"/>
          <w:lang w:val="en-US" w:eastAsia="zh-CN"/>
        </w:rPr>
        <w:t>、</w:t>
      </w:r>
      <w:r>
        <w:rPr>
          <w:rFonts w:hint="default" w:ascii="宋体" w:hAnsi="宋体" w:cs="宋体"/>
          <w:bCs/>
          <w:color w:val="auto"/>
          <w:sz w:val="24"/>
          <w:highlight w:val="none"/>
          <w:lang w:val="en-US" w:eastAsia="zh-CN"/>
        </w:rPr>
        <w:t>尺寸（长×宽×高）</w:t>
      </w:r>
      <w:r>
        <w:rPr>
          <w:rFonts w:hint="eastAsia" w:ascii="宋体" w:hAnsi="宋体" w:cs="宋体"/>
          <w:bCs/>
          <w:color w:val="auto"/>
          <w:sz w:val="24"/>
          <w:highlight w:val="none"/>
          <w:lang w:val="en-US" w:eastAsia="zh-CN"/>
        </w:rPr>
        <w:t>。</w:t>
      </w:r>
    </w:p>
    <w:p w14:paraId="67B8BF1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（4）原厂原包装产品需保留完整原厂包装，</w:t>
      </w:r>
      <w:r>
        <w:rPr>
          <w:rFonts w:hint="default" w:ascii="宋体" w:hAnsi="宋体" w:eastAsia="宋体" w:cs="Times New Roman"/>
          <w:color w:val="auto"/>
          <w:kern w:val="0"/>
          <w:sz w:val="24"/>
          <w:szCs w:val="18"/>
          <w:highlight w:val="none"/>
          <w:lang w:val="en-US" w:eastAsia="zh-CN"/>
        </w:rPr>
        <w:t>装箱</w:t>
      </w:r>
      <w:r>
        <w:rPr>
          <w:rFonts w:hint="eastAsia" w:ascii="宋体" w:hAnsi="宋体" w:cs="Times New Roman"/>
          <w:color w:val="auto"/>
          <w:kern w:val="0"/>
          <w:sz w:val="24"/>
          <w:szCs w:val="18"/>
          <w:highlight w:val="none"/>
          <w:lang w:val="en-US" w:eastAsia="zh-CN"/>
        </w:rPr>
        <w:t>清单（含货物名称、数量、规格型号、配件清单等）、完整</w:t>
      </w:r>
      <w:r>
        <w:rPr>
          <w:rFonts w:hint="eastAsia" w:ascii="宋体" w:hAnsi="宋体" w:cs="宋体"/>
          <w:bCs/>
          <w:color w:val="auto"/>
          <w:sz w:val="24"/>
          <w:highlight w:val="none"/>
          <w:lang w:val="en-US" w:eastAsia="zh-CN"/>
        </w:rPr>
        <w:t>配件、</w:t>
      </w:r>
      <w:r>
        <w:rPr>
          <w:rFonts w:hint="eastAsia" w:ascii="宋体" w:hAnsi="宋体" w:eastAsia="宋体" w:cs="宋体"/>
          <w:bCs/>
          <w:color w:val="auto"/>
          <w:sz w:val="24"/>
          <w:highlight w:val="none"/>
          <w:lang w:val="en-US" w:eastAsia="zh-CN"/>
        </w:rPr>
        <w:t>原厂质保承诺</w:t>
      </w:r>
      <w:r>
        <w:rPr>
          <w:rFonts w:hint="eastAsia" w:ascii="宋体" w:hAnsi="宋体" w:cs="宋体"/>
          <w:bCs/>
          <w:color w:val="auto"/>
          <w:sz w:val="24"/>
          <w:highlight w:val="none"/>
          <w:lang w:val="en-US" w:eastAsia="zh-CN"/>
        </w:rPr>
        <w:t>（如需）</w:t>
      </w:r>
      <w:r>
        <w:rPr>
          <w:rFonts w:hint="eastAsia" w:ascii="宋体" w:hAnsi="宋体" w:eastAsia="宋体" w:cs="宋体"/>
          <w:bCs/>
          <w:color w:val="auto"/>
          <w:sz w:val="24"/>
          <w:highlight w:val="none"/>
          <w:lang w:val="en-US" w:eastAsia="zh-CN"/>
        </w:rPr>
        <w:t>、原厂保修证明</w:t>
      </w:r>
      <w:r>
        <w:rPr>
          <w:rFonts w:hint="eastAsia" w:ascii="宋体" w:hAnsi="宋体" w:cs="宋体"/>
          <w:bCs/>
          <w:color w:val="auto"/>
          <w:sz w:val="24"/>
          <w:highlight w:val="none"/>
          <w:lang w:val="en-US" w:eastAsia="zh-CN"/>
        </w:rPr>
        <w:t>（书）</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产品</w:t>
      </w:r>
      <w:r>
        <w:rPr>
          <w:rFonts w:hint="eastAsia" w:ascii="宋体" w:hAnsi="宋体" w:eastAsia="宋体" w:cs="宋体"/>
          <w:bCs/>
          <w:color w:val="auto"/>
          <w:sz w:val="24"/>
          <w:highlight w:val="none"/>
          <w:lang w:val="en-US" w:eastAsia="zh-CN"/>
        </w:rPr>
        <w:t>使用说明、</w:t>
      </w:r>
      <w:r>
        <w:rPr>
          <w:rFonts w:hint="default" w:ascii="宋体" w:hAnsi="宋体" w:eastAsia="宋体" w:cs="Times New Roman"/>
          <w:color w:val="auto"/>
          <w:kern w:val="0"/>
          <w:sz w:val="24"/>
          <w:szCs w:val="18"/>
          <w:highlight w:val="none"/>
          <w:lang w:val="en-US" w:eastAsia="zh-CN"/>
        </w:rPr>
        <w:t>质量合格证书</w:t>
      </w:r>
      <w:r>
        <w:rPr>
          <w:rFonts w:hint="eastAsia" w:ascii="宋体" w:hAnsi="宋体" w:eastAsia="宋体" w:cs="宋体"/>
          <w:bCs/>
          <w:color w:val="auto"/>
          <w:sz w:val="24"/>
          <w:highlight w:val="none"/>
          <w:lang w:val="en-US" w:eastAsia="zh-CN"/>
        </w:rPr>
        <w:t>、检测报告</w:t>
      </w:r>
      <w:r>
        <w:rPr>
          <w:rFonts w:hint="eastAsia" w:ascii="宋体" w:hAnsi="宋体" w:cs="宋体"/>
          <w:bCs/>
          <w:color w:val="auto"/>
          <w:sz w:val="24"/>
          <w:highlight w:val="none"/>
          <w:lang w:val="en-US" w:eastAsia="zh-CN"/>
        </w:rPr>
        <w:t>等资料须随包装完整交付。</w:t>
      </w:r>
    </w:p>
    <w:p w14:paraId="243EA1B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若乙方</w:t>
      </w:r>
      <w:r>
        <w:rPr>
          <w:rFonts w:hint="eastAsia" w:ascii="宋体" w:hAnsi="宋体" w:eastAsia="宋体" w:cs="Times New Roman"/>
          <w:color w:val="auto"/>
          <w:kern w:val="0"/>
          <w:sz w:val="24"/>
          <w:szCs w:val="18"/>
          <w:highlight w:val="none"/>
          <w:lang w:val="en-US" w:eastAsia="zh-CN"/>
        </w:rPr>
        <w:t>交付的</w:t>
      </w:r>
      <w:r>
        <w:rPr>
          <w:rFonts w:hint="eastAsia" w:ascii="宋体" w:hAnsi="宋体" w:cs="Times New Roman"/>
          <w:color w:val="auto"/>
          <w:kern w:val="0"/>
          <w:sz w:val="24"/>
          <w:szCs w:val="18"/>
          <w:highlight w:val="none"/>
          <w:lang w:val="en-US" w:eastAsia="zh-CN"/>
        </w:rPr>
        <w:t>货物未达到前述包装要求</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须在甲方规定的合理期限内完成整改</w:t>
      </w:r>
      <w:r>
        <w:rPr>
          <w:rFonts w:hint="eastAsia" w:ascii="宋体" w:hAnsi="宋体" w:cs="宋体"/>
          <w:bCs/>
          <w:color w:val="auto"/>
          <w:sz w:val="24"/>
          <w:highlight w:val="none"/>
          <w:lang w:val="en-US" w:eastAsia="zh-CN"/>
        </w:rPr>
        <w:t>；若整改涉及货物修理，</w:t>
      </w:r>
      <w:r>
        <w:rPr>
          <w:rFonts w:hint="eastAsia" w:ascii="宋体" w:hAnsi="宋体" w:cs="Times New Roman"/>
          <w:color w:val="auto"/>
          <w:kern w:val="0"/>
          <w:sz w:val="24"/>
          <w:szCs w:val="18"/>
          <w:highlight w:val="none"/>
          <w:lang w:val="en-US" w:eastAsia="zh-CN"/>
        </w:rPr>
        <w:t>须保证货物性能符合出厂合格标准，且需征得甲方同意</w:t>
      </w:r>
      <w:r>
        <w:rPr>
          <w:rFonts w:hint="eastAsia" w:ascii="宋体" w:hAnsi="宋体" w:eastAsia="宋体" w:cs="宋体"/>
          <w:bCs/>
          <w:color w:val="auto"/>
          <w:sz w:val="24"/>
          <w:highlight w:val="none"/>
          <w:lang w:val="en-US" w:eastAsia="zh-CN"/>
        </w:rPr>
        <w:t>，整改费用由乙方自行承担。若乙方未按要求及时完成整改，影响整体履约期限的，除承担相应逾期违约金外，还须按每日2000元的标准向甲方额外支付违约金；逾期超过7日仍未达到整改要求，或是整改态度消极不配合、拒不整改的，</w:t>
      </w:r>
      <w:r>
        <w:rPr>
          <w:rFonts w:hint="eastAsia" w:ascii="宋体" w:hAnsi="宋体" w:cs="宋体"/>
          <w:bCs/>
          <w:color w:val="auto"/>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；甲方有权终止合同，不再支付合同相应款项，且不予退还履约保证金，同时追究乙方的相关经济与法律责任，乙方须退还甲方已支付的全部款项，甲方也可提请相关监督管理部门依法处理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。若对验收结果存在质疑，以相关质量技术检验检测机构出具的检验结果为准；由此产生的检验费用，由过失方承担</w:t>
      </w:r>
      <w:r>
        <w:rPr>
          <w:rFonts w:hint="eastAsia" w:ascii="宋体" w:hAnsi="宋体" w:cs="宋体"/>
          <w:bCs/>
          <w:color w:val="auto"/>
          <w:sz w:val="24"/>
          <w:highlight w:val="none"/>
          <w:lang w:val="en-US" w:eastAsia="zh-CN"/>
        </w:rPr>
        <w:t>。</w:t>
      </w:r>
    </w:p>
    <w:p w14:paraId="611E049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10</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eastAsia="zh-CN"/>
        </w:rPr>
        <w:t>存放</w:t>
      </w:r>
      <w:r>
        <w:rPr>
          <w:rFonts w:hint="eastAsia" w:ascii="宋体" w:hAnsi="宋体" w:cs="宋体"/>
          <w:b/>
          <w:bCs w:val="0"/>
          <w:color w:val="auto"/>
          <w:sz w:val="24"/>
          <w:highlight w:val="none"/>
        </w:rPr>
        <w:t>和保护：</w:t>
      </w:r>
    </w:p>
    <w:p w14:paraId="4261BA7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项目最终验收合格并完成交付前，所有设备（包括配件及工具）的存放保管以及现场保护工作由乙方负责。乙方须避免设备和现场发生任何形式的损坏，同时严格执行国家及当地政府关于安全保卫、环保、治安、防火、防盗、防汛、防台风和文明施工的各项要求，由此产生的全部费用由乙方承担。若在此期间发生设备损坏、丢失，或是作业现场原有设施设备、地面墙面、顶面等被破坏的情况，乙方负责整改，包括补齐、更换设备或将现场修复至原状，并自行承担由此产生的全部费用。</w:t>
      </w:r>
    </w:p>
    <w:p w14:paraId="078AD21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2.乙方需根据各类设备材料（包括配件及工具）的不同存放要求，提供符合规范的存放条件，落实防水、防火、防尘、防潮、防撞击、防变形、防盗、防恶意破坏、防损耗、防腐蚀等防护工作。</w:t>
      </w:r>
    </w:p>
    <w:p w14:paraId="204A10A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3.若乙方需在甲方指定场地存放物资，须提前服从甲方的现场管理安排，遵守场地安全管理相关规定，不得违规占用非指定区域存放物资。</w:t>
      </w:r>
    </w:p>
    <w:p w14:paraId="4165114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若未按上述要求提供存放和保护工作，乙方须在甲方规定的合理期限内完成整改，整改费用由其自行承担；若乙方未按要求及时完成整改，影响整体履约期限，除承担相应逾期违约金外，还须按每日2000元的标准向甲方额外支付违约金；逾期超过7日仍未达到整改要求，或是整改态度消极不配合、拒不整改的，须向甲方支付合同总价30%的违约金，若因此给甲方造成损失，乙方还须赔偿相应损失；甲方有权终止合同，不再支付合同相应款项，不予退还履约保证金，同时追究乙方的相关经济与法律责任，乙方须退还甲方已支付的全部款项，甲方也可提请相关监督管理部门依法处理。若对验收结果存在质疑，以相关质量技术检验检测机构出具的检验结果为准，由此产生的检验费用由过失方承担。</w:t>
      </w:r>
    </w:p>
    <w:p w14:paraId="2A571A8B">
      <w:pPr>
        <w:keepNext w:val="0"/>
        <w:keepLines w:val="0"/>
        <w:pageBreakBefore w:val="0"/>
        <w:widowControl w:val="0"/>
        <w:numPr>
          <w:ilvl w:val="0"/>
          <w:numId w:val="0"/>
        </w:numPr>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Cs/>
          <w:color w:val="auto"/>
          <w:sz w:val="24"/>
          <w:highlight w:val="none"/>
        </w:rPr>
      </w:pPr>
      <w:r>
        <w:rPr>
          <w:rFonts w:hint="eastAsia" w:ascii="宋体" w:hAnsi="宋体" w:cs="宋体"/>
          <w:b/>
          <w:bCs w:val="0"/>
          <w:color w:val="auto"/>
          <w:sz w:val="24"/>
          <w:highlight w:val="none"/>
          <w:lang w:val="en-US" w:eastAsia="zh-CN"/>
        </w:rPr>
        <w:t>11.</w:t>
      </w:r>
      <w:r>
        <w:rPr>
          <w:rFonts w:hint="eastAsia" w:ascii="宋体" w:hAnsi="宋体" w:cs="宋体"/>
          <w:b/>
          <w:bCs w:val="0"/>
          <w:color w:val="auto"/>
          <w:sz w:val="24"/>
          <w:highlight w:val="none"/>
        </w:rPr>
        <w:t>系统兼容及对接：</w:t>
      </w:r>
    </w:p>
    <w:p w14:paraId="50C98A0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eastAsia="zh-CN"/>
        </w:rPr>
        <w:t>乙方</w:t>
      </w:r>
      <w:r>
        <w:rPr>
          <w:rFonts w:hint="eastAsia" w:ascii="宋体" w:hAnsi="宋体" w:cs="宋体"/>
          <w:bCs/>
          <w:color w:val="auto"/>
          <w:sz w:val="24"/>
          <w:highlight w:val="none"/>
        </w:rPr>
        <w:t>应确保项目各系统、设备之间的整体兼容性，包括与</w:t>
      </w:r>
      <w:r>
        <w:rPr>
          <w:rFonts w:hint="eastAsia" w:ascii="宋体" w:hAnsi="宋体" w:cs="宋体"/>
          <w:bCs/>
          <w:color w:val="auto"/>
          <w:sz w:val="24"/>
          <w:highlight w:val="none"/>
          <w:lang w:eastAsia="zh-CN"/>
        </w:rPr>
        <w:t>甲方</w:t>
      </w:r>
      <w:r>
        <w:rPr>
          <w:rFonts w:hint="eastAsia" w:ascii="宋体" w:hAnsi="宋体" w:cs="宋体"/>
          <w:bCs/>
          <w:color w:val="auto"/>
          <w:sz w:val="24"/>
          <w:highlight w:val="none"/>
        </w:rPr>
        <w:t>原有系统及设备（如有）的兼容，并能按照</w:t>
      </w:r>
      <w:r>
        <w:rPr>
          <w:rFonts w:hint="eastAsia" w:ascii="宋体" w:hAnsi="宋体" w:cs="宋体"/>
          <w:bCs/>
          <w:color w:val="auto"/>
          <w:sz w:val="24"/>
          <w:highlight w:val="none"/>
          <w:lang w:eastAsia="zh-CN"/>
        </w:rPr>
        <w:t>甲方</w:t>
      </w:r>
      <w:r>
        <w:rPr>
          <w:rFonts w:hint="eastAsia" w:ascii="宋体" w:hAnsi="宋体" w:cs="宋体"/>
          <w:bCs/>
          <w:color w:val="auto"/>
          <w:sz w:val="24"/>
          <w:highlight w:val="none"/>
        </w:rPr>
        <w:t>要求对接相关平台或中心。</w:t>
      </w:r>
      <w:r>
        <w:rPr>
          <w:rFonts w:hint="eastAsia" w:ascii="宋体" w:hAnsi="宋体" w:cs="宋体"/>
          <w:bCs/>
          <w:color w:val="auto"/>
          <w:sz w:val="24"/>
          <w:highlight w:val="none"/>
          <w:lang w:val="en-US" w:eastAsia="zh-CN"/>
        </w:rPr>
        <w:t>若因所供标的物不符合要求导致无法兼容或无缝对接，</w:t>
      </w:r>
      <w:r>
        <w:rPr>
          <w:rFonts w:hint="eastAsia" w:ascii="宋体" w:hAnsi="宋体" w:eastAsia="宋体" w:cs="宋体"/>
          <w:bCs/>
          <w:color w:val="auto"/>
          <w:sz w:val="24"/>
          <w:highlight w:val="none"/>
          <w:lang w:val="en-US" w:eastAsia="zh-CN"/>
        </w:rPr>
        <w:t>乙方须在甲方规定的合理期限内完成整改，整改费用由其自行承担；若乙方未按要求及时完成整改</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未达到整改要求、整改态度消极不配合或拒不整改，</w:t>
      </w:r>
      <w:r>
        <w:rPr>
          <w:rFonts w:hint="eastAsia" w:ascii="宋体" w:hAnsi="宋体" w:cs="宋体"/>
          <w:bCs/>
          <w:color w:val="auto"/>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；甲方有权终止合同，不再支付合同相应款项，履约保证金不予退还，并追究乙方的相关经济与法律责任（乙方须退还甲方已支付的全部款项），同时可提请相关监督管理部门依法处理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w:t>
      </w:r>
    </w:p>
    <w:p w14:paraId="22B2C374">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default" w:ascii="宋体" w:hAnsi="宋体" w:eastAsia="宋体" w:cs="Times New Roman"/>
          <w:b/>
          <w:bCs/>
          <w:color w:val="auto"/>
          <w:kern w:val="0"/>
          <w:sz w:val="24"/>
          <w:szCs w:val="18"/>
          <w:highlight w:val="none"/>
          <w:lang w:val="en-US" w:eastAsia="zh-CN"/>
        </w:rPr>
      </w:pPr>
      <w:r>
        <w:rPr>
          <w:rFonts w:hint="eastAsia" w:ascii="宋体" w:hAnsi="宋体" w:eastAsia="宋体" w:cs="Times New Roman"/>
          <w:b/>
          <w:bCs/>
          <w:color w:val="auto"/>
          <w:kern w:val="0"/>
          <w:sz w:val="24"/>
          <w:szCs w:val="18"/>
          <w:highlight w:val="none"/>
          <w:lang w:val="en-US" w:eastAsia="zh-CN"/>
        </w:rPr>
        <w:t>十一.</w:t>
      </w:r>
      <w:r>
        <w:rPr>
          <w:rFonts w:hint="default" w:ascii="宋体" w:hAnsi="宋体" w:eastAsia="宋体" w:cs="Times New Roman"/>
          <w:b/>
          <w:bCs/>
          <w:color w:val="auto"/>
          <w:kern w:val="0"/>
          <w:sz w:val="24"/>
          <w:szCs w:val="18"/>
          <w:highlight w:val="none"/>
          <w:lang w:val="en-US" w:eastAsia="zh-CN"/>
        </w:rPr>
        <w:t>质量标准和检验方式</w:t>
      </w:r>
      <w:r>
        <w:rPr>
          <w:rFonts w:hint="eastAsia" w:ascii="宋体" w:hAnsi="宋体" w:eastAsia="宋体" w:cs="Times New Roman"/>
          <w:b/>
          <w:bCs/>
          <w:color w:val="auto"/>
          <w:kern w:val="0"/>
          <w:sz w:val="24"/>
          <w:szCs w:val="18"/>
          <w:highlight w:val="none"/>
          <w:lang w:val="en-US" w:eastAsia="zh-CN"/>
        </w:rPr>
        <w:t>：</w:t>
      </w:r>
    </w:p>
    <w:p w14:paraId="2F88349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1.乙方应保证提供给甲方的合同货物为生产厂商原厂制造、全新未使用，采用符合要求的工艺和材料生产而成，且完全满足本项目采购文件规定的质量、性能与规格要求。</w:t>
      </w:r>
    </w:p>
    <w:p w14:paraId="51E809D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2.乙方提供给甲方的合同货物应经过生产厂商的出厂检验，并向甲方提供质量合格证书。乙方承诺，所供合同货物的技术规范应当与本项目采购文件中的投标货物清单、质量要求、供货条款规定，以及经采购人接收的投标文件中投标货物技术规范偏离表（如有）的内容保持一致；同时，货物质量应当满足中华人民共和国相关标准及对应技术规范、本次采购相关文件的全部相关要求，以及乙方工厂相关标准与对应技术规范中的最高要求。</w:t>
      </w:r>
    </w:p>
    <w:p w14:paraId="5681A623">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3.乙方保证所提供货物符合中华人民共和国国家与行业安全质量标准、环保标准中的最高要求；若货物产自中华人民共和国境外，还需同时满足货物来源国官方、行业及生产厂商安全质量标准、环保标准中的最高要求。上述标准应为已发布且在货物交付时有效的最新版本标准；当货物产自中华人民共和国境外时，产品还必须附带原产地证明、中华人民共和国商检机构出具的检验证明、合法进货渠道证明及海关完税证明，相关技术资料中还必须附完整的中文翻译文本。</w:t>
      </w:r>
    </w:p>
    <w:p w14:paraId="1C501B3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4.乙方应保证所提供货物在正确安装、合理操作和维护保养的前提下，在使用寿命周期内均能满足甲方使用要求；若因货物设计、工艺或材料缺陷引发任何故障，乙方需承担全部责任。</w:t>
      </w:r>
    </w:p>
    <w:p w14:paraId="69D82F2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5.乙方提供的设备抵达甲方指定地点后，开箱清点与初步检验应按照乙方提供的开箱要求、环境要求及装箱清单开展。乙方应在收到甲方验货通知后三日内到场参与开箱清点与初步检验，验收过程需双方人员共同在场，验收完成后签署验收证书，该证书将作为乙方履约进度的依据。若乙方未按时到场，则承认甲方出具的单方检验结果。但无论何种情形，上述验收均不减少或免除乙方应承担的质量相关责任。</w:t>
      </w:r>
    </w:p>
    <w:p w14:paraId="0EF92BE2">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6.甲方对合同货物数量、规格与质量的检验，依据本项目采购文件的相关规定开展。采用现场交货方式的，检验在交货地点进行，开箱检验时间不晚于交货日期后三十日。</w:t>
      </w:r>
    </w:p>
    <w:p w14:paraId="0B1859C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7.若检验发现货物数量不足、规格与合同要求不符，或开箱时外包装完好但箱内货物存在短缺或损伤，双方应签署书面证明，乙方需根据证明及时补足或更换货物；补足或更换后的货物应在货损证明签署之日起规定期限内（详见合同条款专用部分）运抵甲方指定地点，相关费用由乙方承担。</w:t>
      </w:r>
    </w:p>
    <w:p w14:paraId="30661813">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8.若甲方经进一步检验或在使用过程中发现货物存在内在的、非显而易见的损坏或缺陷，或货物质量不符合合同约定但该问题在验收阶段并不明显（下称“A情形”）；或在货物质量保证期内（下称“B情形”）、合理使用寿命届满前6个月内（下称“C情形”），证实货物或零部件存在缺陷（包括潜在缺陷或使用不符合要求的材料等情形），甲方有权要求乙方免费更换为无缺陷的货物或零部件，且甲方最终享有的待遇不得低于国家部委发布的“三包”规定标准。其中：属于A情形的货物，乙方应当以全新未拆封、未使用、未展示的合格正品整机更换，不得仅更换零部件；属于B情形的货物，应当以全新未拆封、未使用、未展示的合格正品更换；属于C情形的货物，应当以成色不低于待更换货物的合格正品更换。甲方可在发现问题后及时，且至迟在对应期限届满之日起7个工作日内以书面形式通知乙方，乙方应在收到甲方通知后7个工作日内完成免费更换，并按照本合同前述条款完成交付与验收。</w:t>
      </w:r>
    </w:p>
    <w:p w14:paraId="60DE989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9.乙方保证向甲方提供的技术资料均清晰、正确、完整，除原厂配备的英文技术文档外，其余文档均提供中文版本。若发现资料存在缺失或错误，乙方应自该情形出现之日起7日内将补足更正后的资料交付至甲方指定地点，并按照本合同前述条款完成交付与验收。</w:t>
      </w:r>
    </w:p>
    <w:p w14:paraId="659F955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10.乙方认可，本合同项下需要现场安装、启动调试、试运行的货物，需经过不低于国家规定时长的整套使用或试运行周期方可完成最终验收，若无明确时间规定，则试运行周期最低不得少于90天（3个月）。若该类货物验收不合格或部分不合格，或在合同约定期限内发现货物存在缺陷、质量问题，或不符合设计要求与甲方招标要求，乙方应当按照甲方要求免费整改解决，直至完全符合招投标文件要求与本合同约定为止。</w:t>
      </w:r>
    </w:p>
    <w:p w14:paraId="6239AAC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11.本合同各条款中，凡与乙方责任义务相关、因乙方原因产生的货物、零件、部件、配件及资料更换、补充、退回等情形，由此产生的全部价款、成本、费用（包括但不限于运输、安装、服务、维修、调试、保险、税费等）均由乙方承担。</w:t>
      </w:r>
    </w:p>
    <w:p w14:paraId="00656747">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Theme="minorEastAsia"/>
          <w:color w:val="auto"/>
          <w:lang w:eastAsia="zh-CN"/>
        </w:rPr>
      </w:pPr>
      <w:r>
        <w:rPr>
          <w:rFonts w:hint="eastAsia" w:ascii="宋体" w:hAnsi="宋体" w:eastAsia="宋体" w:cs="Times New Roman"/>
          <w:color w:val="auto"/>
          <w:kern w:val="0"/>
          <w:sz w:val="24"/>
          <w:szCs w:val="18"/>
          <w:highlight w:val="none"/>
          <w:lang w:val="en-US" w:eastAsia="zh-CN"/>
        </w:rPr>
        <w:t>12.甲方将货物验收单与发票一并入账，作为执行政府采购的凭证。</w:t>
      </w:r>
    </w:p>
    <w:p w14:paraId="5BA8C7C7">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bCs w:val="0"/>
          <w:color w:val="auto"/>
          <w:kern w:val="0"/>
          <w:sz w:val="24"/>
          <w:szCs w:val="20"/>
          <w:highlight w:val="none"/>
          <w:lang w:eastAsia="zh-CN"/>
        </w:rPr>
      </w:pPr>
      <w:r>
        <w:rPr>
          <w:rFonts w:hint="eastAsia" w:ascii="宋体" w:hAnsi="宋体" w:eastAsia="宋体" w:cs="Times New Roman"/>
          <w:b/>
          <w:color w:val="auto"/>
          <w:kern w:val="0"/>
          <w:sz w:val="24"/>
          <w:szCs w:val="20"/>
          <w:highlight w:val="none"/>
          <w:lang w:val="en-US" w:eastAsia="zh-CN"/>
        </w:rPr>
        <w:t>十二、</w:t>
      </w:r>
      <w:r>
        <w:rPr>
          <w:rFonts w:hint="eastAsia" w:ascii="宋体" w:hAnsi="宋体" w:eastAsia="宋体" w:cs="Times New Roman"/>
          <w:b/>
          <w:bCs w:val="0"/>
          <w:color w:val="auto"/>
          <w:kern w:val="0"/>
          <w:sz w:val="24"/>
          <w:szCs w:val="20"/>
          <w:highlight w:val="none"/>
        </w:rPr>
        <w:t>安全责任</w:t>
      </w:r>
      <w:r>
        <w:rPr>
          <w:rFonts w:hint="eastAsia" w:ascii="宋体" w:hAnsi="宋体" w:cs="Times New Roman"/>
          <w:b/>
          <w:bCs w:val="0"/>
          <w:color w:val="auto"/>
          <w:kern w:val="0"/>
          <w:sz w:val="24"/>
          <w:szCs w:val="20"/>
          <w:highlight w:val="none"/>
          <w:lang w:eastAsia="zh-CN"/>
        </w:rPr>
        <w:t>：</w:t>
      </w:r>
    </w:p>
    <w:p w14:paraId="1BF11D91">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乙方应对项目履约全过程（包括免费质保期）内的安全与质量承担全部责任；若因乙方原因引发安全、质量事故，包括造成乙方员工、乙方雇佣的其他人员或第三方人员伤亡以及财产损失，全部经济与法律责任均由乙方承担，并须向采购人支付合同总价30%的违约金，若因此给采购人造成损失，中标供应商还须赔偿相应损失；采购人有权终止合同，不再支付合同相应款项，且不予退还履约保证金，同时追究中标供应商的相关经济与法律责任，中标供应商须退还采购人已支付的全部款项，采购人也可提请相关监督管理部门依法处理。</w:t>
      </w:r>
    </w:p>
    <w:p w14:paraId="06416F67">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color w:val="auto"/>
          <w:kern w:val="0"/>
          <w:sz w:val="24"/>
          <w:szCs w:val="20"/>
          <w:highlight w:val="none"/>
          <w:lang w:val="en-US" w:eastAsia="zh-CN"/>
        </w:rPr>
      </w:pPr>
      <w:r>
        <w:rPr>
          <w:rFonts w:hint="eastAsia" w:ascii="宋体" w:hAnsi="宋体" w:eastAsia="宋体" w:cs="宋体"/>
          <w:bCs/>
          <w:color w:val="auto"/>
          <w:kern w:val="0"/>
          <w:sz w:val="24"/>
          <w:szCs w:val="24"/>
          <w:highlight w:val="none"/>
          <w:lang w:val="en-US" w:eastAsia="zh-CN"/>
        </w:rPr>
        <w:t>2.合同履约期（包括免费质保期）间，若因乙方安装不当或产品质量问题引发用电或其他安全责任事故，全部经济与法律责任均由乙方承担，并须向采购人支付合同总价30%的违约金，若因此给采购人造成损失，中标供应商还须赔偿相应损失；采购人有权终止合同，不再支付合同相应款项，且不予退还履约保证金，同时追究中标供应商的相关经济与法律责任，中标供应商须退还采购人已支付的全部款项，采购人也可提请相关监督管理部门依法处理。</w:t>
      </w:r>
    </w:p>
    <w:p w14:paraId="7D456C8D">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十三、</w:t>
      </w:r>
      <w:r>
        <w:rPr>
          <w:rFonts w:hint="eastAsia" w:ascii="宋体" w:hAnsi="宋体" w:eastAsia="宋体" w:cs="Times New Roman"/>
          <w:b/>
          <w:color w:val="auto"/>
          <w:kern w:val="0"/>
          <w:sz w:val="24"/>
          <w:szCs w:val="20"/>
          <w:highlight w:val="none"/>
        </w:rPr>
        <w:t>履约保证金要求</w:t>
      </w:r>
    </w:p>
    <w:p w14:paraId="2FD38694">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履约保证金形式：采用支票、汇票、本票、保函、电汇等非现金方式缴纳。</w:t>
      </w:r>
    </w:p>
    <w:p w14:paraId="7632337C">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履约保证金金额：为合同价（中标价）的10%。</w:t>
      </w:r>
    </w:p>
    <w:p w14:paraId="2D020175">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履约担保期限：履约保证金将在中标供应商全部工作内容完成并验收合格后无息退回。</w:t>
      </w:r>
    </w:p>
    <w:p w14:paraId="3E7F72F6">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履约保证金缴纳时间：中标供应商应在中标通知书发出后7个工作日内，按照采购文件约定及投标文件承诺向采购人提交相应履约保证金。未按时足额提交的，采购人有权取消其中标资格。中标供应商可根据自身情况自主选择是否采用电子履约保函形式，具体操作可登录江苏政府采购网的保险保函模块办理。</w:t>
      </w:r>
    </w:p>
    <w:p w14:paraId="1B119018">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退付办法：与中标供应商提交履约保证金的方式一致。</w:t>
      </w:r>
    </w:p>
    <w:p w14:paraId="11E64B9F">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履约保证金不予退还的情形：①因中标供应商自身原因无法履行或拒绝履行合同义务；②中标供应商在合同履行期间发生质量、安全等重大事故，给采购人造成不良影响及严重经济损失；③中标供应商在履约期限、质量标准、人员工资支付、售后服务等方面存在不履行合同或违反合同约定责任义务的行为；④中标供应商擅自转包或未按规定分包中标项目；⑤出现本次采购规定的其他情形。发生上述任一情况，采购人有权扣缴中标供应商部分或全部履约保证金。</w:t>
      </w:r>
    </w:p>
    <w:p w14:paraId="72314351">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十四、</w:t>
      </w:r>
      <w:r>
        <w:rPr>
          <w:rFonts w:hint="eastAsia" w:ascii="宋体" w:hAnsi="宋体" w:eastAsia="宋体" w:cs="Times New Roman"/>
          <w:b/>
          <w:color w:val="auto"/>
          <w:kern w:val="0"/>
          <w:sz w:val="24"/>
          <w:szCs w:val="20"/>
          <w:highlight w:val="none"/>
        </w:rPr>
        <w:t>违约责任</w:t>
      </w:r>
    </w:p>
    <w:p w14:paraId="0AA10223">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default"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1.</w:t>
      </w:r>
      <w:r>
        <w:rPr>
          <w:rFonts w:hint="eastAsia" w:ascii="宋体" w:hAnsi="宋体" w:eastAsia="宋体" w:cs="宋体"/>
          <w:bCs/>
          <w:color w:val="auto"/>
          <w:kern w:val="0"/>
          <w:sz w:val="24"/>
          <w:szCs w:val="24"/>
          <w:highlight w:val="none"/>
          <w:lang w:val="en-US" w:eastAsia="zh-CN"/>
        </w:rPr>
        <w:t>因乙方原因造成本合同无法按时签订的，视为乙方违约，甲方有权终止本合同；若该违约行为给甲方造成损失，乙方还需另行赔偿相应损失，如已递交履约保证金的，履约保证金不予退还；同时，甲方将把相关情况报送监管部门，并按照政府采购相关规定对乙方作出处罚。</w:t>
      </w:r>
    </w:p>
    <w:p w14:paraId="0DDC23CA">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2.合同履行期间，若乙方出现可能影响货物及服务按时交付的情况，应立即以书面形式将延误事实、预计延误时长及原因通知甲方。甲方收到通知后，需尽快核实情况，并有权视实际情形决定是否酌情延长期限，或向乙方发出书面通知，提出解除部分或全部合同。期限延长需经双方签订补充合同予以确认并执行。</w:t>
      </w:r>
    </w:p>
    <w:p w14:paraId="5A849163">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3.若乙方非因不可抗力，不履行采购文件、投标文件及本合同条款的约定，或是主动</w:t>
      </w:r>
      <w:r>
        <w:rPr>
          <w:rFonts w:hint="eastAsia" w:ascii="宋体" w:hAnsi="宋体" w:eastAsia="宋体" w:cs="宋体"/>
          <w:bCs/>
          <w:color w:val="auto"/>
          <w:kern w:val="0"/>
          <w:sz w:val="24"/>
          <w:szCs w:val="24"/>
          <w:highlight w:val="none"/>
          <w:lang w:val="en-US" w:eastAsia="zh-CN"/>
        </w:rPr>
        <w:t>要求解除合同的</w:t>
      </w:r>
      <w:r>
        <w:rPr>
          <w:rFonts w:hint="eastAsia" w:ascii="宋体" w:hAnsi="宋体" w:eastAsia="宋体" w:cs="宋体"/>
          <w:b w:val="0"/>
          <w:bCs/>
          <w:color w:val="auto"/>
          <w:sz w:val="24"/>
          <w:lang w:val="en-US" w:eastAsia="zh-CN"/>
        </w:rPr>
        <w:t>，一经查实，应赔偿甲方因此遭受的全部损失，并按合同总价的30%向甲方支付违约金；因本次招投标产生的其他责任及后果，按照采购文件要求与投标文件承诺的相关规则处理。</w:t>
      </w:r>
    </w:p>
    <w:p w14:paraId="30183E07">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4.若乙方在本合同履行完毕前破产或丧失清偿能力，甲方可随时以书面形式通知乙方解除合同。该合同解除不影响甲方已采取或拟采取的任何行动或补救措施的权利。</w:t>
      </w:r>
    </w:p>
    <w:p w14:paraId="31383C58">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5.除本条款已有明确约定外，任何一方违反本合同其他约定的，应赔偿对方因此遭受的全部直接损失；若违约行为导致合同目的无法实现的，守约方有权解除本合同，并要求违约方承担对应违约责任。</w:t>
      </w:r>
    </w:p>
    <w:p w14:paraId="04B79332">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6.违约责任经确认后，乙方应当在接到书面通知之日起七日内支付违约金、赔偿金等款项。本合同中所述违约金与守约方的实际损失相互独立，违约方在赔偿守约方全部实际损失后，还需另行支付合同约定的违约金。</w:t>
      </w:r>
    </w:p>
    <w:p w14:paraId="7AA88BED">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7.本合同生效后，若一方违约，违约方除承担违约责任、支付违约金外，还应当承担守约方主张权利所产生的一切费用，包括但不限于律师费、诉讼费、保全费、保全保险费、检测费、鉴定费。</w:t>
      </w:r>
    </w:p>
    <w:p w14:paraId="1631ED8D">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bCs/>
          <w:color w:val="auto"/>
          <w:kern w:val="0"/>
          <w:sz w:val="24"/>
          <w:szCs w:val="24"/>
          <w:highlight w:val="none"/>
          <w:lang w:val="en-US" w:eastAsia="zh-CN"/>
        </w:rPr>
        <w:t>8.针对本合同项下的全部约定，乙方（或其生产厂商/代理商）等相关主体均已明确知晓：采购人、使用人等主体已尽到声明、提示、审慎核查等注意义务，不承担相关责任；若仍发生任何违反法律法规的情形，全部责任均由乙方（或其生产厂商/代理商）等主体自行承担。乙方（或其生产厂商/代理商）等主体参与投标、签订并履行本合同，即视为承诺在任何情况下都将严格遵守法律法规，独立承担全部法律责任，包括向采购人、使用人或任何第三方承担民事侵权赔偿责任，前述违规行为属于严重违约。</w:t>
      </w:r>
    </w:p>
    <w:p w14:paraId="2F0D082C">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十五、</w:t>
      </w:r>
      <w:r>
        <w:rPr>
          <w:rFonts w:hint="eastAsia" w:ascii="宋体" w:hAnsi="宋体" w:eastAsia="宋体" w:cs="Times New Roman"/>
          <w:b/>
          <w:color w:val="auto"/>
          <w:kern w:val="0"/>
          <w:sz w:val="24"/>
          <w:szCs w:val="20"/>
          <w:highlight w:val="none"/>
        </w:rPr>
        <w:t>不可抗力</w:t>
      </w:r>
    </w:p>
    <w:p w14:paraId="7F496F8B">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bCs/>
          <w:color w:val="auto"/>
          <w:kern w:val="0"/>
          <w:sz w:val="24"/>
          <w:szCs w:val="24"/>
          <w:highlight w:val="none"/>
          <w:lang w:val="en-US" w:eastAsia="zh-CN"/>
        </w:rPr>
        <w:t>1.</w:t>
      </w:r>
      <w:r>
        <w:rPr>
          <w:rFonts w:hint="eastAsia" w:ascii="宋体" w:hAnsi="宋体" w:eastAsia="宋体" w:cs="宋体"/>
          <w:b w:val="0"/>
          <w:bCs/>
          <w:color w:val="auto"/>
          <w:sz w:val="24"/>
          <w:lang w:val="en-US" w:eastAsia="zh-CN"/>
        </w:rPr>
        <w:t>本合同所述“不可抗力”，是指不能预见、不能避免且不能克服的事件，包括但不限于</w:t>
      </w:r>
      <w:r>
        <w:rPr>
          <w:rFonts w:hint="eastAsia" w:ascii="宋体" w:hAnsi="宋体" w:eastAsia="宋体" w:cs="宋体"/>
          <w:bCs/>
          <w:color w:val="auto"/>
          <w:kern w:val="0"/>
          <w:sz w:val="24"/>
          <w:szCs w:val="24"/>
          <w:highlight w:val="none"/>
          <w:lang w:val="en-US" w:eastAsia="zh-CN"/>
        </w:rPr>
        <w:t>：战争、动乱、瘟疫、严重火灾、洪水、地震、风暴（台风）或其他自然灾害，以及合同各方不能预见、不能防止且无法克服的其他所有因素及事件。</w:t>
      </w:r>
    </w:p>
    <w:p w14:paraId="1AD81B8E">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bCs/>
          <w:color w:val="auto"/>
          <w:kern w:val="0"/>
          <w:sz w:val="24"/>
          <w:szCs w:val="24"/>
          <w:highlight w:val="none"/>
          <w:lang w:val="en-US" w:eastAsia="zh-CN"/>
        </w:rPr>
        <w:t>2.任何一方因不可抗力无法履行本合同约定的全部或部分义务，</w:t>
      </w:r>
      <w:r>
        <w:rPr>
          <w:rFonts w:hint="eastAsia" w:ascii="宋体" w:hAnsi="宋体" w:eastAsia="宋体" w:cs="宋体"/>
          <w:b w:val="0"/>
          <w:bCs/>
          <w:color w:val="auto"/>
          <w:sz w:val="24"/>
          <w:lang w:val="en-US" w:eastAsia="zh-CN"/>
        </w:rPr>
        <w:t>应尽快以书面形式将事件情况及发生原因通知另一方</w:t>
      </w:r>
      <w:r>
        <w:rPr>
          <w:rFonts w:hint="eastAsia" w:ascii="宋体" w:hAnsi="宋体" w:eastAsia="宋体" w:cs="宋体"/>
          <w:bCs/>
          <w:color w:val="auto"/>
          <w:kern w:val="0"/>
          <w:sz w:val="24"/>
          <w:szCs w:val="24"/>
          <w:highlight w:val="none"/>
          <w:lang w:val="en-US" w:eastAsia="zh-CN"/>
        </w:rPr>
        <w:t>，并须在不可抗力发生后二日内，以书面形式向对方提供事件详细情况，说明不可抗力对合同履行的影响程度，同时</w:t>
      </w:r>
      <w:r>
        <w:rPr>
          <w:rFonts w:hint="eastAsia" w:ascii="宋体" w:hAnsi="宋体" w:eastAsia="宋体" w:cs="宋体"/>
          <w:b w:val="0"/>
          <w:bCs/>
          <w:color w:val="auto"/>
          <w:sz w:val="24"/>
          <w:lang w:val="en-US" w:eastAsia="zh-CN"/>
        </w:rPr>
        <w:t>积极采取措施防止损失扩大</w:t>
      </w:r>
      <w:r>
        <w:rPr>
          <w:rFonts w:hint="eastAsia" w:ascii="宋体" w:hAnsi="宋体" w:eastAsia="宋体" w:cs="宋体"/>
          <w:bCs/>
          <w:color w:val="auto"/>
          <w:kern w:val="0"/>
          <w:sz w:val="24"/>
          <w:szCs w:val="24"/>
          <w:highlight w:val="none"/>
          <w:lang w:val="en-US" w:eastAsia="zh-CN"/>
        </w:rPr>
        <w:t>；受不可抗力影响的一方还须提供公证机构出具的公证证明，证实不可抗力的发生。</w:t>
      </w:r>
      <w:r>
        <w:rPr>
          <w:rFonts w:hint="eastAsia" w:ascii="宋体" w:hAnsi="宋体" w:eastAsia="宋体" w:cs="宋体"/>
          <w:b w:val="0"/>
          <w:bCs/>
          <w:color w:val="auto"/>
          <w:sz w:val="24"/>
          <w:lang w:val="en-US" w:eastAsia="zh-CN"/>
        </w:rPr>
        <w:t>因不可抗力造成的损失，由甲乙双方依照法律规定处理。</w:t>
      </w:r>
    </w:p>
    <w:p w14:paraId="05C9EF82">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bCs/>
          <w:color w:val="auto"/>
          <w:kern w:val="0"/>
          <w:sz w:val="24"/>
          <w:szCs w:val="24"/>
          <w:highlight w:val="none"/>
          <w:lang w:val="en-US" w:eastAsia="zh-CN"/>
        </w:rPr>
        <w:t>3.发生不可抗力事件后，</w:t>
      </w:r>
      <w:r>
        <w:rPr>
          <w:rFonts w:hint="eastAsia" w:ascii="宋体" w:hAnsi="宋体" w:eastAsia="宋体" w:cs="宋体"/>
          <w:b w:val="0"/>
          <w:bCs/>
          <w:color w:val="auto"/>
          <w:sz w:val="24"/>
          <w:lang w:val="en-US" w:eastAsia="zh-CN"/>
        </w:rPr>
        <w:t>受不可抗力影响不能按约履行合同的，受影响一方可根据不可抗力的影响，部分或者全部免除责任，法律另有规定的除外</w:t>
      </w:r>
      <w:r>
        <w:rPr>
          <w:rFonts w:hint="eastAsia" w:ascii="宋体" w:hAnsi="宋体" w:eastAsia="宋体" w:cs="宋体"/>
          <w:bCs/>
          <w:color w:val="auto"/>
          <w:kern w:val="0"/>
          <w:sz w:val="24"/>
          <w:szCs w:val="24"/>
          <w:highlight w:val="none"/>
          <w:lang w:val="en-US" w:eastAsia="zh-CN"/>
        </w:rPr>
        <w:t>。但受不可抗力影响的一方有责任尽可能及时采取适当、必要的措施，减少或消除不可抗力的影响，若因未履行该项责任造成额外损失，需由受不可抗力影响的一方承担相应责任。</w:t>
      </w:r>
    </w:p>
    <w:p w14:paraId="1A2565FF">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bCs/>
          <w:color w:val="auto"/>
          <w:kern w:val="0"/>
          <w:sz w:val="24"/>
          <w:szCs w:val="24"/>
          <w:highlight w:val="none"/>
          <w:lang w:val="en-US" w:eastAsia="zh-CN"/>
        </w:rPr>
        <w:t>4.合同各方应根据不可抗力对本合同履行的影响程度，协商确定是终止还是继续履行合同。</w:t>
      </w:r>
    </w:p>
    <w:p w14:paraId="64A79870">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宋体"/>
          <w:b/>
          <w:color w:val="auto"/>
          <w:sz w:val="24"/>
          <w:lang w:val="en-US" w:eastAsia="zh-CN"/>
        </w:rPr>
      </w:pPr>
      <w:r>
        <w:rPr>
          <w:rFonts w:hint="eastAsia" w:ascii="宋体" w:hAnsi="宋体" w:eastAsia="宋体" w:cs="Times New Roman"/>
          <w:b/>
          <w:color w:val="auto"/>
          <w:kern w:val="0"/>
          <w:sz w:val="24"/>
          <w:szCs w:val="20"/>
          <w:highlight w:val="none"/>
          <w:lang w:val="en-US" w:eastAsia="zh-CN"/>
        </w:rPr>
        <w:t>十六、</w:t>
      </w:r>
      <w:r>
        <w:rPr>
          <w:rFonts w:hint="eastAsia" w:ascii="宋体" w:hAnsi="宋体" w:eastAsia="宋体" w:cs="宋体"/>
          <w:b/>
          <w:color w:val="auto"/>
          <w:sz w:val="24"/>
          <w:lang w:val="en-US" w:eastAsia="zh-CN"/>
        </w:rPr>
        <w:t>权利保证</w:t>
      </w:r>
    </w:p>
    <w:p w14:paraId="52927F07">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cs="宋体"/>
          <w:bCs/>
          <w:color w:val="auto"/>
          <w:sz w:val="24"/>
          <w:highlight w:val="none"/>
          <w:lang w:val="en-US" w:eastAsia="zh-CN"/>
        </w:rPr>
        <w:t>1.</w:t>
      </w:r>
      <w:r>
        <w:rPr>
          <w:rFonts w:hint="eastAsia" w:ascii="宋体" w:hAnsi="宋体" w:eastAsia="宋体" w:cs="Times New Roman"/>
          <w:color w:val="auto"/>
          <w:kern w:val="0"/>
          <w:sz w:val="24"/>
          <w:szCs w:val="18"/>
          <w:highlight w:val="none"/>
          <w:lang w:val="en-US" w:eastAsia="zh-CN"/>
        </w:rPr>
        <w:t>乙方保证，其依据本合同提供的货物及相关配套产品（包括软件、技术资料等），均</w:t>
      </w:r>
      <w:r>
        <w:rPr>
          <w:rFonts w:hint="eastAsia" w:ascii="宋体" w:hAnsi="宋体" w:cs="宋体"/>
          <w:bCs/>
          <w:color w:val="auto"/>
          <w:sz w:val="24"/>
          <w:highlight w:val="none"/>
        </w:rPr>
        <w:t>享有知识产权</w:t>
      </w:r>
      <w:r>
        <w:rPr>
          <w:rFonts w:hint="eastAsia" w:ascii="宋体" w:hAnsi="宋体" w:cs="宋体"/>
          <w:bCs/>
          <w:color w:val="auto"/>
          <w:sz w:val="24"/>
          <w:highlight w:val="none"/>
          <w:lang w:val="en-US" w:eastAsia="zh-CN"/>
        </w:rPr>
        <w:t>或</w:t>
      </w:r>
      <w:r>
        <w:rPr>
          <w:rFonts w:hint="eastAsia" w:ascii="宋体" w:hAnsi="宋体" w:eastAsia="宋体" w:cs="Times New Roman"/>
          <w:color w:val="auto"/>
          <w:kern w:val="0"/>
          <w:sz w:val="24"/>
          <w:szCs w:val="18"/>
          <w:highlight w:val="none"/>
          <w:lang w:val="en-US" w:eastAsia="zh-CN"/>
        </w:rPr>
        <w:t>已获得相关知识产权权利人的合法授权；若因此发生专利权、著作权、商标权相关争议，由乙方负责处理，并承担由此引发的全部法律与经济责任。</w:t>
      </w:r>
    </w:p>
    <w:p w14:paraId="06C0F245">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2.若乙方违反前述约定对第三人构成侵权，应当由中标供应商向第三人承担法律责任；采购人依法向第三人赔偿后，有权向中标供应商追偿；采购人因此遭受其他损失的，中标供应商应当予以赔偿。</w:t>
      </w:r>
    </w:p>
    <w:p w14:paraId="0CB46D1A">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针对上述条款，若乙方发生违约行为</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须向甲方支付合同总价30%的违约金，甲方有权终止合同，不再支付合同相应款项，并追究乙方的相关经济与法律责任（乙方须退还甲方已支付的全部款项）。</w:t>
      </w:r>
    </w:p>
    <w:p w14:paraId="53352307">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十七、保密条款</w:t>
      </w:r>
    </w:p>
    <w:p w14:paraId="26AE7037">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1.甲方和乙方</w:t>
      </w:r>
      <w:r>
        <w:rPr>
          <w:rFonts w:hint="eastAsia" w:ascii="宋体" w:hAnsi="宋体" w:eastAsia="宋体" w:cs="宋体"/>
          <w:b w:val="0"/>
          <w:bCs/>
          <w:color w:val="auto"/>
          <w:sz w:val="24"/>
          <w:lang w:eastAsia="zh-CN"/>
        </w:rPr>
        <w:t>对</w:t>
      </w:r>
      <w:r>
        <w:rPr>
          <w:rFonts w:hint="eastAsia" w:ascii="宋体" w:hAnsi="宋体" w:eastAsia="宋体" w:cs="宋体"/>
          <w:b w:val="0"/>
          <w:bCs/>
          <w:color w:val="auto"/>
          <w:sz w:val="24"/>
        </w:rPr>
        <w:t>采购和合同履行过程中所获悉的国家秘密、工作秘密、商业秘密或者其他应当保密的信息，均</w:t>
      </w:r>
      <w:r>
        <w:rPr>
          <w:rFonts w:hint="eastAsia" w:ascii="宋体" w:hAnsi="宋体" w:eastAsia="宋体" w:cs="宋体"/>
          <w:b w:val="0"/>
          <w:bCs/>
          <w:color w:val="auto"/>
          <w:sz w:val="24"/>
          <w:lang w:eastAsia="zh-CN"/>
        </w:rPr>
        <w:t>负有</w:t>
      </w:r>
      <w:r>
        <w:rPr>
          <w:rFonts w:hint="eastAsia" w:ascii="宋体" w:hAnsi="宋体" w:eastAsia="宋体" w:cs="宋体"/>
          <w:b w:val="0"/>
          <w:bCs/>
          <w:color w:val="auto"/>
          <w:sz w:val="24"/>
        </w:rPr>
        <w:t>保密义务且不受合同有效期</w:t>
      </w:r>
      <w:r>
        <w:rPr>
          <w:rFonts w:hint="eastAsia" w:ascii="宋体" w:hAnsi="宋体" w:eastAsia="宋体" w:cs="宋体"/>
          <w:b w:val="0"/>
          <w:bCs/>
          <w:color w:val="auto"/>
          <w:sz w:val="24"/>
          <w:lang w:eastAsia="zh-CN"/>
        </w:rPr>
        <w:t>限制</w:t>
      </w:r>
      <w:r>
        <w:rPr>
          <w:rFonts w:hint="eastAsia" w:ascii="宋体" w:hAnsi="宋体" w:eastAsia="宋体" w:cs="宋体"/>
          <w:b w:val="0"/>
          <w:bCs/>
          <w:color w:val="auto"/>
          <w:sz w:val="24"/>
        </w:rPr>
        <w:t>，直至该信息成为公开信息。泄露、不正当地使用国家秘密、工作秘密、商业秘密或者其他应当保密的信息，应当承担相应责任。</w:t>
      </w:r>
    </w:p>
    <w:p w14:paraId="2653DC6D">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bCs/>
          <w:color w:val="auto"/>
          <w:kern w:val="0"/>
          <w:sz w:val="24"/>
          <w:szCs w:val="24"/>
          <w:highlight w:val="none"/>
          <w:lang w:val="en-US" w:eastAsia="zh-CN"/>
        </w:rPr>
        <w:t>2.符合以下情形时，甲方无需事先征得投标供应商/中标供应商同意，即可披露采购过程、合同文本、签署情况、投标供应商/中标供应商名称及地址、采购内容及补充条款等相关信息：发布中标公告及其他公告、国家机关开展调查、审查、审计，以及其他符合法律规定的情形，且披露范围应当限定在合理必要范围内。对于已公布的内容、与已公布内容相同的资料，以及投标供应商/中标供应商已经自行泄露或公开的信息，任何一方无需再承担保密责任。</w:t>
      </w:r>
    </w:p>
    <w:p w14:paraId="44168D02">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3.除上述情形外，除非法律法规另有规定或经本合同其他各方书面许可，任何一方不得向第三人泄露本条前款规定的商业秘密和国家秘密。保密期限自任何一方获知该秘密之日起，至该秘密成为公开信息之日止。</w:t>
      </w:r>
    </w:p>
    <w:p w14:paraId="057F1C0F">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sz w:val="24"/>
          <w:highlight w:val="none"/>
          <w:lang w:val="en-US" w:eastAsia="zh-CN"/>
        </w:rPr>
        <w:t>针对上述条款，若乙方发生违约行为</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须向甲方支付合同总价30%的违约金，甲方有权终止合同，不再支付合同相应款项，并追究乙方的相关经济与法律责任（乙方须退还甲方已支付的全部款项）。</w:t>
      </w:r>
    </w:p>
    <w:p w14:paraId="3D3EAA8C">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十八、</w:t>
      </w:r>
      <w:r>
        <w:rPr>
          <w:rFonts w:hint="eastAsia" w:ascii="宋体" w:hAnsi="宋体" w:eastAsia="宋体" w:cs="Times New Roman"/>
          <w:b/>
          <w:color w:val="auto"/>
          <w:kern w:val="0"/>
          <w:sz w:val="24"/>
          <w:szCs w:val="20"/>
          <w:highlight w:val="none"/>
        </w:rPr>
        <w:t>合同</w:t>
      </w:r>
      <w:r>
        <w:rPr>
          <w:rFonts w:hint="eastAsia" w:ascii="宋体" w:hAnsi="宋体" w:eastAsia="宋体" w:cs="Times New Roman"/>
          <w:b/>
          <w:color w:val="auto"/>
          <w:kern w:val="0"/>
          <w:sz w:val="24"/>
          <w:szCs w:val="20"/>
          <w:highlight w:val="none"/>
          <w:lang w:val="en-US" w:eastAsia="zh-CN"/>
        </w:rPr>
        <w:t>的</w:t>
      </w:r>
      <w:r>
        <w:rPr>
          <w:rFonts w:hint="eastAsia" w:ascii="宋体" w:hAnsi="宋体" w:eastAsia="宋体" w:cs="Times New Roman"/>
          <w:b/>
          <w:color w:val="auto"/>
          <w:kern w:val="0"/>
          <w:sz w:val="24"/>
          <w:szCs w:val="20"/>
          <w:highlight w:val="none"/>
        </w:rPr>
        <w:t>补充、修改或变更</w:t>
      </w:r>
    </w:p>
    <w:p w14:paraId="51523A4D">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1.经双方协商一致，可以对本合同进行补充、修改或变更。</w:t>
      </w:r>
    </w:p>
    <w:p w14:paraId="01997E91">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bCs/>
          <w:color w:val="auto"/>
          <w:kern w:val="0"/>
          <w:sz w:val="24"/>
          <w:szCs w:val="24"/>
          <w:highlight w:val="none"/>
          <w:lang w:val="en-US" w:eastAsia="zh-CN"/>
        </w:rPr>
        <w:t>2.对本合同的补充、修改或变更必须采用书面形式，补充、修改或变更协议的签署及生效要求，与本合同保持一致。</w:t>
      </w:r>
    </w:p>
    <w:p w14:paraId="1C7804E8">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bCs/>
          <w:color w:val="auto"/>
          <w:kern w:val="0"/>
          <w:sz w:val="24"/>
          <w:szCs w:val="24"/>
          <w:highlight w:val="none"/>
          <w:lang w:val="en-US" w:eastAsia="zh-CN"/>
        </w:rPr>
        <w:t>3.招投标文件及其全部条款、双方签订的补充协议，以及对本合同作出修改或变更的条款，均与本合同具有同等法律效力。</w:t>
      </w:r>
    </w:p>
    <w:p w14:paraId="2A0CB4CE">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十九、</w:t>
      </w:r>
      <w:r>
        <w:rPr>
          <w:rFonts w:hint="eastAsia" w:ascii="宋体" w:hAnsi="宋体" w:eastAsia="宋体" w:cs="Times New Roman"/>
          <w:b/>
          <w:color w:val="auto"/>
          <w:kern w:val="0"/>
          <w:sz w:val="24"/>
          <w:szCs w:val="20"/>
          <w:highlight w:val="none"/>
        </w:rPr>
        <w:t>合同转让、转包与分包</w:t>
      </w:r>
    </w:p>
    <w:p w14:paraId="3ADBEB78">
      <w:pPr>
        <w:keepNext w:val="0"/>
        <w:keepLines w:val="0"/>
        <w:pageBreakBefore w:val="0"/>
        <w:widowControl w:val="0"/>
        <w:tabs>
          <w:tab w:val="left" w:pos="0"/>
          <w:tab w:val="left" w:pos="927"/>
        </w:tabs>
        <w:kinsoku/>
        <w:wordWrap/>
        <w:overflowPunct/>
        <w:topLinePunct w:val="0"/>
        <w:autoSpaceDE/>
        <w:autoSpaceDN/>
        <w:bidi w:val="0"/>
        <w:spacing w:line="400" w:lineRule="exact"/>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乙方不得将本合同项下全部供货、安装、调试、</w:t>
      </w:r>
      <w:r>
        <w:rPr>
          <w:rFonts w:hint="eastAsia" w:ascii="宋体" w:hAnsi="宋体" w:eastAsia="宋体" w:cs="宋体"/>
          <w:color w:val="auto"/>
          <w:kern w:val="0"/>
          <w:sz w:val="24"/>
          <w:szCs w:val="24"/>
          <w:highlight w:val="none"/>
          <w:lang w:val="en-US" w:eastAsia="zh-CN"/>
        </w:rPr>
        <w:t>技术支持与培训、售后等义务整体转让、转包给任何第三方，也不得将全部合同内容拆分后以分包名义变相转包。任何整体转让、转包行为都属于严重违约，甲方有权单方解除本合同；若项目因特殊情况确需对部分内容进行分包，所选定的分包单位资质须符合国家及行业相关规定，且需征得甲方同意。</w:t>
      </w:r>
    </w:p>
    <w:p w14:paraId="25F6AA1E">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bCs/>
          <w:color w:val="auto"/>
          <w:sz w:val="24"/>
          <w:highlight w:val="none"/>
          <w:lang w:val="en-US" w:eastAsia="zh-CN"/>
        </w:rPr>
        <w:t>针对上述条款，若乙方发生违约行为</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须向甲方支付合同总价30%的违约金，甲方有权终止合同，不再支付合同相应款项，并追究乙方的相关经济与法律责任（乙方须退还甲方已支付的全部款项）。</w:t>
      </w:r>
    </w:p>
    <w:p w14:paraId="285E28B6">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二十、</w:t>
      </w:r>
      <w:r>
        <w:rPr>
          <w:rFonts w:hint="eastAsia" w:ascii="宋体" w:hAnsi="宋体" w:eastAsia="宋体" w:cs="Times New Roman"/>
          <w:b/>
          <w:color w:val="auto"/>
          <w:kern w:val="0"/>
          <w:sz w:val="24"/>
          <w:szCs w:val="20"/>
          <w:highlight w:val="none"/>
        </w:rPr>
        <w:t>合同的解除</w:t>
      </w:r>
    </w:p>
    <w:p w14:paraId="711DF5A8">
      <w:pPr>
        <w:keepNext w:val="0"/>
        <w:keepLines w:val="0"/>
        <w:pageBreakBefore w:val="0"/>
        <w:widowControl w:val="0"/>
        <w:tabs>
          <w:tab w:val="left" w:pos="540"/>
          <w:tab w:val="left" w:pos="927"/>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1.经甲乙双方协商一致，可以解除本合同。</w:t>
      </w:r>
    </w:p>
    <w:p w14:paraId="3505DF16">
      <w:pPr>
        <w:keepNext w:val="0"/>
        <w:keepLines w:val="0"/>
        <w:pageBreakBefore w:val="0"/>
        <w:widowControl w:val="0"/>
        <w:tabs>
          <w:tab w:val="left" w:pos="540"/>
          <w:tab w:val="left" w:pos="927"/>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2.有下列情形之一的，合同一方有权解除本合同：</w:t>
      </w:r>
    </w:p>
    <w:p w14:paraId="01321A1B">
      <w:pPr>
        <w:keepNext w:val="0"/>
        <w:keepLines w:val="0"/>
        <w:pageBreakBefore w:val="0"/>
        <w:widowControl w:val="0"/>
        <w:tabs>
          <w:tab w:val="left" w:pos="1080"/>
          <w:tab w:val="left" w:pos="2579"/>
        </w:tabs>
        <w:kinsoku/>
        <w:wordWrap/>
        <w:overflowPunct/>
        <w:topLinePunct w:val="0"/>
        <w:autoSpaceDE/>
        <w:autoSpaceDN/>
        <w:bidi w:val="0"/>
        <w:spacing w:line="400" w:lineRule="exact"/>
        <w:ind w:right="-153"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（1）因不可抗力致使不能实现合同目的，未受不可抗力影响的一方有权解除合同；</w:t>
      </w:r>
    </w:p>
    <w:p w14:paraId="1D7A81A8">
      <w:pPr>
        <w:keepNext w:val="0"/>
        <w:keepLines w:val="0"/>
        <w:pageBreakBefore w:val="0"/>
        <w:widowControl w:val="0"/>
        <w:tabs>
          <w:tab w:val="left" w:pos="1080"/>
          <w:tab w:val="left" w:pos="2579"/>
        </w:tabs>
        <w:kinsoku/>
        <w:wordWrap/>
        <w:overflowPunct/>
        <w:topLinePunct w:val="0"/>
        <w:autoSpaceDE/>
        <w:autoSpaceDN/>
        <w:bidi w:val="0"/>
        <w:spacing w:line="400" w:lineRule="exact"/>
        <w:ind w:right="-153" w:firstLine="48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（2）因一方违约导致合同无法履行，另一方有权解除合同；</w:t>
      </w:r>
    </w:p>
    <w:p w14:paraId="108F21A8">
      <w:pPr>
        <w:keepNext w:val="0"/>
        <w:keepLines w:val="0"/>
        <w:pageBreakBefore w:val="0"/>
        <w:widowControl w:val="0"/>
        <w:tabs>
          <w:tab w:val="left" w:pos="1080"/>
          <w:tab w:val="left" w:pos="2579"/>
        </w:tabs>
        <w:kinsoku/>
        <w:wordWrap/>
        <w:overflowPunct/>
        <w:topLinePunct w:val="0"/>
        <w:autoSpaceDE/>
        <w:autoSpaceDN/>
        <w:bidi w:val="0"/>
        <w:spacing w:line="400" w:lineRule="exact"/>
        <w:ind w:right="-153" w:firstLine="48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）乙方转让部分或全部本合同内容，甲方有权解除合同。</w:t>
      </w:r>
    </w:p>
    <w:p w14:paraId="265BC929">
      <w:pPr>
        <w:keepNext w:val="0"/>
        <w:keepLines w:val="0"/>
        <w:pageBreakBefore w:val="0"/>
        <w:widowControl w:val="0"/>
        <w:tabs>
          <w:tab w:val="left" w:pos="540"/>
          <w:tab w:val="left" w:pos="927"/>
        </w:tabs>
        <w:kinsoku/>
        <w:wordWrap/>
        <w:overflowPunct/>
        <w:topLinePunct w:val="0"/>
        <w:autoSpaceDE/>
        <w:autoSpaceDN/>
        <w:bidi w:val="0"/>
        <w:spacing w:line="400" w:lineRule="exact"/>
        <w:ind w:firstLine="48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3.有权解除合同的一方，应当在违约事实或不可抗力发生之日起三十天内，以书面形式通知对方主张解除合同，本合同自书面通知到达对方时解除。</w:t>
      </w:r>
    </w:p>
    <w:p w14:paraId="6502D4F3">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二十一、</w:t>
      </w:r>
      <w:r>
        <w:rPr>
          <w:rFonts w:hint="eastAsia" w:ascii="宋体" w:hAnsi="宋体" w:eastAsia="宋体" w:cs="Times New Roman"/>
          <w:b/>
          <w:color w:val="auto"/>
          <w:kern w:val="0"/>
          <w:sz w:val="24"/>
          <w:szCs w:val="20"/>
          <w:highlight w:val="none"/>
        </w:rPr>
        <w:t>争议解决办法</w:t>
      </w:r>
    </w:p>
    <w:p w14:paraId="38B052AF">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Times New Roman"/>
          <w:color w:val="auto"/>
          <w:kern w:val="0"/>
          <w:sz w:val="24"/>
          <w:szCs w:val="20"/>
          <w:highlight w:val="none"/>
        </w:rPr>
      </w:pPr>
      <w:r>
        <w:rPr>
          <w:rFonts w:hint="eastAsia" w:ascii="宋体" w:hAnsi="宋体" w:eastAsia="宋体" w:cs="Times New Roman"/>
          <w:color w:val="auto"/>
          <w:kern w:val="0"/>
          <w:sz w:val="24"/>
          <w:szCs w:val="20"/>
          <w:highlight w:val="none"/>
        </w:rPr>
        <w:t>1.</w:t>
      </w:r>
      <w:r>
        <w:rPr>
          <w:rFonts w:hint="eastAsia" w:ascii="宋体" w:hAnsi="宋体" w:eastAsia="宋体" w:cs="Times New Roman"/>
          <w:color w:val="auto"/>
          <w:kern w:val="0"/>
          <w:sz w:val="24"/>
          <w:szCs w:val="20"/>
          <w:highlight w:val="none"/>
          <w:lang w:eastAsia="zh-CN"/>
        </w:rPr>
        <w:t>本合同</w:t>
      </w:r>
      <w:r>
        <w:rPr>
          <w:rFonts w:hint="default" w:ascii="宋体" w:hAnsi="宋体" w:eastAsia="宋体" w:cs="Times New Roman"/>
          <w:color w:val="auto"/>
          <w:kern w:val="0"/>
          <w:sz w:val="24"/>
          <w:szCs w:val="20"/>
          <w:highlight w:val="none"/>
        </w:rPr>
        <w:t>经甲乙双方代表签字并盖章后生效。</w:t>
      </w:r>
    </w:p>
    <w:p w14:paraId="1ADA201E">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Times New Roman"/>
          <w:color w:val="auto"/>
          <w:kern w:val="0"/>
          <w:sz w:val="24"/>
          <w:szCs w:val="20"/>
          <w:highlight w:val="none"/>
          <w:lang w:eastAsia="zh-CN"/>
        </w:rPr>
        <w:t>2.合同签订后，甲乙双方即直接产生合同项下的权利与义务关系，合同执行过程中出现的问题，应当按照合同约定及法律法规规定办理。合同履行过程中双方产生争议的，首先由甲乙双方协商处理；协商不成的，按以下第</w:t>
      </w:r>
      <w:r>
        <w:rPr>
          <w:rFonts w:hint="eastAsia" w:ascii="宋体" w:hAnsi="宋体" w:eastAsia="宋体" w:cs="Times New Roman"/>
          <w:color w:val="auto"/>
          <w:kern w:val="0"/>
          <w:sz w:val="24"/>
          <w:szCs w:val="20"/>
          <w:highlight w:val="none"/>
          <w:u w:val="single"/>
          <w:lang w:eastAsia="zh-CN"/>
        </w:rPr>
        <w:t>（2）</w:t>
      </w:r>
      <w:r>
        <w:rPr>
          <w:rFonts w:hint="eastAsia" w:ascii="宋体" w:hAnsi="宋体" w:eastAsia="宋体" w:cs="Times New Roman"/>
          <w:color w:val="auto"/>
          <w:kern w:val="0"/>
          <w:sz w:val="24"/>
          <w:szCs w:val="20"/>
          <w:highlight w:val="none"/>
          <w:lang w:eastAsia="zh-CN"/>
        </w:rPr>
        <w:t>种方式解决：</w:t>
      </w:r>
    </w:p>
    <w:p w14:paraId="1EA5A504">
      <w:pPr>
        <w:keepNext w:val="0"/>
        <w:keepLines w:val="0"/>
        <w:pageBreakBefore w:val="0"/>
        <w:widowControl w:val="0"/>
        <w:kinsoku/>
        <w:wordWrap/>
        <w:overflowPunct/>
        <w:topLinePunct w:val="0"/>
        <w:autoSpaceDE/>
        <w:autoSpaceDN/>
        <w:bidi w:val="0"/>
        <w:spacing w:line="400" w:lineRule="exact"/>
        <w:ind w:firstLine="480"/>
        <w:textAlignment w:val="auto"/>
        <w:rPr>
          <w:rFonts w:hint="eastAsia" w:ascii="宋体" w:hAnsi="宋体" w:eastAsia="宋体" w:cs="Times New Roman"/>
          <w:color w:val="auto"/>
          <w:kern w:val="0"/>
          <w:sz w:val="24"/>
          <w:szCs w:val="20"/>
          <w:highlight w:val="none"/>
          <w:lang w:eastAsia="zh-CN"/>
        </w:rPr>
      </w:pPr>
      <w:r>
        <w:rPr>
          <w:rFonts w:hint="default" w:ascii="宋体" w:hAnsi="宋体" w:eastAsia="宋体" w:cs="Times New Roman"/>
          <w:color w:val="auto"/>
          <w:kern w:val="0"/>
          <w:sz w:val="24"/>
          <w:szCs w:val="20"/>
          <w:highlight w:val="none"/>
        </w:rPr>
        <w:t>（1）向无锡仲裁委员会申请仲裁</w:t>
      </w:r>
      <w:r>
        <w:rPr>
          <w:rFonts w:hint="eastAsia" w:ascii="宋体" w:hAnsi="宋体" w:eastAsia="宋体" w:cs="Times New Roman"/>
          <w:color w:val="auto"/>
          <w:kern w:val="0"/>
          <w:sz w:val="24"/>
          <w:szCs w:val="20"/>
          <w:highlight w:val="none"/>
          <w:lang w:eastAsia="zh-CN"/>
        </w:rPr>
        <w:t>；</w:t>
      </w:r>
    </w:p>
    <w:p w14:paraId="53B840C6">
      <w:pPr>
        <w:keepNext w:val="0"/>
        <w:keepLines w:val="0"/>
        <w:pageBreakBefore w:val="0"/>
        <w:widowControl w:val="0"/>
        <w:kinsoku/>
        <w:wordWrap/>
        <w:overflowPunct/>
        <w:topLinePunct w:val="0"/>
        <w:autoSpaceDE/>
        <w:autoSpaceDN/>
        <w:bidi w:val="0"/>
        <w:spacing w:line="400" w:lineRule="exact"/>
        <w:ind w:firstLine="480"/>
        <w:textAlignment w:val="auto"/>
        <w:rPr>
          <w:rFonts w:hint="eastAsia" w:ascii="宋体" w:hAnsi="宋体" w:eastAsia="宋体" w:cs="Times New Roman"/>
          <w:color w:val="auto"/>
          <w:kern w:val="0"/>
          <w:sz w:val="24"/>
          <w:szCs w:val="20"/>
          <w:highlight w:val="none"/>
        </w:rPr>
      </w:pPr>
      <w:r>
        <w:rPr>
          <w:rFonts w:hint="default" w:ascii="宋体" w:hAnsi="宋体" w:eastAsia="宋体" w:cs="Times New Roman"/>
          <w:color w:val="auto"/>
          <w:kern w:val="0"/>
          <w:sz w:val="24"/>
          <w:szCs w:val="20"/>
          <w:highlight w:val="none"/>
        </w:rPr>
        <w:t>（2）向甲方所在地</w:t>
      </w:r>
      <w:r>
        <w:rPr>
          <w:rFonts w:hint="eastAsia" w:ascii="宋体" w:hAnsi="宋体" w:eastAsia="宋体" w:cs="Times New Roman"/>
          <w:color w:val="auto"/>
          <w:kern w:val="0"/>
          <w:sz w:val="24"/>
          <w:szCs w:val="20"/>
          <w:highlight w:val="none"/>
          <w:lang w:eastAsia="zh-CN"/>
        </w:rPr>
        <w:t>人民法院</w:t>
      </w:r>
      <w:r>
        <w:rPr>
          <w:rFonts w:hint="default" w:ascii="宋体" w:hAnsi="宋体" w:eastAsia="宋体" w:cs="Times New Roman"/>
          <w:color w:val="auto"/>
          <w:kern w:val="0"/>
          <w:sz w:val="24"/>
          <w:szCs w:val="20"/>
          <w:highlight w:val="none"/>
        </w:rPr>
        <w:t>提起诉讼。</w:t>
      </w:r>
    </w:p>
    <w:p w14:paraId="5E99E038">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二十二、</w:t>
      </w:r>
      <w:r>
        <w:rPr>
          <w:rFonts w:hint="eastAsia" w:ascii="宋体" w:hAnsi="宋体" w:eastAsia="宋体" w:cs="Times New Roman"/>
          <w:b/>
          <w:color w:val="auto"/>
          <w:kern w:val="0"/>
          <w:sz w:val="24"/>
          <w:szCs w:val="20"/>
          <w:highlight w:val="none"/>
        </w:rPr>
        <w:t>生效及其他</w:t>
      </w:r>
    </w:p>
    <w:p w14:paraId="503B9A96">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1.本合同自双方盖章签字之日起生效，双方履行</w:t>
      </w:r>
      <w:r>
        <w:rPr>
          <w:rFonts w:hint="eastAsia" w:ascii="宋体" w:hAnsi="宋体" w:eastAsia="宋体" w:cs="宋体"/>
          <w:color w:val="auto"/>
          <w:kern w:val="0"/>
          <w:sz w:val="24"/>
          <w:szCs w:val="24"/>
          <w:highlight w:val="none"/>
          <w:lang w:eastAsia="zh-CN"/>
        </w:rPr>
        <w:t>完毕</w:t>
      </w:r>
      <w:r>
        <w:rPr>
          <w:rFonts w:hint="eastAsia" w:ascii="宋体" w:hAnsi="宋体" w:eastAsia="宋体" w:cs="宋体"/>
          <w:color w:val="auto"/>
          <w:kern w:val="0"/>
          <w:sz w:val="24"/>
          <w:szCs w:val="24"/>
          <w:highlight w:val="none"/>
        </w:rPr>
        <w:t>合同</w:t>
      </w:r>
      <w:r>
        <w:rPr>
          <w:rFonts w:hint="eastAsia" w:ascii="宋体" w:hAnsi="宋体" w:eastAsia="宋体" w:cs="宋体"/>
          <w:color w:val="auto"/>
          <w:kern w:val="0"/>
          <w:sz w:val="24"/>
          <w:szCs w:val="24"/>
          <w:highlight w:val="none"/>
          <w:lang w:eastAsia="zh-CN"/>
        </w:rPr>
        <w:t>义务</w:t>
      </w:r>
      <w:r>
        <w:rPr>
          <w:rFonts w:hint="eastAsia" w:ascii="宋体" w:hAnsi="宋体" w:eastAsia="宋体" w:cs="宋体"/>
          <w:color w:val="auto"/>
          <w:kern w:val="0"/>
          <w:sz w:val="24"/>
          <w:szCs w:val="24"/>
          <w:highlight w:val="none"/>
        </w:rPr>
        <w:t>、付清合同价款后，本合同终止。</w:t>
      </w:r>
    </w:p>
    <w:p w14:paraId="29E310E1">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52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2.合同一方要求变更或解除合同时，应当提前5个工作日通知对方；因一方违约变更或解除合同给另一方造成损失的，由责任方向对方赔偿全部损失。</w:t>
      </w:r>
    </w:p>
    <w:p w14:paraId="3FAF3D55">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52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3.变更或解除合同的通知或协议应当采用书面形式，在新协议未达成前，原合同仍然有效。</w:t>
      </w:r>
    </w:p>
    <w:p w14:paraId="24DCFA5C">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二十三、</w:t>
      </w:r>
      <w:r>
        <w:rPr>
          <w:rFonts w:hint="eastAsia" w:ascii="宋体" w:hAnsi="宋体" w:eastAsia="宋体" w:cs="Times New Roman"/>
          <w:b/>
          <w:color w:val="auto"/>
          <w:kern w:val="0"/>
          <w:sz w:val="24"/>
          <w:szCs w:val="20"/>
          <w:highlight w:val="none"/>
        </w:rPr>
        <w:t>下列文件为本合同不可分割部分</w:t>
      </w:r>
    </w:p>
    <w:p w14:paraId="4C7D5F15">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default"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中标通知书；</w:t>
      </w:r>
    </w:p>
    <w:p w14:paraId="00B5834C">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default"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乙方的投标文件；</w:t>
      </w:r>
    </w:p>
    <w:p w14:paraId="4E7AA5D8">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default"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乙方在招投标过程中所作的其他承诺、声明、书面澄清等；</w:t>
      </w:r>
    </w:p>
    <w:p w14:paraId="523921E4">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default"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及其附件；</w:t>
      </w:r>
    </w:p>
    <w:p w14:paraId="74D605A3">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r>
        <w:rPr>
          <w:rFonts w:hint="default"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合同附件；</w:t>
      </w:r>
    </w:p>
    <w:p w14:paraId="51A327F0">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以上与本合同具有同等法律效力。</w:t>
      </w:r>
    </w:p>
    <w:p w14:paraId="7B40076A">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二十四、</w:t>
      </w:r>
      <w:r>
        <w:rPr>
          <w:rFonts w:hint="eastAsia" w:ascii="宋体" w:hAnsi="宋体" w:eastAsia="宋体" w:cs="Times New Roman"/>
          <w:b/>
          <w:color w:val="auto"/>
          <w:kern w:val="0"/>
          <w:sz w:val="24"/>
          <w:szCs w:val="20"/>
          <w:highlight w:val="none"/>
        </w:rPr>
        <w:t>附则</w:t>
      </w:r>
    </w:p>
    <w:p w14:paraId="6269568E">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1.合同份数：</w:t>
      </w:r>
      <w:r>
        <w:rPr>
          <w:rFonts w:hint="eastAsia" w:ascii="宋体" w:hAnsi="宋体" w:eastAsia="宋体" w:cs="Times New Roman"/>
          <w:color w:val="auto"/>
          <w:kern w:val="0"/>
          <w:sz w:val="24"/>
          <w:szCs w:val="24"/>
          <w:highlight w:val="none"/>
        </w:rPr>
        <w:t>本合同一式柒份，甲方执肆份，乙方执贰份，见证方执壹份，</w:t>
      </w:r>
      <w:r>
        <w:rPr>
          <w:rFonts w:hint="eastAsia" w:ascii="宋体" w:hAnsi="宋体" w:eastAsia="宋体" w:cs="Times New Roman"/>
          <w:color w:val="auto"/>
          <w:kern w:val="0"/>
          <w:sz w:val="24"/>
          <w:szCs w:val="24"/>
          <w:highlight w:val="none"/>
          <w:lang w:eastAsia="zh-CN"/>
        </w:rPr>
        <w:t>各份合同</w:t>
      </w:r>
      <w:r>
        <w:rPr>
          <w:rFonts w:hint="eastAsia" w:ascii="宋体" w:hAnsi="宋体" w:eastAsia="宋体" w:cs="Times New Roman"/>
          <w:color w:val="auto"/>
          <w:kern w:val="0"/>
          <w:sz w:val="24"/>
          <w:szCs w:val="24"/>
          <w:highlight w:val="none"/>
        </w:rPr>
        <w:t>具有同等法律效力。</w:t>
      </w:r>
    </w:p>
    <w:p w14:paraId="7E2A78E6">
      <w:pPr>
        <w:keepNext w:val="0"/>
        <w:keepLines w:val="0"/>
        <w:pageBreakBefore w:val="0"/>
        <w:widowControl w:val="0"/>
        <w:kinsoku/>
        <w:wordWrap/>
        <w:overflowPunct/>
        <w:topLinePunct w:val="0"/>
        <w:autoSpaceDE/>
        <w:autoSpaceDN/>
        <w:bidi w:val="0"/>
        <w:spacing w:line="400" w:lineRule="exact"/>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2.本合同</w:t>
      </w:r>
      <w:r>
        <w:rPr>
          <w:rFonts w:hint="eastAsia" w:ascii="宋体" w:hAnsi="宋体" w:eastAsia="宋体" w:cs="宋体"/>
          <w:color w:val="auto"/>
          <w:kern w:val="0"/>
          <w:sz w:val="24"/>
          <w:szCs w:val="24"/>
          <w:highlight w:val="none"/>
          <w:lang w:eastAsia="zh-CN"/>
        </w:rPr>
        <w:t>采用</w:t>
      </w:r>
      <w:r>
        <w:rPr>
          <w:rFonts w:hint="eastAsia" w:ascii="宋体" w:hAnsi="宋体" w:eastAsia="宋体" w:cs="宋体"/>
          <w:color w:val="auto"/>
          <w:kern w:val="0"/>
          <w:sz w:val="24"/>
          <w:szCs w:val="24"/>
          <w:highlight w:val="none"/>
        </w:rPr>
        <w:t>中文书写、解释和说明。</w:t>
      </w:r>
    </w:p>
    <w:p w14:paraId="052A9F44">
      <w:pPr>
        <w:keepNext w:val="0"/>
        <w:keepLines w:val="0"/>
        <w:pageBreakBefore w:val="0"/>
        <w:widowControl w:val="0"/>
        <w:kinsoku/>
        <w:wordWrap/>
        <w:overflowPunct/>
        <w:topLinePunct w:val="0"/>
        <w:autoSpaceDE/>
        <w:autoSpaceDN/>
        <w:bidi w:val="0"/>
        <w:spacing w:line="400" w:lineRule="exact"/>
        <w:ind w:firstLine="48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3.本合同履行过程中形成的纪要、协议，以及中标通知书、投标文件和采购文件，均为本合同附件，与本合同具有同等法律效力。</w:t>
      </w:r>
    </w:p>
    <w:p w14:paraId="7664956E">
      <w:pPr>
        <w:keepNext w:val="0"/>
        <w:keepLines w:val="0"/>
        <w:pageBreakBefore w:val="0"/>
        <w:widowControl w:val="0"/>
        <w:kinsoku/>
        <w:wordWrap/>
        <w:overflowPunct/>
        <w:topLinePunct w:val="0"/>
        <w:autoSpaceDE/>
        <w:autoSpaceDN/>
        <w:bidi w:val="0"/>
        <w:spacing w:line="400" w:lineRule="exact"/>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4.合同附件</w:t>
      </w:r>
      <w:r>
        <w:rPr>
          <w:rFonts w:hint="eastAsia" w:ascii="宋体" w:hAnsi="宋体" w:eastAsia="宋体" w:cs="宋体"/>
          <w:color w:val="auto"/>
          <w:kern w:val="0"/>
          <w:sz w:val="24"/>
          <w:szCs w:val="24"/>
          <w:highlight w:val="none"/>
          <w:lang w:eastAsia="zh-CN"/>
        </w:rPr>
        <w:t>包括</w:t>
      </w:r>
      <w:r>
        <w:rPr>
          <w:rFonts w:hint="eastAsia" w:ascii="宋体" w:hAnsi="宋体" w:eastAsia="宋体" w:cs="宋体"/>
          <w:color w:val="auto"/>
          <w:kern w:val="0"/>
          <w:sz w:val="24"/>
          <w:szCs w:val="24"/>
          <w:highlight w:val="none"/>
        </w:rPr>
        <w:t>：《廉洁协议书》《开标一览表》《明细报价表》《洛社镇政府采购合同</w:t>
      </w:r>
      <w:r>
        <w:rPr>
          <w:rFonts w:hint="eastAsia" w:ascii="宋体" w:hAnsi="宋体" w:eastAsia="宋体" w:cs="宋体"/>
          <w:color w:val="auto"/>
          <w:kern w:val="0"/>
          <w:sz w:val="24"/>
          <w:szCs w:val="24"/>
          <w:highlight w:val="none"/>
          <w:lang w:val="en-US" w:eastAsia="zh-CN"/>
        </w:rPr>
        <w:t>履约</w:t>
      </w:r>
      <w:r>
        <w:rPr>
          <w:rFonts w:hint="eastAsia" w:ascii="宋体" w:hAnsi="宋体" w:eastAsia="宋体" w:cs="宋体"/>
          <w:color w:val="auto"/>
          <w:kern w:val="0"/>
          <w:sz w:val="24"/>
          <w:szCs w:val="24"/>
          <w:highlight w:val="none"/>
        </w:rPr>
        <w:t>验收报告》</w:t>
      </w:r>
      <w:r>
        <w:rPr>
          <w:rFonts w:hint="default" w:ascii="宋体" w:hAnsi="宋体" w:eastAsia="宋体" w:cs="Times New Roman"/>
          <w:color w:val="auto"/>
          <w:kern w:val="0"/>
          <w:sz w:val="24"/>
          <w:szCs w:val="24"/>
          <w:highlight w:val="none"/>
          <w:u w:val="none"/>
          <w:lang w:val="en-US" w:eastAsia="zh-CN"/>
        </w:rPr>
        <w:t>《采购内容变更核价确认单》</w:t>
      </w:r>
      <w:r>
        <w:rPr>
          <w:rFonts w:hint="eastAsia" w:ascii="宋体" w:hAnsi="宋体" w:eastAsia="宋体" w:cs="宋体"/>
          <w:color w:val="auto"/>
          <w:kern w:val="0"/>
          <w:sz w:val="24"/>
          <w:szCs w:val="24"/>
          <w:highlight w:val="none"/>
        </w:rPr>
        <w:t>。</w:t>
      </w:r>
    </w:p>
    <w:p w14:paraId="331A3083">
      <w:pPr>
        <w:keepNext w:val="0"/>
        <w:keepLines w:val="0"/>
        <w:pageBreakBefore w:val="0"/>
        <w:widowControl w:val="0"/>
        <w:kinsoku/>
        <w:wordWrap/>
        <w:overflowPunct/>
        <w:topLinePunct w:val="0"/>
        <w:autoSpaceDE/>
        <w:autoSpaceDN/>
        <w:bidi w:val="0"/>
        <w:spacing w:line="400" w:lineRule="exact"/>
        <w:ind w:firstLine="48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5.合同的终止：本合同在</w:t>
      </w:r>
      <w:r>
        <w:rPr>
          <w:rFonts w:hint="eastAsia" w:ascii="宋体" w:hAnsi="宋体" w:eastAsia="宋体" w:cs="宋体"/>
          <w:color w:val="auto"/>
          <w:kern w:val="0"/>
          <w:sz w:val="24"/>
          <w:szCs w:val="24"/>
          <w:highlight w:val="none"/>
          <w:lang w:val="en-US" w:eastAsia="zh-CN"/>
        </w:rPr>
        <w:t>乙方完成全部售后服务后终止。</w:t>
      </w:r>
    </w:p>
    <w:p w14:paraId="012DF3A5">
      <w:pPr>
        <w:keepNext w:val="0"/>
        <w:keepLines w:val="0"/>
        <w:pageBreakBefore w:val="0"/>
        <w:widowControl w:val="0"/>
        <w:kinsoku/>
        <w:wordWrap/>
        <w:overflowPunct/>
        <w:topLinePunct w:val="0"/>
        <w:autoSpaceDE/>
        <w:autoSpaceDN/>
        <w:bidi w:val="0"/>
        <w:spacing w:line="400" w:lineRule="exact"/>
        <w:ind w:firstLine="48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6.合同的修改：对本合同内容的修改，需经双方书面同意后方可生效。</w:t>
      </w:r>
    </w:p>
    <w:p w14:paraId="4E4B0F2F">
      <w:pPr>
        <w:keepNext w:val="0"/>
        <w:keepLines w:val="0"/>
        <w:pageBreakBefore w:val="0"/>
        <w:widowControl w:val="0"/>
        <w:kinsoku/>
        <w:wordWrap/>
        <w:overflowPunct/>
        <w:topLinePunct w:val="0"/>
        <w:autoSpaceDE/>
        <w:autoSpaceDN/>
        <w:bidi w:val="0"/>
        <w:spacing w:line="400" w:lineRule="exact"/>
        <w:ind w:firstLine="48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7.本合同未尽事宜，依照《中华人民共和国民法典》的规定执行与解释。</w:t>
      </w:r>
    </w:p>
    <w:p w14:paraId="3A93746C">
      <w:pPr>
        <w:spacing w:line="440" w:lineRule="exact"/>
        <w:ind w:firstLine="482"/>
        <w:rPr>
          <w:rFonts w:hint="eastAsia" w:ascii="宋体" w:hAnsi="宋体" w:eastAsia="宋体" w:cs="宋体"/>
          <w:b/>
          <w:bCs/>
          <w:color w:val="auto"/>
          <w:kern w:val="0"/>
          <w:sz w:val="24"/>
          <w:szCs w:val="24"/>
          <w:highlight w:val="none"/>
        </w:rPr>
      </w:pPr>
      <w:bookmarkStart w:id="141" w:name="_GoBack"/>
      <w:bookmarkEnd w:id="141"/>
    </w:p>
    <w:p w14:paraId="1B12BE57">
      <w:pPr>
        <w:spacing w:line="440" w:lineRule="exact"/>
        <w:ind w:firstLine="482"/>
        <w:rPr>
          <w:rFonts w:hint="eastAsia" w:ascii="宋体" w:hAnsi="宋体" w:eastAsia="宋体" w:cs="宋体"/>
          <w:b/>
          <w:bCs/>
          <w:color w:val="auto"/>
          <w:kern w:val="0"/>
          <w:sz w:val="24"/>
          <w:szCs w:val="24"/>
          <w:highlight w:val="none"/>
        </w:rPr>
      </w:pPr>
    </w:p>
    <w:p w14:paraId="340B8CB1">
      <w:pPr>
        <w:spacing w:line="440" w:lineRule="exact"/>
        <w:ind w:firstLine="482"/>
        <w:rPr>
          <w:rFonts w:hint="eastAsia" w:ascii="宋体" w:hAnsi="宋体" w:eastAsia="宋体" w:cs="宋体"/>
          <w:b/>
          <w:bCs/>
          <w:color w:val="auto"/>
          <w:kern w:val="0"/>
          <w:sz w:val="24"/>
          <w:szCs w:val="24"/>
          <w:highlight w:val="none"/>
        </w:rPr>
      </w:pPr>
    </w:p>
    <w:p w14:paraId="41B14A60">
      <w:pPr>
        <w:spacing w:line="440" w:lineRule="exact"/>
        <w:ind w:firstLine="482"/>
        <w:rPr>
          <w:rFonts w:hint="eastAsia" w:ascii="宋体" w:hAnsi="宋体" w:eastAsia="宋体" w:cs="宋体"/>
          <w:b/>
          <w:bCs/>
          <w:color w:val="auto"/>
          <w:kern w:val="0"/>
          <w:sz w:val="24"/>
          <w:szCs w:val="24"/>
          <w:highlight w:val="none"/>
        </w:rPr>
      </w:pPr>
    </w:p>
    <w:p w14:paraId="67AF20C0">
      <w:pPr>
        <w:spacing w:line="440" w:lineRule="exact"/>
        <w:ind w:firstLine="482"/>
        <w:rPr>
          <w:rFonts w:hint="eastAsia" w:ascii="宋体" w:hAnsi="宋体" w:eastAsia="宋体" w:cs="宋体"/>
          <w:b/>
          <w:bCs/>
          <w:color w:val="auto"/>
          <w:kern w:val="0"/>
          <w:sz w:val="24"/>
          <w:szCs w:val="24"/>
          <w:highlight w:val="none"/>
        </w:rPr>
      </w:pPr>
    </w:p>
    <w:p w14:paraId="4541BBF7">
      <w:pPr>
        <w:spacing w:line="440" w:lineRule="exact"/>
        <w:ind w:firstLine="482"/>
        <w:rPr>
          <w:rFonts w:hint="eastAsia" w:ascii="宋体" w:hAnsi="宋体" w:eastAsia="宋体" w:cs="宋体"/>
          <w:b/>
          <w:bCs/>
          <w:color w:val="auto"/>
          <w:kern w:val="0"/>
          <w:sz w:val="24"/>
          <w:szCs w:val="24"/>
          <w:highlight w:val="none"/>
        </w:rPr>
      </w:pPr>
    </w:p>
    <w:p w14:paraId="11694F6A">
      <w:pPr>
        <w:spacing w:line="440" w:lineRule="exact"/>
        <w:ind w:firstLine="482"/>
        <w:rPr>
          <w:rFonts w:hint="eastAsia" w:ascii="宋体" w:hAnsi="宋体" w:eastAsia="宋体" w:cs="宋体"/>
          <w:b/>
          <w:bCs/>
          <w:color w:val="auto"/>
          <w:kern w:val="0"/>
          <w:sz w:val="24"/>
          <w:szCs w:val="24"/>
          <w:highlight w:val="none"/>
        </w:rPr>
      </w:pPr>
    </w:p>
    <w:p w14:paraId="11322F68">
      <w:pPr>
        <w:spacing w:line="440" w:lineRule="exact"/>
        <w:ind w:firstLine="482"/>
        <w:rPr>
          <w:rFonts w:hint="eastAsia" w:ascii="宋体" w:hAnsi="宋体" w:eastAsia="宋体" w:cs="宋体"/>
          <w:b/>
          <w:bCs/>
          <w:color w:val="auto"/>
          <w:kern w:val="0"/>
          <w:sz w:val="24"/>
          <w:szCs w:val="24"/>
          <w:highlight w:val="none"/>
        </w:rPr>
      </w:pPr>
    </w:p>
    <w:p w14:paraId="439D85BA">
      <w:pPr>
        <w:spacing w:line="440" w:lineRule="exact"/>
        <w:ind w:firstLine="482"/>
        <w:rPr>
          <w:rFonts w:hint="eastAsia" w:ascii="宋体" w:hAnsi="宋体" w:eastAsia="宋体" w:cs="宋体"/>
          <w:b/>
          <w:bCs/>
          <w:color w:val="auto"/>
          <w:kern w:val="0"/>
          <w:sz w:val="24"/>
          <w:szCs w:val="24"/>
          <w:highlight w:val="none"/>
        </w:rPr>
      </w:pPr>
    </w:p>
    <w:p w14:paraId="41229F60">
      <w:pPr>
        <w:spacing w:line="440" w:lineRule="exact"/>
        <w:ind w:firstLine="482"/>
        <w:rPr>
          <w:rFonts w:hint="eastAsia" w:ascii="宋体" w:hAnsi="宋体" w:eastAsia="宋体" w:cs="宋体"/>
          <w:b/>
          <w:bCs/>
          <w:color w:val="auto"/>
          <w:kern w:val="0"/>
          <w:sz w:val="24"/>
          <w:szCs w:val="24"/>
          <w:highlight w:val="none"/>
        </w:rPr>
      </w:pPr>
    </w:p>
    <w:p w14:paraId="244713F3">
      <w:pPr>
        <w:spacing w:line="440" w:lineRule="exact"/>
        <w:ind w:firstLine="482"/>
        <w:rPr>
          <w:rFonts w:hint="eastAsia" w:ascii="宋体" w:hAnsi="宋体" w:eastAsia="宋体" w:cs="宋体"/>
          <w:b/>
          <w:bCs/>
          <w:color w:val="auto"/>
          <w:kern w:val="0"/>
          <w:sz w:val="24"/>
          <w:szCs w:val="24"/>
          <w:highlight w:val="none"/>
        </w:rPr>
      </w:pPr>
    </w:p>
    <w:p w14:paraId="48BD174A">
      <w:pPr>
        <w:spacing w:line="440" w:lineRule="exact"/>
        <w:ind w:firstLine="482"/>
        <w:rPr>
          <w:rFonts w:hint="eastAsia" w:ascii="宋体" w:hAnsi="宋体" w:eastAsia="宋体" w:cs="宋体"/>
          <w:b/>
          <w:bCs/>
          <w:color w:val="auto"/>
          <w:kern w:val="0"/>
          <w:sz w:val="24"/>
          <w:szCs w:val="24"/>
          <w:highlight w:val="none"/>
        </w:rPr>
      </w:pPr>
    </w:p>
    <w:p w14:paraId="60C87CC3">
      <w:pPr>
        <w:spacing w:line="440" w:lineRule="exact"/>
        <w:ind w:firstLine="482"/>
        <w:rPr>
          <w:rFonts w:hint="eastAsia" w:ascii="宋体" w:hAnsi="宋体" w:eastAsia="宋体" w:cs="宋体"/>
          <w:b/>
          <w:bCs/>
          <w:color w:val="auto"/>
          <w:kern w:val="0"/>
          <w:sz w:val="24"/>
          <w:szCs w:val="24"/>
          <w:highlight w:val="none"/>
        </w:rPr>
      </w:pPr>
    </w:p>
    <w:p w14:paraId="4F4F926C">
      <w:pPr>
        <w:spacing w:line="440" w:lineRule="exact"/>
        <w:ind w:firstLine="482"/>
        <w:rPr>
          <w:rFonts w:hint="eastAsia" w:ascii="宋体" w:hAnsi="宋体" w:eastAsia="宋体" w:cs="宋体"/>
          <w:b/>
          <w:bCs/>
          <w:color w:val="auto"/>
          <w:kern w:val="0"/>
          <w:sz w:val="24"/>
          <w:szCs w:val="24"/>
          <w:highlight w:val="none"/>
        </w:rPr>
      </w:pPr>
    </w:p>
    <w:p w14:paraId="49C509BB">
      <w:pPr>
        <w:spacing w:line="440" w:lineRule="exact"/>
        <w:ind w:firstLine="482"/>
        <w:rPr>
          <w:rFonts w:hint="eastAsia" w:ascii="宋体" w:hAnsi="宋体" w:eastAsia="宋体" w:cs="宋体"/>
          <w:b/>
          <w:bCs/>
          <w:color w:val="auto"/>
          <w:kern w:val="0"/>
          <w:sz w:val="24"/>
          <w:szCs w:val="24"/>
          <w:highlight w:val="none"/>
        </w:rPr>
      </w:pPr>
    </w:p>
    <w:p w14:paraId="7BD83052">
      <w:pPr>
        <w:spacing w:line="440" w:lineRule="exact"/>
        <w:ind w:firstLine="482"/>
        <w:rPr>
          <w:rFonts w:hint="eastAsia" w:ascii="宋体" w:hAnsi="宋体" w:eastAsia="宋体" w:cs="宋体"/>
          <w:b/>
          <w:bCs/>
          <w:color w:val="auto"/>
          <w:kern w:val="0"/>
          <w:sz w:val="24"/>
          <w:szCs w:val="24"/>
          <w:highlight w:val="none"/>
        </w:rPr>
      </w:pPr>
    </w:p>
    <w:p w14:paraId="6EC13CF6">
      <w:pPr>
        <w:spacing w:line="440" w:lineRule="exact"/>
        <w:ind w:firstLine="482"/>
        <w:rPr>
          <w:rFonts w:hint="eastAsia" w:ascii="宋体" w:hAnsi="宋体" w:eastAsia="宋体" w:cs="宋体"/>
          <w:b/>
          <w:bCs/>
          <w:color w:val="auto"/>
          <w:kern w:val="0"/>
          <w:sz w:val="24"/>
          <w:szCs w:val="24"/>
          <w:highlight w:val="none"/>
        </w:rPr>
      </w:pPr>
    </w:p>
    <w:p w14:paraId="5E9C30CB">
      <w:pPr>
        <w:spacing w:line="440" w:lineRule="exact"/>
        <w:ind w:firstLine="482"/>
        <w:rPr>
          <w:rFonts w:hint="eastAsia" w:ascii="宋体" w:hAnsi="宋体" w:eastAsia="宋体" w:cs="宋体"/>
          <w:b/>
          <w:bCs/>
          <w:color w:val="auto"/>
          <w:kern w:val="0"/>
          <w:sz w:val="24"/>
          <w:szCs w:val="24"/>
          <w:highlight w:val="none"/>
        </w:rPr>
      </w:pPr>
    </w:p>
    <w:p w14:paraId="54793CCD">
      <w:pPr>
        <w:spacing w:line="440" w:lineRule="exact"/>
        <w:ind w:firstLine="482"/>
        <w:rPr>
          <w:rFonts w:hint="eastAsia" w:ascii="宋体" w:hAnsi="宋体" w:eastAsia="宋体" w:cs="宋体"/>
          <w:b/>
          <w:bCs/>
          <w:color w:val="auto"/>
          <w:kern w:val="0"/>
          <w:sz w:val="24"/>
          <w:szCs w:val="24"/>
          <w:highlight w:val="none"/>
        </w:rPr>
      </w:pPr>
    </w:p>
    <w:p w14:paraId="73552530">
      <w:pPr>
        <w:spacing w:line="440" w:lineRule="exact"/>
        <w:ind w:firstLine="482"/>
        <w:rPr>
          <w:rFonts w:hint="eastAsia" w:ascii="宋体" w:hAnsi="宋体" w:eastAsia="宋体" w:cs="宋体"/>
          <w:b/>
          <w:bCs/>
          <w:color w:val="auto"/>
          <w:kern w:val="0"/>
          <w:sz w:val="24"/>
          <w:szCs w:val="24"/>
          <w:highlight w:val="none"/>
        </w:rPr>
      </w:pPr>
    </w:p>
    <w:p w14:paraId="751C2386">
      <w:pPr>
        <w:spacing w:line="440" w:lineRule="exact"/>
        <w:ind w:firstLine="482"/>
        <w:rPr>
          <w:rFonts w:hint="eastAsia" w:ascii="宋体" w:hAnsi="宋体" w:eastAsia="宋体" w:cs="宋体"/>
          <w:b/>
          <w:bCs/>
          <w:color w:val="auto"/>
          <w:kern w:val="0"/>
          <w:sz w:val="24"/>
          <w:szCs w:val="24"/>
          <w:highlight w:val="none"/>
        </w:rPr>
      </w:pPr>
    </w:p>
    <w:p w14:paraId="621536EB">
      <w:pPr>
        <w:spacing w:line="440" w:lineRule="exact"/>
        <w:ind w:firstLine="482"/>
        <w:rPr>
          <w:rFonts w:hint="eastAsia" w:ascii="宋体" w:hAnsi="宋体" w:eastAsia="宋体" w:cs="宋体"/>
          <w:b/>
          <w:bCs/>
          <w:color w:val="auto"/>
          <w:kern w:val="0"/>
          <w:sz w:val="24"/>
          <w:szCs w:val="24"/>
          <w:highlight w:val="none"/>
        </w:rPr>
      </w:pPr>
    </w:p>
    <w:p w14:paraId="0A5F5A2C">
      <w:pPr>
        <w:spacing w:line="440" w:lineRule="exact"/>
        <w:ind w:firstLine="482"/>
        <w:rPr>
          <w:rFonts w:hint="eastAsia" w:ascii="宋体" w:hAnsi="宋体" w:eastAsia="宋体" w:cs="宋体"/>
          <w:b/>
          <w:bCs/>
          <w:color w:val="auto"/>
          <w:kern w:val="0"/>
          <w:sz w:val="24"/>
          <w:szCs w:val="24"/>
          <w:highlight w:val="none"/>
        </w:rPr>
      </w:pPr>
    </w:p>
    <w:p w14:paraId="42E80AC8">
      <w:pPr>
        <w:spacing w:line="440" w:lineRule="exact"/>
        <w:ind w:firstLine="482"/>
        <w:rPr>
          <w:rFonts w:hint="eastAsia" w:ascii="宋体" w:hAnsi="宋体" w:eastAsia="宋体" w:cs="宋体"/>
          <w:b/>
          <w:bCs/>
          <w:color w:val="auto"/>
          <w:kern w:val="0"/>
          <w:sz w:val="24"/>
          <w:szCs w:val="24"/>
          <w:highlight w:val="none"/>
        </w:rPr>
      </w:pPr>
    </w:p>
    <w:p w14:paraId="53DF6477">
      <w:pPr>
        <w:spacing w:line="440" w:lineRule="exact"/>
        <w:ind w:firstLine="482"/>
        <w:rPr>
          <w:rFonts w:hint="eastAsia" w:ascii="宋体" w:hAnsi="宋体" w:eastAsia="宋体" w:cs="宋体"/>
          <w:b/>
          <w:bCs/>
          <w:color w:val="auto"/>
          <w:kern w:val="0"/>
          <w:sz w:val="24"/>
          <w:szCs w:val="24"/>
          <w:highlight w:val="none"/>
        </w:rPr>
      </w:pPr>
    </w:p>
    <w:p w14:paraId="4F555D98">
      <w:pPr>
        <w:spacing w:line="440" w:lineRule="exact"/>
        <w:ind w:firstLine="482"/>
        <w:rPr>
          <w:rFonts w:hint="eastAsia" w:ascii="宋体" w:hAnsi="宋体" w:eastAsia="宋体" w:cs="宋体"/>
          <w:b/>
          <w:bCs/>
          <w:color w:val="auto"/>
          <w:kern w:val="0"/>
          <w:sz w:val="24"/>
          <w:szCs w:val="24"/>
          <w:highlight w:val="none"/>
        </w:rPr>
      </w:pPr>
    </w:p>
    <w:p w14:paraId="54043CAE">
      <w:pPr>
        <w:spacing w:line="440" w:lineRule="exact"/>
        <w:jc w:val="center"/>
        <w:rPr>
          <w:rFonts w:hint="eastAsia" w:ascii="宋体" w:hAnsi="宋体" w:eastAsia="宋体" w:cs="宋体"/>
          <w:b/>
          <w:bCs/>
          <w:color w:val="auto"/>
          <w:kern w:val="0"/>
          <w:sz w:val="24"/>
          <w:szCs w:val="24"/>
          <w:highlight w:val="none"/>
        </w:rPr>
      </w:pPr>
    </w:p>
    <w:p w14:paraId="45E630AB">
      <w:pPr>
        <w:spacing w:line="440" w:lineRule="exact"/>
        <w:jc w:val="center"/>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以下无正文</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合同签署页</w:t>
      </w:r>
    </w:p>
    <w:tbl>
      <w:tblPr>
        <w:tblStyle w:val="31"/>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6"/>
        <w:gridCol w:w="4818"/>
      </w:tblGrid>
      <w:tr w14:paraId="7F6A2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906" w:type="dxa"/>
            <w:tcBorders>
              <w:top w:val="single" w:color="auto" w:sz="4" w:space="0"/>
              <w:left w:val="single" w:color="auto" w:sz="4" w:space="0"/>
              <w:bottom w:val="single" w:color="auto" w:sz="4" w:space="0"/>
              <w:right w:val="single" w:color="auto" w:sz="4" w:space="0"/>
            </w:tcBorders>
            <w:vAlign w:val="center"/>
          </w:tcPr>
          <w:p w14:paraId="5435D28B">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rPr>
            </w:pPr>
            <w:r>
              <w:rPr>
                <w:rFonts w:hint="eastAsia" w:ascii="宋体" w:hAnsi="宋体" w:eastAsia="宋体" w:cs="Times New Roman"/>
                <w:b/>
                <w:bCs w:val="0"/>
                <w:color w:val="auto"/>
                <w:kern w:val="0"/>
                <w:sz w:val="21"/>
                <w:szCs w:val="21"/>
                <w:highlight w:val="none"/>
              </w:rPr>
              <w:t>甲方（盖章）：</w:t>
            </w:r>
            <w:r>
              <w:rPr>
                <w:rFonts w:hint="eastAsia" w:ascii="宋体" w:hAnsi="宋体" w:eastAsia="宋体" w:cs="Times New Roman"/>
                <w:b w:val="0"/>
                <w:bCs/>
                <w:color w:val="auto"/>
                <w:kern w:val="0"/>
                <w:sz w:val="21"/>
                <w:szCs w:val="21"/>
                <w:highlight w:val="none"/>
                <w:lang w:eastAsia="zh-CN"/>
              </w:rPr>
              <w:t>无锡市惠山区洛社镇人民政府</w:t>
            </w:r>
            <w:r>
              <w:rPr>
                <w:rFonts w:hint="eastAsia" w:ascii="宋体" w:hAnsi="宋体" w:eastAsia="宋体" w:cs="Times New Roman"/>
                <w:color w:val="auto"/>
                <w:kern w:val="0"/>
                <w:sz w:val="21"/>
                <w:szCs w:val="21"/>
                <w:highlight w:val="none"/>
                <w:lang w:val="en-US" w:eastAsia="zh-CN"/>
              </w:rPr>
              <w:t xml:space="preserve"> </w:t>
            </w:r>
          </w:p>
        </w:tc>
        <w:tc>
          <w:tcPr>
            <w:tcW w:w="4818" w:type="dxa"/>
            <w:tcBorders>
              <w:top w:val="single" w:color="auto" w:sz="4" w:space="0"/>
              <w:left w:val="single" w:color="auto" w:sz="4" w:space="0"/>
              <w:bottom w:val="single" w:color="auto" w:sz="4" w:space="0"/>
              <w:right w:val="single" w:color="auto" w:sz="4" w:space="0"/>
            </w:tcBorders>
            <w:vAlign w:val="center"/>
          </w:tcPr>
          <w:p w14:paraId="2FDAFEB5">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lang w:eastAsia="zh-CN"/>
              </w:rPr>
            </w:pPr>
            <w:r>
              <w:rPr>
                <w:rFonts w:hint="eastAsia" w:ascii="宋体" w:hAnsi="宋体" w:eastAsia="宋体" w:cs="Times New Roman"/>
                <w:b/>
                <w:bCs w:val="0"/>
                <w:color w:val="auto"/>
                <w:kern w:val="0"/>
                <w:sz w:val="21"/>
                <w:szCs w:val="21"/>
                <w:highlight w:val="none"/>
              </w:rPr>
              <w:t>乙方（盖章）：</w:t>
            </w:r>
            <w:r>
              <w:rPr>
                <w:rFonts w:hint="eastAsia" w:ascii="宋体" w:hAnsi="宋体" w:eastAsia="宋体" w:cs="Times New Roman"/>
                <w:b/>
                <w:bCs w:val="0"/>
                <w:color w:val="auto"/>
                <w:kern w:val="0"/>
                <w:sz w:val="21"/>
                <w:szCs w:val="21"/>
                <w:highlight w:val="none"/>
                <w:lang w:val="en-US" w:eastAsia="zh-CN"/>
              </w:rPr>
              <w:t xml:space="preserve"> </w:t>
            </w:r>
          </w:p>
        </w:tc>
      </w:tr>
      <w:tr w14:paraId="4530E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906" w:type="dxa"/>
            <w:tcBorders>
              <w:top w:val="single" w:color="auto" w:sz="4" w:space="0"/>
              <w:left w:val="single" w:color="auto" w:sz="4" w:space="0"/>
              <w:bottom w:val="single" w:color="auto" w:sz="4" w:space="0"/>
              <w:right w:val="single" w:color="auto" w:sz="4" w:space="0"/>
            </w:tcBorders>
            <w:vAlign w:val="center"/>
          </w:tcPr>
          <w:p w14:paraId="25A42F1B">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lang w:eastAsia="zh-CN"/>
              </w:rPr>
            </w:pPr>
            <w:r>
              <w:rPr>
                <w:rFonts w:hint="eastAsia" w:ascii="宋体" w:hAnsi="宋体" w:eastAsia="宋体" w:cs="Times New Roman"/>
                <w:color w:val="auto"/>
                <w:kern w:val="0"/>
                <w:sz w:val="21"/>
                <w:szCs w:val="21"/>
                <w:highlight w:val="none"/>
              </w:rPr>
              <w:t>单位地址：</w:t>
            </w:r>
            <w:r>
              <w:rPr>
                <w:rFonts w:hint="eastAsia" w:ascii="宋体" w:hAnsi="宋体" w:eastAsia="宋体" w:cs="Times New Roman"/>
                <w:color w:val="auto"/>
                <w:kern w:val="0"/>
                <w:sz w:val="21"/>
                <w:szCs w:val="21"/>
                <w:highlight w:val="none"/>
                <w:lang w:val="en-US" w:eastAsia="zh-CN"/>
              </w:rPr>
              <w:t>无锡市惠山区洛社镇新兴西路5号</w:t>
            </w:r>
          </w:p>
        </w:tc>
        <w:tc>
          <w:tcPr>
            <w:tcW w:w="4818" w:type="dxa"/>
            <w:tcBorders>
              <w:top w:val="single" w:color="auto" w:sz="4" w:space="0"/>
              <w:left w:val="single" w:color="auto" w:sz="4" w:space="0"/>
              <w:bottom w:val="single" w:color="auto" w:sz="4" w:space="0"/>
              <w:right w:val="single" w:color="auto" w:sz="4" w:space="0"/>
            </w:tcBorders>
            <w:vAlign w:val="center"/>
          </w:tcPr>
          <w:p w14:paraId="26AFE6AB">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lang w:eastAsia="zh-CN"/>
              </w:rPr>
            </w:pPr>
            <w:r>
              <w:rPr>
                <w:rFonts w:hint="eastAsia" w:ascii="宋体" w:hAnsi="宋体" w:eastAsia="宋体" w:cs="Times New Roman"/>
                <w:color w:val="auto"/>
                <w:kern w:val="0"/>
                <w:sz w:val="21"/>
                <w:szCs w:val="21"/>
                <w:highlight w:val="none"/>
              </w:rPr>
              <w:t>单位地址：</w:t>
            </w:r>
            <w:r>
              <w:rPr>
                <w:rFonts w:hint="eastAsia" w:ascii="宋体" w:hAnsi="宋体" w:eastAsia="宋体" w:cs="Times New Roman"/>
                <w:color w:val="auto"/>
                <w:kern w:val="0"/>
                <w:sz w:val="21"/>
                <w:szCs w:val="21"/>
                <w:highlight w:val="none"/>
                <w:lang w:val="en-US" w:eastAsia="zh-CN"/>
              </w:rPr>
              <w:t xml:space="preserve"> </w:t>
            </w:r>
          </w:p>
        </w:tc>
      </w:tr>
      <w:tr w14:paraId="43FF2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4906" w:type="dxa"/>
            <w:tcBorders>
              <w:top w:val="single" w:color="auto" w:sz="4" w:space="0"/>
              <w:left w:val="single" w:color="auto" w:sz="4" w:space="0"/>
              <w:bottom w:val="single" w:color="auto" w:sz="4" w:space="0"/>
              <w:right w:val="single" w:color="auto" w:sz="4" w:space="0"/>
            </w:tcBorders>
            <w:vAlign w:val="center"/>
          </w:tcPr>
          <w:p w14:paraId="00680F74">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法定代表人</w:t>
            </w:r>
            <w:r>
              <w:rPr>
                <w:rFonts w:hint="eastAsia" w:ascii="宋体" w:hAnsi="宋体" w:eastAsia="宋体" w:cs="Times New Roman"/>
                <w:color w:val="auto"/>
                <w:kern w:val="0"/>
                <w:sz w:val="21"/>
                <w:szCs w:val="21"/>
                <w:highlight w:val="none"/>
                <w:lang w:val="en-US" w:eastAsia="zh-CN"/>
              </w:rPr>
              <w:t>或</w:t>
            </w:r>
            <w:r>
              <w:rPr>
                <w:rFonts w:hint="eastAsia" w:ascii="宋体" w:hAnsi="宋体" w:eastAsia="宋体" w:cs="Times New Roman"/>
                <w:color w:val="auto"/>
                <w:kern w:val="0"/>
                <w:sz w:val="21"/>
                <w:szCs w:val="21"/>
                <w:highlight w:val="none"/>
              </w:rPr>
              <w:t>经办人（签字或盖章）：</w:t>
            </w:r>
          </w:p>
        </w:tc>
        <w:tc>
          <w:tcPr>
            <w:tcW w:w="4818" w:type="dxa"/>
            <w:tcBorders>
              <w:top w:val="single" w:color="auto" w:sz="4" w:space="0"/>
              <w:left w:val="single" w:color="auto" w:sz="4" w:space="0"/>
              <w:bottom w:val="single" w:color="auto" w:sz="4" w:space="0"/>
              <w:right w:val="single" w:color="auto" w:sz="4" w:space="0"/>
            </w:tcBorders>
            <w:vAlign w:val="center"/>
          </w:tcPr>
          <w:p w14:paraId="3325962E">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法定代表人经办人（签字或盖章）：</w:t>
            </w:r>
          </w:p>
        </w:tc>
      </w:tr>
      <w:tr w14:paraId="5B304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4906" w:type="dxa"/>
            <w:tcBorders>
              <w:top w:val="single" w:color="auto" w:sz="4" w:space="0"/>
              <w:left w:val="single" w:color="auto" w:sz="4" w:space="0"/>
              <w:bottom w:val="single" w:color="auto" w:sz="4" w:space="0"/>
              <w:right w:val="single" w:color="auto" w:sz="4" w:space="0"/>
            </w:tcBorders>
            <w:vAlign w:val="center"/>
          </w:tcPr>
          <w:p w14:paraId="759DEB21">
            <w:pPr>
              <w:keepNext w:val="0"/>
              <w:keepLines w:val="0"/>
              <w:suppressLineNumbers w:val="0"/>
              <w:spacing w:before="0" w:beforeAutospacing="0" w:after="0" w:afterAutospacing="0"/>
              <w:ind w:left="0" w:right="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签订日期：202</w:t>
            </w:r>
            <w:r>
              <w:rPr>
                <w:rFonts w:hint="eastAsia" w:ascii="宋体" w:hAnsi="宋体" w:eastAsia="宋体" w:cs="Times New Roman"/>
                <w:color w:val="auto"/>
                <w:kern w:val="0"/>
                <w:sz w:val="21"/>
                <w:szCs w:val="21"/>
                <w:highlight w:val="none"/>
                <w:lang w:val="en-US" w:eastAsia="zh-CN"/>
              </w:rPr>
              <w:t>6</w:t>
            </w:r>
            <w:r>
              <w:rPr>
                <w:rFonts w:hint="eastAsia" w:ascii="宋体" w:hAnsi="宋体" w:eastAsia="宋体" w:cs="Times New Roman"/>
                <w:color w:val="auto"/>
                <w:kern w:val="0"/>
                <w:sz w:val="21"/>
                <w:szCs w:val="21"/>
                <w:highlight w:val="none"/>
              </w:rPr>
              <w:t xml:space="preserve">年【   </w:t>
            </w:r>
            <w:r>
              <w:rPr>
                <w:rFonts w:hint="default" w:ascii="宋体" w:hAnsi="宋体" w:eastAsia="宋体" w:cs="Times New Roman"/>
                <w:color w:val="auto"/>
                <w:kern w:val="0"/>
                <w:sz w:val="21"/>
                <w:szCs w:val="21"/>
                <w:highlight w:val="none"/>
              </w:rPr>
              <w:t xml:space="preserve"> </w:t>
            </w:r>
            <w:r>
              <w:rPr>
                <w:rFonts w:hint="eastAsia" w:ascii="宋体" w:hAnsi="宋体" w:eastAsia="宋体" w:cs="Times New Roman"/>
                <w:color w:val="auto"/>
                <w:kern w:val="0"/>
                <w:sz w:val="21"/>
                <w:szCs w:val="21"/>
                <w:highlight w:val="none"/>
              </w:rPr>
              <w:t xml:space="preserve">】月【   </w:t>
            </w:r>
            <w:r>
              <w:rPr>
                <w:rFonts w:hint="default" w:ascii="宋体" w:hAnsi="宋体" w:eastAsia="宋体" w:cs="Times New Roman"/>
                <w:color w:val="auto"/>
                <w:kern w:val="0"/>
                <w:sz w:val="21"/>
                <w:szCs w:val="21"/>
                <w:highlight w:val="none"/>
              </w:rPr>
              <w:t xml:space="preserve"> </w:t>
            </w:r>
            <w:r>
              <w:rPr>
                <w:rFonts w:hint="eastAsia" w:ascii="宋体" w:hAnsi="宋体" w:eastAsia="宋体" w:cs="Times New Roman"/>
                <w:color w:val="auto"/>
                <w:kern w:val="0"/>
                <w:sz w:val="21"/>
                <w:szCs w:val="21"/>
                <w:highlight w:val="none"/>
              </w:rPr>
              <w:t>】日</w:t>
            </w:r>
          </w:p>
        </w:tc>
        <w:tc>
          <w:tcPr>
            <w:tcW w:w="4818" w:type="dxa"/>
            <w:tcBorders>
              <w:top w:val="single" w:color="auto" w:sz="4" w:space="0"/>
              <w:left w:val="single" w:color="auto" w:sz="4" w:space="0"/>
              <w:bottom w:val="single" w:color="auto" w:sz="4" w:space="0"/>
              <w:right w:val="single" w:color="auto" w:sz="4" w:space="0"/>
            </w:tcBorders>
            <w:vAlign w:val="center"/>
          </w:tcPr>
          <w:p w14:paraId="465237B7">
            <w:pPr>
              <w:keepNext w:val="0"/>
              <w:keepLines w:val="0"/>
              <w:suppressLineNumbers w:val="0"/>
              <w:spacing w:before="0" w:beforeAutospacing="0" w:after="0" w:afterAutospacing="0"/>
              <w:ind w:left="0" w:right="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签订日期：202</w:t>
            </w:r>
            <w:r>
              <w:rPr>
                <w:rFonts w:hint="eastAsia" w:ascii="宋体" w:hAnsi="宋体" w:eastAsia="宋体" w:cs="Times New Roman"/>
                <w:color w:val="auto"/>
                <w:kern w:val="0"/>
                <w:sz w:val="21"/>
                <w:szCs w:val="21"/>
                <w:highlight w:val="none"/>
                <w:lang w:val="en-US" w:eastAsia="zh-CN"/>
              </w:rPr>
              <w:t>6</w:t>
            </w:r>
            <w:r>
              <w:rPr>
                <w:rFonts w:hint="eastAsia" w:ascii="宋体" w:hAnsi="宋体" w:eastAsia="宋体" w:cs="Times New Roman"/>
                <w:color w:val="auto"/>
                <w:kern w:val="0"/>
                <w:sz w:val="21"/>
                <w:szCs w:val="21"/>
                <w:highlight w:val="none"/>
              </w:rPr>
              <w:t>年【</w:t>
            </w:r>
            <w:r>
              <w:rPr>
                <w:rFonts w:hint="default" w:ascii="宋体" w:hAnsi="宋体" w:eastAsia="宋体" w:cs="Times New Roman"/>
                <w:color w:val="auto"/>
                <w:kern w:val="0"/>
                <w:sz w:val="21"/>
                <w:szCs w:val="21"/>
                <w:highlight w:val="none"/>
              </w:rPr>
              <w:t xml:space="preserve"> </w:t>
            </w:r>
            <w:r>
              <w:rPr>
                <w:rFonts w:hint="eastAsia" w:ascii="宋体" w:hAnsi="宋体" w:eastAsia="宋体" w:cs="Times New Roman"/>
                <w:color w:val="auto"/>
                <w:kern w:val="0"/>
                <w:sz w:val="21"/>
                <w:szCs w:val="21"/>
                <w:highlight w:val="none"/>
              </w:rPr>
              <w:t xml:space="preserve">   】月【</w:t>
            </w:r>
            <w:r>
              <w:rPr>
                <w:rFonts w:hint="default" w:ascii="宋体" w:hAnsi="宋体" w:eastAsia="宋体" w:cs="Times New Roman"/>
                <w:color w:val="auto"/>
                <w:kern w:val="0"/>
                <w:sz w:val="21"/>
                <w:szCs w:val="21"/>
                <w:highlight w:val="none"/>
              </w:rPr>
              <w:t xml:space="preserve"> </w:t>
            </w:r>
            <w:r>
              <w:rPr>
                <w:rFonts w:hint="eastAsia" w:ascii="宋体" w:hAnsi="宋体" w:eastAsia="宋体" w:cs="Times New Roman"/>
                <w:color w:val="auto"/>
                <w:kern w:val="0"/>
                <w:sz w:val="21"/>
                <w:szCs w:val="21"/>
                <w:highlight w:val="none"/>
              </w:rPr>
              <w:t xml:space="preserve">   】日</w:t>
            </w:r>
          </w:p>
        </w:tc>
      </w:tr>
      <w:tr w14:paraId="3508A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9724" w:type="dxa"/>
            <w:gridSpan w:val="2"/>
            <w:tcBorders>
              <w:top w:val="single" w:color="auto" w:sz="4" w:space="0"/>
              <w:left w:val="single" w:color="auto" w:sz="4" w:space="0"/>
              <w:bottom w:val="single" w:color="auto" w:sz="4" w:space="0"/>
              <w:right w:val="single" w:color="auto" w:sz="4" w:space="0"/>
            </w:tcBorders>
            <w:vAlign w:val="center"/>
          </w:tcPr>
          <w:p w14:paraId="6574B664">
            <w:pPr>
              <w:keepNext w:val="0"/>
              <w:keepLines w:val="0"/>
              <w:suppressLineNumbers w:val="0"/>
              <w:spacing w:before="0" w:beforeAutospacing="0" w:after="0" w:afterAutospacing="0"/>
              <w:ind w:left="0" w:right="0"/>
              <w:jc w:val="left"/>
              <w:rPr>
                <w:rFonts w:hint="eastAsia" w:ascii="宋体" w:hAnsi="宋体" w:eastAsia="宋体" w:cs="Times New Roman"/>
                <w:b/>
                <w:bCs/>
                <w:color w:val="auto"/>
                <w:kern w:val="0"/>
                <w:sz w:val="21"/>
                <w:szCs w:val="21"/>
                <w:highlight w:val="none"/>
              </w:rPr>
            </w:pPr>
            <w:r>
              <w:rPr>
                <w:rFonts w:hint="eastAsia" w:ascii="宋体" w:hAnsi="宋体" w:eastAsia="宋体" w:cs="Times New Roman"/>
                <w:b/>
                <w:bCs/>
                <w:color w:val="auto"/>
                <w:kern w:val="0"/>
                <w:sz w:val="21"/>
                <w:szCs w:val="21"/>
                <w:highlight w:val="none"/>
              </w:rPr>
              <w:t>见证方（盖章）：</w:t>
            </w:r>
          </w:p>
          <w:p w14:paraId="7720D46B">
            <w:pPr>
              <w:keepNext w:val="0"/>
              <w:keepLines w:val="0"/>
              <w:widowControl w:val="0"/>
              <w:suppressLineNumbers w:val="0"/>
              <w:spacing w:before="0" w:beforeAutospacing="0" w:after="0" w:afterAutospacing="0"/>
              <w:ind w:left="0" w:right="0"/>
              <w:jc w:val="both"/>
              <w:rPr>
                <w:rFonts w:hint="eastAsia" w:ascii="宋体" w:hAnsi="宋体" w:eastAsia="宋体" w:cs="Times New Roman"/>
                <w:bCs/>
                <w:color w:val="auto"/>
                <w:kern w:val="0"/>
                <w:sz w:val="21"/>
                <w:szCs w:val="21"/>
                <w:highlight w:val="none"/>
                <w:lang w:val="zh-CN" w:eastAsia="zh-CN" w:bidi="ar-SA"/>
              </w:rPr>
            </w:pPr>
          </w:p>
          <w:p w14:paraId="41820BBA">
            <w:pPr>
              <w:keepNext w:val="0"/>
              <w:keepLines w:val="0"/>
              <w:suppressLineNumbers w:val="0"/>
              <w:spacing w:before="0" w:beforeAutospacing="0" w:after="0" w:afterAutospacing="0"/>
              <w:ind w:left="0" w:right="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日期：202</w:t>
            </w:r>
            <w:r>
              <w:rPr>
                <w:rFonts w:hint="eastAsia" w:ascii="宋体" w:hAnsi="宋体" w:eastAsia="宋体" w:cs="Times New Roman"/>
                <w:color w:val="auto"/>
                <w:kern w:val="0"/>
                <w:sz w:val="21"/>
                <w:szCs w:val="21"/>
                <w:highlight w:val="none"/>
                <w:lang w:val="en-US" w:eastAsia="zh-CN"/>
              </w:rPr>
              <w:t>6</w:t>
            </w:r>
            <w:r>
              <w:rPr>
                <w:rFonts w:hint="eastAsia" w:ascii="宋体" w:hAnsi="宋体" w:eastAsia="宋体" w:cs="Times New Roman"/>
                <w:color w:val="auto"/>
                <w:kern w:val="0"/>
                <w:sz w:val="21"/>
                <w:szCs w:val="21"/>
                <w:highlight w:val="none"/>
              </w:rPr>
              <w:t>年【    】月【    】日</w:t>
            </w:r>
          </w:p>
        </w:tc>
      </w:tr>
    </w:tbl>
    <w:p w14:paraId="27D445A2">
      <w:pPr>
        <w:widowControl/>
        <w:jc w:val="left"/>
        <w:rPr>
          <w:rFonts w:hint="eastAsia" w:ascii="宋体" w:hAnsi="宋体" w:eastAsia="宋体" w:cs="Times New Roman"/>
          <w:color w:val="auto"/>
          <w:kern w:val="0"/>
          <w:sz w:val="24"/>
          <w:szCs w:val="20"/>
          <w:highlight w:val="none"/>
        </w:rPr>
      </w:pPr>
      <w:r>
        <w:rPr>
          <w:rFonts w:hint="default" w:ascii="宋体" w:hAnsi="宋体" w:eastAsia="宋体" w:cs="Times New Roman"/>
          <w:color w:val="auto"/>
          <w:kern w:val="0"/>
          <w:sz w:val="24"/>
          <w:szCs w:val="20"/>
          <w:highlight w:val="none"/>
        </w:rPr>
        <w:br w:type="page" w:clear="all"/>
      </w:r>
    </w:p>
    <w:p w14:paraId="3441653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Times New Roman"/>
          <w:b/>
          <w:bCs/>
          <w:color w:val="auto"/>
          <w:kern w:val="0"/>
          <w:sz w:val="24"/>
          <w:szCs w:val="20"/>
          <w:highlight w:val="none"/>
        </w:rPr>
      </w:pPr>
      <w:r>
        <w:rPr>
          <w:rFonts w:hint="eastAsia" w:ascii="宋体" w:hAnsi="宋体" w:eastAsia="宋体" w:cs="宋体"/>
          <w:b/>
          <w:bCs/>
          <w:color w:val="auto"/>
          <w:kern w:val="0"/>
          <w:sz w:val="24"/>
          <w:szCs w:val="22"/>
          <w:highlight w:val="none"/>
        </w:rPr>
        <w:t>合同附件</w:t>
      </w:r>
      <w:r>
        <w:rPr>
          <w:rFonts w:hint="eastAsia" w:ascii="宋体" w:hAnsi="宋体" w:eastAsia="宋体" w:cs="宋体"/>
          <w:b/>
          <w:bCs/>
          <w:color w:val="auto"/>
          <w:kern w:val="0"/>
          <w:sz w:val="24"/>
          <w:szCs w:val="22"/>
          <w:highlight w:val="none"/>
          <w:lang w:val="en-US" w:eastAsia="zh-CN"/>
        </w:rPr>
        <w:t>1</w:t>
      </w:r>
      <w:r>
        <w:rPr>
          <w:rFonts w:hint="eastAsia" w:ascii="宋体" w:hAnsi="宋体" w:eastAsia="宋体" w:cs="宋体"/>
          <w:b/>
          <w:bCs/>
          <w:color w:val="auto"/>
          <w:kern w:val="0"/>
          <w:sz w:val="24"/>
          <w:szCs w:val="22"/>
          <w:highlight w:val="none"/>
        </w:rPr>
        <w:t>：</w:t>
      </w:r>
    </w:p>
    <w:p w14:paraId="34972F46">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0"/>
        <w:rPr>
          <w:rFonts w:hint="eastAsia" w:ascii="Cambria" w:hAnsi="Cambria" w:eastAsia="宋体" w:cs="Times New Roman"/>
          <w:b/>
          <w:bCs/>
          <w:color w:val="auto"/>
          <w:kern w:val="0"/>
          <w:sz w:val="32"/>
          <w:szCs w:val="32"/>
          <w:highlight w:val="none"/>
          <w:lang w:val="en-US" w:eastAsia="zh-CN"/>
        </w:rPr>
      </w:pPr>
      <w:r>
        <w:rPr>
          <w:rFonts w:hint="eastAsia" w:ascii="Cambria" w:hAnsi="Cambria" w:eastAsia="宋体" w:cs="Times New Roman"/>
          <w:b/>
          <w:bCs/>
          <w:color w:val="auto"/>
          <w:kern w:val="0"/>
          <w:sz w:val="32"/>
          <w:szCs w:val="32"/>
          <w:highlight w:val="none"/>
          <w:lang w:val="en-US" w:eastAsia="zh-CN"/>
        </w:rPr>
        <w:t>廉洁协议书</w:t>
      </w:r>
    </w:p>
    <w:p w14:paraId="5ABF1C24">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b/>
          <w:bCs/>
          <w:color w:val="auto"/>
          <w:kern w:val="0"/>
          <w:sz w:val="24"/>
          <w:szCs w:val="22"/>
          <w:highlight w:val="none"/>
          <w:lang w:eastAsia="zh-CN"/>
        </w:rPr>
      </w:pPr>
      <w:r>
        <w:rPr>
          <w:rFonts w:hint="eastAsia" w:ascii="宋体" w:hAnsi="宋体" w:eastAsia="宋体" w:cs="宋体"/>
          <w:b/>
          <w:bCs/>
          <w:color w:val="auto"/>
          <w:kern w:val="0"/>
          <w:sz w:val="24"/>
          <w:szCs w:val="22"/>
          <w:highlight w:val="none"/>
        </w:rPr>
        <w:t>项目名称：</w:t>
      </w:r>
      <w:r>
        <w:rPr>
          <w:rFonts w:hint="eastAsia" w:ascii="宋体" w:hAnsi="宋体" w:eastAsia="宋体" w:cs="宋体"/>
          <w:b/>
          <w:bCs/>
          <w:color w:val="auto"/>
          <w:kern w:val="0"/>
          <w:sz w:val="24"/>
          <w:szCs w:val="22"/>
          <w:highlight w:val="none"/>
          <w:lang w:val="en-US" w:eastAsia="zh-CN"/>
        </w:rPr>
        <w:t xml:space="preserve">石塘湾消防站智能化专项采购项目 </w:t>
      </w:r>
    </w:p>
    <w:p w14:paraId="2B911773">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default" w:ascii="宋体" w:hAnsi="宋体" w:eastAsia="宋体" w:cs="宋体"/>
          <w:b/>
          <w:bCs/>
          <w:color w:val="auto"/>
          <w:kern w:val="0"/>
          <w:sz w:val="24"/>
          <w:szCs w:val="22"/>
          <w:highlight w:val="none"/>
          <w:lang w:val="en-US" w:eastAsia="zh-CN"/>
        </w:rPr>
      </w:pPr>
      <w:r>
        <w:rPr>
          <w:rFonts w:hint="eastAsia" w:ascii="宋体" w:hAnsi="宋体" w:eastAsia="宋体" w:cs="宋体"/>
          <w:b/>
          <w:bCs/>
          <w:color w:val="auto"/>
          <w:kern w:val="0"/>
          <w:sz w:val="24"/>
          <w:szCs w:val="22"/>
          <w:highlight w:val="none"/>
        </w:rPr>
        <w:t>项目地址：</w:t>
      </w:r>
      <w:r>
        <w:rPr>
          <w:rFonts w:hint="eastAsia" w:ascii="宋体" w:hAnsi="宋体" w:eastAsia="宋体" w:cs="宋体"/>
          <w:b/>
          <w:bCs/>
          <w:color w:val="auto"/>
          <w:kern w:val="0"/>
          <w:sz w:val="24"/>
          <w:szCs w:val="22"/>
          <w:highlight w:val="none"/>
          <w:lang w:val="en-US" w:eastAsia="zh-CN"/>
        </w:rPr>
        <w:t>无锡市惠山区洛社镇</w:t>
      </w:r>
    </w:p>
    <w:p w14:paraId="475BBD8F">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b/>
          <w:bCs/>
          <w:color w:val="auto"/>
          <w:kern w:val="0"/>
          <w:sz w:val="24"/>
          <w:szCs w:val="22"/>
          <w:highlight w:val="none"/>
          <w:lang w:eastAsia="zh-CN"/>
        </w:rPr>
      </w:pPr>
      <w:r>
        <w:rPr>
          <w:rFonts w:hint="eastAsia" w:ascii="宋体" w:hAnsi="宋体" w:eastAsia="宋体" w:cs="宋体"/>
          <w:b/>
          <w:bCs/>
          <w:color w:val="auto"/>
          <w:kern w:val="0"/>
          <w:sz w:val="24"/>
          <w:szCs w:val="22"/>
          <w:highlight w:val="none"/>
        </w:rPr>
        <w:t>委托人：</w:t>
      </w:r>
      <w:r>
        <w:rPr>
          <w:rFonts w:hint="eastAsia" w:ascii="宋体" w:hAnsi="宋体" w:eastAsia="宋体" w:cs="宋体"/>
          <w:b/>
          <w:bCs/>
          <w:color w:val="auto"/>
          <w:kern w:val="0"/>
          <w:sz w:val="24"/>
          <w:szCs w:val="22"/>
          <w:highlight w:val="none"/>
          <w:lang w:eastAsia="zh-CN"/>
        </w:rPr>
        <w:t>无锡市惠山区洛社镇人民政府</w:t>
      </w:r>
      <w:r>
        <w:rPr>
          <w:rFonts w:hint="eastAsia" w:ascii="宋体" w:hAnsi="宋体" w:eastAsia="宋体" w:cs="宋体"/>
          <w:b/>
          <w:bCs/>
          <w:color w:val="auto"/>
          <w:kern w:val="0"/>
          <w:sz w:val="24"/>
          <w:szCs w:val="22"/>
          <w:highlight w:val="none"/>
          <w:lang w:val="en-US" w:eastAsia="zh-CN"/>
        </w:rPr>
        <w:t xml:space="preserve">  </w:t>
      </w:r>
    </w:p>
    <w:p w14:paraId="2A94D1A4">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b/>
          <w:bCs/>
          <w:color w:val="auto"/>
          <w:kern w:val="0"/>
          <w:sz w:val="24"/>
          <w:szCs w:val="22"/>
          <w:highlight w:val="none"/>
          <w:lang w:eastAsia="zh-CN"/>
        </w:rPr>
      </w:pPr>
      <w:r>
        <w:rPr>
          <w:rFonts w:hint="eastAsia" w:ascii="宋体" w:hAnsi="宋体" w:eastAsia="宋体" w:cs="宋体"/>
          <w:b/>
          <w:bCs/>
          <w:color w:val="auto"/>
          <w:kern w:val="0"/>
          <w:sz w:val="24"/>
          <w:szCs w:val="22"/>
          <w:highlight w:val="none"/>
        </w:rPr>
        <w:t>受托人：</w:t>
      </w:r>
      <w:r>
        <w:rPr>
          <w:rFonts w:hint="eastAsia" w:ascii="宋体" w:hAnsi="宋体" w:eastAsia="宋体" w:cs="宋体"/>
          <w:b/>
          <w:bCs/>
          <w:color w:val="auto"/>
          <w:kern w:val="0"/>
          <w:sz w:val="24"/>
          <w:szCs w:val="22"/>
          <w:highlight w:val="none"/>
          <w:lang w:val="en-US" w:eastAsia="zh-CN"/>
        </w:rPr>
        <w:t xml:space="preserve"> </w:t>
      </w:r>
    </w:p>
    <w:p w14:paraId="1E246346">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p>
    <w:p w14:paraId="71526B12">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第一条 委托人工作人员在项目的事前、事中、事后应遵守以下规定。</w:t>
      </w:r>
    </w:p>
    <w:p w14:paraId="51AB62E0">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（一）不准向受托人索要或接受回扣、礼金、有价证券、贵重物品和好处费、感谢费等；不准在受托人报销任何应由委托人或其工作人员个人支付的费用。</w:t>
      </w:r>
    </w:p>
    <w:p w14:paraId="06B94189">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（二）不准参加受托人安排的超标准宴请及健身、娱乐等活动；不得接受受托人提供的通信工具、交通工具、高档办公用品等。</w:t>
      </w:r>
    </w:p>
    <w:p w14:paraId="6D2FB85E">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（三）不准要求、暗示和接受受托人为个人装修住房、婚丧嫁娶、配偶子女工作安排以及出国（境）、旅游等提供方便。</w:t>
      </w:r>
    </w:p>
    <w:p w14:paraId="2C00F3C4">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（四）配偶、子女不得参与受托人承包本项目有关的服务、设备材料供应、项目分包、劳务等经济活动。</w:t>
      </w:r>
    </w:p>
    <w:p w14:paraId="49E198F0">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（五）不得以任何理由向受托人推荐分包单位或要求受托人购买项目协议规定以外的材料、设备和服务等。</w:t>
      </w:r>
    </w:p>
    <w:p w14:paraId="3DF7550C">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（六）其他与项目有关的党风廉政建设和预防腐败的规定。</w:t>
      </w:r>
    </w:p>
    <w:p w14:paraId="05E40AC8">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第二条 受托人应与委托人保持正常的业务交往，按照有关法律法规和程序开展业务工作，严格执行项目建设的有关政策、法规，特别是有关强制性标准和规范，并遵守以下规定：</w:t>
      </w:r>
    </w:p>
    <w:p w14:paraId="59BC0824">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（一）不准以任何理由向委托人及其工作人员行贿或赠送礼金、有价证券、贵重物品等。</w:t>
      </w:r>
    </w:p>
    <w:p w14:paraId="72D55439">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（二）不准以任何名义为委托人及其工作人员报销应由委托人或个人支付的费用。</w:t>
      </w:r>
    </w:p>
    <w:p w14:paraId="5FE78A3F">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（三）不准以任何理由安排委托人工作人员参加超标准宴请及健身、娱乐和旅游等活动。</w:t>
      </w:r>
    </w:p>
    <w:p w14:paraId="7167B21B">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（四）不准为委托人及其工作人员购置或提供通信工具、交通工具、高档办公用品和装修住房等。</w:t>
      </w:r>
    </w:p>
    <w:p w14:paraId="691BDFC3">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（五）其他</w:t>
      </w:r>
      <w:r>
        <w:rPr>
          <w:rFonts w:hint="eastAsia" w:ascii="宋体" w:hAnsi="宋体" w:eastAsia="宋体" w:cs="宋体"/>
          <w:color w:val="auto"/>
          <w:kern w:val="0"/>
          <w:sz w:val="24"/>
          <w:szCs w:val="22"/>
          <w:highlight w:val="none"/>
          <w:lang w:eastAsia="zh-CN"/>
        </w:rPr>
        <w:t>有关</w:t>
      </w:r>
      <w:r>
        <w:rPr>
          <w:rFonts w:hint="eastAsia" w:ascii="宋体" w:hAnsi="宋体" w:eastAsia="宋体" w:cs="宋体"/>
          <w:color w:val="auto"/>
          <w:kern w:val="0"/>
          <w:sz w:val="24"/>
          <w:szCs w:val="22"/>
          <w:highlight w:val="none"/>
        </w:rPr>
        <w:t>党风廉政建设和预防腐败的规定。</w:t>
      </w:r>
    </w:p>
    <w:p w14:paraId="60E44ACF">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第三条 委托人、受托人双方不得违反项目管理规章制度，不得为获取不正当利益，就项目费用、材料供应、工程量变动、项目验收、项目质量等问题相互串通，损害国家、集体或他人利益。</w:t>
      </w:r>
    </w:p>
    <w:p w14:paraId="779E0B5D">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第四条 委托人、受托人双方发现对方在业务活动中有违反本协议行为的，有及时提醒对方纠正的权利和义务。情节严重的，有向对方上级有关部门举报的权利。</w:t>
      </w:r>
    </w:p>
    <w:p w14:paraId="237E7436">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第五条 委托人监督部门对委托人、受托人双方履行协议的情况进行监督，其职责是：</w:t>
      </w:r>
    </w:p>
    <w:p w14:paraId="05D19665">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（一）严格依据国家法律法规及党和政府的政策、制度、规定和党纪、政纪条规，对委托人、受托人双方遵纪守法情况进行监督检查；</w:t>
      </w:r>
    </w:p>
    <w:p w14:paraId="49E96A14">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（二）协助和指导委托人、受托人双方抓好廉政建设，对委托人、受托人双方工作人员有针对性地进行廉政教育。</w:t>
      </w:r>
    </w:p>
    <w:p w14:paraId="1D154EF1">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第六条 违约责任</w:t>
      </w:r>
    </w:p>
    <w:p w14:paraId="0E5E8A7A">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一）委托人工作人员有违反本协议第一条、第三条行为的，委托人监督部门按照管理权限，依据有关法律法规和规定给予党纪、政纪处分或组织处理；涉嫌犯罪的，移交司法机关追究刑事责任；造成经济损失的，应予以赔偿。</w:t>
      </w:r>
    </w:p>
    <w:p w14:paraId="28313702">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（二）受托人工作人员有违反本协议第二条、第三条行为的</w:t>
      </w:r>
      <w:r>
        <w:rPr>
          <w:rFonts w:hint="eastAsia" w:ascii="宋体" w:hAnsi="宋体" w:eastAsia="宋体" w:cs="宋体"/>
          <w:color w:val="auto"/>
          <w:kern w:val="0"/>
          <w:sz w:val="24"/>
          <w:szCs w:val="22"/>
          <w:highlight w:val="none"/>
          <w:lang w:eastAsia="zh-CN"/>
        </w:rPr>
        <w:t>，由</w:t>
      </w:r>
      <w:r>
        <w:rPr>
          <w:rFonts w:hint="eastAsia" w:ascii="宋体" w:hAnsi="宋体" w:eastAsia="宋体" w:cs="宋体"/>
          <w:color w:val="auto"/>
          <w:kern w:val="0"/>
          <w:sz w:val="24"/>
          <w:szCs w:val="22"/>
          <w:highlight w:val="none"/>
        </w:rPr>
        <w:t>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p>
    <w:p w14:paraId="6865275F">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（三）受托人将部分辅助项目依法分包的，受托人与分包单位就协议的履行承担连带责任。</w:t>
      </w:r>
    </w:p>
    <w:p w14:paraId="269D40F7">
      <w:pPr>
        <w:keepNext w:val="0"/>
        <w:keepLines w:val="0"/>
        <w:pageBreakBefore w:val="0"/>
        <w:widowControl w:val="0"/>
        <w:kinsoku/>
        <w:wordWrap/>
        <w:overflowPunct/>
        <w:topLinePunct w:val="0"/>
        <w:autoSpaceDE/>
        <w:autoSpaceDN/>
        <w:bidi w:val="0"/>
        <w:adjustRightInd/>
        <w:snapToGrid/>
        <w:spacing w:after="50" w:line="400" w:lineRule="exact"/>
        <w:ind w:right="84" w:firstLine="480" w:firstLineChars="200"/>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第七条 本协议作为合同的附件，与主合同具有同等法律效力，本协议自双方法定代表人（负责人）或授权代表签章并加盖双方单位公章后生效。</w:t>
      </w:r>
    </w:p>
    <w:p w14:paraId="0B3DDC4C">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p>
    <w:p w14:paraId="604CED65">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委托人（盖章）：</w:t>
      </w:r>
    </w:p>
    <w:p w14:paraId="259DAED4">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法定代表人（负责人）或授权代表（</w:t>
      </w:r>
      <w:r>
        <w:rPr>
          <w:rFonts w:hint="eastAsia" w:ascii="宋体" w:hAnsi="宋体" w:eastAsia="宋体" w:cs="宋体"/>
          <w:color w:val="auto"/>
          <w:kern w:val="0"/>
          <w:sz w:val="24"/>
          <w:szCs w:val="22"/>
          <w:highlight w:val="none"/>
          <w:lang w:val="en-US" w:eastAsia="zh-CN"/>
        </w:rPr>
        <w:t>签字或盖章</w:t>
      </w:r>
      <w:r>
        <w:rPr>
          <w:rFonts w:hint="eastAsia" w:ascii="宋体" w:hAnsi="宋体" w:eastAsia="宋体" w:cs="宋体"/>
          <w:color w:val="auto"/>
          <w:kern w:val="0"/>
          <w:sz w:val="24"/>
          <w:szCs w:val="22"/>
          <w:highlight w:val="none"/>
        </w:rPr>
        <w:t>）：</w:t>
      </w:r>
    </w:p>
    <w:p w14:paraId="0EDC10D8">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p>
    <w:p w14:paraId="59314D33">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受托人（盖章）：</w:t>
      </w:r>
    </w:p>
    <w:p w14:paraId="664EBF74">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法定代表人（负责人）或授权代表（</w:t>
      </w:r>
      <w:r>
        <w:rPr>
          <w:rFonts w:hint="eastAsia" w:ascii="宋体" w:hAnsi="宋体" w:eastAsia="宋体" w:cs="宋体"/>
          <w:color w:val="auto"/>
          <w:kern w:val="0"/>
          <w:sz w:val="24"/>
          <w:szCs w:val="22"/>
          <w:highlight w:val="none"/>
          <w:lang w:val="en-US" w:eastAsia="zh-CN"/>
        </w:rPr>
        <w:t>签字或盖章</w:t>
      </w:r>
      <w:r>
        <w:rPr>
          <w:rFonts w:hint="eastAsia" w:ascii="宋体" w:hAnsi="宋体" w:eastAsia="宋体" w:cs="宋体"/>
          <w:color w:val="auto"/>
          <w:kern w:val="0"/>
          <w:sz w:val="24"/>
          <w:szCs w:val="22"/>
          <w:highlight w:val="none"/>
        </w:rPr>
        <w:t>）：</w:t>
      </w:r>
    </w:p>
    <w:p w14:paraId="195CFCD3">
      <w:pPr>
        <w:keepNext w:val="0"/>
        <w:keepLines w:val="0"/>
        <w:pageBreakBefore w:val="0"/>
        <w:widowControl w:val="0"/>
        <w:kinsoku/>
        <w:wordWrap/>
        <w:overflowPunct/>
        <w:topLinePunct w:val="0"/>
        <w:autoSpaceDE/>
        <w:autoSpaceDN/>
        <w:bidi w:val="0"/>
        <w:adjustRightInd/>
        <w:snapToGrid/>
        <w:spacing w:after="50" w:line="400" w:lineRule="exact"/>
        <w:ind w:right="84" w:firstLine="495"/>
        <w:jc w:val="right"/>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日期：年  月  日</w:t>
      </w:r>
    </w:p>
    <w:p w14:paraId="03431D1B">
      <w:pPr>
        <w:spacing w:after="50" w:line="400" w:lineRule="exact"/>
        <w:ind w:right="84" w:firstLine="495"/>
        <w:jc w:val="left"/>
        <w:rPr>
          <w:rFonts w:hint="eastAsia" w:ascii="宋体" w:hAnsi="宋体" w:eastAsia="宋体" w:cs="宋体"/>
          <w:color w:val="auto"/>
          <w:kern w:val="0"/>
          <w:szCs w:val="20"/>
          <w:highlight w:val="none"/>
        </w:rPr>
      </w:pPr>
    </w:p>
    <w:p w14:paraId="4D204DBF">
      <w:pPr>
        <w:spacing w:after="160" w:line="278" w:lineRule="auto"/>
        <w:rPr>
          <w:rFonts w:hint="eastAsia" w:ascii="宋体" w:hAnsi="Times New Roman" w:eastAsia="宋体" w:cs="Times New Roman"/>
          <w:b/>
          <w:bCs/>
          <w:color w:val="auto"/>
          <w:kern w:val="0"/>
          <w:sz w:val="24"/>
          <w:szCs w:val="24"/>
          <w:highlight w:val="none"/>
        </w:rPr>
      </w:pPr>
    </w:p>
    <w:p w14:paraId="5FC9EFDC">
      <w:pPr>
        <w:spacing w:after="160" w:line="278" w:lineRule="auto"/>
        <w:rPr>
          <w:rFonts w:hint="eastAsia" w:ascii="宋体" w:hAnsi="Times New Roman" w:eastAsia="宋体" w:cs="Times New Roman"/>
          <w:b/>
          <w:bCs/>
          <w:color w:val="auto"/>
          <w:kern w:val="0"/>
          <w:sz w:val="24"/>
          <w:szCs w:val="24"/>
          <w:highlight w:val="none"/>
        </w:rPr>
      </w:pPr>
    </w:p>
    <w:p w14:paraId="0606537E">
      <w:pPr>
        <w:spacing w:after="160" w:line="278" w:lineRule="auto"/>
        <w:rPr>
          <w:rFonts w:hint="eastAsia" w:ascii="宋体" w:hAnsi="Times New Roman" w:eastAsia="宋体" w:cs="Times New Roman"/>
          <w:b/>
          <w:bCs/>
          <w:color w:val="auto"/>
          <w:kern w:val="0"/>
          <w:sz w:val="24"/>
          <w:szCs w:val="24"/>
          <w:highlight w:val="none"/>
        </w:rPr>
      </w:pPr>
    </w:p>
    <w:p w14:paraId="00D32972">
      <w:pPr>
        <w:spacing w:after="160" w:line="278" w:lineRule="auto"/>
        <w:rPr>
          <w:rFonts w:hint="eastAsia" w:ascii="宋体" w:hAnsi="Times New Roman" w:eastAsia="宋体" w:cs="Times New Roman"/>
          <w:b/>
          <w:bCs/>
          <w:color w:val="auto"/>
          <w:kern w:val="0"/>
          <w:sz w:val="24"/>
          <w:szCs w:val="24"/>
          <w:highlight w:val="none"/>
        </w:rPr>
      </w:pPr>
    </w:p>
    <w:p w14:paraId="16617DB8">
      <w:pPr>
        <w:spacing w:line="440" w:lineRule="exact"/>
        <w:rPr>
          <w:rFonts w:hint="eastAsia" w:ascii="宋体" w:hAnsi="宋体" w:eastAsia="宋体" w:cs="宋体"/>
          <w:b/>
          <w:bCs/>
          <w:color w:val="auto"/>
          <w:kern w:val="0"/>
          <w:sz w:val="24"/>
          <w:szCs w:val="22"/>
          <w:highlight w:val="none"/>
        </w:rPr>
      </w:pPr>
    </w:p>
    <w:p w14:paraId="5221B5C3">
      <w:pPr>
        <w:spacing w:line="440" w:lineRule="exact"/>
        <w:rPr>
          <w:rFonts w:hint="eastAsia" w:ascii="宋体" w:hAnsi="宋体" w:eastAsia="宋体" w:cs="宋体"/>
          <w:b/>
          <w:bCs/>
          <w:color w:val="auto"/>
          <w:kern w:val="0"/>
          <w:sz w:val="24"/>
          <w:szCs w:val="22"/>
          <w:highlight w:val="none"/>
        </w:rPr>
      </w:pPr>
    </w:p>
    <w:p w14:paraId="3162BB94">
      <w:pPr>
        <w:spacing w:line="440" w:lineRule="exact"/>
        <w:rPr>
          <w:rFonts w:hint="eastAsia" w:ascii="宋体" w:hAnsi="宋体" w:eastAsia="宋体" w:cs="宋体"/>
          <w:b/>
          <w:bCs/>
          <w:color w:val="auto"/>
          <w:kern w:val="0"/>
          <w:sz w:val="24"/>
          <w:szCs w:val="22"/>
          <w:highlight w:val="none"/>
        </w:rPr>
      </w:pPr>
    </w:p>
    <w:p w14:paraId="2AA72367">
      <w:pPr>
        <w:spacing w:line="440" w:lineRule="exact"/>
        <w:rPr>
          <w:rFonts w:hint="default" w:ascii="宋体" w:hAnsi="宋体" w:eastAsia="宋体" w:cs="宋体"/>
          <w:b/>
          <w:bCs/>
          <w:color w:val="auto"/>
          <w:kern w:val="0"/>
          <w:sz w:val="24"/>
          <w:szCs w:val="22"/>
          <w:highlight w:val="none"/>
          <w:lang w:val="en-US" w:eastAsia="zh-CN"/>
        </w:rPr>
      </w:pPr>
      <w:r>
        <w:rPr>
          <w:rFonts w:hint="eastAsia" w:ascii="宋体" w:hAnsi="宋体" w:eastAsia="宋体" w:cs="宋体"/>
          <w:b/>
          <w:bCs/>
          <w:color w:val="auto"/>
          <w:kern w:val="0"/>
          <w:sz w:val="24"/>
          <w:szCs w:val="22"/>
          <w:highlight w:val="none"/>
        </w:rPr>
        <w:t>合同附件</w:t>
      </w:r>
      <w:r>
        <w:rPr>
          <w:rFonts w:hint="eastAsia" w:ascii="宋体" w:hAnsi="宋体" w:eastAsia="宋体" w:cs="宋体"/>
          <w:b/>
          <w:bCs/>
          <w:color w:val="auto"/>
          <w:kern w:val="0"/>
          <w:sz w:val="24"/>
          <w:szCs w:val="22"/>
          <w:highlight w:val="none"/>
          <w:lang w:val="en-US" w:eastAsia="zh-CN"/>
        </w:rPr>
        <w:t>2</w:t>
      </w:r>
      <w:r>
        <w:rPr>
          <w:rFonts w:hint="eastAsia" w:ascii="宋体" w:hAnsi="宋体" w:eastAsia="宋体" w:cs="宋体"/>
          <w:b/>
          <w:bCs/>
          <w:color w:val="auto"/>
          <w:kern w:val="0"/>
          <w:sz w:val="24"/>
          <w:szCs w:val="22"/>
          <w:highlight w:val="none"/>
        </w:rPr>
        <w:t>：</w:t>
      </w:r>
      <w:r>
        <w:rPr>
          <w:rFonts w:hint="eastAsia" w:ascii="宋体" w:hAnsi="宋体" w:eastAsia="宋体" w:cs="宋体"/>
          <w:b/>
          <w:bCs/>
          <w:color w:val="auto"/>
          <w:kern w:val="0"/>
          <w:sz w:val="24"/>
          <w:szCs w:val="22"/>
          <w:highlight w:val="none"/>
          <w:lang w:val="en-US" w:eastAsia="zh-CN"/>
        </w:rPr>
        <w:t>开标一览表</w:t>
      </w:r>
    </w:p>
    <w:p w14:paraId="7C99ED97">
      <w:pPr>
        <w:spacing w:after="160" w:line="278" w:lineRule="auto"/>
        <w:rPr>
          <w:rFonts w:hint="eastAsia" w:ascii="宋体" w:hAnsi="Times New Roman" w:eastAsia="宋体" w:cs="Times New Roman"/>
          <w:b/>
          <w:bCs/>
          <w:color w:val="auto"/>
          <w:kern w:val="0"/>
          <w:sz w:val="24"/>
          <w:szCs w:val="24"/>
          <w:highlight w:val="none"/>
        </w:rPr>
      </w:pPr>
    </w:p>
    <w:p w14:paraId="08364947">
      <w:pPr>
        <w:spacing w:after="160" w:line="278" w:lineRule="auto"/>
        <w:rPr>
          <w:rFonts w:hint="eastAsia" w:ascii="宋体" w:hAnsi="Times New Roman" w:eastAsia="宋体" w:cs="Times New Roman"/>
          <w:b/>
          <w:bCs/>
          <w:color w:val="auto"/>
          <w:kern w:val="0"/>
          <w:sz w:val="24"/>
          <w:szCs w:val="24"/>
          <w:highlight w:val="none"/>
        </w:rPr>
      </w:pPr>
    </w:p>
    <w:p w14:paraId="70B6D989">
      <w:pPr>
        <w:spacing w:after="160" w:line="278" w:lineRule="auto"/>
        <w:rPr>
          <w:rFonts w:hint="eastAsia" w:ascii="宋体" w:hAnsi="Times New Roman" w:eastAsia="宋体" w:cs="Times New Roman"/>
          <w:b/>
          <w:bCs/>
          <w:color w:val="auto"/>
          <w:kern w:val="0"/>
          <w:sz w:val="24"/>
          <w:szCs w:val="24"/>
          <w:highlight w:val="none"/>
        </w:rPr>
        <w:sectPr>
          <w:footerReference r:id="rId3" w:type="default"/>
          <w:pgSz w:w="11906" w:h="16838"/>
          <w:pgMar w:top="1134" w:right="1134" w:bottom="1134" w:left="1134" w:header="851" w:footer="794" w:gutter="0"/>
          <w:pgNumType w:start="1"/>
          <w:cols w:space="425" w:num="1"/>
          <w:docGrid w:type="lines" w:linePitch="312" w:charSpace="0"/>
        </w:sectPr>
      </w:pPr>
    </w:p>
    <w:p w14:paraId="33E7F20F">
      <w:pPr>
        <w:spacing w:line="440" w:lineRule="exact"/>
        <w:rPr>
          <w:rFonts w:hint="eastAsia" w:ascii="宋体" w:hAnsi="宋体" w:eastAsia="宋体" w:cs="宋体"/>
          <w:b/>
          <w:bCs/>
          <w:color w:val="auto"/>
          <w:kern w:val="0"/>
          <w:sz w:val="24"/>
          <w:szCs w:val="22"/>
          <w:highlight w:val="none"/>
          <w:lang w:val="en-US" w:eastAsia="zh-CN"/>
        </w:rPr>
      </w:pPr>
      <w:r>
        <w:rPr>
          <w:rFonts w:hint="eastAsia" w:ascii="宋体" w:hAnsi="宋体" w:eastAsia="宋体" w:cs="宋体"/>
          <w:b/>
          <w:bCs/>
          <w:color w:val="auto"/>
          <w:kern w:val="0"/>
          <w:sz w:val="24"/>
          <w:szCs w:val="22"/>
          <w:highlight w:val="none"/>
        </w:rPr>
        <w:t>合同附件</w:t>
      </w:r>
      <w:r>
        <w:rPr>
          <w:rFonts w:hint="eastAsia" w:ascii="宋体" w:hAnsi="宋体" w:eastAsia="宋体" w:cs="宋体"/>
          <w:b/>
          <w:bCs/>
          <w:color w:val="auto"/>
          <w:kern w:val="0"/>
          <w:sz w:val="24"/>
          <w:szCs w:val="22"/>
          <w:highlight w:val="none"/>
          <w:lang w:val="en-US" w:eastAsia="zh-CN"/>
        </w:rPr>
        <w:t>3</w:t>
      </w:r>
      <w:r>
        <w:rPr>
          <w:rFonts w:hint="eastAsia" w:ascii="宋体" w:hAnsi="宋体" w:eastAsia="宋体" w:cs="宋体"/>
          <w:b/>
          <w:bCs/>
          <w:color w:val="auto"/>
          <w:kern w:val="0"/>
          <w:sz w:val="24"/>
          <w:szCs w:val="22"/>
          <w:highlight w:val="none"/>
        </w:rPr>
        <w:t>：</w:t>
      </w:r>
      <w:r>
        <w:rPr>
          <w:rFonts w:hint="eastAsia" w:ascii="宋体" w:hAnsi="宋体" w:eastAsia="宋体" w:cs="宋体"/>
          <w:b/>
          <w:bCs/>
          <w:color w:val="auto"/>
          <w:kern w:val="0"/>
          <w:sz w:val="24"/>
          <w:szCs w:val="22"/>
          <w:highlight w:val="none"/>
          <w:lang w:val="en-US" w:eastAsia="zh-CN"/>
        </w:rPr>
        <w:t>明细报价表</w:t>
      </w:r>
    </w:p>
    <w:p w14:paraId="5DB3753F">
      <w:pPr>
        <w:spacing w:after="160" w:line="278" w:lineRule="auto"/>
        <w:rPr>
          <w:rFonts w:hint="eastAsia" w:ascii="宋体" w:hAnsi="Times New Roman" w:eastAsia="宋体" w:cs="Times New Roman"/>
          <w:b/>
          <w:bCs/>
          <w:color w:val="auto"/>
          <w:kern w:val="0"/>
          <w:sz w:val="24"/>
          <w:szCs w:val="24"/>
          <w:highlight w:val="none"/>
        </w:rPr>
      </w:pPr>
    </w:p>
    <w:p w14:paraId="12A137CD">
      <w:pPr>
        <w:spacing w:after="160" w:line="278" w:lineRule="auto"/>
        <w:rPr>
          <w:rFonts w:hint="eastAsia" w:ascii="宋体" w:hAnsi="Times New Roman" w:eastAsia="宋体" w:cs="Times New Roman"/>
          <w:b/>
          <w:bCs/>
          <w:color w:val="auto"/>
          <w:kern w:val="0"/>
          <w:sz w:val="24"/>
          <w:szCs w:val="24"/>
          <w:highlight w:val="none"/>
        </w:rPr>
        <w:sectPr>
          <w:pgSz w:w="11906" w:h="16838"/>
          <w:pgMar w:top="1440" w:right="1080" w:bottom="1440" w:left="1080" w:header="851" w:footer="794" w:gutter="0"/>
          <w:cols w:space="425" w:num="1"/>
          <w:docGrid w:type="lines" w:linePitch="312" w:charSpace="0"/>
        </w:sectPr>
      </w:pPr>
    </w:p>
    <w:p w14:paraId="2E02580D">
      <w:pPr>
        <w:spacing w:line="440" w:lineRule="exact"/>
        <w:rPr>
          <w:rFonts w:hint="default" w:ascii="宋体" w:hAnsi="宋体" w:eastAsia="宋体" w:cs="宋体"/>
          <w:b/>
          <w:bCs/>
          <w:color w:val="auto"/>
          <w:kern w:val="0"/>
          <w:sz w:val="24"/>
          <w:szCs w:val="22"/>
          <w:highlight w:val="none"/>
        </w:rPr>
      </w:pPr>
      <w:r>
        <w:rPr>
          <w:rFonts w:hint="eastAsia" w:ascii="宋体" w:hAnsi="宋体" w:eastAsia="宋体" w:cs="宋体"/>
          <w:b/>
          <w:bCs/>
          <w:color w:val="auto"/>
          <w:kern w:val="0"/>
          <w:sz w:val="24"/>
          <w:szCs w:val="22"/>
          <w:highlight w:val="none"/>
        </w:rPr>
        <w:t>合同附件</w:t>
      </w:r>
      <w:r>
        <w:rPr>
          <w:rFonts w:hint="eastAsia" w:ascii="宋体" w:hAnsi="宋体" w:eastAsia="宋体" w:cs="宋体"/>
          <w:b/>
          <w:bCs/>
          <w:color w:val="auto"/>
          <w:kern w:val="0"/>
          <w:sz w:val="24"/>
          <w:szCs w:val="22"/>
          <w:highlight w:val="none"/>
          <w:lang w:val="en-US" w:eastAsia="zh-CN"/>
        </w:rPr>
        <w:t>4</w:t>
      </w:r>
      <w:r>
        <w:rPr>
          <w:rFonts w:hint="eastAsia" w:ascii="宋体" w:hAnsi="宋体" w:eastAsia="宋体" w:cs="宋体"/>
          <w:b/>
          <w:bCs/>
          <w:color w:val="auto"/>
          <w:kern w:val="0"/>
          <w:sz w:val="24"/>
          <w:szCs w:val="22"/>
          <w:highlight w:val="none"/>
        </w:rPr>
        <w:t>：</w:t>
      </w:r>
    </w:p>
    <w:tbl>
      <w:tblPr>
        <w:tblStyle w:val="31"/>
        <w:tblW w:w="5000" w:type="pct"/>
        <w:jc w:val="center"/>
        <w:tblLayout w:type="autofit"/>
        <w:tblCellMar>
          <w:top w:w="15" w:type="dxa"/>
          <w:left w:w="15" w:type="dxa"/>
          <w:bottom w:w="15" w:type="dxa"/>
          <w:right w:w="15" w:type="dxa"/>
        </w:tblCellMar>
      </w:tblPr>
      <w:tblGrid>
        <w:gridCol w:w="1920"/>
        <w:gridCol w:w="702"/>
        <w:gridCol w:w="2157"/>
        <w:gridCol w:w="776"/>
        <w:gridCol w:w="1052"/>
        <w:gridCol w:w="1308"/>
        <w:gridCol w:w="728"/>
        <w:gridCol w:w="1278"/>
      </w:tblGrid>
      <w:tr w14:paraId="0ECA625C">
        <w:tblPrEx>
          <w:tblCellMar>
            <w:top w:w="15" w:type="dxa"/>
            <w:left w:w="15" w:type="dxa"/>
            <w:bottom w:w="15" w:type="dxa"/>
            <w:right w:w="15" w:type="dxa"/>
          </w:tblCellMar>
        </w:tblPrEx>
        <w:trPr>
          <w:trHeight w:val="0" w:hRule="atLeast"/>
          <w:jc w:val="center"/>
        </w:trPr>
        <w:tc>
          <w:tcPr>
            <w:tcW w:w="5000" w:type="pct"/>
            <w:gridSpan w:val="8"/>
            <w:shd w:val="clear" w:color="auto" w:fill="auto"/>
            <w:vAlign w:val="center"/>
          </w:tcPr>
          <w:p w14:paraId="22C150E0">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bidi="ar"/>
              </w:rPr>
              <w:t>洛社镇政府采购合同</w:t>
            </w:r>
            <w:r>
              <w:rPr>
                <w:rFonts w:hint="eastAsia" w:ascii="宋体" w:hAnsi="宋体" w:eastAsia="宋体" w:cs="宋体"/>
                <w:b/>
                <w:color w:val="auto"/>
                <w:kern w:val="0"/>
                <w:sz w:val="24"/>
                <w:szCs w:val="24"/>
                <w:highlight w:val="none"/>
                <w:lang w:val="en-US" w:eastAsia="zh-CN" w:bidi="ar"/>
              </w:rPr>
              <w:t>履约</w:t>
            </w:r>
            <w:r>
              <w:rPr>
                <w:rFonts w:hint="eastAsia" w:ascii="宋体" w:hAnsi="宋体" w:eastAsia="宋体" w:cs="宋体"/>
                <w:b/>
                <w:color w:val="auto"/>
                <w:kern w:val="0"/>
                <w:sz w:val="24"/>
                <w:szCs w:val="24"/>
                <w:highlight w:val="none"/>
                <w:lang w:bidi="ar"/>
              </w:rPr>
              <w:t>验收报告</w:t>
            </w:r>
          </w:p>
        </w:tc>
      </w:tr>
      <w:tr w14:paraId="59B4AD10">
        <w:tblPrEx>
          <w:tblCellMar>
            <w:top w:w="15" w:type="dxa"/>
            <w:left w:w="15" w:type="dxa"/>
            <w:bottom w:w="15" w:type="dxa"/>
            <w:right w:w="15" w:type="dxa"/>
          </w:tblCellMar>
        </w:tblPrEx>
        <w:trPr>
          <w:trHeight w:val="0" w:hRule="atLeast"/>
          <w:jc w:val="center"/>
        </w:trPr>
        <w:tc>
          <w:tcPr>
            <w:tcW w:w="9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0DA09">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采购单位</w:t>
            </w:r>
          </w:p>
        </w:tc>
        <w:tc>
          <w:tcPr>
            <w:tcW w:w="144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3D1467">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lang w:eastAsia="zh-CN" w:bidi="ar"/>
              </w:rPr>
            </w:pPr>
          </w:p>
        </w:tc>
        <w:tc>
          <w:tcPr>
            <w:tcW w:w="921" w:type="pct"/>
            <w:gridSpan w:val="2"/>
            <w:tcBorders>
              <w:top w:val="single" w:color="000000" w:sz="4" w:space="0"/>
              <w:left w:val="single" w:color="000000" w:sz="4" w:space="0"/>
              <w:right w:val="single" w:color="000000" w:sz="4" w:space="0"/>
            </w:tcBorders>
            <w:shd w:val="clear" w:color="auto" w:fill="auto"/>
            <w:vAlign w:val="center"/>
          </w:tcPr>
          <w:p w14:paraId="095BBDF3">
            <w:pPr>
              <w:keepNext w:val="0"/>
              <w:keepLines w:val="0"/>
              <w:widowControl/>
              <w:suppressLineNumbers w:val="0"/>
              <w:snapToGrid w:val="0"/>
              <w:spacing w:before="0" w:beforeAutospacing="0" w:after="160" w:afterAutospacing="0" w:line="278" w:lineRule="auto"/>
              <w:ind w:left="0" w:right="0"/>
              <w:jc w:val="center"/>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联系人</w:t>
            </w:r>
          </w:p>
        </w:tc>
        <w:tc>
          <w:tcPr>
            <w:tcW w:w="659" w:type="pct"/>
            <w:tcBorders>
              <w:top w:val="single" w:color="000000" w:sz="4" w:space="0"/>
              <w:left w:val="single" w:color="000000" w:sz="4" w:space="0"/>
              <w:bottom w:val="single" w:color="000000" w:sz="4" w:space="0"/>
              <w:right w:val="single" w:color="auto" w:sz="4" w:space="0"/>
            </w:tcBorders>
            <w:shd w:val="clear" w:color="auto" w:fill="auto"/>
            <w:vAlign w:val="center"/>
          </w:tcPr>
          <w:p w14:paraId="740EAD5D">
            <w:pPr>
              <w:keepNext w:val="0"/>
              <w:keepLines w:val="0"/>
              <w:widowControl/>
              <w:suppressLineNumbers w:val="0"/>
              <w:snapToGrid w:val="0"/>
              <w:spacing w:before="0" w:beforeAutospacing="0" w:after="160" w:afterAutospacing="0" w:line="278" w:lineRule="auto"/>
              <w:ind w:left="0" w:right="0"/>
              <w:jc w:val="center"/>
              <w:textAlignment w:val="top"/>
              <w:rPr>
                <w:rFonts w:hint="eastAsia" w:ascii="宋体" w:hAnsi="宋体" w:eastAsia="宋体" w:cs="宋体"/>
                <w:color w:val="auto"/>
                <w:kern w:val="0"/>
                <w:sz w:val="22"/>
                <w:szCs w:val="22"/>
                <w:highlight w:val="none"/>
              </w:rPr>
            </w:pPr>
          </w:p>
        </w:tc>
        <w:tc>
          <w:tcPr>
            <w:tcW w:w="100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2A0CA4D">
            <w:pPr>
              <w:keepNext w:val="0"/>
              <w:keepLines w:val="0"/>
              <w:widowControl/>
              <w:suppressLineNumbers w:val="0"/>
              <w:snapToGrid w:val="0"/>
              <w:spacing w:before="0" w:beforeAutospacing="0" w:after="160" w:afterAutospacing="0" w:line="278" w:lineRule="auto"/>
              <w:ind w:left="0" w:leftChars="0" w:right="0" w:rightChars="0"/>
              <w:jc w:val="both"/>
              <w:textAlignment w:val="top"/>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bidi="ar"/>
              </w:rPr>
              <w:t>联系电话：</w:t>
            </w:r>
          </w:p>
        </w:tc>
      </w:tr>
      <w:tr w14:paraId="50E5F87B">
        <w:tblPrEx>
          <w:tblCellMar>
            <w:top w:w="15" w:type="dxa"/>
            <w:left w:w="15" w:type="dxa"/>
            <w:bottom w:w="15" w:type="dxa"/>
            <w:right w:w="15" w:type="dxa"/>
          </w:tblCellMar>
        </w:tblPrEx>
        <w:trPr>
          <w:trHeight w:val="0" w:hRule="atLeast"/>
          <w:jc w:val="center"/>
        </w:trPr>
        <w:tc>
          <w:tcPr>
            <w:tcW w:w="9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833D4">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中标单位</w:t>
            </w:r>
          </w:p>
        </w:tc>
        <w:tc>
          <w:tcPr>
            <w:tcW w:w="144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D574F4">
            <w:pPr>
              <w:keepNext w:val="0"/>
              <w:keepLines w:val="0"/>
              <w:widowControl/>
              <w:suppressLineNumbers w:val="0"/>
              <w:snapToGrid w:val="0"/>
              <w:spacing w:before="0" w:beforeAutospacing="0" w:after="160" w:afterAutospacing="0" w:line="278" w:lineRule="auto"/>
              <w:ind w:left="0" w:right="0"/>
              <w:jc w:val="center"/>
              <w:textAlignment w:val="center"/>
              <w:rPr>
                <w:rFonts w:hint="default" w:ascii="宋体" w:hAnsi="宋体" w:eastAsia="宋体" w:cs="宋体"/>
                <w:color w:val="auto"/>
                <w:kern w:val="0"/>
                <w:sz w:val="22"/>
                <w:szCs w:val="22"/>
                <w:highlight w:val="none"/>
                <w:lang w:val="en-US" w:eastAsia="zh-CN" w:bidi="ar"/>
              </w:rPr>
            </w:pPr>
          </w:p>
        </w:tc>
        <w:tc>
          <w:tcPr>
            <w:tcW w:w="921" w:type="pct"/>
            <w:gridSpan w:val="2"/>
            <w:tcBorders>
              <w:top w:val="single" w:color="000000" w:sz="4" w:space="0"/>
              <w:left w:val="single" w:color="000000" w:sz="4" w:space="0"/>
              <w:right w:val="single" w:color="000000" w:sz="4" w:space="0"/>
            </w:tcBorders>
            <w:shd w:val="clear" w:color="auto" w:fill="auto"/>
            <w:vAlign w:val="center"/>
          </w:tcPr>
          <w:p w14:paraId="2C4EC16C">
            <w:pPr>
              <w:keepNext w:val="0"/>
              <w:keepLines w:val="0"/>
              <w:widowControl/>
              <w:suppressLineNumbers w:val="0"/>
              <w:snapToGrid w:val="0"/>
              <w:spacing w:before="0" w:beforeAutospacing="0" w:after="160" w:afterAutospacing="0" w:line="278" w:lineRule="auto"/>
              <w:ind w:left="0" w:right="0"/>
              <w:jc w:val="center"/>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联系人</w:t>
            </w:r>
          </w:p>
        </w:tc>
        <w:tc>
          <w:tcPr>
            <w:tcW w:w="659" w:type="pct"/>
            <w:tcBorders>
              <w:top w:val="single" w:color="000000" w:sz="4" w:space="0"/>
              <w:left w:val="single" w:color="000000" w:sz="4" w:space="0"/>
              <w:bottom w:val="single" w:color="000000" w:sz="4" w:space="0"/>
              <w:right w:val="single" w:color="auto" w:sz="4" w:space="0"/>
            </w:tcBorders>
            <w:shd w:val="clear" w:color="auto" w:fill="auto"/>
            <w:vAlign w:val="center"/>
          </w:tcPr>
          <w:p w14:paraId="5A1E06AB">
            <w:pPr>
              <w:keepNext w:val="0"/>
              <w:keepLines w:val="0"/>
              <w:widowControl/>
              <w:suppressLineNumbers w:val="0"/>
              <w:snapToGrid w:val="0"/>
              <w:spacing w:before="0" w:beforeAutospacing="0" w:after="160" w:afterAutospacing="0" w:line="278" w:lineRule="auto"/>
              <w:ind w:left="0" w:right="0"/>
              <w:jc w:val="center"/>
              <w:textAlignment w:val="top"/>
              <w:rPr>
                <w:rFonts w:hint="eastAsia" w:ascii="宋体" w:hAnsi="宋体" w:eastAsia="宋体" w:cs="宋体"/>
                <w:color w:val="auto"/>
                <w:kern w:val="0"/>
                <w:sz w:val="22"/>
                <w:szCs w:val="22"/>
                <w:highlight w:val="none"/>
                <w:lang w:eastAsia="zh-CN"/>
              </w:rPr>
            </w:pPr>
          </w:p>
        </w:tc>
        <w:tc>
          <w:tcPr>
            <w:tcW w:w="100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5C545AA">
            <w:pPr>
              <w:keepNext w:val="0"/>
              <w:keepLines w:val="0"/>
              <w:widowControl/>
              <w:suppressLineNumbers w:val="0"/>
              <w:snapToGrid w:val="0"/>
              <w:spacing w:before="0" w:beforeAutospacing="0" w:after="160" w:afterAutospacing="0" w:line="278" w:lineRule="auto"/>
              <w:ind w:left="0" w:leftChars="0" w:right="0" w:rightChars="0"/>
              <w:jc w:val="both"/>
              <w:textAlignment w:val="top"/>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bidi="ar"/>
              </w:rPr>
              <w:t>联系电话：</w:t>
            </w:r>
          </w:p>
        </w:tc>
      </w:tr>
      <w:tr w14:paraId="6172B1B5">
        <w:tblPrEx>
          <w:tblCellMar>
            <w:top w:w="15" w:type="dxa"/>
            <w:left w:w="15" w:type="dxa"/>
            <w:bottom w:w="15" w:type="dxa"/>
            <w:right w:w="15" w:type="dxa"/>
          </w:tblCellMar>
        </w:tblPrEx>
        <w:trPr>
          <w:trHeight w:val="0" w:hRule="atLeast"/>
          <w:jc w:val="center"/>
        </w:trPr>
        <w:tc>
          <w:tcPr>
            <w:tcW w:w="9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0DB6C">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采购项目</w:t>
            </w:r>
          </w:p>
        </w:tc>
        <w:tc>
          <w:tcPr>
            <w:tcW w:w="144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BEB155">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lang w:val="en-US" w:eastAsia="zh-CN" w:bidi="ar"/>
              </w:rPr>
            </w:pPr>
          </w:p>
        </w:tc>
        <w:tc>
          <w:tcPr>
            <w:tcW w:w="92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16D3FE">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合同号</w:t>
            </w:r>
          </w:p>
        </w:tc>
        <w:tc>
          <w:tcPr>
            <w:tcW w:w="166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A3E663">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r>
      <w:tr w14:paraId="354D0BD0">
        <w:tblPrEx>
          <w:tblCellMar>
            <w:top w:w="15" w:type="dxa"/>
            <w:left w:w="15" w:type="dxa"/>
            <w:bottom w:w="15" w:type="dxa"/>
            <w:right w:w="15" w:type="dxa"/>
          </w:tblCellMar>
        </w:tblPrEx>
        <w:trPr>
          <w:trHeight w:val="0" w:hRule="atLeast"/>
          <w:jc w:val="center"/>
        </w:trPr>
        <w:tc>
          <w:tcPr>
            <w:tcW w:w="968" w:type="pct"/>
            <w:tcBorders>
              <w:top w:val="single" w:color="000000" w:sz="4" w:space="0"/>
              <w:left w:val="single" w:color="000000" w:sz="4" w:space="0"/>
            </w:tcBorders>
            <w:shd w:val="clear" w:color="auto" w:fill="auto"/>
            <w:vAlign w:val="center"/>
          </w:tcPr>
          <w:p w14:paraId="44929442">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采购方式</w:t>
            </w:r>
          </w:p>
        </w:tc>
        <w:tc>
          <w:tcPr>
            <w:tcW w:w="1441" w:type="pct"/>
            <w:gridSpan w:val="2"/>
            <w:tcBorders>
              <w:top w:val="single" w:color="000000" w:sz="4" w:space="0"/>
              <w:left w:val="single" w:color="000000" w:sz="4" w:space="0"/>
              <w:bottom w:val="single" w:color="000000" w:sz="4" w:space="0"/>
            </w:tcBorders>
            <w:shd w:val="clear" w:color="auto" w:fill="auto"/>
            <w:vAlign w:val="center"/>
          </w:tcPr>
          <w:p w14:paraId="2B2E9AC9">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公开招标</w:t>
            </w:r>
          </w:p>
        </w:tc>
        <w:tc>
          <w:tcPr>
            <w:tcW w:w="921" w:type="pct"/>
            <w:gridSpan w:val="2"/>
            <w:tcBorders>
              <w:top w:val="single" w:color="000000" w:sz="4" w:space="0"/>
              <w:left w:val="single" w:color="000000" w:sz="4" w:space="0"/>
              <w:bottom w:val="single" w:color="000000" w:sz="4" w:space="0"/>
            </w:tcBorders>
            <w:shd w:val="clear" w:color="auto" w:fill="auto"/>
            <w:vAlign w:val="center"/>
          </w:tcPr>
          <w:p w14:paraId="23020A4C">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标号</w:t>
            </w:r>
          </w:p>
        </w:tc>
        <w:tc>
          <w:tcPr>
            <w:tcW w:w="166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65EE4DA">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rPr>
              <w:t>采购包</w:t>
            </w:r>
            <w:r>
              <w:rPr>
                <w:rFonts w:hint="eastAsia" w:ascii="宋体" w:hAnsi="宋体" w:eastAsia="宋体" w:cs="宋体"/>
                <w:color w:val="auto"/>
                <w:kern w:val="0"/>
                <w:sz w:val="22"/>
                <w:szCs w:val="22"/>
                <w:highlight w:val="none"/>
                <w:lang w:val="en-US" w:eastAsia="zh-CN"/>
              </w:rPr>
              <w:t>四</w:t>
            </w:r>
          </w:p>
        </w:tc>
      </w:tr>
      <w:tr w14:paraId="2E5FDF64">
        <w:tblPrEx>
          <w:tblCellMar>
            <w:top w:w="15" w:type="dxa"/>
            <w:left w:w="15" w:type="dxa"/>
            <w:bottom w:w="15" w:type="dxa"/>
            <w:right w:w="15" w:type="dxa"/>
          </w:tblCellMar>
        </w:tblPrEx>
        <w:trPr>
          <w:trHeight w:val="196" w:hRule="atLeast"/>
          <w:jc w:val="center"/>
        </w:trPr>
        <w:tc>
          <w:tcPr>
            <w:tcW w:w="9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88BB40">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采购物品清单</w:t>
            </w:r>
          </w:p>
        </w:tc>
        <w:tc>
          <w:tcPr>
            <w:tcW w:w="3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1EEA7">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名称</w:t>
            </w:r>
          </w:p>
        </w:tc>
        <w:tc>
          <w:tcPr>
            <w:tcW w:w="1087" w:type="pct"/>
            <w:tcBorders>
              <w:top w:val="single" w:color="000000" w:sz="4" w:space="0"/>
              <w:left w:val="single" w:color="000000" w:sz="4" w:space="0"/>
              <w:bottom w:val="single" w:color="000000" w:sz="4" w:space="0"/>
            </w:tcBorders>
            <w:shd w:val="clear" w:color="auto" w:fill="auto"/>
            <w:vAlign w:val="center"/>
          </w:tcPr>
          <w:p w14:paraId="0F045740">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品牌规格及技术、配置要求</w:t>
            </w:r>
          </w:p>
        </w:tc>
        <w:tc>
          <w:tcPr>
            <w:tcW w:w="390" w:type="pct"/>
            <w:tcBorders>
              <w:top w:val="single" w:color="000000" w:sz="4" w:space="0"/>
              <w:left w:val="single" w:color="000000" w:sz="4" w:space="0"/>
              <w:bottom w:val="single" w:color="000000" w:sz="4" w:space="0"/>
            </w:tcBorders>
            <w:shd w:val="clear" w:color="auto" w:fill="auto"/>
            <w:vAlign w:val="center"/>
          </w:tcPr>
          <w:p w14:paraId="77FD311D">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数量</w:t>
            </w:r>
          </w:p>
        </w:tc>
        <w:tc>
          <w:tcPr>
            <w:tcW w:w="530" w:type="pct"/>
            <w:tcBorders>
              <w:top w:val="single" w:color="000000" w:sz="4" w:space="0"/>
              <w:left w:val="single" w:color="000000" w:sz="4" w:space="0"/>
              <w:bottom w:val="single" w:color="000000" w:sz="4" w:space="0"/>
            </w:tcBorders>
            <w:shd w:val="clear" w:color="auto" w:fill="auto"/>
            <w:vAlign w:val="center"/>
          </w:tcPr>
          <w:p w14:paraId="1EB50DC4">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单价</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元</w:t>
            </w:r>
            <w:r>
              <w:rPr>
                <w:rFonts w:hint="eastAsia" w:ascii="宋体" w:hAnsi="宋体" w:eastAsia="宋体" w:cs="宋体"/>
                <w:color w:val="auto"/>
                <w:kern w:val="0"/>
                <w:sz w:val="22"/>
                <w:szCs w:val="22"/>
                <w:highlight w:val="none"/>
                <w:lang w:eastAsia="zh-CN" w:bidi="ar"/>
              </w:rPr>
              <w:t>）</w:t>
            </w:r>
          </w:p>
        </w:tc>
        <w:tc>
          <w:tcPr>
            <w:tcW w:w="102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E6EBBB">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总价</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元</w:t>
            </w:r>
            <w:r>
              <w:rPr>
                <w:rFonts w:hint="eastAsia" w:ascii="宋体" w:hAnsi="宋体" w:eastAsia="宋体" w:cs="宋体"/>
                <w:color w:val="auto"/>
                <w:kern w:val="0"/>
                <w:sz w:val="22"/>
                <w:szCs w:val="22"/>
                <w:highlight w:val="none"/>
                <w:lang w:eastAsia="zh-CN" w:bidi="ar"/>
              </w:rPr>
              <w:t>）</w:t>
            </w:r>
          </w:p>
        </w:tc>
        <w:tc>
          <w:tcPr>
            <w:tcW w:w="642" w:type="pct"/>
            <w:tcBorders>
              <w:top w:val="single" w:color="000000" w:sz="4" w:space="0"/>
              <w:bottom w:val="single" w:color="000000" w:sz="4" w:space="0"/>
              <w:right w:val="single" w:color="000000" w:sz="4" w:space="0"/>
            </w:tcBorders>
            <w:shd w:val="clear" w:color="auto" w:fill="auto"/>
            <w:vAlign w:val="center"/>
          </w:tcPr>
          <w:p w14:paraId="3B5063D9">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验收情况</w:t>
            </w:r>
          </w:p>
        </w:tc>
      </w:tr>
      <w:tr w14:paraId="3AA8DF14">
        <w:tblPrEx>
          <w:tblCellMar>
            <w:top w:w="15" w:type="dxa"/>
            <w:left w:w="15" w:type="dxa"/>
            <w:bottom w:w="15" w:type="dxa"/>
            <w:right w:w="15" w:type="dxa"/>
          </w:tblCellMar>
        </w:tblPrEx>
        <w:trPr>
          <w:trHeight w:val="0" w:hRule="atLeast"/>
          <w:jc w:val="center"/>
        </w:trPr>
        <w:tc>
          <w:tcPr>
            <w:tcW w:w="9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BA693">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c>
          <w:tcPr>
            <w:tcW w:w="353" w:type="pct"/>
            <w:tcBorders>
              <w:left w:val="single" w:color="000000" w:sz="4" w:space="0"/>
              <w:bottom w:val="single" w:color="000000" w:sz="4" w:space="0"/>
            </w:tcBorders>
            <w:shd w:val="clear" w:color="auto" w:fill="auto"/>
            <w:vAlign w:val="center"/>
          </w:tcPr>
          <w:p w14:paraId="41CAE191">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c>
          <w:tcPr>
            <w:tcW w:w="1087" w:type="pct"/>
            <w:tcBorders>
              <w:top w:val="single" w:color="000000" w:sz="4" w:space="0"/>
              <w:left w:val="single" w:color="000000" w:sz="4" w:space="0"/>
              <w:bottom w:val="single" w:color="000000" w:sz="4" w:space="0"/>
            </w:tcBorders>
            <w:shd w:val="clear" w:color="auto" w:fill="auto"/>
            <w:vAlign w:val="center"/>
          </w:tcPr>
          <w:p w14:paraId="18BC1FFE">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c>
          <w:tcPr>
            <w:tcW w:w="390" w:type="pct"/>
            <w:tcBorders>
              <w:top w:val="single" w:color="000000" w:sz="4" w:space="0"/>
              <w:left w:val="single" w:color="000000" w:sz="4" w:space="0"/>
              <w:bottom w:val="single" w:color="000000" w:sz="4" w:space="0"/>
            </w:tcBorders>
            <w:shd w:val="clear" w:color="auto" w:fill="auto"/>
            <w:vAlign w:val="center"/>
          </w:tcPr>
          <w:p w14:paraId="1D5D024E">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AC04F">
            <w:pPr>
              <w:keepNext w:val="0"/>
              <w:keepLines w:val="0"/>
              <w:suppressLineNumbers w:val="0"/>
              <w:snapToGrid w:val="0"/>
              <w:spacing w:before="0" w:beforeAutospacing="0" w:after="160" w:afterAutospacing="0" w:line="278" w:lineRule="auto"/>
              <w:ind w:left="0" w:right="0"/>
              <w:rPr>
                <w:rFonts w:hint="eastAsia" w:ascii="宋体" w:hAnsi="宋体" w:eastAsia="宋体" w:cs="宋体"/>
                <w:color w:val="auto"/>
                <w:kern w:val="0"/>
                <w:sz w:val="22"/>
                <w:szCs w:val="22"/>
                <w:highlight w:val="none"/>
              </w:rPr>
            </w:pPr>
          </w:p>
        </w:tc>
        <w:tc>
          <w:tcPr>
            <w:tcW w:w="102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ADA9A6">
            <w:pPr>
              <w:keepNext w:val="0"/>
              <w:keepLines w:val="0"/>
              <w:suppressLineNumbers w:val="0"/>
              <w:snapToGrid w:val="0"/>
              <w:spacing w:before="0" w:beforeAutospacing="0" w:after="160" w:afterAutospacing="0" w:line="278" w:lineRule="auto"/>
              <w:ind w:left="0" w:right="0"/>
              <w:rPr>
                <w:rFonts w:hint="eastAsia" w:ascii="宋体" w:hAnsi="宋体" w:eastAsia="宋体" w:cs="宋体"/>
                <w:color w:val="auto"/>
                <w:kern w:val="0"/>
                <w:sz w:val="22"/>
                <w:szCs w:val="22"/>
                <w:highlight w:val="none"/>
              </w:rPr>
            </w:pPr>
          </w:p>
        </w:tc>
        <w:tc>
          <w:tcPr>
            <w:tcW w:w="642" w:type="pct"/>
            <w:tcBorders>
              <w:top w:val="single" w:color="000000" w:sz="4" w:space="0"/>
              <w:bottom w:val="single" w:color="000000" w:sz="4" w:space="0"/>
              <w:right w:val="single" w:color="000000" w:sz="4" w:space="0"/>
            </w:tcBorders>
            <w:shd w:val="clear" w:color="auto" w:fill="auto"/>
            <w:vAlign w:val="center"/>
          </w:tcPr>
          <w:p w14:paraId="1AD18A8E">
            <w:pPr>
              <w:keepNext w:val="0"/>
              <w:keepLines w:val="0"/>
              <w:suppressLineNumbers w:val="0"/>
              <w:snapToGrid w:val="0"/>
              <w:spacing w:before="0" w:beforeAutospacing="0" w:after="160" w:afterAutospacing="0" w:line="278" w:lineRule="auto"/>
              <w:ind w:left="0" w:right="0"/>
              <w:rPr>
                <w:rFonts w:hint="eastAsia" w:ascii="宋体" w:hAnsi="宋体" w:eastAsia="宋体" w:cs="宋体"/>
                <w:color w:val="auto"/>
                <w:kern w:val="0"/>
                <w:sz w:val="22"/>
                <w:szCs w:val="22"/>
                <w:highlight w:val="none"/>
              </w:rPr>
            </w:pPr>
          </w:p>
        </w:tc>
      </w:tr>
      <w:tr w14:paraId="426FC669">
        <w:tblPrEx>
          <w:tblCellMar>
            <w:top w:w="15" w:type="dxa"/>
            <w:left w:w="15" w:type="dxa"/>
            <w:bottom w:w="15" w:type="dxa"/>
            <w:right w:w="15" w:type="dxa"/>
          </w:tblCellMar>
        </w:tblPrEx>
        <w:trPr>
          <w:trHeight w:val="0" w:hRule="atLeast"/>
          <w:jc w:val="center"/>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6A95E9C">
            <w:pPr>
              <w:keepNext w:val="0"/>
              <w:keepLines w:val="0"/>
              <w:widowControl/>
              <w:suppressLineNumbers w:val="0"/>
              <w:snapToGrid w:val="0"/>
              <w:spacing w:before="0" w:beforeAutospacing="0" w:after="160" w:afterAutospacing="0" w:line="278" w:lineRule="auto"/>
              <w:ind w:left="0" w:right="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合计：</w:t>
            </w:r>
          </w:p>
        </w:tc>
      </w:tr>
      <w:tr w14:paraId="4C2D5DA8">
        <w:tblPrEx>
          <w:tblCellMar>
            <w:top w:w="15" w:type="dxa"/>
            <w:left w:w="15" w:type="dxa"/>
            <w:bottom w:w="15" w:type="dxa"/>
            <w:right w:w="15" w:type="dxa"/>
          </w:tblCellMar>
        </w:tblPrEx>
        <w:trPr>
          <w:trHeight w:val="0" w:hRule="atLeast"/>
          <w:jc w:val="center"/>
        </w:trPr>
        <w:tc>
          <w:tcPr>
            <w:tcW w:w="5000" w:type="pct"/>
            <w:gridSpan w:val="8"/>
            <w:tcBorders>
              <w:left w:val="single" w:color="000000" w:sz="4" w:space="0"/>
              <w:right w:val="single" w:color="000000" w:sz="4" w:space="0"/>
            </w:tcBorders>
            <w:shd w:val="clear" w:color="auto" w:fill="auto"/>
          </w:tcPr>
          <w:p w14:paraId="3A3F364E">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bidi="ar"/>
              </w:rPr>
              <w:t>其他需要</w:t>
            </w:r>
            <w:r>
              <w:rPr>
                <w:rFonts w:hint="eastAsia" w:ascii="宋体" w:hAnsi="宋体" w:eastAsia="宋体" w:cs="宋体"/>
                <w:color w:val="auto"/>
                <w:kern w:val="0"/>
                <w:sz w:val="22"/>
                <w:szCs w:val="22"/>
                <w:highlight w:val="none"/>
                <w:lang w:bidi="ar"/>
              </w:rPr>
              <w:t>说明的情况：</w:t>
            </w:r>
          </w:p>
        </w:tc>
      </w:tr>
      <w:tr w14:paraId="63A2146D">
        <w:tblPrEx>
          <w:tblCellMar>
            <w:top w:w="15" w:type="dxa"/>
            <w:left w:w="15" w:type="dxa"/>
            <w:bottom w:w="15" w:type="dxa"/>
            <w:right w:w="15" w:type="dxa"/>
          </w:tblCellMar>
        </w:tblPrEx>
        <w:trPr>
          <w:trHeight w:val="0" w:hRule="atLeast"/>
          <w:jc w:val="center"/>
        </w:trPr>
        <w:tc>
          <w:tcPr>
            <w:tcW w:w="5000" w:type="pct"/>
            <w:gridSpan w:val="8"/>
            <w:tcBorders>
              <w:left w:val="single" w:color="000000" w:sz="4" w:space="0"/>
              <w:bottom w:val="single" w:color="000000" w:sz="4" w:space="0"/>
              <w:right w:val="single" w:color="000000" w:sz="4" w:space="0"/>
            </w:tcBorders>
            <w:shd w:val="clear" w:color="auto" w:fill="auto"/>
          </w:tcPr>
          <w:p w14:paraId="50A1DBEC">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 xml:space="preserve">    本项目质保期</w:t>
            </w:r>
            <w:r>
              <w:rPr>
                <w:rFonts w:hint="eastAsia" w:ascii="宋体" w:hAnsi="宋体" w:eastAsia="宋体" w:cs="宋体"/>
                <w:color w:val="auto"/>
                <w:kern w:val="0"/>
                <w:sz w:val="22"/>
                <w:szCs w:val="22"/>
                <w:highlight w:val="none"/>
                <w:u w:val="single"/>
                <w:lang w:val="en-US" w:eastAsia="zh-CN" w:bidi="ar"/>
              </w:rPr>
              <w:t xml:space="preserve">       </w:t>
            </w:r>
            <w:r>
              <w:rPr>
                <w:rFonts w:hint="eastAsia" w:ascii="宋体" w:hAnsi="宋体" w:eastAsia="宋体" w:cs="宋体"/>
                <w:color w:val="auto"/>
                <w:kern w:val="0"/>
                <w:sz w:val="22"/>
                <w:szCs w:val="22"/>
                <w:highlight w:val="none"/>
                <w:lang w:bidi="ar"/>
              </w:rPr>
              <w:t>年</w:t>
            </w:r>
          </w:p>
        </w:tc>
      </w:tr>
      <w:tr w14:paraId="7D7629CA">
        <w:tblPrEx>
          <w:tblCellMar>
            <w:top w:w="15" w:type="dxa"/>
            <w:left w:w="15" w:type="dxa"/>
            <w:bottom w:w="15" w:type="dxa"/>
            <w:right w:w="15" w:type="dxa"/>
          </w:tblCellMar>
        </w:tblPrEx>
        <w:trPr>
          <w:trHeight w:val="0" w:hRule="atLeast"/>
          <w:jc w:val="center"/>
        </w:trPr>
        <w:tc>
          <w:tcPr>
            <w:tcW w:w="2800" w:type="pct"/>
            <w:gridSpan w:val="4"/>
            <w:tcBorders>
              <w:top w:val="single" w:color="000000" w:sz="4" w:space="0"/>
              <w:left w:val="single" w:color="000000" w:sz="4" w:space="0"/>
              <w:bottom w:val="single" w:color="000000" w:sz="4" w:space="0"/>
              <w:right w:val="single" w:color="000000" w:sz="4" w:space="0"/>
            </w:tcBorders>
            <w:shd w:val="clear" w:color="auto" w:fill="auto"/>
          </w:tcPr>
          <w:p w14:paraId="1DC5C0E7">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采购单位财务合同签收人：（签字盖章）</w:t>
            </w:r>
          </w:p>
        </w:tc>
        <w:tc>
          <w:tcPr>
            <w:tcW w:w="2199" w:type="pct"/>
            <w:gridSpan w:val="4"/>
            <w:tcBorders>
              <w:top w:val="single" w:color="000000" w:sz="4" w:space="0"/>
              <w:left w:val="single" w:color="000000" w:sz="4" w:space="0"/>
              <w:bottom w:val="single" w:color="000000" w:sz="4" w:space="0"/>
              <w:right w:val="single" w:color="000000" w:sz="4" w:space="0"/>
            </w:tcBorders>
            <w:shd w:val="clear" w:color="auto" w:fill="auto"/>
          </w:tcPr>
          <w:p w14:paraId="53CAF6C6">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发票号码：</w:t>
            </w:r>
          </w:p>
        </w:tc>
      </w:tr>
      <w:tr w14:paraId="16B2C5CC">
        <w:tblPrEx>
          <w:tblCellMar>
            <w:top w:w="15" w:type="dxa"/>
            <w:left w:w="15" w:type="dxa"/>
            <w:bottom w:w="15" w:type="dxa"/>
            <w:right w:w="15" w:type="dxa"/>
          </w:tblCellMar>
        </w:tblPrEx>
        <w:trPr>
          <w:trHeight w:val="0" w:hRule="atLeast"/>
          <w:jc w:val="center"/>
        </w:trPr>
        <w:tc>
          <w:tcPr>
            <w:tcW w:w="1322" w:type="pct"/>
            <w:gridSpan w:val="2"/>
            <w:tcBorders>
              <w:top w:val="single" w:color="000000" w:sz="4" w:space="0"/>
              <w:left w:val="single" w:color="000000" w:sz="4" w:space="0"/>
              <w:right w:val="single" w:color="000000" w:sz="4" w:space="0"/>
            </w:tcBorders>
            <w:shd w:val="clear" w:color="auto" w:fill="auto"/>
          </w:tcPr>
          <w:p w14:paraId="04030751">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采购单位：（盖章）</w:t>
            </w:r>
          </w:p>
        </w:tc>
        <w:tc>
          <w:tcPr>
            <w:tcW w:w="1478" w:type="pct"/>
            <w:gridSpan w:val="2"/>
            <w:tcBorders>
              <w:top w:val="single" w:color="000000" w:sz="4" w:space="0"/>
              <w:left w:val="single" w:color="000000" w:sz="4" w:space="0"/>
              <w:right w:val="single" w:color="000000" w:sz="4" w:space="0"/>
            </w:tcBorders>
            <w:shd w:val="clear" w:color="auto" w:fill="auto"/>
          </w:tcPr>
          <w:p w14:paraId="2BF35C79">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中标单位：（盖章）</w:t>
            </w:r>
          </w:p>
        </w:tc>
        <w:tc>
          <w:tcPr>
            <w:tcW w:w="1556" w:type="pct"/>
            <w:gridSpan w:val="3"/>
            <w:tcBorders>
              <w:top w:val="single" w:color="000000" w:sz="4" w:space="0"/>
              <w:left w:val="single" w:color="000000" w:sz="4" w:space="0"/>
            </w:tcBorders>
            <w:shd w:val="clear" w:color="auto" w:fill="auto"/>
          </w:tcPr>
          <w:p w14:paraId="00554530">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相关部门：（盖章）</w:t>
            </w:r>
          </w:p>
        </w:tc>
        <w:tc>
          <w:tcPr>
            <w:tcW w:w="642" w:type="pct"/>
            <w:tcBorders>
              <w:top w:val="single" w:color="000000" w:sz="4" w:space="0"/>
              <w:right w:val="single" w:color="000000" w:sz="4" w:space="0"/>
            </w:tcBorders>
            <w:shd w:val="clear" w:color="auto" w:fill="auto"/>
            <w:vAlign w:val="center"/>
          </w:tcPr>
          <w:p w14:paraId="50D3FDE3">
            <w:pPr>
              <w:keepNext w:val="0"/>
              <w:keepLines w:val="0"/>
              <w:suppressLineNumbers w:val="0"/>
              <w:snapToGrid w:val="0"/>
              <w:spacing w:before="0" w:beforeAutospacing="0" w:after="160" w:afterAutospacing="0" w:line="278" w:lineRule="auto"/>
              <w:ind w:left="0" w:right="0"/>
              <w:rPr>
                <w:rFonts w:hint="eastAsia" w:ascii="宋体" w:hAnsi="宋体" w:eastAsia="宋体" w:cs="宋体"/>
                <w:color w:val="auto"/>
                <w:kern w:val="0"/>
                <w:sz w:val="22"/>
                <w:szCs w:val="22"/>
                <w:highlight w:val="none"/>
              </w:rPr>
            </w:pPr>
          </w:p>
        </w:tc>
      </w:tr>
      <w:tr w14:paraId="4889AB7B">
        <w:tblPrEx>
          <w:tblCellMar>
            <w:top w:w="15" w:type="dxa"/>
            <w:left w:w="15" w:type="dxa"/>
            <w:bottom w:w="15" w:type="dxa"/>
            <w:right w:w="15" w:type="dxa"/>
          </w:tblCellMar>
        </w:tblPrEx>
        <w:trPr>
          <w:trHeight w:val="0" w:hRule="atLeast"/>
          <w:jc w:val="center"/>
        </w:trPr>
        <w:tc>
          <w:tcPr>
            <w:tcW w:w="968" w:type="pct"/>
            <w:tcBorders>
              <w:left w:val="single" w:color="000000" w:sz="4" w:space="0"/>
            </w:tcBorders>
            <w:shd w:val="clear" w:color="auto" w:fill="auto"/>
            <w:vAlign w:val="bottom"/>
          </w:tcPr>
          <w:p w14:paraId="4C547E6A">
            <w:pPr>
              <w:keepNext w:val="0"/>
              <w:keepLines w:val="0"/>
              <w:widowControl/>
              <w:suppressLineNumbers w:val="0"/>
              <w:snapToGrid w:val="0"/>
              <w:spacing w:before="0" w:beforeAutospacing="0" w:after="160" w:afterAutospacing="0" w:line="278" w:lineRule="auto"/>
              <w:ind w:left="0" w:right="0"/>
              <w:jc w:val="left"/>
              <w:textAlignment w:val="bottom"/>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经办人：</w:t>
            </w:r>
          </w:p>
        </w:tc>
        <w:tc>
          <w:tcPr>
            <w:tcW w:w="353" w:type="pct"/>
            <w:tcBorders>
              <w:right w:val="single" w:color="000000" w:sz="4" w:space="0"/>
            </w:tcBorders>
            <w:shd w:val="clear" w:color="auto" w:fill="auto"/>
            <w:vAlign w:val="center"/>
          </w:tcPr>
          <w:p w14:paraId="5CE63756">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c>
          <w:tcPr>
            <w:tcW w:w="1087" w:type="pct"/>
            <w:tcBorders>
              <w:left w:val="single" w:color="000000" w:sz="4" w:space="0"/>
            </w:tcBorders>
            <w:shd w:val="clear" w:color="auto" w:fill="auto"/>
            <w:vAlign w:val="bottom"/>
          </w:tcPr>
          <w:p w14:paraId="5C6E79E3">
            <w:pPr>
              <w:keepNext w:val="0"/>
              <w:keepLines w:val="0"/>
              <w:widowControl/>
              <w:suppressLineNumbers w:val="0"/>
              <w:snapToGrid w:val="0"/>
              <w:spacing w:before="0" w:beforeAutospacing="0" w:after="160" w:afterAutospacing="0" w:line="278" w:lineRule="auto"/>
              <w:ind w:left="0" w:right="0"/>
              <w:jc w:val="left"/>
              <w:textAlignment w:val="bottom"/>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经办人：</w:t>
            </w:r>
          </w:p>
        </w:tc>
        <w:tc>
          <w:tcPr>
            <w:tcW w:w="390" w:type="pct"/>
            <w:tcBorders>
              <w:right w:val="single" w:color="000000" w:sz="4" w:space="0"/>
            </w:tcBorders>
            <w:shd w:val="clear" w:color="auto" w:fill="auto"/>
            <w:vAlign w:val="center"/>
          </w:tcPr>
          <w:p w14:paraId="3010B2EF">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c>
          <w:tcPr>
            <w:tcW w:w="2199" w:type="pct"/>
            <w:gridSpan w:val="4"/>
            <w:tcBorders>
              <w:left w:val="single" w:color="000000" w:sz="4" w:space="0"/>
              <w:right w:val="single" w:color="000000" w:sz="4" w:space="0"/>
            </w:tcBorders>
            <w:shd w:val="clear" w:color="auto" w:fill="auto"/>
            <w:vAlign w:val="bottom"/>
          </w:tcPr>
          <w:p w14:paraId="7E2A9D1D">
            <w:pPr>
              <w:keepNext w:val="0"/>
              <w:keepLines w:val="0"/>
              <w:widowControl/>
              <w:suppressLineNumbers w:val="0"/>
              <w:snapToGrid w:val="0"/>
              <w:spacing w:before="0" w:beforeAutospacing="0" w:after="160" w:afterAutospacing="0" w:line="278" w:lineRule="auto"/>
              <w:ind w:left="0" w:right="0"/>
              <w:jc w:val="left"/>
              <w:textAlignment w:val="bottom"/>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经办人：</w:t>
            </w:r>
          </w:p>
        </w:tc>
      </w:tr>
      <w:tr w14:paraId="563D2523">
        <w:tblPrEx>
          <w:tblCellMar>
            <w:top w:w="15" w:type="dxa"/>
            <w:left w:w="15" w:type="dxa"/>
            <w:bottom w:w="15" w:type="dxa"/>
            <w:right w:w="15" w:type="dxa"/>
          </w:tblCellMar>
        </w:tblPrEx>
        <w:trPr>
          <w:trHeight w:val="0" w:hRule="atLeast"/>
          <w:jc w:val="center"/>
        </w:trPr>
        <w:tc>
          <w:tcPr>
            <w:tcW w:w="1322" w:type="pct"/>
            <w:gridSpan w:val="2"/>
            <w:tcBorders>
              <w:left w:val="single" w:color="000000" w:sz="4" w:space="0"/>
              <w:bottom w:val="single" w:color="000000" w:sz="4" w:space="0"/>
              <w:right w:val="single" w:color="000000" w:sz="4" w:space="0"/>
            </w:tcBorders>
            <w:shd w:val="clear" w:color="auto" w:fill="auto"/>
            <w:vAlign w:val="center"/>
          </w:tcPr>
          <w:p w14:paraId="54871A56">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 xml:space="preserve">     年     月    日</w:t>
            </w:r>
          </w:p>
        </w:tc>
        <w:tc>
          <w:tcPr>
            <w:tcW w:w="1478" w:type="pct"/>
            <w:gridSpan w:val="2"/>
            <w:tcBorders>
              <w:left w:val="single" w:color="000000" w:sz="4" w:space="0"/>
              <w:bottom w:val="single" w:color="000000" w:sz="4" w:space="0"/>
              <w:right w:val="single" w:color="000000" w:sz="4" w:space="0"/>
            </w:tcBorders>
            <w:shd w:val="clear" w:color="auto" w:fill="auto"/>
            <w:vAlign w:val="center"/>
          </w:tcPr>
          <w:p w14:paraId="77D86AC2">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 xml:space="preserve">         年     月    日</w:t>
            </w:r>
          </w:p>
        </w:tc>
        <w:tc>
          <w:tcPr>
            <w:tcW w:w="2199" w:type="pct"/>
            <w:gridSpan w:val="4"/>
            <w:tcBorders>
              <w:left w:val="single" w:color="000000" w:sz="4" w:space="0"/>
              <w:bottom w:val="single" w:color="000000" w:sz="4" w:space="0"/>
              <w:right w:val="single" w:color="000000" w:sz="4" w:space="0"/>
            </w:tcBorders>
            <w:shd w:val="clear" w:color="auto" w:fill="auto"/>
            <w:vAlign w:val="center"/>
          </w:tcPr>
          <w:p w14:paraId="3A5E09F9">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 xml:space="preserve">                年     月    日</w:t>
            </w:r>
          </w:p>
        </w:tc>
      </w:tr>
      <w:tr w14:paraId="7E27858C">
        <w:tblPrEx>
          <w:tblCellMar>
            <w:top w:w="15" w:type="dxa"/>
            <w:left w:w="15" w:type="dxa"/>
            <w:bottom w:w="15" w:type="dxa"/>
            <w:right w:w="15" w:type="dxa"/>
          </w:tblCellMar>
        </w:tblPrEx>
        <w:trPr>
          <w:trHeight w:val="0" w:hRule="atLeast"/>
          <w:jc w:val="center"/>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400A415">
            <w:pPr>
              <w:keepNext w:val="0"/>
              <w:keepLines w:val="0"/>
              <w:widowControl/>
              <w:suppressLineNumbers w:val="0"/>
              <w:snapToGrid w:val="0"/>
              <w:spacing w:before="0" w:beforeAutospacing="0" w:after="160" w:afterAutospacing="0" w:line="278" w:lineRule="auto"/>
              <w:ind w:left="0" w:right="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备注：本《</w:t>
            </w:r>
            <w:r>
              <w:rPr>
                <w:rFonts w:hint="eastAsia" w:ascii="宋体" w:hAnsi="宋体" w:eastAsia="宋体" w:cs="宋体"/>
                <w:color w:val="auto"/>
                <w:kern w:val="0"/>
                <w:sz w:val="22"/>
                <w:szCs w:val="22"/>
                <w:highlight w:val="none"/>
                <w:lang w:val="en-US" w:eastAsia="zh-CN" w:bidi="ar"/>
              </w:rPr>
              <w:t>履约</w:t>
            </w:r>
            <w:r>
              <w:rPr>
                <w:rFonts w:hint="eastAsia" w:ascii="宋体" w:hAnsi="宋体" w:eastAsia="宋体" w:cs="宋体"/>
                <w:color w:val="auto"/>
                <w:kern w:val="0"/>
                <w:sz w:val="22"/>
                <w:szCs w:val="22"/>
                <w:highlight w:val="none"/>
                <w:lang w:bidi="ar"/>
              </w:rPr>
              <w:t>验收报告》一式四联，第一联中标单位留存，第二联采购单位留存，第三联财政支付部门留存，第四联相关部门留存。</w:t>
            </w:r>
          </w:p>
        </w:tc>
      </w:tr>
    </w:tbl>
    <w:p w14:paraId="6545209A">
      <w:pPr>
        <w:rPr>
          <w:color w:val="auto"/>
        </w:rPr>
      </w:pPr>
      <w:r>
        <w:rPr>
          <w:color w:val="auto"/>
        </w:rPr>
        <w:br w:type="page"/>
      </w:r>
    </w:p>
    <w:p w14:paraId="00E197A9">
      <w:pPr>
        <w:spacing w:line="440" w:lineRule="exact"/>
        <w:rPr>
          <w:rFonts w:hint="default" w:ascii="宋体" w:hAnsi="宋体" w:eastAsia="宋体" w:cs="宋体"/>
          <w:b/>
          <w:bCs/>
          <w:color w:val="auto"/>
          <w:kern w:val="0"/>
          <w:sz w:val="24"/>
          <w:szCs w:val="22"/>
          <w:highlight w:val="none"/>
        </w:rPr>
      </w:pPr>
      <w:r>
        <w:rPr>
          <w:rFonts w:hint="eastAsia" w:ascii="宋体" w:hAnsi="宋体" w:eastAsia="宋体" w:cs="宋体"/>
          <w:b/>
          <w:bCs/>
          <w:color w:val="auto"/>
          <w:kern w:val="0"/>
          <w:sz w:val="24"/>
          <w:szCs w:val="22"/>
          <w:highlight w:val="none"/>
        </w:rPr>
        <w:t>合同附件</w:t>
      </w:r>
      <w:r>
        <w:rPr>
          <w:rFonts w:hint="eastAsia" w:ascii="宋体" w:hAnsi="宋体" w:eastAsia="宋体" w:cs="宋体"/>
          <w:b/>
          <w:bCs/>
          <w:color w:val="auto"/>
          <w:kern w:val="0"/>
          <w:sz w:val="24"/>
          <w:szCs w:val="22"/>
          <w:highlight w:val="none"/>
          <w:lang w:val="en-US" w:eastAsia="zh-CN"/>
        </w:rPr>
        <w:t>5</w:t>
      </w:r>
      <w:r>
        <w:rPr>
          <w:rFonts w:hint="eastAsia" w:ascii="宋体" w:hAnsi="宋体" w:eastAsia="宋体" w:cs="宋体"/>
          <w:b/>
          <w:bCs/>
          <w:color w:val="auto"/>
          <w:kern w:val="0"/>
          <w:sz w:val="24"/>
          <w:szCs w:val="22"/>
          <w:highlight w:val="none"/>
        </w:rPr>
        <w:t>：</w:t>
      </w:r>
    </w:p>
    <w:p w14:paraId="11D16000">
      <w:pPr>
        <w:spacing w:line="440" w:lineRule="exact"/>
        <w:jc w:val="center"/>
        <w:rPr>
          <w:rFonts w:hint="eastAsia" w:ascii="宋体" w:hAnsi="宋体" w:eastAsia="宋体" w:cs="宋体"/>
          <w:b/>
          <w:bCs/>
          <w:color w:val="auto"/>
          <w:kern w:val="0"/>
          <w:sz w:val="24"/>
          <w:szCs w:val="22"/>
          <w:highlight w:val="none"/>
          <w:lang w:val="en-US" w:eastAsia="zh-CN"/>
        </w:rPr>
      </w:pPr>
      <w:r>
        <w:rPr>
          <w:rFonts w:hint="eastAsia" w:ascii="宋体" w:hAnsi="宋体" w:eastAsia="宋体" w:cs="宋体"/>
          <w:b/>
          <w:bCs/>
          <w:color w:val="auto"/>
          <w:kern w:val="0"/>
          <w:sz w:val="24"/>
          <w:szCs w:val="22"/>
          <w:highlight w:val="none"/>
          <w:lang w:val="en-US" w:eastAsia="zh-CN"/>
        </w:rPr>
        <w:t>采购内容变更核价确认单（参考）</w:t>
      </w:r>
    </w:p>
    <w:p w14:paraId="591845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32"/>
          <w:lang w:eastAsia="zh-CN"/>
        </w:rPr>
      </w:pPr>
      <w:r>
        <w:rPr>
          <w:rFonts w:hint="eastAsia" w:ascii="宋体" w:hAnsi="宋体" w:eastAsia="宋体" w:cs="宋体"/>
          <w:color w:val="auto"/>
          <w:spacing w:val="0"/>
          <w:sz w:val="24"/>
          <w:szCs w:val="32"/>
        </w:rPr>
        <w:t>1.项目名称、项目编号、合同编号</w:t>
      </w:r>
      <w:r>
        <w:rPr>
          <w:rFonts w:hint="eastAsia" w:ascii="宋体" w:hAnsi="宋体" w:eastAsia="宋体" w:cs="宋体"/>
          <w:color w:val="auto"/>
          <w:spacing w:val="0"/>
          <w:sz w:val="24"/>
          <w:szCs w:val="32"/>
          <w:lang w:eastAsia="zh-CN"/>
        </w:rPr>
        <w:t>：</w:t>
      </w:r>
    </w:p>
    <w:p w14:paraId="50749C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32"/>
        </w:rPr>
      </w:pPr>
      <w:r>
        <w:rPr>
          <w:rFonts w:hint="eastAsia" w:ascii="宋体" w:hAnsi="宋体" w:eastAsia="宋体" w:cs="宋体"/>
          <w:color w:val="auto"/>
          <w:spacing w:val="0"/>
          <w:sz w:val="24"/>
          <w:szCs w:val="32"/>
        </w:rPr>
        <w:t>2.变更类型：□清单核减 □新增货物 □规格变更 □增量采购</w:t>
      </w:r>
    </w:p>
    <w:p w14:paraId="2369DB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32"/>
        </w:rPr>
      </w:pPr>
      <w:r>
        <w:rPr>
          <w:rFonts w:hint="eastAsia" w:ascii="宋体" w:hAnsi="宋体" w:eastAsia="宋体" w:cs="宋体"/>
          <w:color w:val="auto"/>
          <w:spacing w:val="0"/>
          <w:sz w:val="24"/>
          <w:szCs w:val="32"/>
        </w:rPr>
        <w:t>3.变更明细表格：</w:t>
      </w:r>
    </w:p>
    <w:tbl>
      <w:tblPr>
        <w:tblStyle w:val="32"/>
        <w:tblW w:w="98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1016"/>
        <w:gridCol w:w="864"/>
        <w:gridCol w:w="725"/>
        <w:gridCol w:w="1002"/>
        <w:gridCol w:w="586"/>
        <w:gridCol w:w="865"/>
        <w:gridCol w:w="865"/>
        <w:gridCol w:w="865"/>
        <w:gridCol w:w="1143"/>
        <w:gridCol w:w="865"/>
        <w:gridCol w:w="586"/>
      </w:tblGrid>
      <w:tr w14:paraId="0643E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425" w:type="dxa"/>
            <w:vAlign w:val="center"/>
          </w:tcPr>
          <w:p w14:paraId="66D27808">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b/>
                <w:color w:val="auto"/>
                <w:spacing w:val="0"/>
                <w:sz w:val="24"/>
                <w:szCs w:val="32"/>
                <w:vertAlign w:val="baseline"/>
              </w:rPr>
            </w:pPr>
            <w:r>
              <w:rPr>
                <w:rFonts w:hint="eastAsia" w:ascii="宋体" w:hAnsi="宋体" w:eastAsia="宋体" w:cs="宋体"/>
                <w:b/>
                <w:color w:val="auto"/>
                <w:spacing w:val="0"/>
                <w:sz w:val="24"/>
                <w:szCs w:val="32"/>
              </w:rPr>
              <w:t>序号</w:t>
            </w:r>
          </w:p>
        </w:tc>
        <w:tc>
          <w:tcPr>
            <w:tcW w:w="1016" w:type="dxa"/>
            <w:vAlign w:val="center"/>
          </w:tcPr>
          <w:p w14:paraId="66523C0F">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b/>
                <w:color w:val="auto"/>
                <w:spacing w:val="0"/>
                <w:sz w:val="24"/>
                <w:szCs w:val="32"/>
                <w:vertAlign w:val="baseline"/>
              </w:rPr>
            </w:pPr>
            <w:r>
              <w:rPr>
                <w:rFonts w:hint="eastAsia" w:ascii="宋体" w:hAnsi="宋体" w:eastAsia="宋体" w:cs="宋体"/>
                <w:b/>
                <w:color w:val="auto"/>
                <w:spacing w:val="0"/>
                <w:sz w:val="24"/>
                <w:szCs w:val="32"/>
              </w:rPr>
              <w:t>原清单编号</w:t>
            </w:r>
          </w:p>
        </w:tc>
        <w:tc>
          <w:tcPr>
            <w:tcW w:w="864" w:type="dxa"/>
            <w:vAlign w:val="center"/>
          </w:tcPr>
          <w:p w14:paraId="531F6D5A">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b/>
                <w:color w:val="auto"/>
                <w:spacing w:val="0"/>
                <w:sz w:val="24"/>
                <w:szCs w:val="32"/>
                <w:vertAlign w:val="baseline"/>
              </w:rPr>
            </w:pPr>
            <w:r>
              <w:rPr>
                <w:rFonts w:hint="eastAsia" w:ascii="宋体" w:hAnsi="宋体" w:eastAsia="宋体" w:cs="宋体"/>
                <w:b/>
                <w:color w:val="auto"/>
                <w:spacing w:val="0"/>
                <w:sz w:val="24"/>
                <w:szCs w:val="32"/>
              </w:rPr>
              <w:t>货物名称</w:t>
            </w:r>
          </w:p>
        </w:tc>
        <w:tc>
          <w:tcPr>
            <w:tcW w:w="725" w:type="dxa"/>
            <w:vAlign w:val="center"/>
          </w:tcPr>
          <w:p w14:paraId="5489B039">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b/>
                <w:color w:val="auto"/>
                <w:spacing w:val="0"/>
                <w:sz w:val="24"/>
                <w:szCs w:val="32"/>
                <w:vertAlign w:val="baseline"/>
              </w:rPr>
            </w:pPr>
            <w:r>
              <w:rPr>
                <w:rFonts w:hint="eastAsia" w:ascii="宋体" w:hAnsi="宋体" w:eastAsia="宋体" w:cs="宋体"/>
                <w:b/>
                <w:color w:val="auto"/>
                <w:spacing w:val="0"/>
                <w:sz w:val="24"/>
                <w:szCs w:val="32"/>
              </w:rPr>
              <w:t>原规格</w:t>
            </w:r>
          </w:p>
        </w:tc>
        <w:tc>
          <w:tcPr>
            <w:tcW w:w="1002" w:type="dxa"/>
            <w:vAlign w:val="center"/>
          </w:tcPr>
          <w:p w14:paraId="136CE547">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b/>
                <w:color w:val="auto"/>
                <w:spacing w:val="0"/>
                <w:sz w:val="24"/>
                <w:szCs w:val="32"/>
                <w:vertAlign w:val="baseline"/>
              </w:rPr>
            </w:pPr>
            <w:r>
              <w:rPr>
                <w:rFonts w:hint="eastAsia" w:ascii="宋体" w:hAnsi="宋体" w:eastAsia="宋体" w:cs="宋体"/>
                <w:b/>
                <w:color w:val="auto"/>
                <w:spacing w:val="0"/>
                <w:sz w:val="24"/>
                <w:szCs w:val="32"/>
              </w:rPr>
              <w:t>变更后规格</w:t>
            </w:r>
          </w:p>
        </w:tc>
        <w:tc>
          <w:tcPr>
            <w:tcW w:w="586" w:type="dxa"/>
            <w:vAlign w:val="center"/>
          </w:tcPr>
          <w:p w14:paraId="156086C0">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b/>
                <w:color w:val="auto"/>
                <w:spacing w:val="0"/>
                <w:sz w:val="24"/>
                <w:szCs w:val="32"/>
                <w:vertAlign w:val="baseline"/>
              </w:rPr>
            </w:pPr>
            <w:r>
              <w:rPr>
                <w:rFonts w:hint="eastAsia" w:ascii="宋体" w:hAnsi="宋体" w:eastAsia="宋体" w:cs="宋体"/>
                <w:b/>
                <w:color w:val="auto"/>
                <w:spacing w:val="0"/>
                <w:sz w:val="24"/>
                <w:szCs w:val="32"/>
              </w:rPr>
              <w:t>单位</w:t>
            </w:r>
          </w:p>
        </w:tc>
        <w:tc>
          <w:tcPr>
            <w:tcW w:w="865" w:type="dxa"/>
            <w:vAlign w:val="center"/>
          </w:tcPr>
          <w:p w14:paraId="15174150">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b/>
                <w:color w:val="auto"/>
                <w:spacing w:val="0"/>
                <w:sz w:val="24"/>
                <w:szCs w:val="32"/>
                <w:vertAlign w:val="baseline"/>
              </w:rPr>
            </w:pPr>
            <w:r>
              <w:rPr>
                <w:rFonts w:hint="eastAsia" w:ascii="宋体" w:hAnsi="宋体" w:eastAsia="宋体" w:cs="宋体"/>
                <w:b/>
                <w:color w:val="auto"/>
                <w:spacing w:val="0"/>
                <w:sz w:val="24"/>
                <w:szCs w:val="32"/>
              </w:rPr>
              <w:t>变更数量</w:t>
            </w:r>
          </w:p>
        </w:tc>
        <w:tc>
          <w:tcPr>
            <w:tcW w:w="865" w:type="dxa"/>
            <w:vAlign w:val="center"/>
          </w:tcPr>
          <w:p w14:paraId="39E671DD">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b/>
                <w:color w:val="auto"/>
                <w:spacing w:val="0"/>
                <w:sz w:val="24"/>
                <w:szCs w:val="32"/>
                <w:vertAlign w:val="baseline"/>
              </w:rPr>
            </w:pPr>
            <w:r>
              <w:rPr>
                <w:rFonts w:hint="eastAsia" w:ascii="宋体" w:hAnsi="宋体" w:eastAsia="宋体" w:cs="宋体"/>
                <w:b/>
                <w:color w:val="auto"/>
                <w:spacing w:val="0"/>
                <w:sz w:val="24"/>
                <w:szCs w:val="32"/>
              </w:rPr>
              <w:t>申报单价</w:t>
            </w:r>
          </w:p>
        </w:tc>
        <w:tc>
          <w:tcPr>
            <w:tcW w:w="865" w:type="dxa"/>
            <w:vAlign w:val="center"/>
          </w:tcPr>
          <w:p w14:paraId="48CC61CC">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b/>
                <w:color w:val="auto"/>
                <w:spacing w:val="0"/>
                <w:sz w:val="24"/>
                <w:szCs w:val="32"/>
                <w:vertAlign w:val="baseline"/>
              </w:rPr>
            </w:pPr>
            <w:r>
              <w:rPr>
                <w:rFonts w:hint="eastAsia" w:ascii="宋体" w:hAnsi="宋体" w:eastAsia="宋体" w:cs="宋体"/>
                <w:b/>
                <w:color w:val="auto"/>
                <w:spacing w:val="0"/>
                <w:sz w:val="24"/>
                <w:szCs w:val="32"/>
              </w:rPr>
              <w:t>申报总价</w:t>
            </w:r>
          </w:p>
        </w:tc>
        <w:tc>
          <w:tcPr>
            <w:tcW w:w="1143" w:type="dxa"/>
            <w:vAlign w:val="center"/>
          </w:tcPr>
          <w:p w14:paraId="7ACE5B55">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b/>
                <w:color w:val="auto"/>
                <w:spacing w:val="0"/>
                <w:sz w:val="24"/>
                <w:szCs w:val="32"/>
                <w:vertAlign w:val="baseline"/>
              </w:rPr>
            </w:pPr>
            <w:r>
              <w:rPr>
                <w:rFonts w:hint="eastAsia" w:ascii="宋体" w:hAnsi="宋体" w:eastAsia="宋体" w:cs="宋体"/>
                <w:b/>
                <w:color w:val="auto"/>
                <w:spacing w:val="0"/>
                <w:sz w:val="24"/>
                <w:szCs w:val="32"/>
              </w:rPr>
              <w:t>甲方审定单价</w:t>
            </w:r>
          </w:p>
        </w:tc>
        <w:tc>
          <w:tcPr>
            <w:tcW w:w="865" w:type="dxa"/>
            <w:vAlign w:val="center"/>
          </w:tcPr>
          <w:p w14:paraId="53CA332E">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b/>
                <w:color w:val="auto"/>
                <w:spacing w:val="0"/>
                <w:sz w:val="24"/>
                <w:szCs w:val="32"/>
                <w:vertAlign w:val="baseline"/>
              </w:rPr>
            </w:pPr>
            <w:r>
              <w:rPr>
                <w:rFonts w:hint="eastAsia" w:ascii="宋体" w:hAnsi="宋体" w:eastAsia="宋体" w:cs="宋体"/>
                <w:b/>
                <w:color w:val="auto"/>
                <w:spacing w:val="0"/>
                <w:sz w:val="24"/>
                <w:szCs w:val="32"/>
              </w:rPr>
              <w:t>审定总价</w:t>
            </w:r>
          </w:p>
        </w:tc>
        <w:tc>
          <w:tcPr>
            <w:tcW w:w="586" w:type="dxa"/>
            <w:vAlign w:val="center"/>
          </w:tcPr>
          <w:p w14:paraId="6C1A28DC">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b/>
                <w:color w:val="auto"/>
                <w:spacing w:val="0"/>
                <w:sz w:val="24"/>
                <w:szCs w:val="32"/>
                <w:vertAlign w:val="baseline"/>
                <w:lang w:val="en-US" w:eastAsia="zh-CN"/>
              </w:rPr>
            </w:pPr>
            <w:r>
              <w:rPr>
                <w:rFonts w:hint="eastAsia" w:ascii="宋体" w:hAnsi="宋体" w:eastAsia="宋体" w:cs="宋体"/>
                <w:b/>
                <w:color w:val="auto"/>
                <w:spacing w:val="0"/>
                <w:sz w:val="24"/>
                <w:szCs w:val="32"/>
                <w:vertAlign w:val="baseline"/>
                <w:lang w:val="en-US" w:eastAsia="zh-CN"/>
              </w:rPr>
              <w:t>备注</w:t>
            </w:r>
          </w:p>
        </w:tc>
      </w:tr>
      <w:tr w14:paraId="2D77A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5" w:type="dxa"/>
            <w:vAlign w:val="center"/>
          </w:tcPr>
          <w:p w14:paraId="691E182A">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1016" w:type="dxa"/>
            <w:vAlign w:val="center"/>
          </w:tcPr>
          <w:p w14:paraId="1636EF42">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864" w:type="dxa"/>
            <w:vAlign w:val="center"/>
          </w:tcPr>
          <w:p w14:paraId="036838E0">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725" w:type="dxa"/>
            <w:vAlign w:val="center"/>
          </w:tcPr>
          <w:p w14:paraId="30C8ECB9">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1002" w:type="dxa"/>
            <w:vAlign w:val="center"/>
          </w:tcPr>
          <w:p w14:paraId="56381A9A">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586" w:type="dxa"/>
            <w:vAlign w:val="center"/>
          </w:tcPr>
          <w:p w14:paraId="14DF4B0F">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865" w:type="dxa"/>
            <w:vAlign w:val="center"/>
          </w:tcPr>
          <w:p w14:paraId="0BE44087">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865" w:type="dxa"/>
            <w:vAlign w:val="center"/>
          </w:tcPr>
          <w:p w14:paraId="3CF96624">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865" w:type="dxa"/>
            <w:vAlign w:val="center"/>
          </w:tcPr>
          <w:p w14:paraId="71F5C7B8">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1143" w:type="dxa"/>
            <w:vAlign w:val="center"/>
          </w:tcPr>
          <w:p w14:paraId="5ED76F34">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865" w:type="dxa"/>
            <w:vAlign w:val="center"/>
          </w:tcPr>
          <w:p w14:paraId="5560DC0E">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586" w:type="dxa"/>
            <w:vAlign w:val="center"/>
          </w:tcPr>
          <w:p w14:paraId="5CB2A2E7">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r>
      <w:tr w14:paraId="0C436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5" w:type="dxa"/>
            <w:vAlign w:val="center"/>
          </w:tcPr>
          <w:p w14:paraId="36305A6A">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1016" w:type="dxa"/>
            <w:vAlign w:val="center"/>
          </w:tcPr>
          <w:p w14:paraId="76599886">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864" w:type="dxa"/>
            <w:vAlign w:val="center"/>
          </w:tcPr>
          <w:p w14:paraId="55B90E71">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725" w:type="dxa"/>
            <w:vAlign w:val="center"/>
          </w:tcPr>
          <w:p w14:paraId="0869F2A4">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1002" w:type="dxa"/>
            <w:vAlign w:val="center"/>
          </w:tcPr>
          <w:p w14:paraId="13618889">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586" w:type="dxa"/>
            <w:vAlign w:val="center"/>
          </w:tcPr>
          <w:p w14:paraId="48E2F35D">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865" w:type="dxa"/>
            <w:vAlign w:val="center"/>
          </w:tcPr>
          <w:p w14:paraId="48FAEBA5">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865" w:type="dxa"/>
            <w:vAlign w:val="center"/>
          </w:tcPr>
          <w:p w14:paraId="6224F057">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865" w:type="dxa"/>
            <w:vAlign w:val="center"/>
          </w:tcPr>
          <w:p w14:paraId="7A7FE67C">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1143" w:type="dxa"/>
            <w:vAlign w:val="center"/>
          </w:tcPr>
          <w:p w14:paraId="77663F3F">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865" w:type="dxa"/>
            <w:vAlign w:val="center"/>
          </w:tcPr>
          <w:p w14:paraId="3C6B4C9D">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c>
          <w:tcPr>
            <w:tcW w:w="586" w:type="dxa"/>
            <w:vAlign w:val="center"/>
          </w:tcPr>
          <w:p w14:paraId="0941E7F3">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宋体" w:hAnsi="宋体" w:eastAsia="宋体" w:cs="宋体"/>
                <w:color w:val="auto"/>
                <w:spacing w:val="0"/>
                <w:sz w:val="24"/>
                <w:szCs w:val="32"/>
                <w:vertAlign w:val="baseline"/>
              </w:rPr>
            </w:pPr>
          </w:p>
        </w:tc>
      </w:tr>
    </w:tbl>
    <w:p w14:paraId="6826BB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32"/>
          <w:lang w:val="en-US" w:eastAsia="zh-CN"/>
        </w:rPr>
      </w:pPr>
      <w:r>
        <w:rPr>
          <w:rFonts w:hint="eastAsia" w:ascii="宋体" w:hAnsi="宋体" w:eastAsia="宋体" w:cs="宋体"/>
          <w:color w:val="auto"/>
          <w:spacing w:val="0"/>
          <w:sz w:val="24"/>
          <w:szCs w:val="32"/>
        </w:rPr>
        <w:t>4.变更总价款增减金额：增加 ¥</w:t>
      </w:r>
      <w:r>
        <w:rPr>
          <w:rFonts w:hint="eastAsia" w:ascii="宋体" w:hAnsi="宋体" w:eastAsia="宋体" w:cs="宋体"/>
          <w:color w:val="auto"/>
          <w:spacing w:val="0"/>
          <w:sz w:val="24"/>
          <w:szCs w:val="32"/>
          <w:u w:val="single"/>
          <w:lang w:val="en-US" w:eastAsia="zh-CN"/>
        </w:rPr>
        <w:t xml:space="preserve">           </w:t>
      </w:r>
      <w:r>
        <w:rPr>
          <w:rFonts w:hint="eastAsia" w:ascii="宋体" w:hAnsi="宋体" w:eastAsia="宋体" w:cs="宋体"/>
          <w:color w:val="auto"/>
          <w:spacing w:val="0"/>
          <w:sz w:val="24"/>
          <w:szCs w:val="32"/>
          <w:lang w:val="en-US" w:eastAsia="zh-CN"/>
        </w:rPr>
        <w:t>，</w:t>
      </w:r>
      <w:r>
        <w:rPr>
          <w:rFonts w:hint="eastAsia" w:ascii="宋体" w:hAnsi="宋体" w:eastAsia="宋体" w:cs="宋体"/>
          <w:color w:val="auto"/>
          <w:spacing w:val="0"/>
          <w:sz w:val="24"/>
          <w:szCs w:val="32"/>
        </w:rPr>
        <w:t>减少 ¥</w:t>
      </w:r>
      <w:r>
        <w:rPr>
          <w:rFonts w:hint="eastAsia" w:ascii="宋体" w:hAnsi="宋体" w:eastAsia="宋体" w:cs="宋体"/>
          <w:color w:val="auto"/>
          <w:spacing w:val="0"/>
          <w:sz w:val="24"/>
          <w:szCs w:val="32"/>
          <w:u w:val="single"/>
          <w:lang w:val="en-US" w:eastAsia="zh-CN"/>
        </w:rPr>
        <w:t xml:space="preserve">          </w:t>
      </w:r>
      <w:r>
        <w:rPr>
          <w:rFonts w:hint="eastAsia" w:ascii="宋体" w:hAnsi="宋体" w:eastAsia="宋体" w:cs="宋体"/>
          <w:color w:val="auto"/>
          <w:spacing w:val="0"/>
          <w:sz w:val="24"/>
          <w:szCs w:val="32"/>
          <w:lang w:val="en-US" w:eastAsia="zh-CN"/>
        </w:rPr>
        <w:t>。</w:t>
      </w:r>
    </w:p>
    <w:p w14:paraId="2550A4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32"/>
        </w:rPr>
      </w:pPr>
      <w:r>
        <w:rPr>
          <w:rFonts w:hint="eastAsia" w:ascii="宋体" w:hAnsi="宋体" w:eastAsia="宋体" w:cs="宋体"/>
          <w:color w:val="auto"/>
          <w:spacing w:val="0"/>
          <w:sz w:val="24"/>
          <w:szCs w:val="32"/>
        </w:rPr>
        <w:t>5.变更后合同总结算价款：¥</w:t>
      </w:r>
      <w:r>
        <w:rPr>
          <w:rFonts w:hint="eastAsia" w:ascii="宋体" w:hAnsi="宋体" w:eastAsia="宋体" w:cs="宋体"/>
          <w:color w:val="auto"/>
          <w:spacing w:val="0"/>
          <w:sz w:val="24"/>
          <w:szCs w:val="32"/>
          <w:u w:val="single"/>
          <w:lang w:val="en-US" w:eastAsia="zh-CN"/>
        </w:rPr>
        <w:t xml:space="preserve">            </w:t>
      </w:r>
      <w:r>
        <w:rPr>
          <w:rFonts w:hint="eastAsia" w:ascii="宋体" w:hAnsi="宋体" w:eastAsia="宋体" w:cs="宋体"/>
          <w:color w:val="auto"/>
          <w:spacing w:val="0"/>
          <w:sz w:val="24"/>
          <w:szCs w:val="32"/>
          <w:lang w:val="en-US" w:eastAsia="zh-CN"/>
        </w:rPr>
        <w:t>。</w:t>
      </w:r>
    </w:p>
    <w:p w14:paraId="5A7D3F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32"/>
        </w:rPr>
      </w:pPr>
      <w:r>
        <w:rPr>
          <w:rFonts w:hint="eastAsia" w:ascii="宋体" w:hAnsi="宋体" w:eastAsia="宋体" w:cs="宋体"/>
          <w:color w:val="auto"/>
          <w:spacing w:val="0"/>
          <w:sz w:val="24"/>
          <w:szCs w:val="32"/>
        </w:rPr>
        <w:t>6.变更后交货周期调整约定：</w:t>
      </w:r>
    </w:p>
    <w:p w14:paraId="6874BC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32"/>
        </w:rPr>
      </w:pPr>
      <w:r>
        <w:rPr>
          <w:rFonts w:hint="eastAsia" w:ascii="宋体" w:hAnsi="宋体" w:eastAsia="宋体" w:cs="宋体"/>
          <w:color w:val="auto"/>
          <w:spacing w:val="0"/>
          <w:sz w:val="24"/>
          <w:szCs w:val="32"/>
        </w:rPr>
        <w:t>7.乙方申请说明</w:t>
      </w:r>
      <w:r>
        <w:rPr>
          <w:rFonts w:hint="eastAsia" w:ascii="宋体" w:hAnsi="宋体" w:eastAsia="宋体" w:cs="宋体"/>
          <w:color w:val="auto"/>
          <w:spacing w:val="0"/>
          <w:sz w:val="24"/>
          <w:szCs w:val="32"/>
          <w:lang w:eastAsia="zh-CN"/>
        </w:rPr>
        <w:t>：</w:t>
      </w:r>
    </w:p>
    <w:p w14:paraId="106F19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32"/>
        </w:rPr>
      </w:pPr>
      <w:r>
        <w:rPr>
          <w:rFonts w:hint="eastAsia" w:ascii="宋体" w:hAnsi="宋体" w:eastAsia="宋体" w:cs="宋体"/>
          <w:color w:val="auto"/>
          <w:spacing w:val="0"/>
          <w:sz w:val="24"/>
          <w:szCs w:val="32"/>
        </w:rPr>
        <w:t>8.甲方审核意见</w:t>
      </w:r>
      <w:r>
        <w:rPr>
          <w:rFonts w:hint="eastAsia" w:ascii="宋体" w:hAnsi="宋体" w:eastAsia="宋体" w:cs="宋体"/>
          <w:color w:val="auto"/>
          <w:spacing w:val="0"/>
          <w:sz w:val="24"/>
          <w:szCs w:val="32"/>
          <w:lang w:eastAsia="zh-CN"/>
        </w:rPr>
        <w:t>：</w:t>
      </w:r>
    </w:p>
    <w:p w14:paraId="4B6FBD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32"/>
        </w:rPr>
      </w:pPr>
    </w:p>
    <w:p w14:paraId="53EBA93C">
      <w:pPr>
        <w:spacing w:after="50" w:line="400" w:lineRule="exact"/>
        <w:ind w:right="84" w:firstLine="495"/>
        <w:rPr>
          <w:rFonts w:hint="eastAsia" w:ascii="宋体" w:hAnsi="宋体" w:eastAsia="宋体" w:cs="宋体"/>
          <w:b/>
          <w:bCs/>
          <w:color w:val="auto"/>
          <w:kern w:val="0"/>
          <w:sz w:val="24"/>
          <w:szCs w:val="22"/>
          <w:highlight w:val="none"/>
        </w:rPr>
      </w:pPr>
      <w:r>
        <w:rPr>
          <w:rFonts w:hint="eastAsia" w:ascii="宋体" w:hAnsi="宋体" w:eastAsia="宋体" w:cs="宋体"/>
          <w:b/>
          <w:bCs/>
          <w:color w:val="auto"/>
          <w:kern w:val="0"/>
          <w:sz w:val="24"/>
          <w:szCs w:val="22"/>
          <w:highlight w:val="none"/>
        </w:rPr>
        <w:t>委托人（盖章）：</w:t>
      </w:r>
    </w:p>
    <w:p w14:paraId="75DF761C">
      <w:pPr>
        <w:spacing w:after="50" w:line="400" w:lineRule="exact"/>
        <w:ind w:right="84" w:firstLine="495"/>
        <w:rPr>
          <w:rFonts w:hint="eastAsia" w:ascii="宋体" w:hAnsi="宋体" w:eastAsia="宋体" w:cs="宋体"/>
          <w:b/>
          <w:bCs/>
          <w:color w:val="auto"/>
          <w:kern w:val="0"/>
          <w:sz w:val="24"/>
          <w:szCs w:val="22"/>
          <w:highlight w:val="none"/>
        </w:rPr>
      </w:pPr>
      <w:r>
        <w:rPr>
          <w:rFonts w:hint="eastAsia" w:ascii="宋体" w:hAnsi="宋体" w:eastAsia="宋体" w:cs="宋体"/>
          <w:b/>
          <w:bCs/>
          <w:color w:val="auto"/>
          <w:kern w:val="0"/>
          <w:sz w:val="24"/>
          <w:szCs w:val="22"/>
          <w:highlight w:val="none"/>
        </w:rPr>
        <w:t>法定代表人（负责人）或授权代表（</w:t>
      </w:r>
      <w:r>
        <w:rPr>
          <w:rFonts w:hint="eastAsia" w:ascii="宋体" w:hAnsi="宋体" w:eastAsia="宋体" w:cs="宋体"/>
          <w:b/>
          <w:bCs/>
          <w:color w:val="auto"/>
          <w:kern w:val="0"/>
          <w:sz w:val="24"/>
          <w:szCs w:val="22"/>
          <w:highlight w:val="none"/>
          <w:lang w:val="en-US" w:eastAsia="zh-CN"/>
        </w:rPr>
        <w:t>签字或盖章</w:t>
      </w:r>
      <w:r>
        <w:rPr>
          <w:rFonts w:hint="eastAsia" w:ascii="宋体" w:hAnsi="宋体" w:eastAsia="宋体" w:cs="宋体"/>
          <w:b/>
          <w:bCs/>
          <w:color w:val="auto"/>
          <w:kern w:val="0"/>
          <w:sz w:val="24"/>
          <w:szCs w:val="22"/>
          <w:highlight w:val="none"/>
        </w:rPr>
        <w:t>）：</w:t>
      </w:r>
    </w:p>
    <w:p w14:paraId="14DAFBC6">
      <w:pPr>
        <w:spacing w:after="50" w:line="400" w:lineRule="exact"/>
        <w:ind w:right="84" w:firstLine="495"/>
        <w:rPr>
          <w:rFonts w:hint="eastAsia" w:ascii="宋体" w:hAnsi="宋体" w:eastAsia="宋体" w:cs="宋体"/>
          <w:b/>
          <w:bCs/>
          <w:color w:val="auto"/>
          <w:kern w:val="0"/>
          <w:sz w:val="24"/>
          <w:szCs w:val="22"/>
          <w:highlight w:val="none"/>
        </w:rPr>
      </w:pPr>
    </w:p>
    <w:p w14:paraId="52EC2D4D">
      <w:pPr>
        <w:spacing w:after="50" w:line="400" w:lineRule="exact"/>
        <w:ind w:right="84" w:firstLine="495"/>
        <w:rPr>
          <w:rFonts w:hint="eastAsia" w:ascii="宋体" w:hAnsi="宋体" w:eastAsia="宋体" w:cs="宋体"/>
          <w:b/>
          <w:bCs/>
          <w:color w:val="auto"/>
          <w:kern w:val="0"/>
          <w:sz w:val="24"/>
          <w:szCs w:val="22"/>
          <w:highlight w:val="none"/>
        </w:rPr>
      </w:pPr>
      <w:r>
        <w:rPr>
          <w:rFonts w:hint="eastAsia" w:ascii="宋体" w:hAnsi="宋体" w:eastAsia="宋体" w:cs="宋体"/>
          <w:b/>
          <w:bCs/>
          <w:color w:val="auto"/>
          <w:kern w:val="0"/>
          <w:sz w:val="24"/>
          <w:szCs w:val="22"/>
          <w:highlight w:val="none"/>
        </w:rPr>
        <w:t>受托人（盖章）：</w:t>
      </w:r>
    </w:p>
    <w:p w14:paraId="14C4E9AD">
      <w:pPr>
        <w:spacing w:after="50" w:line="400" w:lineRule="exact"/>
        <w:ind w:right="84" w:firstLine="495"/>
        <w:rPr>
          <w:rFonts w:hint="eastAsia" w:ascii="宋体" w:hAnsi="宋体" w:eastAsia="宋体" w:cs="宋体"/>
          <w:b/>
          <w:bCs/>
          <w:color w:val="auto"/>
          <w:kern w:val="0"/>
          <w:sz w:val="24"/>
          <w:szCs w:val="22"/>
          <w:highlight w:val="none"/>
        </w:rPr>
      </w:pPr>
      <w:r>
        <w:rPr>
          <w:rFonts w:hint="eastAsia" w:ascii="宋体" w:hAnsi="宋体" w:eastAsia="宋体" w:cs="宋体"/>
          <w:b/>
          <w:bCs/>
          <w:color w:val="auto"/>
          <w:kern w:val="0"/>
          <w:sz w:val="24"/>
          <w:szCs w:val="22"/>
          <w:highlight w:val="none"/>
        </w:rPr>
        <w:t>法定代表人（负责人）或授权代表（</w:t>
      </w:r>
      <w:r>
        <w:rPr>
          <w:rFonts w:hint="eastAsia" w:ascii="宋体" w:hAnsi="宋体" w:eastAsia="宋体" w:cs="宋体"/>
          <w:b/>
          <w:bCs/>
          <w:color w:val="auto"/>
          <w:kern w:val="0"/>
          <w:sz w:val="24"/>
          <w:szCs w:val="22"/>
          <w:highlight w:val="none"/>
          <w:lang w:val="en-US" w:eastAsia="zh-CN"/>
        </w:rPr>
        <w:t>签字或盖章</w:t>
      </w:r>
      <w:r>
        <w:rPr>
          <w:rFonts w:hint="eastAsia" w:ascii="宋体" w:hAnsi="宋体" w:eastAsia="宋体" w:cs="宋体"/>
          <w:b/>
          <w:bCs/>
          <w:color w:val="auto"/>
          <w:kern w:val="0"/>
          <w:sz w:val="24"/>
          <w:szCs w:val="22"/>
          <w:highlight w:val="none"/>
        </w:rPr>
        <w:t>）：</w:t>
      </w:r>
    </w:p>
    <w:p w14:paraId="6C58CCA5">
      <w:pPr>
        <w:spacing w:after="50" w:line="400" w:lineRule="exact"/>
        <w:ind w:right="84" w:firstLine="495"/>
        <w:jc w:val="right"/>
        <w:rPr>
          <w:rFonts w:hint="eastAsia" w:ascii="宋体" w:hAnsi="宋体" w:eastAsia="宋体" w:cs="宋体"/>
          <w:b/>
          <w:bCs/>
          <w:color w:val="auto"/>
          <w:kern w:val="0"/>
          <w:sz w:val="24"/>
          <w:szCs w:val="22"/>
          <w:highlight w:val="none"/>
        </w:rPr>
      </w:pPr>
      <w:r>
        <w:rPr>
          <w:rFonts w:hint="eastAsia" w:ascii="宋体" w:hAnsi="宋体" w:eastAsia="宋体" w:cs="宋体"/>
          <w:b/>
          <w:bCs/>
          <w:color w:val="auto"/>
          <w:kern w:val="0"/>
          <w:sz w:val="24"/>
          <w:szCs w:val="22"/>
          <w:highlight w:val="none"/>
        </w:rPr>
        <w:t>日期：年  月  日</w:t>
      </w:r>
    </w:p>
    <w:p w14:paraId="4EB524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32"/>
        </w:rPr>
      </w:pPr>
    </w:p>
    <w:p w14:paraId="462925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32"/>
        </w:rPr>
      </w:pPr>
    </w:p>
    <w:p w14:paraId="377598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32"/>
        </w:rPr>
      </w:pPr>
    </w:p>
    <w:p w14:paraId="6B3787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rPr>
      </w:pPr>
      <w:r>
        <w:rPr>
          <w:rFonts w:hint="eastAsia" w:ascii="宋体" w:hAnsi="宋体" w:eastAsia="宋体" w:cs="宋体"/>
          <w:color w:val="auto"/>
          <w:spacing w:val="0"/>
          <w:sz w:val="24"/>
          <w:szCs w:val="32"/>
        </w:rPr>
        <w:t>备注：本确认单未经甲乙双方盖章无效，作为结算必备资料。</w:t>
      </w:r>
    </w:p>
    <w:p w14:paraId="10A2BB9C">
      <w:pPr>
        <w:spacing w:line="400" w:lineRule="exact"/>
        <w:ind w:firstLine="480"/>
        <w:rPr>
          <w:rFonts w:hint="eastAsia" w:ascii="宋体" w:hAnsi="宋体"/>
          <w:bCs/>
          <w:color w:val="auto"/>
          <w:sz w:val="24"/>
          <w:highlight w:val="none"/>
        </w:rPr>
      </w:pPr>
    </w:p>
    <w:p w14:paraId="4C712195">
      <w:pPr>
        <w:pStyle w:val="186"/>
        <w:pageBreakBefore/>
        <w:rPr>
          <w:rFonts w:hint="eastAsia" w:ascii="黑体" w:eastAsia="黑体"/>
          <w:bCs w:val="0"/>
          <w:i w:val="0"/>
          <w:iCs w:val="0"/>
          <w:color w:val="auto"/>
          <w:sz w:val="28"/>
          <w:szCs w:val="28"/>
          <w:highlight w:val="none"/>
          <w:lang w:eastAsia="zh-CN"/>
        </w:rPr>
      </w:pPr>
      <w:r>
        <w:rPr>
          <w:rFonts w:hint="eastAsia" w:ascii="黑体" w:hAnsi="黑体" w:eastAsia="黑体"/>
          <w:b w:val="0"/>
          <w:i w:val="0"/>
          <w:iCs w:val="0"/>
          <w:color w:val="auto"/>
          <w:sz w:val="32"/>
          <w:szCs w:val="32"/>
          <w:highlight w:val="none"/>
          <w:lang w:eastAsia="zh-CN"/>
        </w:rPr>
        <w:t>第五章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lang w:eastAsia="zh-CN"/>
        </w:rPr>
        <w:t>评分方法与评分标准</w:t>
      </w:r>
    </w:p>
    <w:p w14:paraId="5F09124A">
      <w:pPr>
        <w:pStyle w:val="364"/>
        <w:spacing w:before="0" w:after="0" w:line="500" w:lineRule="exact"/>
        <w:ind w:firstLine="602"/>
        <w:rPr>
          <w:rFonts w:hint="eastAsia" w:cs="Arial"/>
          <w:b/>
          <w:i w:val="0"/>
          <w:iCs w:val="0"/>
          <w:color w:val="auto"/>
          <w:sz w:val="30"/>
          <w:szCs w:val="30"/>
          <w:highlight w:val="none"/>
        </w:rPr>
      </w:pPr>
      <w:r>
        <w:rPr>
          <w:rFonts w:hint="eastAsia" w:cs="Arial"/>
          <w:b/>
          <w:i w:val="0"/>
          <w:iCs w:val="0"/>
          <w:color w:val="auto"/>
          <w:sz w:val="30"/>
          <w:szCs w:val="30"/>
          <w:highlight w:val="none"/>
        </w:rPr>
        <w:t>第一部分  评标方法</w:t>
      </w:r>
    </w:p>
    <w:p w14:paraId="38DD5824">
      <w:pPr>
        <w:pStyle w:val="364"/>
        <w:spacing w:before="0" w:after="0" w:line="500" w:lineRule="exact"/>
        <w:rPr>
          <w:rFonts w:hint="eastAsia" w:cs="Arial"/>
          <w:i w:val="0"/>
          <w:iCs w:val="0"/>
          <w:color w:val="auto"/>
          <w:highlight w:val="none"/>
        </w:rPr>
      </w:pPr>
      <w:r>
        <w:rPr>
          <w:rFonts w:hint="eastAsia" w:cs="Arial"/>
          <w:i w:val="0"/>
          <w:iCs w:val="0"/>
          <w:color w:val="auto"/>
          <w:highlight w:val="none"/>
        </w:rPr>
        <w:t>投标人通过初审的，方可进入比较与评价程序。</w:t>
      </w:r>
    </w:p>
    <w:p w14:paraId="2243B992">
      <w:pPr>
        <w:pStyle w:val="364"/>
        <w:spacing w:before="0" w:after="0" w:line="50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比较与评价采用综合评分法。</w:t>
      </w:r>
    </w:p>
    <w:p w14:paraId="254F8739">
      <w:pPr>
        <w:pStyle w:val="364"/>
        <w:spacing w:before="0" w:after="0" w:line="50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评审委员会秉持公平、公正、择优的原则，独立依据各项评分标准分别评定各投标供应商的分值。评标结果将按照评审后的得分，由高到低进行排列。投标文件满足采购文件的全部实质性要求，且按照评审因素的量化指标评审得分最高的投标供应商，将成为第一中标候选人。评审</w:t>
      </w:r>
      <w:r>
        <w:rPr>
          <w:rFonts w:hint="eastAsia" w:ascii="宋体" w:hAnsi="宋体" w:eastAsia="宋体" w:cs="Times New Roman"/>
          <w:bCs/>
          <w:color w:val="auto"/>
          <w:highlight w:val="none"/>
          <w:lang w:val="en-US" w:eastAsia="zh-CN"/>
        </w:rPr>
        <w:t>总</w:t>
      </w:r>
      <w:r>
        <w:rPr>
          <w:rFonts w:hint="eastAsia" w:ascii="宋体" w:hAnsi="宋体" w:eastAsia="宋体" w:cs="Times New Roman"/>
          <w:bCs/>
          <w:color w:val="auto"/>
          <w:highlight w:val="none"/>
        </w:rPr>
        <w:t>得分相同的，则按报价得分由高到低进行排列；若总得分和报价得分均相同，则按技术部分得分由高到低进行排列</w:t>
      </w:r>
      <w:r>
        <w:rPr>
          <w:rFonts w:hint="eastAsia" w:ascii="宋体" w:hAnsi="宋体" w:eastAsia="宋体" w:cs="Times New Roman"/>
          <w:bCs/>
          <w:color w:val="auto"/>
          <w:highlight w:val="none"/>
          <w:lang w:eastAsia="zh-CN"/>
        </w:rPr>
        <w:t>，</w:t>
      </w:r>
      <w:r>
        <w:rPr>
          <w:rFonts w:hint="eastAsia" w:ascii="宋体" w:hAnsi="宋体" w:eastAsia="宋体" w:cs="Times New Roman"/>
          <w:bCs/>
          <w:color w:val="auto"/>
          <w:highlight w:val="none"/>
        </w:rPr>
        <w:t>按排名先后顺序选取3名中标候选人。</w:t>
      </w:r>
    </w:p>
    <w:p w14:paraId="64904E3E">
      <w:pPr>
        <w:pStyle w:val="364"/>
        <w:spacing w:before="0" w:after="0" w:line="50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提供相同品牌产品且通过资格审查、符合性审查的不同</w:t>
      </w:r>
      <w:r>
        <w:rPr>
          <w:rFonts w:hint="eastAsia" w:ascii="宋体" w:hAnsi="宋体" w:eastAsia="宋体" w:cs="Times New Roman"/>
          <w:bCs/>
          <w:color w:val="auto"/>
          <w:highlight w:val="none"/>
          <w:lang w:eastAsia="zh-CN"/>
        </w:rPr>
        <w:t>投标供应商</w:t>
      </w:r>
      <w:r>
        <w:rPr>
          <w:rFonts w:hint="eastAsia" w:ascii="宋体" w:hAnsi="宋体" w:eastAsia="宋体" w:cs="Times New Roman"/>
          <w:bCs/>
          <w:color w:val="auto"/>
          <w:highlight w:val="none"/>
        </w:rPr>
        <w:t>参加同一合同项下投标的，按一家</w:t>
      </w:r>
      <w:r>
        <w:rPr>
          <w:rFonts w:hint="eastAsia" w:ascii="宋体" w:hAnsi="宋体" w:eastAsia="宋体" w:cs="Times New Roman"/>
          <w:bCs/>
          <w:color w:val="auto"/>
          <w:highlight w:val="none"/>
          <w:lang w:eastAsia="zh-CN"/>
        </w:rPr>
        <w:t>投标供应商</w:t>
      </w:r>
      <w:r>
        <w:rPr>
          <w:rFonts w:hint="eastAsia" w:ascii="宋体" w:hAnsi="宋体" w:eastAsia="宋体" w:cs="Times New Roman"/>
          <w:bCs/>
          <w:color w:val="auto"/>
          <w:highlight w:val="none"/>
        </w:rPr>
        <w:t>计算，评审后得分最高的同品牌</w:t>
      </w:r>
      <w:r>
        <w:rPr>
          <w:rFonts w:hint="eastAsia" w:ascii="宋体" w:hAnsi="宋体" w:eastAsia="宋体" w:cs="Times New Roman"/>
          <w:bCs/>
          <w:color w:val="auto"/>
          <w:highlight w:val="none"/>
          <w:lang w:eastAsia="zh-CN"/>
        </w:rPr>
        <w:t>投标供应商</w:t>
      </w:r>
      <w:r>
        <w:rPr>
          <w:rFonts w:hint="eastAsia" w:ascii="宋体" w:hAnsi="宋体" w:eastAsia="宋体" w:cs="Times New Roman"/>
          <w:bCs/>
          <w:color w:val="auto"/>
          <w:highlight w:val="none"/>
        </w:rPr>
        <w:t>获得中标人推荐资格，其他同品牌</w:t>
      </w:r>
      <w:r>
        <w:rPr>
          <w:rFonts w:hint="eastAsia" w:ascii="宋体" w:hAnsi="宋体" w:eastAsia="宋体" w:cs="Times New Roman"/>
          <w:bCs/>
          <w:color w:val="auto"/>
          <w:highlight w:val="none"/>
          <w:lang w:eastAsia="zh-CN"/>
        </w:rPr>
        <w:t>投标供应商</w:t>
      </w:r>
      <w:r>
        <w:rPr>
          <w:rFonts w:hint="eastAsia" w:ascii="宋体" w:hAnsi="宋体" w:eastAsia="宋体" w:cs="Times New Roman"/>
          <w:bCs/>
          <w:color w:val="auto"/>
          <w:highlight w:val="none"/>
        </w:rPr>
        <w:t>不作为中标候选人。</w:t>
      </w:r>
    </w:p>
    <w:p w14:paraId="669A1BE4">
      <w:pPr>
        <w:pStyle w:val="364"/>
        <w:spacing w:before="0" w:after="0" w:line="50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非单一产品采购项目，多家</w:t>
      </w:r>
      <w:r>
        <w:rPr>
          <w:rFonts w:hint="eastAsia" w:ascii="宋体" w:hAnsi="宋体" w:eastAsia="宋体" w:cs="Times New Roman"/>
          <w:bCs/>
          <w:color w:val="auto"/>
          <w:highlight w:val="none"/>
          <w:lang w:eastAsia="zh-CN"/>
        </w:rPr>
        <w:t>投标供应商</w:t>
      </w:r>
      <w:r>
        <w:rPr>
          <w:rFonts w:hint="eastAsia" w:ascii="宋体" w:hAnsi="宋体" w:eastAsia="宋体" w:cs="Times New Roman"/>
          <w:bCs/>
          <w:color w:val="auto"/>
          <w:highlight w:val="none"/>
        </w:rPr>
        <w:t>提供的核心产品品牌相同的，按</w:t>
      </w:r>
      <w:r>
        <w:rPr>
          <w:rFonts w:hint="eastAsia" w:ascii="宋体" w:hAnsi="宋体" w:eastAsia="宋体" w:cs="Times New Roman"/>
          <w:bCs/>
          <w:color w:val="auto"/>
          <w:highlight w:val="none"/>
          <w:lang w:val="en-US" w:eastAsia="zh-CN"/>
        </w:rPr>
        <w:t>上述</w:t>
      </w:r>
      <w:r>
        <w:rPr>
          <w:rFonts w:hint="eastAsia" w:ascii="宋体" w:hAnsi="宋体" w:eastAsia="宋体" w:cs="Times New Roman"/>
          <w:bCs/>
          <w:color w:val="auto"/>
          <w:highlight w:val="none"/>
        </w:rPr>
        <w:t>规定处理。</w:t>
      </w:r>
    </w:p>
    <w:p w14:paraId="51333295">
      <w:pPr>
        <w:jc w:val="left"/>
        <w:rPr>
          <w:rFonts w:hint="eastAsia" w:ascii="黑体" w:eastAsia="黑体"/>
          <w:bCs/>
          <w:i w:val="0"/>
          <w:iCs w:val="0"/>
          <w:color w:val="auto"/>
          <w:sz w:val="24"/>
          <w:szCs w:val="24"/>
          <w:highlight w:val="none"/>
        </w:rPr>
      </w:pPr>
    </w:p>
    <w:p w14:paraId="7E00CD77">
      <w:pPr>
        <w:jc w:val="left"/>
        <w:rPr>
          <w:rFonts w:hint="eastAsia" w:ascii="黑体" w:eastAsia="黑体"/>
          <w:bCs/>
          <w:i w:val="0"/>
          <w:iCs w:val="0"/>
          <w:color w:val="auto"/>
          <w:sz w:val="24"/>
          <w:szCs w:val="24"/>
          <w:highlight w:val="none"/>
        </w:rPr>
      </w:pPr>
    </w:p>
    <w:p w14:paraId="6C7EF5A9">
      <w:pPr>
        <w:jc w:val="left"/>
        <w:rPr>
          <w:rFonts w:hint="eastAsia" w:ascii="黑体" w:eastAsia="黑体"/>
          <w:bCs/>
          <w:i w:val="0"/>
          <w:iCs w:val="0"/>
          <w:color w:val="auto"/>
          <w:sz w:val="24"/>
          <w:szCs w:val="24"/>
          <w:highlight w:val="none"/>
        </w:rPr>
      </w:pPr>
    </w:p>
    <w:p w14:paraId="3697FD97">
      <w:pPr>
        <w:jc w:val="left"/>
        <w:rPr>
          <w:rFonts w:hint="eastAsia" w:ascii="黑体" w:eastAsia="黑体"/>
          <w:bCs/>
          <w:i w:val="0"/>
          <w:iCs w:val="0"/>
          <w:color w:val="auto"/>
          <w:sz w:val="24"/>
          <w:szCs w:val="24"/>
          <w:highlight w:val="none"/>
        </w:rPr>
      </w:pPr>
    </w:p>
    <w:p w14:paraId="14329CE1">
      <w:pPr>
        <w:jc w:val="left"/>
        <w:rPr>
          <w:rFonts w:hint="eastAsia" w:ascii="黑体" w:eastAsia="黑体"/>
          <w:bCs/>
          <w:i w:val="0"/>
          <w:iCs w:val="0"/>
          <w:color w:val="auto"/>
          <w:sz w:val="24"/>
          <w:szCs w:val="24"/>
          <w:highlight w:val="none"/>
        </w:rPr>
      </w:pPr>
    </w:p>
    <w:p w14:paraId="7541459C">
      <w:pPr>
        <w:jc w:val="left"/>
        <w:rPr>
          <w:rFonts w:hint="eastAsia" w:ascii="黑体" w:eastAsia="黑体"/>
          <w:bCs/>
          <w:i w:val="0"/>
          <w:iCs w:val="0"/>
          <w:color w:val="auto"/>
          <w:sz w:val="24"/>
          <w:szCs w:val="24"/>
          <w:highlight w:val="none"/>
        </w:rPr>
      </w:pPr>
    </w:p>
    <w:p w14:paraId="570FAAF8">
      <w:pPr>
        <w:jc w:val="left"/>
        <w:rPr>
          <w:rFonts w:hint="eastAsia" w:ascii="黑体" w:eastAsia="黑体"/>
          <w:bCs/>
          <w:i w:val="0"/>
          <w:iCs w:val="0"/>
          <w:color w:val="auto"/>
          <w:sz w:val="24"/>
          <w:szCs w:val="24"/>
          <w:highlight w:val="none"/>
        </w:rPr>
      </w:pPr>
    </w:p>
    <w:p w14:paraId="66313574">
      <w:pPr>
        <w:jc w:val="left"/>
        <w:rPr>
          <w:rFonts w:hint="eastAsia" w:ascii="黑体" w:eastAsia="黑体"/>
          <w:bCs/>
          <w:i w:val="0"/>
          <w:iCs w:val="0"/>
          <w:color w:val="auto"/>
          <w:sz w:val="24"/>
          <w:szCs w:val="24"/>
          <w:highlight w:val="none"/>
        </w:rPr>
      </w:pPr>
    </w:p>
    <w:p w14:paraId="3FADCE3A">
      <w:pPr>
        <w:jc w:val="left"/>
        <w:rPr>
          <w:rFonts w:hint="eastAsia" w:ascii="黑体" w:eastAsia="黑体"/>
          <w:bCs/>
          <w:i w:val="0"/>
          <w:iCs w:val="0"/>
          <w:color w:val="auto"/>
          <w:sz w:val="24"/>
          <w:szCs w:val="24"/>
          <w:highlight w:val="none"/>
        </w:rPr>
      </w:pPr>
    </w:p>
    <w:p w14:paraId="47B8B330">
      <w:pPr>
        <w:jc w:val="left"/>
        <w:rPr>
          <w:rFonts w:hint="eastAsia" w:ascii="黑体" w:eastAsia="黑体"/>
          <w:bCs/>
          <w:i w:val="0"/>
          <w:iCs w:val="0"/>
          <w:color w:val="auto"/>
          <w:sz w:val="24"/>
          <w:szCs w:val="24"/>
          <w:highlight w:val="none"/>
        </w:rPr>
      </w:pPr>
    </w:p>
    <w:p w14:paraId="53E08BD5">
      <w:pPr>
        <w:jc w:val="left"/>
        <w:rPr>
          <w:rFonts w:hint="eastAsia" w:ascii="黑体" w:eastAsia="黑体"/>
          <w:bCs/>
          <w:i w:val="0"/>
          <w:iCs w:val="0"/>
          <w:color w:val="auto"/>
          <w:sz w:val="24"/>
          <w:szCs w:val="24"/>
          <w:highlight w:val="none"/>
        </w:rPr>
      </w:pPr>
    </w:p>
    <w:p w14:paraId="3DA07846">
      <w:pPr>
        <w:jc w:val="left"/>
        <w:rPr>
          <w:rFonts w:hint="eastAsia" w:ascii="黑体" w:eastAsia="黑体"/>
          <w:bCs/>
          <w:i w:val="0"/>
          <w:iCs w:val="0"/>
          <w:color w:val="auto"/>
          <w:sz w:val="24"/>
          <w:szCs w:val="24"/>
          <w:highlight w:val="none"/>
        </w:rPr>
      </w:pPr>
    </w:p>
    <w:p w14:paraId="2257CDA6">
      <w:pPr>
        <w:jc w:val="left"/>
        <w:rPr>
          <w:rFonts w:hint="eastAsia" w:ascii="黑体" w:eastAsia="黑体"/>
          <w:bCs/>
          <w:i w:val="0"/>
          <w:iCs w:val="0"/>
          <w:color w:val="auto"/>
          <w:sz w:val="24"/>
          <w:szCs w:val="24"/>
          <w:highlight w:val="none"/>
        </w:rPr>
      </w:pPr>
    </w:p>
    <w:p w14:paraId="58B38424">
      <w:pPr>
        <w:jc w:val="left"/>
        <w:rPr>
          <w:rFonts w:hint="eastAsia" w:ascii="黑体" w:eastAsia="黑体"/>
          <w:bCs/>
          <w:i w:val="0"/>
          <w:iCs w:val="0"/>
          <w:color w:val="auto"/>
          <w:sz w:val="24"/>
          <w:szCs w:val="24"/>
          <w:highlight w:val="none"/>
        </w:rPr>
      </w:pPr>
    </w:p>
    <w:p w14:paraId="6DA8F5D1">
      <w:pPr>
        <w:jc w:val="left"/>
        <w:rPr>
          <w:rFonts w:hint="eastAsia" w:ascii="黑体" w:eastAsia="黑体"/>
          <w:bCs/>
          <w:i w:val="0"/>
          <w:iCs w:val="0"/>
          <w:color w:val="auto"/>
          <w:sz w:val="24"/>
          <w:szCs w:val="24"/>
          <w:highlight w:val="none"/>
        </w:rPr>
      </w:pPr>
    </w:p>
    <w:p w14:paraId="6559470D">
      <w:pPr>
        <w:jc w:val="left"/>
        <w:rPr>
          <w:rFonts w:hint="eastAsia" w:ascii="黑体" w:eastAsia="黑体"/>
          <w:bCs/>
          <w:i w:val="0"/>
          <w:iCs w:val="0"/>
          <w:color w:val="auto"/>
          <w:sz w:val="24"/>
          <w:szCs w:val="24"/>
          <w:highlight w:val="none"/>
        </w:rPr>
      </w:pPr>
    </w:p>
    <w:p w14:paraId="40FCC0C6">
      <w:pPr>
        <w:jc w:val="left"/>
        <w:rPr>
          <w:rFonts w:hint="eastAsia" w:ascii="黑体" w:eastAsia="黑体"/>
          <w:bCs/>
          <w:i w:val="0"/>
          <w:iCs w:val="0"/>
          <w:color w:val="auto"/>
          <w:sz w:val="24"/>
          <w:szCs w:val="24"/>
          <w:highlight w:val="none"/>
        </w:rPr>
      </w:pPr>
    </w:p>
    <w:p w14:paraId="6D9C49BA">
      <w:pPr>
        <w:jc w:val="left"/>
        <w:rPr>
          <w:rFonts w:hint="eastAsia" w:ascii="黑体" w:eastAsia="黑体"/>
          <w:bCs/>
          <w:i w:val="0"/>
          <w:iCs w:val="0"/>
          <w:color w:val="auto"/>
          <w:sz w:val="24"/>
          <w:szCs w:val="24"/>
          <w:highlight w:val="none"/>
        </w:rPr>
      </w:pPr>
    </w:p>
    <w:p w14:paraId="020BA3F2">
      <w:pPr>
        <w:jc w:val="left"/>
        <w:rPr>
          <w:rFonts w:hint="eastAsia" w:ascii="黑体" w:eastAsia="黑体"/>
          <w:bCs/>
          <w:i w:val="0"/>
          <w:iCs w:val="0"/>
          <w:color w:val="auto"/>
          <w:sz w:val="24"/>
          <w:szCs w:val="24"/>
          <w:highlight w:val="none"/>
        </w:rPr>
      </w:pPr>
    </w:p>
    <w:p w14:paraId="75993900">
      <w:pPr>
        <w:jc w:val="left"/>
        <w:rPr>
          <w:rFonts w:hint="eastAsia" w:ascii="黑体" w:eastAsia="黑体"/>
          <w:bCs/>
          <w:i w:val="0"/>
          <w:iCs w:val="0"/>
          <w:color w:val="auto"/>
          <w:sz w:val="24"/>
          <w:szCs w:val="24"/>
          <w:highlight w:val="none"/>
        </w:rPr>
      </w:pPr>
    </w:p>
    <w:p w14:paraId="7B6148EE">
      <w:pPr>
        <w:pStyle w:val="38"/>
        <w:ind w:left="0" w:leftChars="0" w:firstLine="0" w:firstLineChars="0"/>
        <w:rPr>
          <w:rFonts w:hint="eastAsia"/>
          <w:i w:val="0"/>
          <w:iCs w:val="0"/>
          <w:color w:val="auto"/>
          <w:highlight w:val="none"/>
        </w:rPr>
      </w:pPr>
    </w:p>
    <w:p w14:paraId="7CBA0166">
      <w:pPr>
        <w:rPr>
          <w:rFonts w:hint="eastAsia"/>
          <w:color w:val="auto"/>
        </w:rPr>
      </w:pPr>
    </w:p>
    <w:p w14:paraId="15458D4B">
      <w:pPr>
        <w:jc w:val="left"/>
        <w:rPr>
          <w:rFonts w:hint="eastAsia" w:ascii="黑体" w:eastAsia="黑体"/>
          <w:bCs/>
          <w:i w:val="0"/>
          <w:iCs w:val="0"/>
          <w:color w:val="auto"/>
          <w:sz w:val="24"/>
          <w:szCs w:val="24"/>
          <w:highlight w:val="none"/>
        </w:rPr>
      </w:pPr>
    </w:p>
    <w:p w14:paraId="7E41CC46">
      <w:pPr>
        <w:jc w:val="left"/>
        <w:rPr>
          <w:rFonts w:hint="eastAsia" w:ascii="黑体" w:eastAsia="黑体"/>
          <w:bCs/>
          <w:i w:val="0"/>
          <w:iCs w:val="0"/>
          <w:color w:val="auto"/>
          <w:sz w:val="24"/>
          <w:szCs w:val="24"/>
          <w:highlight w:val="none"/>
        </w:rPr>
      </w:pPr>
    </w:p>
    <w:p w14:paraId="5F4812CA">
      <w:pPr>
        <w:jc w:val="left"/>
        <w:rPr>
          <w:rFonts w:hint="eastAsia" w:ascii="黑体" w:eastAsia="黑体"/>
          <w:bCs/>
          <w:i w:val="0"/>
          <w:iCs w:val="0"/>
          <w:color w:val="auto"/>
          <w:sz w:val="24"/>
          <w:szCs w:val="24"/>
          <w:highlight w:val="none"/>
        </w:rPr>
      </w:pPr>
    </w:p>
    <w:p w14:paraId="11B91065">
      <w:pPr>
        <w:pStyle w:val="364"/>
        <w:spacing w:before="0" w:after="0" w:line="500" w:lineRule="exact"/>
        <w:rPr>
          <w:rFonts w:hint="eastAsia" w:cs="Arial"/>
          <w:b/>
          <w:i w:val="0"/>
          <w:iCs w:val="0"/>
          <w:color w:val="auto"/>
          <w:sz w:val="30"/>
          <w:szCs w:val="30"/>
          <w:highlight w:val="none"/>
        </w:rPr>
      </w:pPr>
      <w:r>
        <w:rPr>
          <w:rFonts w:hint="eastAsia" w:cs="Arial"/>
          <w:b/>
          <w:i w:val="0"/>
          <w:iCs w:val="0"/>
          <w:color w:val="auto"/>
          <w:sz w:val="30"/>
          <w:szCs w:val="30"/>
          <w:highlight w:val="none"/>
        </w:rPr>
        <w:t>第二部分  评标标准</w:t>
      </w:r>
    </w:p>
    <w:p w14:paraId="74BD5130">
      <w:pPr>
        <w:pStyle w:val="364"/>
        <w:spacing w:before="0" w:after="0" w:line="500" w:lineRule="exact"/>
        <w:ind w:firstLine="562"/>
        <w:rPr>
          <w:rFonts w:hint="eastAsia" w:ascii="宋体" w:hAnsi="宋体"/>
          <w:b/>
          <w:i w:val="0"/>
          <w:iCs w:val="0"/>
          <w:color w:val="auto"/>
          <w:sz w:val="28"/>
          <w:szCs w:val="28"/>
          <w:highlight w:val="none"/>
        </w:rPr>
      </w:pPr>
      <w:r>
        <w:rPr>
          <w:rFonts w:hint="eastAsia" w:ascii="宋体" w:hAnsi="宋体"/>
          <w:b/>
          <w:i w:val="0"/>
          <w:iCs w:val="0"/>
          <w:color w:val="auto"/>
          <w:sz w:val="28"/>
          <w:szCs w:val="28"/>
          <w:highlight w:val="none"/>
        </w:rPr>
        <w:t>一、落实政府采购政策的价格调整</w:t>
      </w:r>
    </w:p>
    <w:p w14:paraId="20C5EBEB">
      <w:pPr>
        <w:spacing w:line="500" w:lineRule="exact"/>
        <w:ind w:firstLine="482"/>
        <w:jc w:val="left"/>
        <w:rPr>
          <w:rFonts w:hint="eastAsia" w:ascii="宋体" w:hAnsi="宋体"/>
          <w:b/>
          <w:bCs/>
          <w:i w:val="0"/>
          <w:iCs w:val="0"/>
          <w:color w:val="auto"/>
          <w:sz w:val="24"/>
          <w:szCs w:val="24"/>
          <w:highlight w:val="none"/>
        </w:rPr>
      </w:pPr>
      <w:r>
        <w:rPr>
          <w:rFonts w:hint="eastAsia" w:ascii="宋体" w:hAnsi="宋体"/>
          <w:b/>
          <w:bCs/>
          <w:i w:val="0"/>
          <w:iCs w:val="0"/>
          <w:color w:val="auto"/>
          <w:sz w:val="24"/>
          <w:szCs w:val="24"/>
          <w:highlight w:val="none"/>
        </w:rPr>
        <w:t>小微型企业价格扣除：专门面向中小/小微企业的项目不做价格扣除。</w:t>
      </w:r>
    </w:p>
    <w:p w14:paraId="68CED2C5">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1.对小型和微型企业产品的价格给予10</w:t>
      </w:r>
      <w:r>
        <w:rPr>
          <w:rFonts w:ascii="宋体" w:hAnsi="宋体"/>
          <w:bCs/>
          <w:i w:val="0"/>
          <w:iCs w:val="0"/>
          <w:color w:val="auto"/>
          <w:sz w:val="24"/>
          <w:szCs w:val="24"/>
          <w:highlight w:val="none"/>
        </w:rPr>
        <w:t>%</w:t>
      </w:r>
      <w:r>
        <w:rPr>
          <w:rFonts w:hint="eastAsia" w:ascii="宋体" w:hAnsi="宋体"/>
          <w:bCs/>
          <w:i w:val="0"/>
          <w:iCs w:val="0"/>
          <w:color w:val="auto"/>
          <w:sz w:val="24"/>
          <w:szCs w:val="24"/>
          <w:highlight w:val="none"/>
        </w:rPr>
        <w:t>的扣除，用扣除后的价格参与评审。参加投标的中小企业，应当按照《政府采购促进中小企业发展管理办法》</w:t>
      </w:r>
      <w:r>
        <w:rPr>
          <w:rFonts w:ascii="宋体" w:hAnsi="宋体"/>
          <w:bCs/>
          <w:i w:val="0"/>
          <w:iCs w:val="0"/>
          <w:color w:val="auto"/>
          <w:sz w:val="24"/>
          <w:szCs w:val="24"/>
          <w:highlight w:val="none"/>
        </w:rPr>
        <w:t>（财库﹝2020﹞46 号）</w:t>
      </w:r>
      <w:r>
        <w:rPr>
          <w:rFonts w:hint="eastAsia" w:ascii="宋体" w:hAnsi="宋体"/>
          <w:bCs/>
          <w:i w:val="0"/>
          <w:iCs w:val="0"/>
          <w:color w:val="auto"/>
          <w:sz w:val="24"/>
          <w:szCs w:val="24"/>
          <w:highlight w:val="none"/>
        </w:rPr>
        <w:t>的规定提供《中小企业声明函》（中小企业划型标准详见《关于印发中小企业划型标准规定的通知》工信部联企业〔</w:t>
      </w:r>
      <w:r>
        <w:rPr>
          <w:rFonts w:ascii="宋体" w:hAnsi="宋体"/>
          <w:bCs/>
          <w:i w:val="0"/>
          <w:iCs w:val="0"/>
          <w:color w:val="auto"/>
          <w:sz w:val="24"/>
          <w:szCs w:val="24"/>
          <w:highlight w:val="none"/>
        </w:rPr>
        <w:t>2011</w:t>
      </w:r>
      <w:r>
        <w:rPr>
          <w:rFonts w:hint="eastAsia" w:ascii="宋体" w:hAnsi="宋体"/>
          <w:bCs/>
          <w:i w:val="0"/>
          <w:iCs w:val="0"/>
          <w:color w:val="auto"/>
          <w:sz w:val="24"/>
          <w:szCs w:val="24"/>
          <w:highlight w:val="none"/>
        </w:rPr>
        <w:t>〕</w:t>
      </w:r>
      <w:r>
        <w:rPr>
          <w:rFonts w:ascii="宋体" w:hAnsi="宋体"/>
          <w:bCs/>
          <w:i w:val="0"/>
          <w:iCs w:val="0"/>
          <w:color w:val="auto"/>
          <w:sz w:val="24"/>
          <w:szCs w:val="24"/>
          <w:highlight w:val="none"/>
        </w:rPr>
        <w:t>300</w:t>
      </w:r>
      <w:r>
        <w:rPr>
          <w:rFonts w:hint="eastAsia" w:ascii="宋体" w:hAnsi="宋体"/>
          <w:bCs/>
          <w:i w:val="0"/>
          <w:iCs w:val="0"/>
          <w:color w:val="auto"/>
          <w:sz w:val="24"/>
          <w:szCs w:val="24"/>
          <w:highlight w:val="none"/>
        </w:rPr>
        <w:t>号）。</w:t>
      </w:r>
    </w:p>
    <w:p w14:paraId="63B65A6F">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7DE33C50">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8EADB3B">
      <w:pPr>
        <w:spacing w:line="500" w:lineRule="exact"/>
        <w:ind w:firstLine="480"/>
        <w:jc w:val="lef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4.残疾人福利单位、监狱企业属于小型、微型企业的，不重复享受政策。</w:t>
      </w:r>
    </w:p>
    <w:p w14:paraId="4AA81ACD">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5.如允许联合体投标的项目，且存在联合投标的</w:t>
      </w:r>
      <w:r>
        <w:rPr>
          <w:rFonts w:ascii="宋体" w:hAnsi="宋体"/>
          <w:bCs/>
          <w:i w:val="0"/>
          <w:iCs w:val="0"/>
          <w:color w:val="auto"/>
          <w:sz w:val="24"/>
          <w:szCs w:val="24"/>
          <w:highlight w:val="none"/>
        </w:rPr>
        <w:t>，联合协议中约定，小型、微型企业（</w:t>
      </w:r>
      <w:r>
        <w:rPr>
          <w:rFonts w:hint="eastAsia" w:ascii="宋体" w:hAnsi="宋体"/>
          <w:bCs/>
          <w:i w:val="0"/>
          <w:iCs w:val="0"/>
          <w:color w:val="auto"/>
          <w:sz w:val="24"/>
          <w:szCs w:val="24"/>
          <w:highlight w:val="none"/>
        </w:rPr>
        <w:t>监狱</w:t>
      </w:r>
      <w:r>
        <w:rPr>
          <w:rFonts w:ascii="宋体" w:hAnsi="宋体"/>
          <w:bCs/>
          <w:i w:val="0"/>
          <w:iCs w:val="0"/>
          <w:color w:val="auto"/>
          <w:sz w:val="24"/>
          <w:szCs w:val="24"/>
          <w:highlight w:val="none"/>
        </w:rPr>
        <w:t>企业、残疾人福利性单位视同小型、微型企业，下同）</w:t>
      </w:r>
      <w:r>
        <w:rPr>
          <w:rFonts w:hint="eastAsia" w:ascii="宋体" w:hAnsi="宋体"/>
          <w:bCs/>
          <w:i w:val="0"/>
          <w:iCs w:val="0"/>
          <w:color w:val="auto"/>
          <w:sz w:val="24"/>
          <w:szCs w:val="24"/>
          <w:highlight w:val="none"/>
        </w:rPr>
        <w:t>的</w:t>
      </w:r>
      <w:r>
        <w:rPr>
          <w:rFonts w:ascii="宋体" w:hAnsi="宋体"/>
          <w:bCs/>
          <w:i w:val="0"/>
          <w:iCs w:val="0"/>
          <w:color w:val="auto"/>
          <w:sz w:val="24"/>
          <w:szCs w:val="24"/>
          <w:highlight w:val="none"/>
        </w:rPr>
        <w:t>协议</w:t>
      </w:r>
      <w:r>
        <w:rPr>
          <w:rFonts w:hint="eastAsia" w:ascii="宋体" w:hAnsi="宋体"/>
          <w:bCs/>
          <w:i w:val="0"/>
          <w:iCs w:val="0"/>
          <w:color w:val="auto"/>
          <w:sz w:val="24"/>
          <w:szCs w:val="24"/>
          <w:highlight w:val="none"/>
        </w:rPr>
        <w:t>合同</w:t>
      </w:r>
      <w:r>
        <w:rPr>
          <w:rFonts w:ascii="宋体" w:hAnsi="宋体"/>
          <w:bCs/>
          <w:i w:val="0"/>
          <w:iCs w:val="0"/>
          <w:color w:val="auto"/>
          <w:sz w:val="24"/>
          <w:szCs w:val="24"/>
          <w:highlight w:val="none"/>
        </w:rPr>
        <w:t>金额占到联合体协议合同总金额</w:t>
      </w:r>
      <w:r>
        <w:rPr>
          <w:rFonts w:hint="eastAsia" w:ascii="宋体" w:hAnsi="宋体"/>
          <w:bCs/>
          <w:i w:val="0"/>
          <w:iCs w:val="0"/>
          <w:color w:val="auto"/>
          <w:sz w:val="24"/>
          <w:szCs w:val="24"/>
          <w:highlight w:val="none"/>
        </w:rPr>
        <w:t>30</w:t>
      </w:r>
      <w:r>
        <w:rPr>
          <w:rFonts w:ascii="宋体" w:hAnsi="宋体"/>
          <w:bCs/>
          <w:i w:val="0"/>
          <w:iCs w:val="0"/>
          <w:color w:val="auto"/>
          <w:sz w:val="24"/>
          <w:szCs w:val="24"/>
          <w:highlight w:val="none"/>
        </w:rPr>
        <w:t>%以上的，可给予联合体</w:t>
      </w:r>
      <w:r>
        <w:rPr>
          <w:rFonts w:hint="eastAsia" w:ascii="宋体" w:hAnsi="宋体"/>
          <w:bCs/>
          <w:i w:val="0"/>
          <w:iCs w:val="0"/>
          <w:color w:val="auto"/>
          <w:sz w:val="24"/>
          <w:szCs w:val="24"/>
          <w:highlight w:val="none"/>
        </w:rPr>
        <w:t>4</w:t>
      </w:r>
      <w:r>
        <w:rPr>
          <w:rFonts w:ascii="宋体" w:hAnsi="宋体"/>
          <w:bCs/>
          <w:i w:val="0"/>
          <w:iCs w:val="0"/>
          <w:color w:val="auto"/>
          <w:sz w:val="24"/>
          <w:szCs w:val="24"/>
          <w:highlight w:val="none"/>
        </w:rPr>
        <w:t>%的价格扣除，</w:t>
      </w:r>
      <w:r>
        <w:rPr>
          <w:rFonts w:hint="eastAsia" w:ascii="宋体" w:hAnsi="宋体"/>
          <w:bCs/>
          <w:i w:val="0"/>
          <w:iCs w:val="0"/>
          <w:color w:val="auto"/>
          <w:sz w:val="24"/>
          <w:szCs w:val="24"/>
          <w:highlight w:val="none"/>
        </w:rPr>
        <w:t>用扣除后的价格参与评审。投标人须在《联合</w:t>
      </w:r>
      <w:r>
        <w:rPr>
          <w:rFonts w:ascii="宋体" w:hAnsi="宋体"/>
          <w:bCs/>
          <w:i w:val="0"/>
          <w:iCs w:val="0"/>
          <w:color w:val="auto"/>
          <w:sz w:val="24"/>
          <w:szCs w:val="24"/>
          <w:highlight w:val="none"/>
        </w:rPr>
        <w:t>体各方共同</w:t>
      </w:r>
      <w:r>
        <w:rPr>
          <w:rFonts w:hint="eastAsia" w:ascii="宋体" w:hAnsi="宋体"/>
          <w:bCs/>
          <w:i w:val="0"/>
          <w:iCs w:val="0"/>
          <w:color w:val="auto"/>
          <w:sz w:val="24"/>
          <w:szCs w:val="24"/>
          <w:highlight w:val="none"/>
        </w:rPr>
        <w:t>投标</w:t>
      </w:r>
      <w:r>
        <w:rPr>
          <w:rFonts w:ascii="宋体" w:hAnsi="宋体"/>
          <w:bCs/>
          <w:i w:val="0"/>
          <w:iCs w:val="0"/>
          <w:color w:val="auto"/>
          <w:sz w:val="24"/>
          <w:szCs w:val="24"/>
          <w:highlight w:val="none"/>
        </w:rPr>
        <w:t>协议</w:t>
      </w:r>
      <w:r>
        <w:rPr>
          <w:rFonts w:hint="eastAsia" w:ascii="宋体" w:hAnsi="宋体"/>
          <w:bCs/>
          <w:i w:val="0"/>
          <w:iCs w:val="0"/>
          <w:color w:val="auto"/>
          <w:sz w:val="24"/>
          <w:szCs w:val="24"/>
          <w:highlight w:val="none"/>
        </w:rPr>
        <w:t>》中明确，否则不得享受价格扣除。</w:t>
      </w:r>
    </w:p>
    <w:p w14:paraId="60AE246F">
      <w:pPr>
        <w:spacing w:line="500" w:lineRule="exact"/>
        <w:ind w:firstLine="480"/>
        <w:jc w:val="lef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联合体</w:t>
      </w:r>
      <w:r>
        <w:rPr>
          <w:rFonts w:ascii="宋体" w:hAnsi="宋体"/>
          <w:bCs/>
          <w:i w:val="0"/>
          <w:iCs w:val="0"/>
          <w:color w:val="auto"/>
          <w:sz w:val="24"/>
          <w:szCs w:val="24"/>
          <w:highlight w:val="none"/>
        </w:rPr>
        <w:t>各方均为小型、微型企业的，联合体视同为小型、微型企业按规定享受价格扣除</w:t>
      </w:r>
      <w:r>
        <w:rPr>
          <w:rFonts w:hint="eastAsia" w:ascii="宋体" w:hAnsi="宋体"/>
          <w:bCs/>
          <w:i w:val="0"/>
          <w:iCs w:val="0"/>
          <w:color w:val="auto"/>
          <w:sz w:val="24"/>
          <w:szCs w:val="24"/>
          <w:highlight w:val="none"/>
        </w:rPr>
        <w:t>。</w:t>
      </w:r>
    </w:p>
    <w:p w14:paraId="7571F080">
      <w:pPr>
        <w:spacing w:line="500" w:lineRule="exact"/>
        <w:ind w:firstLine="480"/>
        <w:jc w:val="left"/>
        <w:rPr>
          <w:i w:val="0"/>
          <w:iCs w:val="0"/>
          <w:color w:val="auto"/>
          <w:highlight w:val="none"/>
        </w:rPr>
      </w:pPr>
      <w:r>
        <w:rPr>
          <w:rFonts w:hint="eastAsia" w:ascii="宋体" w:hAnsi="宋体"/>
          <w:bCs/>
          <w:i w:val="0"/>
          <w:iCs w:val="0"/>
          <w:color w:val="auto"/>
          <w:sz w:val="24"/>
          <w:szCs w:val="24"/>
          <w:highlight w:val="none"/>
        </w:rPr>
        <w:t>组成联合体的小微企业与联合体内其他企业之间存在直接控股、管理关系的，不享受价格扣除。组成</w:t>
      </w:r>
      <w:r>
        <w:rPr>
          <w:rFonts w:ascii="宋体" w:hAnsi="宋体"/>
          <w:bCs/>
          <w:i w:val="0"/>
          <w:iCs w:val="0"/>
          <w:color w:val="auto"/>
          <w:sz w:val="24"/>
          <w:szCs w:val="24"/>
          <w:highlight w:val="none"/>
        </w:rPr>
        <w:t>联合体的法人与参加联合体的小型、微型企业之间存在投资关系的，不得享受价格扣除</w:t>
      </w:r>
      <w:r>
        <w:rPr>
          <w:rFonts w:hint="eastAsia" w:ascii="宋体" w:hAnsi="宋体"/>
          <w:bCs/>
          <w:i w:val="0"/>
          <w:iCs w:val="0"/>
          <w:color w:val="auto"/>
          <w:sz w:val="24"/>
          <w:szCs w:val="24"/>
          <w:highlight w:val="none"/>
        </w:rPr>
        <w:t>。投标人</w:t>
      </w:r>
      <w:r>
        <w:rPr>
          <w:rFonts w:ascii="宋体" w:hAnsi="宋体"/>
          <w:bCs/>
          <w:i w:val="0"/>
          <w:iCs w:val="0"/>
          <w:color w:val="auto"/>
          <w:sz w:val="24"/>
          <w:szCs w:val="24"/>
          <w:highlight w:val="none"/>
        </w:rPr>
        <w:t>须在</w:t>
      </w:r>
      <w:r>
        <w:rPr>
          <w:rFonts w:hint="eastAsia" w:ascii="宋体" w:hAnsi="宋体"/>
          <w:bCs/>
          <w:i w:val="0"/>
          <w:iCs w:val="0"/>
          <w:color w:val="auto"/>
          <w:sz w:val="24"/>
          <w:szCs w:val="24"/>
          <w:highlight w:val="none"/>
        </w:rPr>
        <w:t>《联合</w:t>
      </w:r>
      <w:r>
        <w:rPr>
          <w:rFonts w:ascii="宋体" w:hAnsi="宋体"/>
          <w:bCs/>
          <w:i w:val="0"/>
          <w:iCs w:val="0"/>
          <w:color w:val="auto"/>
          <w:sz w:val="24"/>
          <w:szCs w:val="24"/>
          <w:highlight w:val="none"/>
        </w:rPr>
        <w:t>体各方共同</w:t>
      </w:r>
      <w:r>
        <w:rPr>
          <w:rFonts w:hint="eastAsia" w:ascii="宋体" w:hAnsi="宋体"/>
          <w:bCs/>
          <w:i w:val="0"/>
          <w:iCs w:val="0"/>
          <w:color w:val="auto"/>
          <w:sz w:val="24"/>
          <w:szCs w:val="24"/>
          <w:highlight w:val="none"/>
        </w:rPr>
        <w:t>投标</w:t>
      </w:r>
      <w:r>
        <w:rPr>
          <w:rFonts w:ascii="宋体" w:hAnsi="宋体"/>
          <w:bCs/>
          <w:i w:val="0"/>
          <w:iCs w:val="0"/>
          <w:color w:val="auto"/>
          <w:sz w:val="24"/>
          <w:szCs w:val="24"/>
          <w:highlight w:val="none"/>
        </w:rPr>
        <w:t>协议</w:t>
      </w:r>
      <w:r>
        <w:rPr>
          <w:rFonts w:hint="eastAsia" w:ascii="宋体" w:hAnsi="宋体"/>
          <w:bCs/>
          <w:i w:val="0"/>
          <w:iCs w:val="0"/>
          <w:color w:val="auto"/>
          <w:sz w:val="24"/>
          <w:szCs w:val="24"/>
          <w:highlight w:val="none"/>
        </w:rPr>
        <w:t>》中</w:t>
      </w:r>
      <w:r>
        <w:rPr>
          <w:rFonts w:ascii="宋体" w:hAnsi="宋体"/>
          <w:bCs/>
          <w:i w:val="0"/>
          <w:iCs w:val="0"/>
          <w:color w:val="auto"/>
          <w:sz w:val="24"/>
          <w:szCs w:val="24"/>
          <w:highlight w:val="none"/>
        </w:rPr>
        <w:t>明确联合体各方是否存在</w:t>
      </w:r>
      <w:r>
        <w:rPr>
          <w:rFonts w:hint="eastAsia" w:ascii="宋体" w:hAnsi="宋体"/>
          <w:bCs/>
          <w:i w:val="0"/>
          <w:iCs w:val="0"/>
          <w:color w:val="auto"/>
          <w:sz w:val="24"/>
          <w:szCs w:val="24"/>
          <w:highlight w:val="none"/>
        </w:rPr>
        <w:t>上述</w:t>
      </w:r>
      <w:r>
        <w:rPr>
          <w:rFonts w:ascii="宋体" w:hAnsi="宋体"/>
          <w:bCs/>
          <w:i w:val="0"/>
          <w:iCs w:val="0"/>
          <w:color w:val="auto"/>
          <w:sz w:val="24"/>
          <w:szCs w:val="24"/>
          <w:highlight w:val="none"/>
        </w:rPr>
        <w:t>关系，如未进行明确的亦不得享受价格扣除</w:t>
      </w:r>
      <w:r>
        <w:rPr>
          <w:rFonts w:hint="eastAsia" w:ascii="宋体" w:hAnsi="宋体"/>
          <w:bCs/>
          <w:i w:val="0"/>
          <w:iCs w:val="0"/>
          <w:color w:val="auto"/>
          <w:sz w:val="24"/>
          <w:szCs w:val="24"/>
          <w:highlight w:val="none"/>
        </w:rPr>
        <w:t>。</w:t>
      </w:r>
    </w:p>
    <w:p w14:paraId="3717690D">
      <w:pPr>
        <w:keepNext w:val="0"/>
        <w:keepLines w:val="0"/>
        <w:pageBreakBefore w:val="0"/>
        <w:widowControl w:val="0"/>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
          <w:bCs/>
          <w:color w:val="auto"/>
          <w:sz w:val="24"/>
          <w:szCs w:val="24"/>
          <w:highlight w:val="none"/>
          <w:shd w:val="clear" w:color="auto" w:fill="auto"/>
        </w:rPr>
        <w:t>对本国产品的支持政策：根据</w:t>
      </w:r>
      <w:r>
        <w:rPr>
          <w:rFonts w:hint="eastAsia" w:ascii="宋体"/>
          <w:b/>
          <w:bCs/>
          <w:color w:val="auto"/>
          <w:sz w:val="24"/>
          <w:szCs w:val="24"/>
          <w:highlight w:val="none"/>
          <w:shd w:val="clear" w:color="auto" w:fill="auto"/>
        </w:rPr>
        <w:t>《国务院办公厅关于在政府采购中实施本国产品标准及相关政策的通知》（国办发〔2025〕34号）要求，</w:t>
      </w:r>
      <w:r>
        <w:rPr>
          <w:rFonts w:hint="eastAsia" w:ascii="宋体" w:hAnsi="宋体"/>
          <w:b/>
          <w:bCs/>
          <w:color w:val="auto"/>
          <w:sz w:val="24"/>
          <w:szCs w:val="24"/>
          <w:highlight w:val="none"/>
          <w:shd w:val="clear" w:color="auto" w:fill="auto"/>
        </w:rPr>
        <w:t>本项目对采购本国产品</w:t>
      </w:r>
      <w:r>
        <w:rPr>
          <w:rFonts w:hint="eastAsia" w:ascii="宋体" w:hAnsi="宋体"/>
          <w:b/>
          <w:bCs/>
          <w:color w:val="auto"/>
          <w:sz w:val="24"/>
          <w:szCs w:val="24"/>
          <w:highlight w:val="none"/>
          <w:shd w:val="clear" w:color="auto" w:fill="auto"/>
          <w:lang w:eastAsia="zh-CN"/>
        </w:rPr>
        <w:t>给予</w:t>
      </w:r>
      <w:r>
        <w:rPr>
          <w:rFonts w:hint="eastAsia" w:ascii="宋体" w:hAnsi="宋体"/>
          <w:b/>
          <w:bCs/>
          <w:color w:val="auto"/>
          <w:sz w:val="24"/>
          <w:szCs w:val="24"/>
          <w:highlight w:val="none"/>
          <w:shd w:val="clear" w:color="auto" w:fill="auto"/>
        </w:rPr>
        <w:t>政策支持。关于本国产品标准和本国产品标准的适用范围详见《国务院办公厅关于在政府采购中实施本国产品标准及相关政策的通知》（国办发〔2025〕34号）。</w:t>
      </w:r>
    </w:p>
    <w:p w14:paraId="3833234A">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6</w:t>
      </w:r>
      <w:r>
        <w:rPr>
          <w:rFonts w:hint="eastAsia" w:ascii="宋体" w:hAnsi="宋体"/>
          <w:bCs/>
          <w:color w:val="auto"/>
          <w:sz w:val="24"/>
          <w:szCs w:val="24"/>
          <w:highlight w:val="none"/>
          <w:shd w:val="clear" w:color="auto" w:fill="auto"/>
        </w:rPr>
        <w:t>.1本国产品价格扣除政策</w:t>
      </w:r>
    </w:p>
    <w:p w14:paraId="61A12565">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1C621EB5">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12E9CF6E">
      <w:pPr>
        <w:spacing w:line="500" w:lineRule="exact"/>
        <w:ind w:firstLine="482"/>
        <w:jc w:val="left"/>
        <w:rPr>
          <w:rFonts w:hint="eastAsia" w:ascii="宋体" w:hAnsi="宋体"/>
          <w:b/>
          <w:bCs/>
          <w:color w:val="auto"/>
          <w:sz w:val="24"/>
          <w:szCs w:val="24"/>
          <w:highlight w:val="none"/>
          <w:shd w:val="clear" w:color="auto" w:fill="auto"/>
        </w:rPr>
      </w:pPr>
      <w:r>
        <w:rPr>
          <w:rFonts w:hint="eastAsia" w:ascii="宋体" w:hAnsi="宋体"/>
          <w:b/>
          <w:bCs/>
          <w:color w:val="auto"/>
          <w:sz w:val="24"/>
          <w:szCs w:val="24"/>
          <w:highlight w:val="none"/>
          <w:shd w:val="clear" w:color="auto" w:fill="auto"/>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shd w:val="clear" w:color="auto" w:fill="auto"/>
        </w:rPr>
        <w:t>对于仅有本国产品参与竞争的政府采购项目或采购包，本国产品不享受价格扣除评审优惠。</w:t>
      </w:r>
    </w:p>
    <w:p w14:paraId="0FD55201">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6</w:t>
      </w:r>
      <w:r>
        <w:rPr>
          <w:rFonts w:hint="eastAsia" w:ascii="宋体" w:hAnsi="宋体"/>
          <w:bCs/>
          <w:color w:val="auto"/>
          <w:sz w:val="24"/>
          <w:szCs w:val="24"/>
          <w:highlight w:val="none"/>
          <w:shd w:val="clear" w:color="auto" w:fill="auto"/>
        </w:rPr>
        <w:t>.2注意事项</w:t>
      </w:r>
    </w:p>
    <w:p w14:paraId="6CB57A62">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150657AF">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11A5869B">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62BC2EE8">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其中，“符合本国产品标准的产品成本之和”是指本项目或采购包中符合本国产品标准的</w:t>
      </w:r>
      <w:r>
        <w:rPr>
          <w:rFonts w:hint="eastAsia" w:ascii="宋体" w:hAnsi="宋体"/>
          <w:b/>
          <w:bCs/>
          <w:color w:val="auto"/>
          <w:sz w:val="24"/>
          <w:szCs w:val="24"/>
          <w:highlight w:val="none"/>
          <w:shd w:val="clear" w:color="auto" w:fill="auto"/>
        </w:rPr>
        <w:t>货物成本之和</w:t>
      </w:r>
      <w:r>
        <w:rPr>
          <w:rFonts w:hint="eastAsia" w:ascii="宋体" w:hAnsi="宋体"/>
          <w:bCs/>
          <w:color w:val="auto"/>
          <w:sz w:val="24"/>
          <w:szCs w:val="24"/>
          <w:highlight w:val="none"/>
          <w:shd w:val="clear" w:color="auto" w:fill="auto"/>
        </w:rPr>
        <w:t>；“全部产品成本之和”是指货物或服务项目（或者采购包）中包含的</w:t>
      </w:r>
      <w:r>
        <w:rPr>
          <w:rFonts w:hint="eastAsia" w:ascii="宋体" w:hAnsi="宋体"/>
          <w:b/>
          <w:bCs/>
          <w:color w:val="auto"/>
          <w:sz w:val="24"/>
          <w:szCs w:val="24"/>
          <w:highlight w:val="none"/>
          <w:shd w:val="clear" w:color="auto" w:fill="auto"/>
        </w:rPr>
        <w:t>全部货物、服务产品的成本之和</w:t>
      </w:r>
      <w:r>
        <w:rPr>
          <w:rFonts w:hint="eastAsia" w:ascii="宋体" w:hAnsi="宋体"/>
          <w:bCs/>
          <w:color w:val="auto"/>
          <w:sz w:val="24"/>
          <w:szCs w:val="24"/>
          <w:highlight w:val="none"/>
          <w:shd w:val="clear" w:color="auto" w:fill="auto"/>
        </w:rPr>
        <w:t>。</w:t>
      </w:r>
    </w:p>
    <w:p w14:paraId="1192A9CF">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1C73AA9D">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即，当小微型企业价格扣除政策和本国产品价格扣除政策同时享受时，按以下计算方式进行计算：</w:t>
      </w:r>
    </w:p>
    <w:p w14:paraId="428D250B">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供应商参与评审的报价=供应商投标总报价×[1-（小微型企业价格扣除+本国产品价格扣除）]</w:t>
      </w:r>
    </w:p>
    <w:p w14:paraId="50C24097">
      <w:pPr>
        <w:spacing w:line="500" w:lineRule="exact"/>
        <w:ind w:firstLine="480"/>
        <w:jc w:val="left"/>
        <w:rPr>
          <w:rFonts w:hint="eastAsia" w:ascii="宋体" w:hAnsi="宋体"/>
          <w:bCs/>
          <w:color w:val="auto"/>
          <w:sz w:val="24"/>
          <w:szCs w:val="24"/>
          <w:highlight w:val="none"/>
          <w:shd w:val="clear" w:color="auto" w:fill="auto"/>
        </w:rPr>
      </w:pPr>
      <w:r>
        <w:rPr>
          <w:rFonts w:hint="eastAsia" w:ascii="宋体" w:hAnsi="宋体"/>
          <w:bCs/>
          <w:color w:val="auto"/>
          <w:sz w:val="24"/>
          <w:szCs w:val="24"/>
          <w:highlight w:val="none"/>
          <w:shd w:val="clear" w:color="auto" w:fill="auto"/>
        </w:rPr>
        <w:t>例如，供应商总报价1000000元，经认定可以享受小微型企业价格扣除政策以及本国产品价格扣除政策的，则该供应商参与评审的报价为：</w:t>
      </w:r>
    </w:p>
    <w:p w14:paraId="2BD1FA11">
      <w:pPr>
        <w:spacing w:line="500" w:lineRule="exact"/>
        <w:ind w:firstLine="480"/>
        <w:jc w:val="left"/>
        <w:rPr>
          <w:color w:val="auto"/>
          <w:highlight w:val="none"/>
          <w:shd w:val="clear" w:color="auto" w:fill="auto"/>
        </w:rPr>
      </w:pPr>
      <w:r>
        <w:rPr>
          <w:rFonts w:hint="eastAsia" w:ascii="宋体" w:hAnsi="宋体"/>
          <w:bCs/>
          <w:color w:val="auto"/>
          <w:sz w:val="24"/>
          <w:szCs w:val="24"/>
          <w:highlight w:val="none"/>
          <w:shd w:val="clear" w:color="auto" w:fill="auto"/>
        </w:rPr>
        <w:t>1000000×[1-（10%+20%）]=700000元</w:t>
      </w:r>
    </w:p>
    <w:p w14:paraId="7FC3D8C4">
      <w:pPr>
        <w:jc w:val="left"/>
        <w:rPr>
          <w:rFonts w:hint="eastAsia" w:ascii="黑体" w:eastAsia="黑体"/>
          <w:bCs/>
          <w:i w:val="0"/>
          <w:iCs w:val="0"/>
          <w:color w:val="auto"/>
          <w:sz w:val="24"/>
          <w:szCs w:val="24"/>
          <w:highlight w:val="none"/>
        </w:rPr>
      </w:pPr>
    </w:p>
    <w:p w14:paraId="040907A4">
      <w:pPr>
        <w:jc w:val="left"/>
        <w:rPr>
          <w:rFonts w:hint="eastAsia" w:ascii="黑体" w:eastAsia="黑体"/>
          <w:bCs/>
          <w:i w:val="0"/>
          <w:iCs w:val="0"/>
          <w:color w:val="auto"/>
          <w:sz w:val="24"/>
          <w:szCs w:val="24"/>
          <w:highlight w:val="none"/>
        </w:rPr>
      </w:pPr>
    </w:p>
    <w:p w14:paraId="200B907A">
      <w:pPr>
        <w:jc w:val="left"/>
        <w:rPr>
          <w:rFonts w:hint="eastAsia" w:ascii="黑体" w:eastAsia="黑体"/>
          <w:bCs/>
          <w:i w:val="0"/>
          <w:iCs w:val="0"/>
          <w:color w:val="auto"/>
          <w:sz w:val="24"/>
          <w:szCs w:val="24"/>
          <w:highlight w:val="none"/>
        </w:rPr>
      </w:pPr>
    </w:p>
    <w:p w14:paraId="739F78AF">
      <w:pPr>
        <w:jc w:val="left"/>
        <w:rPr>
          <w:rFonts w:hint="eastAsia" w:ascii="黑体" w:eastAsia="黑体"/>
          <w:bCs/>
          <w:i w:val="0"/>
          <w:iCs w:val="0"/>
          <w:color w:val="auto"/>
          <w:sz w:val="24"/>
          <w:szCs w:val="24"/>
          <w:highlight w:val="none"/>
        </w:rPr>
      </w:pPr>
    </w:p>
    <w:p w14:paraId="32C8BF5B">
      <w:pPr>
        <w:jc w:val="left"/>
        <w:rPr>
          <w:rFonts w:hint="eastAsia" w:ascii="黑体" w:eastAsia="黑体"/>
          <w:bCs/>
          <w:i w:val="0"/>
          <w:iCs w:val="0"/>
          <w:color w:val="auto"/>
          <w:sz w:val="24"/>
          <w:szCs w:val="24"/>
          <w:highlight w:val="none"/>
        </w:rPr>
      </w:pPr>
    </w:p>
    <w:p w14:paraId="27244127">
      <w:pPr>
        <w:jc w:val="left"/>
        <w:rPr>
          <w:rFonts w:hint="eastAsia" w:ascii="黑体" w:eastAsia="黑体"/>
          <w:bCs/>
          <w:i w:val="0"/>
          <w:iCs w:val="0"/>
          <w:color w:val="auto"/>
          <w:sz w:val="24"/>
          <w:szCs w:val="24"/>
          <w:highlight w:val="none"/>
        </w:rPr>
      </w:pPr>
    </w:p>
    <w:p w14:paraId="00B2695C">
      <w:pPr>
        <w:jc w:val="left"/>
        <w:rPr>
          <w:rFonts w:hint="eastAsia" w:ascii="黑体" w:eastAsia="黑体"/>
          <w:bCs/>
          <w:i w:val="0"/>
          <w:iCs w:val="0"/>
          <w:color w:val="auto"/>
          <w:sz w:val="24"/>
          <w:szCs w:val="24"/>
          <w:highlight w:val="none"/>
        </w:rPr>
      </w:pPr>
    </w:p>
    <w:p w14:paraId="03740ECA">
      <w:pPr>
        <w:jc w:val="left"/>
        <w:rPr>
          <w:rFonts w:hint="eastAsia" w:ascii="黑体" w:eastAsia="黑体"/>
          <w:bCs/>
          <w:i w:val="0"/>
          <w:iCs w:val="0"/>
          <w:color w:val="auto"/>
          <w:sz w:val="24"/>
          <w:szCs w:val="24"/>
          <w:highlight w:val="none"/>
        </w:rPr>
      </w:pPr>
    </w:p>
    <w:p w14:paraId="0F1B035A">
      <w:pPr>
        <w:jc w:val="left"/>
        <w:rPr>
          <w:rFonts w:hint="eastAsia" w:ascii="黑体" w:eastAsia="黑体"/>
          <w:bCs/>
          <w:i w:val="0"/>
          <w:iCs w:val="0"/>
          <w:color w:val="auto"/>
          <w:sz w:val="24"/>
          <w:szCs w:val="24"/>
          <w:highlight w:val="none"/>
        </w:rPr>
      </w:pPr>
    </w:p>
    <w:p w14:paraId="2F2319C8">
      <w:pPr>
        <w:jc w:val="left"/>
        <w:rPr>
          <w:rFonts w:hint="eastAsia" w:ascii="黑体" w:eastAsia="黑体"/>
          <w:bCs/>
          <w:i w:val="0"/>
          <w:iCs w:val="0"/>
          <w:color w:val="auto"/>
          <w:sz w:val="24"/>
          <w:szCs w:val="24"/>
          <w:highlight w:val="none"/>
        </w:rPr>
      </w:pPr>
    </w:p>
    <w:p w14:paraId="166F7B08">
      <w:pPr>
        <w:jc w:val="left"/>
        <w:rPr>
          <w:rFonts w:hint="eastAsia" w:ascii="黑体" w:eastAsia="黑体"/>
          <w:bCs/>
          <w:i w:val="0"/>
          <w:iCs w:val="0"/>
          <w:color w:val="auto"/>
          <w:sz w:val="24"/>
          <w:szCs w:val="24"/>
          <w:highlight w:val="none"/>
        </w:rPr>
      </w:pPr>
    </w:p>
    <w:p w14:paraId="35E3F31A">
      <w:pPr>
        <w:jc w:val="left"/>
        <w:rPr>
          <w:rFonts w:hint="eastAsia" w:ascii="黑体" w:eastAsia="黑体"/>
          <w:bCs/>
          <w:i w:val="0"/>
          <w:iCs w:val="0"/>
          <w:color w:val="auto"/>
          <w:sz w:val="24"/>
          <w:szCs w:val="24"/>
          <w:highlight w:val="none"/>
        </w:rPr>
      </w:pPr>
    </w:p>
    <w:p w14:paraId="17858D81">
      <w:pPr>
        <w:pStyle w:val="364"/>
        <w:keepNext w:val="0"/>
        <w:keepLines w:val="0"/>
        <w:pageBreakBefore w:val="0"/>
        <w:widowControl w:val="0"/>
        <w:spacing w:before="0" w:after="0" w:line="500" w:lineRule="exact"/>
        <w:ind w:left="0" w:firstLine="360"/>
        <w:rPr>
          <w:rFonts w:hint="eastAsia" w:ascii="宋体" w:hAnsi="宋体"/>
          <w:i w:val="0"/>
          <w:iCs w:val="0"/>
          <w:color w:val="auto"/>
          <w:highlight w:val="none"/>
          <w:shd w:val="clear" w:color="FFFFFF" w:fill="D9D9D9"/>
        </w:rPr>
      </w:pPr>
      <w:r>
        <w:rPr>
          <w:rFonts w:hint="eastAsia" w:ascii="宋体" w:hAnsi="宋体"/>
          <w:b/>
          <w:i w:val="0"/>
          <w:iCs w:val="0"/>
          <w:color w:val="auto"/>
          <w:sz w:val="28"/>
          <w:szCs w:val="28"/>
          <w:highlight w:val="none"/>
        </w:rPr>
        <w:t>二、评分标准</w:t>
      </w:r>
    </w:p>
    <w:p w14:paraId="2BF8C71A">
      <w:pPr>
        <w:keepNext w:val="0"/>
        <w:keepLines w:val="0"/>
        <w:pageBreakBefore w:val="0"/>
        <w:widowControl w:val="0"/>
        <w:tabs>
          <w:tab w:val="left" w:pos="945"/>
          <w:tab w:val="left" w:pos="1155"/>
        </w:tabs>
        <w:spacing w:line="500" w:lineRule="exact"/>
        <w:ind w:left="0" w:firstLine="480"/>
        <w:rPr>
          <w:rFonts w:ascii="宋体" w:hAnsi="宋体"/>
          <w:b/>
          <w:bCs/>
          <w:i w:val="0"/>
          <w:iCs w:val="0"/>
          <w:color w:val="auto"/>
          <w:sz w:val="24"/>
          <w:szCs w:val="24"/>
          <w:highlight w:val="none"/>
        </w:rPr>
      </w:pPr>
      <w:r>
        <w:rPr>
          <w:rFonts w:hint="eastAsia" w:ascii="宋体" w:hAnsi="宋体"/>
          <w:b/>
          <w:bCs/>
          <w:i w:val="0"/>
          <w:iCs w:val="0"/>
          <w:color w:val="auto"/>
          <w:sz w:val="24"/>
          <w:szCs w:val="24"/>
          <w:highlight w:val="none"/>
          <w:lang w:eastAsia="zh-CN"/>
        </w:rPr>
        <w:t>（一）</w:t>
      </w:r>
      <w:r>
        <w:rPr>
          <w:rFonts w:hint="eastAsia" w:ascii="宋体" w:hAnsi="宋体"/>
          <w:b/>
          <w:bCs/>
          <w:i w:val="0"/>
          <w:iCs w:val="0"/>
          <w:color w:val="auto"/>
          <w:sz w:val="24"/>
          <w:szCs w:val="24"/>
          <w:highlight w:val="none"/>
        </w:rPr>
        <w:t>价格（</w:t>
      </w:r>
      <w:r>
        <w:rPr>
          <w:rFonts w:hint="eastAsia" w:ascii="宋体" w:hAnsi="宋体"/>
          <w:b/>
          <w:bCs/>
          <w:i w:val="0"/>
          <w:iCs w:val="0"/>
          <w:color w:val="auto"/>
          <w:sz w:val="24"/>
          <w:szCs w:val="24"/>
          <w:highlight w:val="none"/>
          <w:lang w:val="en-US" w:eastAsia="zh-CN"/>
        </w:rPr>
        <w:t>35</w:t>
      </w:r>
      <w:r>
        <w:rPr>
          <w:rFonts w:hint="eastAsia" w:ascii="宋体" w:hAnsi="宋体"/>
          <w:b/>
          <w:bCs/>
          <w:i w:val="0"/>
          <w:iCs w:val="0"/>
          <w:color w:val="auto"/>
          <w:sz w:val="24"/>
          <w:szCs w:val="24"/>
          <w:highlight w:val="none"/>
        </w:rPr>
        <w:t>分）</w:t>
      </w:r>
    </w:p>
    <w:p w14:paraId="16DE20D2">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采用低价优先法计算，即满足招标文件要求且投标价格最低的投标报价为评标基准价，其价格分为满分。其他投标人的价格分统一按照下列公式计算：</w:t>
      </w:r>
    </w:p>
    <w:p w14:paraId="7BF0F828">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投标报价得分=(评标基准价／投标报价)×价格权值×100。</w:t>
      </w:r>
    </w:p>
    <w:p w14:paraId="7694D8D9">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关于价格扣除详见本章第二部分“一、落实政府采购政策的价格调整”。</w:t>
      </w:r>
    </w:p>
    <w:p w14:paraId="2B402979">
      <w:pPr>
        <w:keepNext w:val="0"/>
        <w:keepLines w:val="0"/>
        <w:pageBreakBefore w:val="0"/>
        <w:tabs>
          <w:tab w:val="left" w:pos="840"/>
          <w:tab w:val="left" w:pos="1050"/>
        </w:tabs>
        <w:kinsoku/>
        <w:wordWrap/>
        <w:overflowPunct/>
        <w:topLinePunct w:val="0"/>
        <w:autoSpaceDE/>
        <w:autoSpaceDN/>
        <w:bidi w:val="0"/>
        <w:adjustRightInd/>
        <w:snapToGrid/>
        <w:spacing w:line="360" w:lineRule="auto"/>
        <w:ind w:firstLine="480"/>
        <w:textAlignment w:val="auto"/>
        <w:rPr>
          <w:rFonts w:hint="eastAsia" w:ascii="宋体" w:hAnsi="宋体" w:cs="宋体"/>
          <w:b/>
          <w:bCs/>
          <w:color w:val="auto"/>
          <w:sz w:val="24"/>
        </w:rPr>
      </w:pPr>
      <w:r>
        <w:rPr>
          <w:rFonts w:hint="eastAsia" w:ascii="宋体" w:hAnsi="宋体" w:cs="宋体"/>
          <w:b/>
          <w:bCs/>
          <w:color w:val="auto"/>
          <w:sz w:val="24"/>
        </w:rPr>
        <w:t>（二）商务资信分（21分）</w:t>
      </w:r>
    </w:p>
    <w:p w14:paraId="5783D34F">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color w:val="auto"/>
          <w:sz w:val="24"/>
        </w:rPr>
      </w:pPr>
      <w:r>
        <w:rPr>
          <w:rFonts w:hint="eastAsia" w:ascii="宋体" w:hAnsi="宋体" w:cs="宋体"/>
          <w:b/>
          <w:bCs/>
          <w:color w:val="auto"/>
          <w:sz w:val="24"/>
        </w:rPr>
        <w:t>（1）类似业绩（3分）：</w:t>
      </w:r>
      <w:r>
        <w:rPr>
          <w:rFonts w:hint="eastAsia" w:ascii="宋体" w:hAnsi="宋体" w:cs="宋体"/>
          <w:color w:val="auto"/>
          <w:sz w:val="24"/>
        </w:rPr>
        <w:t>投标供应商自2023年1月1日（含）以来承担过类似供货业绩的，每提供1份有效业绩得1分，本项满分3分。投标文件中提供业绩合同或协议书关键页（至少需包含合同双方签署页及合同签署双方的完整信息）的原件扫描件，时间以合同签订时间为准，不提供或提供不符合要求不得分。</w:t>
      </w:r>
    </w:p>
    <w:p w14:paraId="774E5B0F">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color w:val="auto"/>
          <w:sz w:val="24"/>
        </w:rPr>
      </w:pPr>
      <w:r>
        <w:rPr>
          <w:rFonts w:hint="eastAsia" w:ascii="宋体" w:hAnsi="宋体" w:cs="宋体"/>
          <w:b/>
          <w:bCs/>
          <w:color w:val="auto"/>
          <w:sz w:val="24"/>
        </w:rPr>
        <w:t>（2）认证证书（3分）：</w:t>
      </w:r>
      <w:r>
        <w:rPr>
          <w:rFonts w:hint="eastAsia" w:ascii="宋体" w:hAnsi="宋体" w:cs="宋体"/>
          <w:color w:val="auto"/>
          <w:sz w:val="24"/>
        </w:rPr>
        <w:t>投标供应商具备有效的信息安全管理体系认证、信息技术服务管理体系认证、网络空间安全管理体系认证，每提供1份有效证书得1分，本项满分3分。投标文件中提供有效期内的认证证书原件扫描件，不提供或提供不符合要求不得分。</w:t>
      </w:r>
    </w:p>
    <w:p w14:paraId="783DB90B">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rPr>
        <w:t>（3）项目组人员配备（2分）：</w:t>
      </w:r>
    </w:p>
    <w:p w14:paraId="583718F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①</w:t>
      </w:r>
      <w:r>
        <w:rPr>
          <w:rFonts w:ascii="宋体" w:hAnsi="宋体" w:cs="宋体"/>
          <w:color w:val="auto"/>
          <w:sz w:val="24"/>
        </w:rPr>
        <w:t>项目</w:t>
      </w:r>
      <w:r>
        <w:rPr>
          <w:rFonts w:hint="eastAsia" w:ascii="宋体" w:hAnsi="宋体" w:cs="宋体"/>
          <w:color w:val="auto"/>
          <w:sz w:val="24"/>
        </w:rPr>
        <w:t>负责人</w:t>
      </w:r>
      <w:r>
        <w:rPr>
          <w:rFonts w:ascii="宋体" w:hAnsi="宋体" w:cs="宋体"/>
          <w:color w:val="auto"/>
          <w:sz w:val="24"/>
        </w:rPr>
        <w:t>（</w:t>
      </w:r>
      <w:r>
        <w:rPr>
          <w:rFonts w:hint="eastAsia" w:ascii="宋体" w:hAnsi="宋体" w:cs="宋体"/>
          <w:color w:val="auto"/>
          <w:sz w:val="24"/>
        </w:rPr>
        <w:t>1</w:t>
      </w:r>
      <w:r>
        <w:rPr>
          <w:rFonts w:ascii="宋体" w:hAnsi="宋体" w:cs="宋体"/>
          <w:color w:val="auto"/>
          <w:sz w:val="24"/>
        </w:rPr>
        <w:t>分）：</w:t>
      </w:r>
    </w:p>
    <w:p w14:paraId="028F46B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ascii="宋体" w:hAnsi="宋体" w:cs="宋体"/>
          <w:color w:val="auto"/>
          <w:sz w:val="24"/>
        </w:rPr>
        <w:t>投标供应商</w:t>
      </w:r>
      <w:r>
        <w:rPr>
          <w:rFonts w:hint="eastAsia" w:ascii="宋体" w:hAnsi="宋体" w:cs="宋体"/>
          <w:color w:val="auto"/>
          <w:sz w:val="24"/>
        </w:rPr>
        <w:t>拟派项目负责人</w:t>
      </w:r>
      <w:r>
        <w:rPr>
          <w:rFonts w:ascii="宋体" w:hAnsi="宋体" w:cs="宋体"/>
          <w:color w:val="auto"/>
          <w:sz w:val="24"/>
        </w:rPr>
        <w:t>具备高级工程师</w:t>
      </w:r>
      <w:r>
        <w:rPr>
          <w:rFonts w:hint="eastAsia" w:ascii="宋体" w:hAnsi="宋体" w:cs="宋体"/>
          <w:color w:val="auto"/>
          <w:sz w:val="24"/>
        </w:rPr>
        <w:t>及以上职称</w:t>
      </w:r>
      <w:r>
        <w:rPr>
          <w:rFonts w:ascii="宋体" w:hAnsi="宋体" w:cs="宋体"/>
          <w:color w:val="auto"/>
          <w:sz w:val="24"/>
        </w:rPr>
        <w:t>证书的得0.5分</w:t>
      </w:r>
      <w:r>
        <w:rPr>
          <w:rFonts w:hint="eastAsia" w:ascii="宋体" w:hAnsi="宋体" w:cs="宋体"/>
          <w:color w:val="auto"/>
          <w:sz w:val="24"/>
        </w:rPr>
        <w:t>；</w:t>
      </w:r>
      <w:r>
        <w:rPr>
          <w:rFonts w:ascii="宋体" w:hAnsi="宋体" w:cs="宋体"/>
          <w:color w:val="auto"/>
          <w:sz w:val="24"/>
        </w:rPr>
        <w:t>具备注册信息安全管理人员</w:t>
      </w:r>
      <w:r>
        <w:rPr>
          <w:rFonts w:hint="eastAsia" w:ascii="宋体" w:hAnsi="宋体" w:cs="宋体"/>
          <w:color w:val="auto"/>
          <w:sz w:val="24"/>
        </w:rPr>
        <w:t>（</w:t>
      </w:r>
      <w:r>
        <w:rPr>
          <w:rFonts w:ascii="宋体" w:hAnsi="宋体" w:cs="宋体"/>
          <w:color w:val="auto"/>
          <w:sz w:val="24"/>
        </w:rPr>
        <w:t>CIS</w:t>
      </w:r>
      <w:r>
        <w:rPr>
          <w:rFonts w:hint="eastAsia" w:ascii="宋体" w:hAnsi="宋体" w:cs="宋体"/>
          <w:color w:val="auto"/>
          <w:sz w:val="24"/>
        </w:rPr>
        <w:t>O）</w:t>
      </w:r>
      <w:r>
        <w:rPr>
          <w:rFonts w:ascii="宋体" w:hAnsi="宋体" w:cs="宋体"/>
          <w:color w:val="auto"/>
          <w:sz w:val="24"/>
        </w:rPr>
        <w:t>资质证书</w:t>
      </w:r>
      <w:r>
        <w:rPr>
          <w:rFonts w:hint="eastAsia" w:ascii="宋体" w:hAnsi="宋体" w:cs="宋体"/>
          <w:color w:val="auto"/>
          <w:sz w:val="24"/>
        </w:rPr>
        <w:t>的</w:t>
      </w:r>
      <w:r>
        <w:rPr>
          <w:rFonts w:ascii="宋体" w:hAnsi="宋体" w:cs="宋体"/>
          <w:color w:val="auto"/>
          <w:sz w:val="24"/>
        </w:rPr>
        <w:t>得0.5分</w:t>
      </w:r>
      <w:r>
        <w:rPr>
          <w:rFonts w:hint="eastAsia" w:ascii="宋体" w:hAnsi="宋体" w:cs="宋体"/>
          <w:color w:val="auto"/>
          <w:sz w:val="24"/>
        </w:rPr>
        <w:t>。本项满分1</w:t>
      </w:r>
      <w:r>
        <w:rPr>
          <w:rFonts w:ascii="宋体" w:hAnsi="宋体" w:cs="宋体"/>
          <w:color w:val="auto"/>
          <w:sz w:val="24"/>
        </w:rPr>
        <w:t>分。</w:t>
      </w:r>
    </w:p>
    <w:p w14:paraId="72D3B65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②</w:t>
      </w:r>
      <w:r>
        <w:rPr>
          <w:rFonts w:ascii="宋体" w:hAnsi="宋体" w:cs="宋体"/>
          <w:color w:val="auto"/>
          <w:sz w:val="24"/>
        </w:rPr>
        <w:t>技术负责人（</w:t>
      </w:r>
      <w:r>
        <w:rPr>
          <w:rFonts w:hint="eastAsia" w:ascii="宋体" w:hAnsi="宋体" w:cs="宋体"/>
          <w:color w:val="auto"/>
          <w:sz w:val="24"/>
        </w:rPr>
        <w:t>1</w:t>
      </w:r>
      <w:r>
        <w:rPr>
          <w:rFonts w:ascii="宋体" w:hAnsi="宋体" w:cs="宋体"/>
          <w:color w:val="auto"/>
          <w:sz w:val="24"/>
        </w:rPr>
        <w:t>分）：</w:t>
      </w:r>
    </w:p>
    <w:p w14:paraId="4442F32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ascii="宋体" w:hAnsi="宋体" w:cs="宋体"/>
          <w:color w:val="auto"/>
          <w:sz w:val="24"/>
        </w:rPr>
        <w:t>投标供应商</w:t>
      </w:r>
      <w:r>
        <w:rPr>
          <w:rFonts w:hint="eastAsia" w:ascii="宋体" w:hAnsi="宋体" w:cs="宋体"/>
          <w:color w:val="auto"/>
          <w:sz w:val="24"/>
        </w:rPr>
        <w:t>拟派</w:t>
      </w:r>
      <w:r>
        <w:rPr>
          <w:rFonts w:ascii="宋体" w:hAnsi="宋体" w:cs="宋体"/>
          <w:color w:val="auto"/>
          <w:sz w:val="24"/>
        </w:rPr>
        <w:t>技术负责人具备工程师</w:t>
      </w:r>
      <w:r>
        <w:rPr>
          <w:rFonts w:hint="eastAsia" w:ascii="宋体" w:hAnsi="宋体" w:cs="宋体"/>
          <w:color w:val="auto"/>
          <w:sz w:val="24"/>
        </w:rPr>
        <w:t>及以上职称</w:t>
      </w:r>
      <w:r>
        <w:rPr>
          <w:rFonts w:ascii="宋体" w:hAnsi="宋体" w:cs="宋体"/>
          <w:color w:val="auto"/>
          <w:sz w:val="24"/>
        </w:rPr>
        <w:t>证书的得0.5分</w:t>
      </w:r>
      <w:r>
        <w:rPr>
          <w:rFonts w:hint="eastAsia" w:ascii="宋体" w:hAnsi="宋体" w:cs="宋体"/>
          <w:color w:val="auto"/>
          <w:sz w:val="24"/>
        </w:rPr>
        <w:t>；具备</w:t>
      </w:r>
      <w:r>
        <w:rPr>
          <w:rFonts w:ascii="宋体" w:hAnsi="宋体" w:cs="宋体"/>
          <w:color w:val="auto"/>
          <w:sz w:val="24"/>
        </w:rPr>
        <w:t>系统集成项目管理工程师证书</w:t>
      </w:r>
      <w:r>
        <w:rPr>
          <w:rFonts w:hint="eastAsia" w:ascii="宋体" w:hAnsi="宋体" w:cs="宋体"/>
          <w:color w:val="auto"/>
          <w:sz w:val="24"/>
        </w:rPr>
        <w:t>的</w:t>
      </w:r>
      <w:r>
        <w:rPr>
          <w:rFonts w:ascii="宋体" w:hAnsi="宋体" w:cs="宋体"/>
          <w:color w:val="auto"/>
          <w:sz w:val="24"/>
        </w:rPr>
        <w:t>得0.5分</w:t>
      </w:r>
      <w:r>
        <w:rPr>
          <w:rFonts w:hint="eastAsia" w:ascii="宋体" w:hAnsi="宋体" w:cs="宋体"/>
          <w:color w:val="auto"/>
          <w:sz w:val="24"/>
        </w:rPr>
        <w:t>。本项满分1</w:t>
      </w:r>
      <w:r>
        <w:rPr>
          <w:rFonts w:ascii="宋体" w:hAnsi="宋体" w:cs="宋体"/>
          <w:color w:val="auto"/>
          <w:sz w:val="24"/>
        </w:rPr>
        <w:t>分。</w:t>
      </w:r>
    </w:p>
    <w:p w14:paraId="4B883728">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lang w:bidi="ar"/>
        </w:rPr>
        <w:t>注：上述人员须在投标文件“项目组人员配备情况表”</w:t>
      </w:r>
      <w:r>
        <w:rPr>
          <w:rFonts w:hint="eastAsia" w:ascii="宋体" w:hAnsi="宋体" w:cs="宋体"/>
          <w:b/>
          <w:bCs/>
          <w:color w:val="auto"/>
          <w:sz w:val="24"/>
          <w:lang w:eastAsia="zh-CN" w:bidi="ar"/>
        </w:rPr>
        <w:t>（表格自拟）</w:t>
      </w:r>
      <w:r>
        <w:rPr>
          <w:rFonts w:hint="eastAsia" w:ascii="宋体" w:hAnsi="宋体" w:cs="宋体"/>
          <w:b/>
          <w:bCs/>
          <w:color w:val="auto"/>
          <w:sz w:val="24"/>
          <w:lang w:bidi="ar"/>
        </w:rPr>
        <w:t>中一一列明，否则不予认可。投标文件中提供上述人员有效证书、由社保机构出具的供应商为其缴纳的近三个月中任意一个月份（不含投标当月）的社保缴费证明的原件扫描件，不提供或提供不全或提供不符合要求的不得分。</w:t>
      </w:r>
    </w:p>
    <w:p w14:paraId="06EE5A75">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rPr>
        <w:t>（4）产品检测报告（10分）：</w:t>
      </w:r>
    </w:p>
    <w:p w14:paraId="65C2B08F">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color w:val="auto"/>
          <w:sz w:val="24"/>
        </w:rPr>
      </w:pPr>
      <w:r>
        <w:rPr>
          <w:rFonts w:hint="eastAsia" w:ascii="宋体" w:hAnsi="宋体" w:cs="宋体"/>
          <w:b/>
          <w:bCs/>
          <w:color w:val="auto"/>
          <w:sz w:val="24"/>
        </w:rPr>
        <w:t>①体能考试系统（长跑）（2分）：</w:t>
      </w:r>
      <w:r>
        <w:rPr>
          <w:rFonts w:hint="eastAsia" w:ascii="宋体" w:hAnsi="宋体" w:cs="宋体"/>
          <w:color w:val="auto"/>
          <w:sz w:val="24"/>
        </w:rPr>
        <w:t xml:space="preserve"> </w:t>
      </w:r>
    </w:p>
    <w:p w14:paraId="2C69AEE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bookmarkStart w:id="135" w:name="OLE_LINK1"/>
      <w:r>
        <w:rPr>
          <w:rFonts w:hint="eastAsia" w:ascii="宋体" w:hAnsi="宋体" w:cs="宋体"/>
          <w:color w:val="auto"/>
          <w:sz w:val="24"/>
        </w:rPr>
        <w:t>A.测量误差（1分）：基于采购需求的基础上（测量误差≤±2%），产品具备“测量误差≤±1%”的得1分；</w:t>
      </w:r>
    </w:p>
    <w:p w14:paraId="5C44657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B.抄近道检测功能（1分）：基于采购需求的基础上，产品具备“没有按照识别区顺序被依次识别，相应里程不计入总里程功能”（或其他类似的功能性描述内容）的得1分。</w:t>
      </w:r>
    </w:p>
    <w:bookmarkEnd w:id="135"/>
    <w:p w14:paraId="10FB5594">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rPr>
        <w:t>②综合实战指挥-无人机机场服务（2分）：</w:t>
      </w:r>
    </w:p>
    <w:p w14:paraId="46B1C6F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cs="宋体"/>
          <w:color w:val="auto"/>
          <w:sz w:val="24"/>
        </w:rPr>
        <w:t>A.飞行器最大作业半径（1分）：基于采购需求的基础上（飞行器最大作业半径不低于8公里），产品具备“飞行器最大作业半径不低于10公里”的得1分；</w:t>
      </w:r>
    </w:p>
    <w:p w14:paraId="02099DC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cs="宋体"/>
          <w:color w:val="auto"/>
          <w:sz w:val="24"/>
        </w:rPr>
        <w:t>B.传感器（1分）：基于采购需求的基础上（机场集成风速、雨量、环境温度传感器），产品具备“机场集成风速、雨量、环境温度、水浸、舱内温度、舱内湿度传感器”的得1分。</w:t>
      </w:r>
    </w:p>
    <w:p w14:paraId="223BEAF9">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rPr>
        <w:t>③会议一体机（3分）：</w:t>
      </w:r>
    </w:p>
    <w:p w14:paraId="2A9D9B8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A.触摸屏（1分）：基于采购需求的基础上（安卓系统下支持10点触控5笔以上书写，WINDOWS系统下支持20点触控及10笔书写），产品具备“安卓系统下支持20点触控10笔以上书写，WINDOWS系统下支持50点触控及20笔书写，触摸分辨率：＞32768×32768”的得1分；</w:t>
      </w:r>
    </w:p>
    <w:p w14:paraId="3AE981F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B.内置摄像头（1分）：基于采购需求的基础上（整机内置摄像头像素≥3000W），产品具备“整机内置4800W高清摄像头，支持模拟HDR、人脸消红等功能”</w:t>
      </w:r>
      <w:bookmarkStart w:id="136" w:name="OLE_LINK3"/>
      <w:r>
        <w:rPr>
          <w:rFonts w:hint="eastAsia" w:ascii="宋体" w:hAnsi="宋体" w:cs="宋体"/>
          <w:color w:val="auto"/>
          <w:sz w:val="24"/>
        </w:rPr>
        <w:t>的得1分；</w:t>
      </w:r>
      <w:bookmarkEnd w:id="136"/>
    </w:p>
    <w:p w14:paraId="3C13153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C.内置麦克风（1分）：基于采购需求的基础上（整机内置麦克风，拾音距离≥5米），产品具备“整机内置8阵列麦克风，拾音距离≥</w:t>
      </w:r>
      <w:r>
        <w:rPr>
          <w:rFonts w:hint="eastAsia" w:ascii="宋体" w:hAnsi="宋体" w:cs="宋体"/>
          <w:color w:val="auto"/>
          <w:sz w:val="24"/>
          <w:lang w:val="en-US" w:eastAsia="zh-CN"/>
        </w:rPr>
        <w:t>8</w:t>
      </w:r>
      <w:r>
        <w:rPr>
          <w:rFonts w:hint="eastAsia" w:ascii="宋体" w:hAnsi="宋体" w:cs="宋体"/>
          <w:color w:val="auto"/>
          <w:sz w:val="24"/>
        </w:rPr>
        <w:t>米，支持自动增益、噪声抑制、回声消除等功能”的得1分。</w:t>
      </w:r>
    </w:p>
    <w:p w14:paraId="7D7677E2">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rPr>
        <w:t>④单兵装备管理舱（核心产品）（3分）</w:t>
      </w:r>
    </w:p>
    <w:p w14:paraId="6F52107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A.人机交互系统（1分）：基于采购需求的基础上（人机交互系统操作系统版本不低于Android 10.0），产品具备“人机交互系统操作系统版本不低于Android 12.0，支持鸿蒙兼容模式”的得1分；</w:t>
      </w:r>
    </w:p>
    <w:p w14:paraId="5BD1016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r>
        <w:rPr>
          <w:rFonts w:hint="eastAsia" w:ascii="宋体" w:hAnsi="宋体" w:cs="宋体"/>
          <w:color w:val="auto"/>
          <w:sz w:val="24"/>
        </w:rPr>
        <w:t>B.疲劳寿命（1分）：基于采购需求的基础上（旋转寿命≥8万次循环，开关门寿命≥2万次，按键寿命≥8万次），产品具备“旋转寿命≥10万次循环，开关门寿命≥3万次，按键寿命≥10万次”的得1分；</w:t>
      </w:r>
    </w:p>
    <w:p w14:paraId="1C96D17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rPr>
      </w:pPr>
      <w:bookmarkStart w:id="137" w:name="OLE_LINK2"/>
      <w:r>
        <w:rPr>
          <w:rFonts w:hint="eastAsia" w:ascii="宋体" w:hAnsi="宋体" w:cs="宋体"/>
          <w:color w:val="auto"/>
          <w:sz w:val="24"/>
        </w:rPr>
        <w:t>C.待机功耗（1分）：基于采购需求的基础上（待机功耗≤60W），产品具备</w:t>
      </w:r>
      <w:bookmarkEnd w:id="137"/>
      <w:r>
        <w:rPr>
          <w:rFonts w:hint="eastAsia" w:ascii="宋体" w:hAnsi="宋体" w:cs="宋体"/>
          <w:color w:val="auto"/>
          <w:sz w:val="24"/>
        </w:rPr>
        <w:t>“待机功耗≤50W”的得1分。</w:t>
      </w:r>
    </w:p>
    <w:p w14:paraId="2FA06774">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rPr>
        <w:t>注：投标文件中提供第三方认证机构出具的检测报告原件扫描件，报告中能有效体现上述评分项中描述的相应内容的方可得分，</w:t>
      </w:r>
      <w:r>
        <w:rPr>
          <w:rFonts w:hint="eastAsia" w:ascii="宋体" w:hAnsi="宋体" w:cs="宋体"/>
          <w:b/>
          <w:bCs/>
          <w:color w:val="auto"/>
          <w:sz w:val="24"/>
          <w:lang w:bidi="ar"/>
        </w:rPr>
        <w:t>不提供或提供不符合要求的不得分。</w:t>
      </w:r>
    </w:p>
    <w:p w14:paraId="140834BB">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rPr>
        <w:t>（5）加分因素（3分）：</w:t>
      </w:r>
    </w:p>
    <w:p w14:paraId="19DB9B2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rPr>
      </w:pPr>
      <w:r>
        <w:rPr>
          <w:rFonts w:hint="eastAsia" w:ascii="宋体" w:hAnsi="宋体" w:cs="宋体"/>
          <w:bCs/>
          <w:color w:val="auto"/>
          <w:sz w:val="24"/>
        </w:rPr>
        <w:t>①支持节能环保：依据财政部、发展改革委发布的《节能产品政府采购品目清单》和财政部、生态环境部发布的《环境标志产品政府采购品目清单》，投标产品为政府采购节能（政府强制采购节能产品除外）、环境标志产品的分别得1分，本项满分2分（投标时须提供所投产品由国家确定的认证机构出具的、处于有效期之内的节能产品认证证书扫描件、环境标志产品认证证书扫描件并加盖公章或签电子公章，不提供或提供不符合要求均不得分）。</w:t>
      </w:r>
    </w:p>
    <w:p w14:paraId="18DC5AB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rPr>
      </w:pPr>
      <w:r>
        <w:rPr>
          <w:rFonts w:hint="eastAsia" w:ascii="宋体" w:hAnsi="宋体" w:cs="宋体"/>
          <w:bCs/>
          <w:color w:val="auto"/>
          <w:sz w:val="24"/>
        </w:rPr>
        <w:t>注：同一产品同时具备节能产品认证证书、环境标志产品认证证书的，不重复计分。投标时提供认证证书扫描件。</w:t>
      </w:r>
    </w:p>
    <w:p w14:paraId="5890409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rPr>
      </w:pPr>
      <w:r>
        <w:rPr>
          <w:rFonts w:hint="eastAsia" w:ascii="宋体" w:hAnsi="宋体" w:cs="宋体"/>
          <w:bCs/>
          <w:color w:val="auto"/>
          <w:sz w:val="24"/>
        </w:rPr>
        <w:t>②支持绿色发展：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cs="宋体"/>
          <w:color w:val="auto"/>
          <w:sz w:val="24"/>
        </w:rPr>
        <w:t>本项满分1分</w:t>
      </w:r>
      <w:r>
        <w:rPr>
          <w:rFonts w:hint="eastAsia" w:ascii="宋体" w:hAnsi="宋体" w:cs="宋体"/>
          <w:bCs/>
          <w:color w:val="auto"/>
          <w:sz w:val="24"/>
        </w:rPr>
        <w:t>（投标时须提供相应使用低VOCs含量的有效证明材料扫描件并加盖公章或签电子公章，不提供或提供不符合要求均不得分）。</w:t>
      </w:r>
    </w:p>
    <w:p w14:paraId="310AF092">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rPr>
      </w:pPr>
      <w:r>
        <w:rPr>
          <w:rFonts w:hint="eastAsia" w:ascii="宋体" w:hAnsi="宋体" w:cs="宋体"/>
          <w:b/>
          <w:bCs/>
          <w:color w:val="auto"/>
          <w:sz w:val="24"/>
        </w:rPr>
        <w:t>（三）技术方案（暗标）（44分）</w:t>
      </w:r>
    </w:p>
    <w:p w14:paraId="0BBBD35B">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b/>
          <w:color w:val="auto"/>
          <w:sz w:val="24"/>
        </w:rPr>
      </w:pPr>
      <w:r>
        <w:rPr>
          <w:rFonts w:hint="eastAsia" w:ascii="宋体" w:hAnsi="宋体" w:cs="宋体"/>
          <w:b/>
          <w:color w:val="auto"/>
          <w:sz w:val="24"/>
        </w:rPr>
        <w:t>（1）</w:t>
      </w:r>
      <w:r>
        <w:rPr>
          <w:rFonts w:ascii="宋体" w:hAnsi="宋体" w:cs="宋体"/>
          <w:b/>
          <w:bCs/>
          <w:color w:val="auto"/>
          <w:sz w:val="24"/>
        </w:rPr>
        <w:t>项目进度计划和管理方案</w:t>
      </w:r>
      <w:r>
        <w:rPr>
          <w:rFonts w:hint="eastAsia" w:ascii="宋体" w:hAnsi="宋体" w:cs="宋体"/>
          <w:b/>
          <w:color w:val="auto"/>
          <w:sz w:val="24"/>
        </w:rPr>
        <w:t>（10分）：内容包括：①</w:t>
      </w:r>
      <w:r>
        <w:rPr>
          <w:rFonts w:ascii="宋体" w:hAnsi="宋体" w:cs="宋体"/>
          <w:b/>
          <w:bCs/>
          <w:color w:val="auto"/>
          <w:sz w:val="24"/>
        </w:rPr>
        <w:t>项目管理目标及整体设想</w:t>
      </w:r>
      <w:r>
        <w:rPr>
          <w:rFonts w:hint="eastAsia" w:ascii="宋体" w:hAnsi="宋体" w:cs="宋体"/>
          <w:b/>
          <w:bCs/>
          <w:color w:val="auto"/>
          <w:sz w:val="24"/>
        </w:rPr>
        <w:t>，②</w:t>
      </w:r>
      <w:r>
        <w:rPr>
          <w:rFonts w:hint="eastAsia" w:ascii="宋体" w:hAnsi="宋体" w:cs="宋体"/>
          <w:b/>
          <w:color w:val="auto"/>
          <w:sz w:val="24"/>
        </w:rPr>
        <w:t>项目供货进度计划，③项目安装调试计划，④</w:t>
      </w:r>
      <w:r>
        <w:rPr>
          <w:rFonts w:ascii="宋体" w:hAnsi="宋体" w:cs="宋体"/>
          <w:b/>
          <w:bCs/>
          <w:color w:val="auto"/>
          <w:sz w:val="24"/>
        </w:rPr>
        <w:t>项目进度、质量、风险、资源</w:t>
      </w:r>
      <w:r>
        <w:rPr>
          <w:rFonts w:hint="eastAsia" w:ascii="宋体" w:hAnsi="宋体" w:cs="宋体"/>
          <w:b/>
          <w:bCs/>
          <w:color w:val="auto"/>
          <w:sz w:val="24"/>
        </w:rPr>
        <w:t>、安全管理及保证措施</w:t>
      </w:r>
      <w:r>
        <w:rPr>
          <w:rFonts w:hint="eastAsia" w:ascii="宋体" w:hAnsi="宋体" w:cs="宋体"/>
          <w:b/>
          <w:color w:val="auto"/>
          <w:sz w:val="24"/>
        </w:rPr>
        <w:t>，⑤项目重难点分析及解决措施。</w:t>
      </w:r>
    </w:p>
    <w:p w14:paraId="5ACDEA71">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bCs/>
          <w:color w:val="auto"/>
          <w:sz w:val="24"/>
        </w:rPr>
      </w:pPr>
      <w:r>
        <w:rPr>
          <w:rFonts w:ascii="宋体" w:hAnsi="宋体" w:cs="宋体"/>
          <w:bCs/>
          <w:color w:val="auto"/>
          <w:sz w:val="24"/>
        </w:rPr>
        <w:t>投标供应商针对上述内容进行阐述，要求阐述内容完全符合本项目需求。以上内容不存在瑕疵的该条得</w:t>
      </w:r>
      <w:r>
        <w:rPr>
          <w:rFonts w:hint="eastAsia" w:ascii="宋体" w:hAnsi="宋体" w:cs="宋体"/>
          <w:bCs/>
          <w:color w:val="auto"/>
          <w:sz w:val="24"/>
        </w:rPr>
        <w:t>2</w:t>
      </w:r>
      <w:r>
        <w:rPr>
          <w:rFonts w:ascii="宋体" w:hAnsi="宋体" w:cs="宋体"/>
          <w:bCs/>
          <w:color w:val="auto"/>
          <w:sz w:val="24"/>
        </w:rPr>
        <w:t>分；以上内容存在1处瑕疵的该条得</w:t>
      </w:r>
      <w:r>
        <w:rPr>
          <w:rFonts w:hint="eastAsia" w:ascii="宋体" w:hAnsi="宋体" w:cs="宋体"/>
          <w:bCs/>
          <w:color w:val="auto"/>
          <w:sz w:val="24"/>
        </w:rPr>
        <w:t>1</w:t>
      </w:r>
      <w:r>
        <w:rPr>
          <w:rFonts w:ascii="宋体" w:hAnsi="宋体" w:cs="宋体"/>
          <w:bCs/>
          <w:color w:val="auto"/>
          <w:sz w:val="24"/>
        </w:rPr>
        <w:t>分；以上内容存在2处瑕疵的该条得0.</w:t>
      </w:r>
      <w:r>
        <w:rPr>
          <w:rFonts w:hint="eastAsia" w:ascii="宋体" w:hAnsi="宋体" w:cs="宋体"/>
          <w:bCs/>
          <w:color w:val="auto"/>
          <w:sz w:val="24"/>
        </w:rPr>
        <w:t>5</w:t>
      </w:r>
      <w:r>
        <w:rPr>
          <w:rFonts w:ascii="宋体" w:hAnsi="宋体" w:cs="宋体"/>
          <w:bCs/>
          <w:color w:val="auto"/>
          <w:sz w:val="24"/>
        </w:rPr>
        <w:t>分；未进行阐述或不满足采购需求或内容存在3处及以上瑕疵的该条得0分；本项最高得</w:t>
      </w:r>
      <w:r>
        <w:rPr>
          <w:rFonts w:hint="eastAsia" w:ascii="宋体" w:hAnsi="宋体" w:cs="宋体"/>
          <w:bCs/>
          <w:color w:val="auto"/>
          <w:sz w:val="24"/>
        </w:rPr>
        <w:t>10</w:t>
      </w:r>
      <w:r>
        <w:rPr>
          <w:rFonts w:ascii="宋体" w:hAnsi="宋体" w:cs="宋体"/>
          <w:bCs/>
          <w:color w:val="auto"/>
          <w:sz w:val="24"/>
        </w:rPr>
        <w:t>分。</w:t>
      </w:r>
    </w:p>
    <w:p w14:paraId="5B77F797">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b/>
          <w:color w:val="auto"/>
          <w:sz w:val="24"/>
        </w:rPr>
      </w:pPr>
      <w:r>
        <w:rPr>
          <w:rFonts w:hint="eastAsia" w:ascii="宋体" w:hAnsi="宋体" w:cs="宋体"/>
          <w:b/>
          <w:color w:val="auto"/>
          <w:sz w:val="24"/>
        </w:rPr>
        <w:t>（2）项目实施方案及保证措施（8分）：内容包括：①项目包装、运输、供货流程及人员安排，②项目</w:t>
      </w:r>
      <w:r>
        <w:rPr>
          <w:rFonts w:ascii="宋体" w:hAnsi="宋体" w:cs="宋体"/>
          <w:b/>
          <w:color w:val="auto"/>
          <w:sz w:val="24"/>
        </w:rPr>
        <w:t>安装调试流程</w:t>
      </w:r>
      <w:r>
        <w:rPr>
          <w:rFonts w:hint="eastAsia" w:ascii="宋体" w:hAnsi="宋体" w:cs="宋体"/>
          <w:b/>
          <w:color w:val="auto"/>
          <w:sz w:val="24"/>
        </w:rPr>
        <w:t>及人员安排，③</w:t>
      </w:r>
      <w:r>
        <w:rPr>
          <w:rFonts w:ascii="宋体" w:hAnsi="宋体" w:cs="宋体"/>
          <w:b/>
          <w:bCs/>
          <w:color w:val="auto"/>
          <w:sz w:val="24"/>
        </w:rPr>
        <w:t>安全文明施工及环境保护</w:t>
      </w:r>
      <w:r>
        <w:rPr>
          <w:rFonts w:hint="eastAsia" w:ascii="宋体" w:hAnsi="宋体" w:cs="宋体"/>
          <w:b/>
          <w:bCs/>
          <w:color w:val="auto"/>
          <w:sz w:val="24"/>
        </w:rPr>
        <w:t>措施</w:t>
      </w:r>
      <w:r>
        <w:rPr>
          <w:rFonts w:hint="eastAsia" w:ascii="宋体" w:hAnsi="宋体" w:cs="宋体"/>
          <w:b/>
          <w:color w:val="auto"/>
          <w:sz w:val="24"/>
        </w:rPr>
        <w:t>，④针对本项目设备提出的生产工艺及质量控制的方法与重点。</w:t>
      </w:r>
    </w:p>
    <w:p w14:paraId="7069DF2C">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bCs/>
          <w:color w:val="auto"/>
          <w:sz w:val="24"/>
        </w:rPr>
      </w:pPr>
      <w:r>
        <w:rPr>
          <w:rFonts w:ascii="宋体" w:hAnsi="宋体" w:cs="宋体"/>
          <w:bCs/>
          <w:color w:val="auto"/>
          <w:sz w:val="24"/>
        </w:rPr>
        <w:t>投标供应商针对上述内容进行阐述，要求阐述内容完全符合本项目需求。以上内容不存在瑕疵的该条得</w:t>
      </w:r>
      <w:r>
        <w:rPr>
          <w:rFonts w:hint="eastAsia" w:ascii="宋体" w:hAnsi="宋体" w:cs="宋体"/>
          <w:bCs/>
          <w:color w:val="auto"/>
          <w:sz w:val="24"/>
        </w:rPr>
        <w:t>2</w:t>
      </w:r>
      <w:r>
        <w:rPr>
          <w:rFonts w:ascii="宋体" w:hAnsi="宋体" w:cs="宋体"/>
          <w:bCs/>
          <w:color w:val="auto"/>
          <w:sz w:val="24"/>
        </w:rPr>
        <w:t>分；以上内容存在1处瑕疵的该条得</w:t>
      </w:r>
      <w:r>
        <w:rPr>
          <w:rFonts w:hint="eastAsia" w:ascii="宋体" w:hAnsi="宋体" w:cs="宋体"/>
          <w:bCs/>
          <w:color w:val="auto"/>
          <w:sz w:val="24"/>
        </w:rPr>
        <w:t>1</w:t>
      </w:r>
      <w:r>
        <w:rPr>
          <w:rFonts w:ascii="宋体" w:hAnsi="宋体" w:cs="宋体"/>
          <w:bCs/>
          <w:color w:val="auto"/>
          <w:sz w:val="24"/>
        </w:rPr>
        <w:t>分；以上内容存在2处瑕疵的该条得0.</w:t>
      </w:r>
      <w:r>
        <w:rPr>
          <w:rFonts w:hint="eastAsia" w:ascii="宋体" w:hAnsi="宋体" w:cs="宋体"/>
          <w:bCs/>
          <w:color w:val="auto"/>
          <w:sz w:val="24"/>
        </w:rPr>
        <w:t>5</w:t>
      </w:r>
      <w:r>
        <w:rPr>
          <w:rFonts w:ascii="宋体" w:hAnsi="宋体" w:cs="宋体"/>
          <w:bCs/>
          <w:color w:val="auto"/>
          <w:sz w:val="24"/>
        </w:rPr>
        <w:t>分；未进行阐述或不满足采购需求或内容存在3处及以上瑕疵的该条得0分；本项最高得</w:t>
      </w:r>
      <w:r>
        <w:rPr>
          <w:rFonts w:hint="eastAsia" w:ascii="宋体" w:hAnsi="宋体" w:cs="宋体"/>
          <w:bCs/>
          <w:color w:val="auto"/>
          <w:sz w:val="24"/>
        </w:rPr>
        <w:t>8</w:t>
      </w:r>
      <w:r>
        <w:rPr>
          <w:rFonts w:ascii="宋体" w:hAnsi="宋体" w:cs="宋体"/>
          <w:bCs/>
          <w:color w:val="auto"/>
          <w:sz w:val="24"/>
        </w:rPr>
        <w:t>分。</w:t>
      </w:r>
    </w:p>
    <w:p w14:paraId="4321A8C8">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b/>
          <w:color w:val="auto"/>
          <w:sz w:val="24"/>
        </w:rPr>
      </w:pPr>
      <w:r>
        <w:rPr>
          <w:rFonts w:hint="eastAsia" w:ascii="宋体" w:hAnsi="宋体" w:cs="宋体"/>
          <w:b/>
          <w:color w:val="auto"/>
          <w:sz w:val="24"/>
        </w:rPr>
        <w:t>（3）培训方案（6分）：内容包括：①培训周期及计划，②培训流程及内容，②培训人员安排。</w:t>
      </w:r>
    </w:p>
    <w:p w14:paraId="0B00BE0A">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bCs/>
          <w:color w:val="auto"/>
          <w:sz w:val="24"/>
        </w:rPr>
      </w:pPr>
      <w:r>
        <w:rPr>
          <w:rFonts w:ascii="宋体" w:hAnsi="宋体" w:cs="宋体"/>
          <w:bCs/>
          <w:color w:val="auto"/>
          <w:sz w:val="24"/>
        </w:rPr>
        <w:t>投标供应商针对上述内容进行阐述，要求阐述内容完全符合本项目需求。以上内容不存在瑕疵的该条得</w:t>
      </w:r>
      <w:r>
        <w:rPr>
          <w:rFonts w:hint="eastAsia" w:ascii="宋体" w:hAnsi="宋体" w:cs="宋体"/>
          <w:bCs/>
          <w:color w:val="auto"/>
          <w:sz w:val="24"/>
        </w:rPr>
        <w:t>2</w:t>
      </w:r>
      <w:r>
        <w:rPr>
          <w:rFonts w:ascii="宋体" w:hAnsi="宋体" w:cs="宋体"/>
          <w:bCs/>
          <w:color w:val="auto"/>
          <w:sz w:val="24"/>
        </w:rPr>
        <w:t>分；以上内容存在1处瑕疵的该条得</w:t>
      </w:r>
      <w:r>
        <w:rPr>
          <w:rFonts w:hint="eastAsia" w:ascii="宋体" w:hAnsi="宋体" w:cs="宋体"/>
          <w:bCs/>
          <w:color w:val="auto"/>
          <w:sz w:val="24"/>
        </w:rPr>
        <w:t>1</w:t>
      </w:r>
      <w:r>
        <w:rPr>
          <w:rFonts w:ascii="宋体" w:hAnsi="宋体" w:cs="宋体"/>
          <w:bCs/>
          <w:color w:val="auto"/>
          <w:sz w:val="24"/>
        </w:rPr>
        <w:t>分；以上内容存在2处瑕疵的该条得0.</w:t>
      </w:r>
      <w:r>
        <w:rPr>
          <w:rFonts w:hint="eastAsia" w:ascii="宋体" w:hAnsi="宋体" w:cs="宋体"/>
          <w:bCs/>
          <w:color w:val="auto"/>
          <w:sz w:val="24"/>
        </w:rPr>
        <w:t>5</w:t>
      </w:r>
      <w:r>
        <w:rPr>
          <w:rFonts w:ascii="宋体" w:hAnsi="宋体" w:cs="宋体"/>
          <w:bCs/>
          <w:color w:val="auto"/>
          <w:sz w:val="24"/>
        </w:rPr>
        <w:t>分；未进行阐述或不满足采购需求或内容存在3处及以上瑕疵的该条得0分；本项最高得</w:t>
      </w:r>
      <w:r>
        <w:rPr>
          <w:rFonts w:hint="eastAsia" w:ascii="宋体" w:hAnsi="宋体" w:cs="宋体"/>
          <w:bCs/>
          <w:color w:val="auto"/>
          <w:sz w:val="24"/>
        </w:rPr>
        <w:t>6</w:t>
      </w:r>
      <w:r>
        <w:rPr>
          <w:rFonts w:ascii="宋体" w:hAnsi="宋体" w:cs="宋体"/>
          <w:bCs/>
          <w:color w:val="auto"/>
          <w:sz w:val="24"/>
        </w:rPr>
        <w:t>分。</w:t>
      </w:r>
    </w:p>
    <w:p w14:paraId="0A127DFE">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b/>
          <w:color w:val="auto"/>
          <w:sz w:val="24"/>
        </w:rPr>
      </w:pPr>
      <w:r>
        <w:rPr>
          <w:rFonts w:hint="eastAsia" w:ascii="宋体" w:hAnsi="宋体" w:cs="宋体"/>
          <w:b/>
          <w:color w:val="auto"/>
          <w:sz w:val="24"/>
        </w:rPr>
        <w:t>（4）售后服务方案（10分）：内容包括：①</w:t>
      </w:r>
      <w:r>
        <w:rPr>
          <w:rFonts w:ascii="宋体" w:hAnsi="宋体" w:cs="宋体"/>
          <w:b/>
          <w:color w:val="auto"/>
          <w:sz w:val="24"/>
        </w:rPr>
        <w:t>售后服务理念及体系</w:t>
      </w:r>
      <w:r>
        <w:rPr>
          <w:rFonts w:hint="eastAsia" w:ascii="宋体" w:hAnsi="宋体" w:cs="宋体"/>
          <w:b/>
          <w:color w:val="auto"/>
          <w:sz w:val="24"/>
        </w:rPr>
        <w:t>，②售后服务流程及内容，</w:t>
      </w:r>
      <w:r>
        <w:rPr>
          <w:rFonts w:ascii="宋体" w:hAnsi="宋体" w:cs="宋体"/>
          <w:b/>
          <w:color w:val="auto"/>
          <w:sz w:val="24"/>
        </w:rPr>
        <w:t>③定期或不定期巡检和维护</w:t>
      </w:r>
      <w:r>
        <w:rPr>
          <w:rFonts w:hint="eastAsia" w:ascii="宋体" w:hAnsi="宋体" w:cs="宋体"/>
          <w:b/>
          <w:color w:val="auto"/>
          <w:sz w:val="24"/>
        </w:rPr>
        <w:t>方案，④</w:t>
      </w:r>
      <w:r>
        <w:rPr>
          <w:rFonts w:ascii="宋体" w:hAnsi="宋体" w:cs="宋体"/>
          <w:b/>
          <w:color w:val="auto"/>
          <w:sz w:val="24"/>
        </w:rPr>
        <w:t>售后服务细则和管理制度</w:t>
      </w:r>
      <w:r>
        <w:rPr>
          <w:rFonts w:hint="eastAsia" w:ascii="宋体" w:hAnsi="宋体" w:cs="宋体"/>
          <w:b/>
          <w:color w:val="auto"/>
          <w:sz w:val="24"/>
        </w:rPr>
        <w:t>，⑤</w:t>
      </w:r>
      <w:r>
        <w:rPr>
          <w:rFonts w:ascii="宋体" w:hAnsi="宋体" w:cs="宋体"/>
          <w:b/>
          <w:color w:val="auto"/>
          <w:sz w:val="24"/>
        </w:rPr>
        <w:t>售后应急预案。</w:t>
      </w:r>
    </w:p>
    <w:p w14:paraId="7A8D6D1E">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bCs/>
          <w:color w:val="auto"/>
          <w:sz w:val="24"/>
        </w:rPr>
      </w:pPr>
      <w:r>
        <w:rPr>
          <w:rFonts w:ascii="宋体" w:hAnsi="宋体" w:cs="宋体"/>
          <w:bCs/>
          <w:color w:val="auto"/>
          <w:sz w:val="24"/>
        </w:rPr>
        <w:t>投标供应商针对上述内容进行阐述，要求阐述内容完全符合本项目需求。以上内容不存在瑕疵的该条得</w:t>
      </w:r>
      <w:r>
        <w:rPr>
          <w:rFonts w:hint="eastAsia" w:ascii="宋体" w:hAnsi="宋体" w:cs="宋体"/>
          <w:bCs/>
          <w:color w:val="auto"/>
          <w:sz w:val="24"/>
        </w:rPr>
        <w:t>2</w:t>
      </w:r>
      <w:r>
        <w:rPr>
          <w:rFonts w:ascii="宋体" w:hAnsi="宋体" w:cs="宋体"/>
          <w:bCs/>
          <w:color w:val="auto"/>
          <w:sz w:val="24"/>
        </w:rPr>
        <w:t>分；以上内容存在1处瑕疵的该条得</w:t>
      </w:r>
      <w:r>
        <w:rPr>
          <w:rFonts w:hint="eastAsia" w:ascii="宋体" w:hAnsi="宋体" w:cs="宋体"/>
          <w:bCs/>
          <w:color w:val="auto"/>
          <w:sz w:val="24"/>
        </w:rPr>
        <w:t>1</w:t>
      </w:r>
      <w:r>
        <w:rPr>
          <w:rFonts w:ascii="宋体" w:hAnsi="宋体" w:cs="宋体"/>
          <w:bCs/>
          <w:color w:val="auto"/>
          <w:sz w:val="24"/>
        </w:rPr>
        <w:t>分；以上内容存在2处瑕疵的该条得0.</w:t>
      </w:r>
      <w:r>
        <w:rPr>
          <w:rFonts w:hint="eastAsia" w:ascii="宋体" w:hAnsi="宋体" w:cs="宋体"/>
          <w:bCs/>
          <w:color w:val="auto"/>
          <w:sz w:val="24"/>
        </w:rPr>
        <w:t>5</w:t>
      </w:r>
      <w:r>
        <w:rPr>
          <w:rFonts w:ascii="宋体" w:hAnsi="宋体" w:cs="宋体"/>
          <w:bCs/>
          <w:color w:val="auto"/>
          <w:sz w:val="24"/>
        </w:rPr>
        <w:t>分；未进行阐述或不满足采购需求或内容存在3处及以上瑕疵的该条得0分；本项最高得</w:t>
      </w:r>
      <w:r>
        <w:rPr>
          <w:rFonts w:hint="eastAsia" w:ascii="宋体" w:hAnsi="宋体" w:cs="宋体"/>
          <w:bCs/>
          <w:color w:val="auto"/>
          <w:sz w:val="24"/>
        </w:rPr>
        <w:t>10</w:t>
      </w:r>
      <w:r>
        <w:rPr>
          <w:rFonts w:ascii="宋体" w:hAnsi="宋体" w:cs="宋体"/>
          <w:bCs/>
          <w:color w:val="auto"/>
          <w:sz w:val="24"/>
        </w:rPr>
        <w:t>分。</w:t>
      </w:r>
    </w:p>
    <w:p w14:paraId="4376A43E">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b/>
          <w:color w:val="auto"/>
          <w:sz w:val="24"/>
        </w:rPr>
      </w:pPr>
      <w:r>
        <w:rPr>
          <w:rFonts w:hint="eastAsia" w:ascii="宋体" w:hAnsi="宋体" w:cs="宋体"/>
          <w:b/>
          <w:color w:val="auto"/>
          <w:sz w:val="24"/>
        </w:rPr>
        <w:t>（5）专业技术支持、保障及响应补救（10分）：内容包括：①</w:t>
      </w:r>
      <w:r>
        <w:rPr>
          <w:rFonts w:ascii="宋体" w:hAnsi="宋体" w:cs="宋体"/>
          <w:b/>
          <w:color w:val="auto"/>
          <w:sz w:val="24"/>
        </w:rPr>
        <w:t>故障</w:t>
      </w:r>
      <w:r>
        <w:rPr>
          <w:rFonts w:hint="eastAsia" w:ascii="宋体" w:hAnsi="宋体" w:cs="宋体"/>
          <w:b/>
          <w:color w:val="auto"/>
          <w:sz w:val="24"/>
        </w:rPr>
        <w:t>维修处理及</w:t>
      </w:r>
      <w:r>
        <w:rPr>
          <w:rFonts w:ascii="宋体" w:hAnsi="宋体" w:cs="宋体"/>
          <w:b/>
          <w:color w:val="auto"/>
          <w:sz w:val="24"/>
        </w:rPr>
        <w:t>解决</w:t>
      </w:r>
      <w:r>
        <w:rPr>
          <w:rFonts w:hint="eastAsia" w:ascii="宋体" w:hAnsi="宋体" w:cs="宋体"/>
          <w:b/>
          <w:color w:val="auto"/>
          <w:sz w:val="24"/>
        </w:rPr>
        <w:t>措施，②专业技术人员保障方案，③响应时间及补救措施，④技术支持、保障应急预案，⑤技术支持内容。</w:t>
      </w:r>
    </w:p>
    <w:p w14:paraId="72C121D2">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bCs/>
          <w:color w:val="auto"/>
          <w:sz w:val="24"/>
        </w:rPr>
      </w:pPr>
      <w:r>
        <w:rPr>
          <w:rFonts w:ascii="宋体" w:hAnsi="宋体" w:cs="宋体"/>
          <w:bCs/>
          <w:color w:val="auto"/>
          <w:sz w:val="24"/>
        </w:rPr>
        <w:t>投标供应商针对上述内容进行阐述，要求阐述内容完全符合本项目需求。以上内容不存在瑕疵的该条得</w:t>
      </w:r>
      <w:r>
        <w:rPr>
          <w:rFonts w:hint="eastAsia" w:ascii="宋体" w:hAnsi="宋体" w:cs="宋体"/>
          <w:bCs/>
          <w:color w:val="auto"/>
          <w:sz w:val="24"/>
        </w:rPr>
        <w:t>2</w:t>
      </w:r>
      <w:r>
        <w:rPr>
          <w:rFonts w:ascii="宋体" w:hAnsi="宋体" w:cs="宋体"/>
          <w:bCs/>
          <w:color w:val="auto"/>
          <w:sz w:val="24"/>
        </w:rPr>
        <w:t>分；以上内容存在1处瑕疵的该条得</w:t>
      </w:r>
      <w:r>
        <w:rPr>
          <w:rFonts w:hint="eastAsia" w:ascii="宋体" w:hAnsi="宋体" w:cs="宋体"/>
          <w:bCs/>
          <w:color w:val="auto"/>
          <w:sz w:val="24"/>
        </w:rPr>
        <w:t>1</w:t>
      </w:r>
      <w:r>
        <w:rPr>
          <w:rFonts w:ascii="宋体" w:hAnsi="宋体" w:cs="宋体"/>
          <w:bCs/>
          <w:color w:val="auto"/>
          <w:sz w:val="24"/>
        </w:rPr>
        <w:t>分；以上内容存在2处瑕疵的该条得0.</w:t>
      </w:r>
      <w:r>
        <w:rPr>
          <w:rFonts w:hint="eastAsia" w:ascii="宋体" w:hAnsi="宋体" w:cs="宋体"/>
          <w:bCs/>
          <w:color w:val="auto"/>
          <w:sz w:val="24"/>
        </w:rPr>
        <w:t>5</w:t>
      </w:r>
      <w:r>
        <w:rPr>
          <w:rFonts w:ascii="宋体" w:hAnsi="宋体" w:cs="宋体"/>
          <w:bCs/>
          <w:color w:val="auto"/>
          <w:sz w:val="24"/>
        </w:rPr>
        <w:t>分；未进行阐述或不满足采购需求或内容存在3处及以上瑕疵的该条得0分；本项最高得</w:t>
      </w:r>
      <w:r>
        <w:rPr>
          <w:rFonts w:hint="eastAsia" w:ascii="宋体" w:hAnsi="宋体" w:cs="宋体"/>
          <w:bCs/>
          <w:color w:val="auto"/>
          <w:sz w:val="24"/>
        </w:rPr>
        <w:t>10</w:t>
      </w:r>
      <w:r>
        <w:rPr>
          <w:rFonts w:ascii="宋体" w:hAnsi="宋体" w:cs="宋体"/>
          <w:bCs/>
          <w:color w:val="auto"/>
          <w:sz w:val="24"/>
        </w:rPr>
        <w:t>分。</w:t>
      </w:r>
    </w:p>
    <w:p w14:paraId="59F0DD63">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color w:val="auto"/>
          <w:sz w:val="24"/>
        </w:rPr>
      </w:pPr>
      <w:r>
        <w:rPr>
          <w:rFonts w:hint="eastAsia" w:ascii="宋体" w:hAnsi="宋体" w:cs="宋体"/>
          <w:b/>
          <w:bCs/>
          <w:color w:val="auto"/>
          <w:sz w:val="24"/>
        </w:rPr>
        <w:t>注：以上所称“</w:t>
      </w:r>
      <w:r>
        <w:rPr>
          <w:rFonts w:hint="eastAsia" w:ascii="宋体" w:hAnsi="宋体" w:cs="宋体"/>
          <w:b/>
          <w:color w:val="auto"/>
          <w:sz w:val="24"/>
        </w:rPr>
        <w:t>瑕疵”</w:t>
      </w:r>
      <w:r>
        <w:rPr>
          <w:rFonts w:hint="eastAsia" w:ascii="宋体" w:hAnsi="宋体" w:cs="宋体"/>
          <w:b/>
          <w:bCs/>
          <w:color w:val="auto"/>
          <w:sz w:val="24"/>
        </w:rPr>
        <w:t>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7B4211A0">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lang w:val="en-US" w:eastAsia="zh-CN"/>
        </w:rPr>
      </w:pPr>
    </w:p>
    <w:p w14:paraId="481AC587">
      <w:pPr>
        <w:rPr>
          <w:color w:val="auto"/>
          <w:highlight w:val="none"/>
        </w:rPr>
      </w:pPr>
    </w:p>
    <w:p w14:paraId="09A67B71">
      <w:pPr>
        <w:pStyle w:val="38"/>
        <w:ind w:left="0" w:leftChars="0" w:firstLine="0" w:firstLineChars="0"/>
        <w:rPr>
          <w:rFonts w:hint="eastAsia" w:ascii="宋体" w:hAnsi="宋体" w:eastAsia="宋体"/>
          <w:bCs/>
          <w:i w:val="0"/>
          <w:iCs w:val="0"/>
          <w:color w:val="auto"/>
          <w:sz w:val="24"/>
          <w:szCs w:val="24"/>
          <w:highlight w:val="none"/>
          <w:u w:val="none"/>
          <w:lang w:val="en-US" w:eastAsia="zh-CN"/>
        </w:rPr>
      </w:pPr>
    </w:p>
    <w:p w14:paraId="55D0D078">
      <w:pPr>
        <w:rPr>
          <w:rFonts w:hint="eastAsia"/>
          <w:color w:val="auto"/>
          <w:highlight w:val="none"/>
          <w:lang w:val="en-US" w:eastAsia="zh-CN"/>
        </w:rPr>
      </w:pPr>
    </w:p>
    <w:p w14:paraId="3C024EAB">
      <w:pPr>
        <w:pStyle w:val="13"/>
        <w:rPr>
          <w:rFonts w:hint="eastAsia"/>
          <w:color w:val="auto"/>
          <w:highlight w:val="none"/>
          <w:lang w:val="en-US" w:eastAsia="zh-CN"/>
        </w:rPr>
      </w:pPr>
    </w:p>
    <w:p w14:paraId="7C14A247">
      <w:pPr>
        <w:pStyle w:val="13"/>
        <w:rPr>
          <w:rFonts w:hint="eastAsia"/>
          <w:color w:val="auto"/>
          <w:highlight w:val="none"/>
          <w:lang w:val="en-US" w:eastAsia="zh-CN"/>
        </w:rPr>
      </w:pPr>
    </w:p>
    <w:p w14:paraId="1044E629">
      <w:pPr>
        <w:pStyle w:val="13"/>
        <w:rPr>
          <w:rFonts w:hint="eastAsia"/>
          <w:color w:val="auto"/>
          <w:highlight w:val="none"/>
          <w:lang w:val="en-US" w:eastAsia="zh-CN"/>
        </w:rPr>
      </w:pPr>
    </w:p>
    <w:p w14:paraId="07BCEE1E">
      <w:pPr>
        <w:pStyle w:val="13"/>
        <w:rPr>
          <w:rFonts w:hint="eastAsia"/>
          <w:color w:val="auto"/>
          <w:highlight w:val="none"/>
          <w:lang w:val="en-US" w:eastAsia="zh-CN"/>
        </w:rPr>
      </w:pPr>
    </w:p>
    <w:p w14:paraId="395ADBBA">
      <w:pPr>
        <w:pStyle w:val="13"/>
        <w:rPr>
          <w:rFonts w:hint="eastAsia"/>
          <w:color w:val="auto"/>
          <w:highlight w:val="none"/>
          <w:lang w:val="en-US" w:eastAsia="zh-CN"/>
        </w:rPr>
      </w:pPr>
    </w:p>
    <w:p w14:paraId="664B6558">
      <w:pPr>
        <w:pStyle w:val="13"/>
        <w:rPr>
          <w:rFonts w:hint="eastAsia"/>
          <w:color w:val="auto"/>
          <w:highlight w:val="none"/>
          <w:lang w:val="en-US" w:eastAsia="zh-CN"/>
        </w:rPr>
      </w:pPr>
    </w:p>
    <w:p w14:paraId="29264BE0">
      <w:pPr>
        <w:pStyle w:val="13"/>
        <w:rPr>
          <w:rFonts w:hint="eastAsia"/>
          <w:color w:val="auto"/>
          <w:highlight w:val="none"/>
          <w:lang w:val="en-US" w:eastAsia="zh-CN"/>
        </w:rPr>
      </w:pPr>
    </w:p>
    <w:p w14:paraId="0BF585AB">
      <w:pPr>
        <w:pStyle w:val="13"/>
        <w:rPr>
          <w:rFonts w:hint="eastAsia"/>
          <w:color w:val="auto"/>
          <w:highlight w:val="none"/>
          <w:lang w:val="en-US" w:eastAsia="zh-CN"/>
        </w:rPr>
      </w:pPr>
    </w:p>
    <w:p w14:paraId="01DD3064">
      <w:pPr>
        <w:pStyle w:val="13"/>
        <w:rPr>
          <w:rFonts w:hint="eastAsia"/>
          <w:color w:val="auto"/>
          <w:highlight w:val="none"/>
          <w:lang w:val="en-US" w:eastAsia="zh-CN"/>
        </w:rPr>
      </w:pPr>
    </w:p>
    <w:p w14:paraId="3687C51D">
      <w:pPr>
        <w:pStyle w:val="13"/>
        <w:rPr>
          <w:rFonts w:hint="eastAsia"/>
          <w:color w:val="auto"/>
          <w:highlight w:val="none"/>
          <w:lang w:val="en-US" w:eastAsia="zh-CN"/>
        </w:rPr>
      </w:pPr>
    </w:p>
    <w:p w14:paraId="43050822">
      <w:pPr>
        <w:pStyle w:val="13"/>
        <w:rPr>
          <w:rFonts w:hint="eastAsia"/>
          <w:color w:val="auto"/>
          <w:highlight w:val="none"/>
          <w:lang w:val="en-US" w:eastAsia="zh-CN"/>
        </w:rPr>
      </w:pPr>
    </w:p>
    <w:p w14:paraId="4E8AA063">
      <w:pPr>
        <w:pStyle w:val="13"/>
        <w:rPr>
          <w:rFonts w:hint="eastAsia"/>
          <w:color w:val="auto"/>
          <w:highlight w:val="none"/>
          <w:lang w:val="en-US" w:eastAsia="zh-CN"/>
        </w:rPr>
      </w:pPr>
    </w:p>
    <w:p w14:paraId="179D42AC">
      <w:pPr>
        <w:pStyle w:val="13"/>
        <w:rPr>
          <w:rFonts w:hint="eastAsia"/>
          <w:color w:val="auto"/>
          <w:highlight w:val="none"/>
          <w:lang w:val="en-US" w:eastAsia="zh-CN"/>
        </w:rPr>
      </w:pPr>
    </w:p>
    <w:p w14:paraId="6A994508">
      <w:pPr>
        <w:pStyle w:val="13"/>
        <w:rPr>
          <w:rFonts w:hint="eastAsia"/>
          <w:color w:val="auto"/>
          <w:highlight w:val="none"/>
          <w:lang w:val="en-US" w:eastAsia="zh-CN"/>
        </w:rPr>
      </w:pPr>
    </w:p>
    <w:p w14:paraId="0DE69ACB">
      <w:pPr>
        <w:pStyle w:val="13"/>
        <w:rPr>
          <w:rFonts w:hint="eastAsia"/>
          <w:color w:val="auto"/>
          <w:highlight w:val="none"/>
          <w:lang w:val="en-US" w:eastAsia="zh-CN"/>
        </w:rPr>
      </w:pPr>
    </w:p>
    <w:p w14:paraId="2BF0E898">
      <w:pPr>
        <w:pStyle w:val="13"/>
        <w:rPr>
          <w:rFonts w:hint="eastAsia"/>
          <w:color w:val="auto"/>
          <w:highlight w:val="none"/>
          <w:lang w:val="en-US" w:eastAsia="zh-CN"/>
        </w:rPr>
      </w:pPr>
    </w:p>
    <w:p w14:paraId="18675194">
      <w:pPr>
        <w:pStyle w:val="13"/>
        <w:rPr>
          <w:rFonts w:hint="eastAsia"/>
          <w:color w:val="auto"/>
          <w:highlight w:val="none"/>
          <w:lang w:val="en-US" w:eastAsia="zh-CN"/>
        </w:rPr>
      </w:pPr>
    </w:p>
    <w:p w14:paraId="79C8F295">
      <w:pPr>
        <w:pStyle w:val="13"/>
        <w:rPr>
          <w:rFonts w:hint="eastAsia"/>
          <w:color w:val="auto"/>
          <w:highlight w:val="none"/>
          <w:lang w:val="en-US" w:eastAsia="zh-CN"/>
        </w:rPr>
      </w:pPr>
    </w:p>
    <w:p w14:paraId="79E4D556">
      <w:pPr>
        <w:pStyle w:val="13"/>
        <w:rPr>
          <w:rFonts w:hint="eastAsia"/>
          <w:color w:val="auto"/>
          <w:highlight w:val="none"/>
          <w:lang w:val="en-US" w:eastAsia="zh-CN"/>
        </w:rPr>
      </w:pPr>
    </w:p>
    <w:p w14:paraId="35DE4B7C">
      <w:pPr>
        <w:pStyle w:val="13"/>
        <w:rPr>
          <w:rFonts w:hint="eastAsia"/>
          <w:color w:val="auto"/>
          <w:highlight w:val="none"/>
          <w:lang w:val="en-US" w:eastAsia="zh-CN"/>
        </w:rPr>
      </w:pPr>
    </w:p>
    <w:p w14:paraId="34F45D0B">
      <w:pPr>
        <w:pStyle w:val="13"/>
        <w:rPr>
          <w:rFonts w:hint="eastAsia"/>
          <w:color w:val="auto"/>
          <w:highlight w:val="none"/>
          <w:lang w:val="en-US" w:eastAsia="zh-CN"/>
        </w:rPr>
      </w:pPr>
    </w:p>
    <w:p w14:paraId="3C3A8A6B">
      <w:pPr>
        <w:pStyle w:val="13"/>
        <w:rPr>
          <w:rFonts w:hint="eastAsia"/>
          <w:color w:val="auto"/>
          <w:highlight w:val="none"/>
          <w:lang w:val="en-US" w:eastAsia="zh-CN"/>
        </w:rPr>
      </w:pPr>
    </w:p>
    <w:p w14:paraId="2AFEB180">
      <w:pPr>
        <w:rPr>
          <w:rFonts w:hint="eastAsia"/>
          <w:color w:val="auto"/>
          <w:highlight w:val="none"/>
          <w:lang w:val="en-US" w:eastAsia="zh-CN"/>
        </w:rPr>
      </w:pPr>
    </w:p>
    <w:p w14:paraId="274B9FEE">
      <w:pPr>
        <w:numPr>
          <w:ilvl w:val="0"/>
          <w:numId w:val="5"/>
        </w:numPr>
        <w:tabs>
          <w:tab w:val="left" w:pos="1050"/>
        </w:tabs>
        <w:spacing w:line="400" w:lineRule="exact"/>
        <w:jc w:val="center"/>
        <w:rPr>
          <w:rFonts w:hint="eastAsia" w:ascii="黑体" w:eastAsia="黑体"/>
          <w:bCs/>
          <w:i w:val="0"/>
          <w:iCs w:val="0"/>
          <w:color w:val="auto"/>
          <w:sz w:val="32"/>
          <w:szCs w:val="32"/>
          <w:highlight w:val="none"/>
        </w:rPr>
      </w:pPr>
      <w:bookmarkStart w:id="138" w:name="_Toc61444677"/>
      <w:r>
        <w:rPr>
          <w:rFonts w:hint="eastAsia" w:ascii="黑体" w:eastAsia="黑体"/>
          <w:bCs/>
          <w:i w:val="0"/>
          <w:iCs w:val="0"/>
          <w:color w:val="auto"/>
          <w:sz w:val="32"/>
          <w:szCs w:val="32"/>
          <w:highlight w:val="none"/>
        </w:rPr>
        <w:t xml:space="preserve"> 投标文件内容与格式</w:t>
      </w:r>
    </w:p>
    <w:p w14:paraId="52E8FCF9">
      <w:pPr>
        <w:pStyle w:val="364"/>
        <w:numPr>
          <w:ilvl w:val="0"/>
          <w:numId w:val="6"/>
        </w:numPr>
        <w:spacing w:before="0" w:after="0" w:line="500" w:lineRule="exact"/>
        <w:ind w:firstLine="602"/>
        <w:jc w:val="center"/>
        <w:rPr>
          <w:rFonts w:hint="eastAsia" w:cs="Arial"/>
          <w:b/>
          <w:i w:val="0"/>
          <w:iCs w:val="0"/>
          <w:color w:val="auto"/>
          <w:sz w:val="30"/>
          <w:szCs w:val="30"/>
          <w:highlight w:val="none"/>
        </w:rPr>
      </w:pPr>
      <w:r>
        <w:rPr>
          <w:rFonts w:hint="eastAsia" w:cs="Arial"/>
          <w:b/>
          <w:i w:val="0"/>
          <w:iCs w:val="0"/>
          <w:color w:val="auto"/>
          <w:sz w:val="30"/>
          <w:szCs w:val="30"/>
          <w:highlight w:val="none"/>
        </w:rPr>
        <w:t xml:space="preserve"> 投标文件内容</w:t>
      </w:r>
    </w:p>
    <w:p w14:paraId="468C422A">
      <w:pPr>
        <w:pStyle w:val="364"/>
        <w:spacing w:before="0" w:after="0" w:line="500" w:lineRule="exact"/>
        <w:ind w:firstLine="0"/>
        <w:rPr>
          <w:rFonts w:hint="eastAsia" w:cs="Arial"/>
          <w:b/>
          <w:i w:val="0"/>
          <w:iCs w:val="0"/>
          <w:color w:val="auto"/>
          <w:sz w:val="28"/>
          <w:szCs w:val="28"/>
          <w:highlight w:val="none"/>
        </w:rPr>
      </w:pPr>
      <w:r>
        <w:rPr>
          <w:b/>
          <w:i w:val="0"/>
          <w:iCs w:val="0"/>
          <w:color w:val="auto"/>
          <w:sz w:val="28"/>
          <w:szCs w:val="28"/>
          <w:highlight w:val="none"/>
        </w:rPr>
        <w:t>一、</w:t>
      </w:r>
      <w:r>
        <w:rPr>
          <w:rFonts w:hint="eastAsia"/>
          <w:b/>
          <w:i w:val="0"/>
          <w:iCs w:val="0"/>
          <w:color w:val="auto"/>
          <w:sz w:val="28"/>
          <w:szCs w:val="28"/>
          <w:highlight w:val="none"/>
        </w:rPr>
        <w:t>资格证明文件</w:t>
      </w:r>
    </w:p>
    <w:tbl>
      <w:tblPr>
        <w:tblStyle w:val="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5C845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2236AED5">
            <w:pPr>
              <w:pStyle w:val="364"/>
              <w:spacing w:before="0" w:after="0" w:line="240" w:lineRule="auto"/>
              <w:ind w:firstLine="0"/>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序号</w:t>
            </w:r>
          </w:p>
        </w:tc>
        <w:tc>
          <w:tcPr>
            <w:tcW w:w="6104" w:type="dxa"/>
            <w:noWrap w:val="0"/>
            <w:vAlign w:val="center"/>
          </w:tcPr>
          <w:p w14:paraId="42797103">
            <w:pPr>
              <w:pStyle w:val="364"/>
              <w:spacing w:before="0" w:after="0" w:line="240" w:lineRule="auto"/>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评审项及评审要求</w:t>
            </w:r>
          </w:p>
        </w:tc>
        <w:tc>
          <w:tcPr>
            <w:tcW w:w="2449" w:type="dxa"/>
            <w:noWrap w:val="0"/>
            <w:vAlign w:val="center"/>
          </w:tcPr>
          <w:p w14:paraId="04E27080">
            <w:pPr>
              <w:pStyle w:val="364"/>
              <w:spacing w:before="0" w:after="0" w:line="240" w:lineRule="auto"/>
              <w:ind w:firstLine="0"/>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审查因素</w:t>
            </w:r>
          </w:p>
        </w:tc>
      </w:tr>
      <w:tr w14:paraId="5E612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223BDADC">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1</w:t>
            </w:r>
          </w:p>
        </w:tc>
        <w:tc>
          <w:tcPr>
            <w:tcW w:w="6104" w:type="dxa"/>
            <w:noWrap w:val="0"/>
            <w:vAlign w:val="center"/>
          </w:tcPr>
          <w:p w14:paraId="52B96CF5">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467FC48F">
            <w:pPr>
              <w:pStyle w:val="364"/>
              <w:spacing w:before="0" w:after="0" w:line="240" w:lineRule="auto"/>
              <w:ind w:firstLine="0"/>
              <w:rPr>
                <w:rFonts w:hint="eastAsia" w:ascii="宋体" w:hAnsi="宋体" w:cs="宋体"/>
                <w:i w:val="0"/>
                <w:iCs w:val="0"/>
                <w:color w:val="auto"/>
                <w:highlight w:val="none"/>
              </w:rPr>
            </w:pPr>
            <w:r>
              <w:rPr>
                <w:rFonts w:hint="eastAsia" w:ascii="宋体" w:hAnsi="宋体" w:cs="宋体"/>
                <w:i w:val="0"/>
                <w:iCs w:val="0"/>
                <w:color w:val="auto"/>
                <w:highlight w:val="none"/>
              </w:rPr>
              <w:t>通用资格要求，详见第一章《投标邀请》</w:t>
            </w:r>
          </w:p>
        </w:tc>
      </w:tr>
      <w:tr w14:paraId="69074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724BFEAD">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2</w:t>
            </w:r>
          </w:p>
        </w:tc>
        <w:tc>
          <w:tcPr>
            <w:tcW w:w="6104" w:type="dxa"/>
            <w:noWrap w:val="0"/>
            <w:vAlign w:val="center"/>
          </w:tcPr>
          <w:p w14:paraId="0EE9B074">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《授权委托书》（给定格式；投标人如是自然人情形的</w:t>
            </w:r>
            <w:r>
              <w:rPr>
                <w:rFonts w:hint="eastAsia" w:ascii="宋体" w:hAnsi="宋体" w:cs="宋体"/>
                <w:i w:val="0"/>
                <w:iCs w:val="0"/>
                <w:color w:val="auto"/>
                <w:highlight w:val="none"/>
                <w:lang w:eastAsia="zh-CN"/>
              </w:rPr>
              <w:t>或法人亲自参与的</w:t>
            </w:r>
            <w:r>
              <w:rPr>
                <w:rFonts w:hint="eastAsia" w:ascii="宋体" w:hAnsi="宋体" w:cs="宋体"/>
                <w:i w:val="0"/>
                <w:iCs w:val="0"/>
                <w:color w:val="auto"/>
                <w:highlight w:val="none"/>
              </w:rPr>
              <w:t>，可不提供）。</w:t>
            </w:r>
          </w:p>
        </w:tc>
        <w:tc>
          <w:tcPr>
            <w:tcW w:w="2449" w:type="dxa"/>
            <w:vMerge w:val="continue"/>
            <w:noWrap w:val="0"/>
            <w:vAlign w:val="center"/>
          </w:tcPr>
          <w:p w14:paraId="45F066EA">
            <w:pPr>
              <w:pStyle w:val="364"/>
              <w:spacing w:before="0" w:after="0" w:line="240" w:lineRule="auto"/>
              <w:ind w:firstLine="0"/>
              <w:rPr>
                <w:rFonts w:hint="eastAsia" w:ascii="宋体" w:hAnsi="宋体" w:cs="宋体"/>
                <w:i w:val="0"/>
                <w:iCs w:val="0"/>
                <w:color w:val="auto"/>
                <w:highlight w:val="none"/>
              </w:rPr>
            </w:pPr>
          </w:p>
        </w:tc>
      </w:tr>
      <w:tr w14:paraId="45971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0F17A537">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3</w:t>
            </w:r>
          </w:p>
        </w:tc>
        <w:tc>
          <w:tcPr>
            <w:tcW w:w="6104" w:type="dxa"/>
            <w:noWrap w:val="0"/>
            <w:vAlign w:val="center"/>
          </w:tcPr>
          <w:p w14:paraId="07B78ED7">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239"/>
                <w:rFonts w:hint="eastAsia" w:ascii="宋体" w:hAnsi="宋体" w:cs="宋体"/>
                <w:i w:val="0"/>
                <w:iCs w:val="0"/>
                <w:color w:val="auto"/>
                <w:sz w:val="24"/>
                <w:szCs w:val="24"/>
                <w:highlight w:val="none"/>
              </w:rPr>
              <w:t>。</w:t>
            </w:r>
          </w:p>
        </w:tc>
        <w:tc>
          <w:tcPr>
            <w:tcW w:w="2449" w:type="dxa"/>
            <w:vMerge w:val="continue"/>
            <w:noWrap w:val="0"/>
            <w:vAlign w:val="center"/>
          </w:tcPr>
          <w:p w14:paraId="7513081F">
            <w:pPr>
              <w:pStyle w:val="364"/>
              <w:spacing w:before="0" w:after="0" w:line="240" w:lineRule="auto"/>
              <w:ind w:firstLine="0"/>
              <w:rPr>
                <w:rFonts w:hint="eastAsia" w:ascii="宋体" w:hAnsi="宋体" w:cs="宋体"/>
                <w:i w:val="0"/>
                <w:iCs w:val="0"/>
                <w:color w:val="auto"/>
                <w:highlight w:val="none"/>
              </w:rPr>
            </w:pPr>
          </w:p>
        </w:tc>
      </w:tr>
      <w:tr w14:paraId="17C01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2F5EDD3E">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4</w:t>
            </w:r>
          </w:p>
        </w:tc>
        <w:tc>
          <w:tcPr>
            <w:tcW w:w="6104" w:type="dxa"/>
            <w:noWrap w:val="0"/>
            <w:vAlign w:val="center"/>
          </w:tcPr>
          <w:p w14:paraId="38E95D07">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投标人近一年中任意一个月份(不含投标当月)的依法缴纳税收的相关材料（提供相关主管部门证明或银行代扣证明）。</w:t>
            </w:r>
          </w:p>
        </w:tc>
        <w:tc>
          <w:tcPr>
            <w:tcW w:w="2449" w:type="dxa"/>
            <w:vMerge w:val="continue"/>
            <w:noWrap w:val="0"/>
            <w:vAlign w:val="center"/>
          </w:tcPr>
          <w:p w14:paraId="5E7EE694">
            <w:pPr>
              <w:pStyle w:val="364"/>
              <w:spacing w:before="0" w:after="0" w:line="240" w:lineRule="auto"/>
              <w:ind w:firstLine="0"/>
              <w:rPr>
                <w:rFonts w:hint="eastAsia" w:ascii="宋体" w:hAnsi="宋体" w:cs="宋体"/>
                <w:i w:val="0"/>
                <w:iCs w:val="0"/>
                <w:color w:val="auto"/>
                <w:highlight w:val="none"/>
              </w:rPr>
            </w:pPr>
          </w:p>
        </w:tc>
      </w:tr>
      <w:tr w14:paraId="619DB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23D727A1">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5</w:t>
            </w:r>
          </w:p>
        </w:tc>
        <w:tc>
          <w:tcPr>
            <w:tcW w:w="6104" w:type="dxa"/>
            <w:noWrap w:val="0"/>
            <w:vAlign w:val="center"/>
          </w:tcPr>
          <w:p w14:paraId="1F7679BA">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5725840D">
            <w:pPr>
              <w:pStyle w:val="364"/>
              <w:spacing w:before="0" w:after="0" w:line="240" w:lineRule="auto"/>
              <w:ind w:firstLine="0"/>
              <w:rPr>
                <w:rFonts w:hint="eastAsia" w:ascii="宋体" w:hAnsi="宋体" w:cs="宋体"/>
                <w:i w:val="0"/>
                <w:iCs w:val="0"/>
                <w:color w:val="auto"/>
                <w:highlight w:val="none"/>
              </w:rPr>
            </w:pPr>
          </w:p>
        </w:tc>
      </w:tr>
      <w:tr w14:paraId="2FE8C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665DB792">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6</w:t>
            </w:r>
          </w:p>
        </w:tc>
        <w:tc>
          <w:tcPr>
            <w:tcW w:w="6104" w:type="dxa"/>
            <w:noWrap w:val="0"/>
            <w:vAlign w:val="center"/>
          </w:tcPr>
          <w:p w14:paraId="529E9CA9">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《资格声明函》（给定格式）。</w:t>
            </w:r>
          </w:p>
        </w:tc>
        <w:tc>
          <w:tcPr>
            <w:tcW w:w="2449" w:type="dxa"/>
            <w:vMerge w:val="continue"/>
            <w:noWrap w:val="0"/>
            <w:vAlign w:val="center"/>
          </w:tcPr>
          <w:p w14:paraId="1B6218AD">
            <w:pPr>
              <w:pStyle w:val="364"/>
              <w:spacing w:before="0" w:after="0" w:line="240" w:lineRule="auto"/>
              <w:ind w:firstLine="0"/>
              <w:rPr>
                <w:rFonts w:hint="eastAsia" w:ascii="宋体" w:hAnsi="宋体" w:cs="宋体"/>
                <w:i w:val="0"/>
                <w:iCs w:val="0"/>
                <w:color w:val="auto"/>
                <w:highlight w:val="none"/>
              </w:rPr>
            </w:pPr>
          </w:p>
        </w:tc>
      </w:tr>
      <w:tr w14:paraId="63D06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512FBBA5">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7</w:t>
            </w:r>
          </w:p>
        </w:tc>
        <w:tc>
          <w:tcPr>
            <w:tcW w:w="6104" w:type="dxa"/>
            <w:noWrap w:val="0"/>
            <w:vAlign w:val="center"/>
          </w:tcPr>
          <w:p w14:paraId="620D4486">
            <w:pPr>
              <w:widowControl/>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落实政府采购政策需满足的资格要求的证明文件（如有）。</w:t>
            </w:r>
          </w:p>
        </w:tc>
        <w:tc>
          <w:tcPr>
            <w:tcW w:w="2449" w:type="dxa"/>
            <w:vMerge w:val="continue"/>
            <w:noWrap w:val="0"/>
            <w:vAlign w:val="center"/>
          </w:tcPr>
          <w:p w14:paraId="428DFE47">
            <w:pPr>
              <w:pStyle w:val="364"/>
              <w:spacing w:before="0" w:after="0" w:line="240" w:lineRule="auto"/>
              <w:ind w:firstLine="0"/>
              <w:rPr>
                <w:rFonts w:ascii="宋体" w:hAnsi="宋体" w:cs="宋体"/>
                <w:i w:val="0"/>
                <w:iCs w:val="0"/>
                <w:color w:val="auto"/>
                <w:highlight w:val="none"/>
              </w:rPr>
            </w:pPr>
          </w:p>
        </w:tc>
      </w:tr>
      <w:tr w14:paraId="78200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48A80FAB">
            <w:pPr>
              <w:pStyle w:val="364"/>
              <w:spacing w:before="0" w:after="0" w:line="240" w:lineRule="auto"/>
              <w:ind w:firstLine="0"/>
              <w:jc w:val="center"/>
              <w:rPr>
                <w:rFonts w:hint="eastAsia" w:ascii="宋体" w:hAnsi="宋体" w:cs="宋体"/>
                <w:bCs/>
                <w:i w:val="0"/>
                <w:iCs w:val="0"/>
                <w:color w:val="auto"/>
                <w:highlight w:val="none"/>
              </w:rPr>
            </w:pPr>
            <w:r>
              <w:rPr>
                <w:rFonts w:hint="eastAsia" w:ascii="宋体" w:hAnsi="宋体" w:cs="宋体"/>
                <w:bCs/>
                <w:i w:val="0"/>
                <w:iCs w:val="0"/>
                <w:color w:val="auto"/>
                <w:highlight w:val="none"/>
              </w:rPr>
              <w:t>8</w:t>
            </w:r>
          </w:p>
        </w:tc>
        <w:tc>
          <w:tcPr>
            <w:tcW w:w="6104" w:type="dxa"/>
            <w:noWrap w:val="0"/>
            <w:vAlign w:val="center"/>
          </w:tcPr>
          <w:p w14:paraId="1A526AE7">
            <w:pPr>
              <w:pStyle w:val="364"/>
              <w:spacing w:before="0" w:after="0" w:line="240" w:lineRule="auto"/>
              <w:ind w:firstLine="0"/>
              <w:jc w:val="both"/>
              <w:rPr>
                <w:rFonts w:hint="eastAsia" w:ascii="宋体" w:hAnsi="宋体" w:cs="宋体"/>
                <w:bCs/>
                <w:i w:val="0"/>
                <w:iCs w:val="0"/>
                <w:color w:val="auto"/>
                <w:highlight w:val="none"/>
              </w:rPr>
            </w:pPr>
            <w:r>
              <w:rPr>
                <w:rFonts w:hint="eastAsia" w:ascii="宋体" w:hAnsi="宋体" w:cs="宋体"/>
                <w:bCs/>
                <w:i w:val="0"/>
                <w:iCs w:val="0"/>
                <w:color w:val="auto"/>
                <w:highlight w:val="none"/>
              </w:rPr>
              <w:t>本项目要求的特定资格证明</w:t>
            </w:r>
            <w:r>
              <w:rPr>
                <w:rFonts w:hint="eastAsia" w:ascii="宋体" w:hAnsi="宋体" w:cs="宋体"/>
                <w:i w:val="0"/>
                <w:iCs w:val="0"/>
                <w:color w:val="auto"/>
                <w:highlight w:val="none"/>
              </w:rPr>
              <w:t>文件（</w:t>
            </w:r>
            <w:r>
              <w:rPr>
                <w:rFonts w:hint="eastAsia" w:ascii="宋体" w:hAnsi="宋体" w:cs="宋体"/>
                <w:bCs/>
                <w:i w:val="0"/>
                <w:iCs w:val="0"/>
                <w:color w:val="auto"/>
                <w:highlight w:val="none"/>
              </w:rPr>
              <w:t>如有</w:t>
            </w:r>
            <w:r>
              <w:rPr>
                <w:rFonts w:hint="eastAsia" w:ascii="宋体" w:hAnsi="宋体" w:cs="宋体"/>
                <w:i w:val="0"/>
                <w:iCs w:val="0"/>
                <w:color w:val="auto"/>
                <w:highlight w:val="none"/>
              </w:rPr>
              <w:t>）。</w:t>
            </w:r>
          </w:p>
        </w:tc>
        <w:tc>
          <w:tcPr>
            <w:tcW w:w="2449" w:type="dxa"/>
            <w:noWrap w:val="0"/>
            <w:vAlign w:val="center"/>
          </w:tcPr>
          <w:p w14:paraId="7BB76F81">
            <w:pPr>
              <w:pStyle w:val="364"/>
              <w:spacing w:before="0" w:after="0" w:line="240" w:lineRule="auto"/>
              <w:ind w:firstLine="0"/>
              <w:rPr>
                <w:rFonts w:hint="eastAsia" w:ascii="宋体" w:hAnsi="宋体" w:cs="宋体"/>
                <w:bCs/>
                <w:i w:val="0"/>
                <w:iCs w:val="0"/>
                <w:color w:val="auto"/>
                <w:highlight w:val="none"/>
              </w:rPr>
            </w:pPr>
            <w:r>
              <w:rPr>
                <w:rFonts w:hint="eastAsia" w:ascii="宋体" w:hAnsi="宋体" w:cs="宋体"/>
                <w:i w:val="0"/>
                <w:iCs w:val="0"/>
                <w:color w:val="auto"/>
                <w:highlight w:val="none"/>
              </w:rPr>
              <w:t>特定资格要求，详见第一章《投标邀请》</w:t>
            </w:r>
          </w:p>
        </w:tc>
      </w:tr>
      <w:tr w14:paraId="20FC1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2C8AE1A3">
            <w:pPr>
              <w:pStyle w:val="364"/>
              <w:spacing w:before="0" w:after="0" w:line="240" w:lineRule="auto"/>
              <w:ind w:firstLine="0"/>
              <w:jc w:val="center"/>
              <w:rPr>
                <w:rFonts w:hint="eastAsia" w:ascii="宋体" w:hAnsi="宋体" w:cs="宋体"/>
                <w:bCs/>
                <w:i w:val="0"/>
                <w:iCs w:val="0"/>
                <w:color w:val="auto"/>
                <w:highlight w:val="none"/>
              </w:rPr>
            </w:pPr>
            <w:r>
              <w:rPr>
                <w:rFonts w:hint="eastAsia" w:ascii="宋体" w:hAnsi="宋体" w:cs="宋体"/>
                <w:bCs/>
                <w:i w:val="0"/>
                <w:iCs w:val="0"/>
                <w:color w:val="auto"/>
                <w:highlight w:val="none"/>
              </w:rPr>
              <w:t>9</w:t>
            </w:r>
          </w:p>
        </w:tc>
        <w:tc>
          <w:tcPr>
            <w:tcW w:w="6104" w:type="dxa"/>
            <w:noWrap w:val="0"/>
            <w:vAlign w:val="center"/>
          </w:tcPr>
          <w:p w14:paraId="78D007E2">
            <w:pPr>
              <w:pStyle w:val="364"/>
              <w:spacing w:before="0" w:after="0" w:line="240" w:lineRule="auto"/>
              <w:ind w:firstLine="0"/>
              <w:jc w:val="both"/>
              <w:rPr>
                <w:rFonts w:hint="eastAsia" w:ascii="宋体" w:hAnsi="宋体" w:cs="宋体"/>
                <w:bCs/>
                <w:i w:val="0"/>
                <w:iCs w:val="0"/>
                <w:color w:val="auto"/>
                <w:highlight w:val="none"/>
              </w:rPr>
            </w:pPr>
            <w:r>
              <w:rPr>
                <w:rFonts w:hint="eastAsia" w:ascii="宋体" w:hAnsi="宋体" w:cs="宋体"/>
                <w:bCs/>
                <w:i w:val="0"/>
                <w:iCs w:val="0"/>
                <w:color w:val="auto"/>
                <w:highlight w:val="none"/>
              </w:rPr>
              <w:t>《联合体协议》（如有，格式自拟）。</w:t>
            </w:r>
          </w:p>
        </w:tc>
        <w:tc>
          <w:tcPr>
            <w:tcW w:w="2449" w:type="dxa"/>
            <w:noWrap w:val="0"/>
            <w:vAlign w:val="center"/>
          </w:tcPr>
          <w:p w14:paraId="04D7507F">
            <w:pPr>
              <w:pStyle w:val="364"/>
              <w:spacing w:before="0" w:after="0" w:line="240" w:lineRule="auto"/>
              <w:ind w:firstLine="0"/>
              <w:rPr>
                <w:rFonts w:hint="eastAsia" w:ascii="宋体" w:hAnsi="宋体" w:cs="宋体"/>
                <w:i w:val="0"/>
                <w:iCs w:val="0"/>
                <w:color w:val="auto"/>
                <w:highlight w:val="none"/>
              </w:rPr>
            </w:pPr>
            <w:r>
              <w:rPr>
                <w:rFonts w:hint="eastAsia" w:ascii="宋体" w:hAnsi="宋体"/>
                <w:i w:val="0"/>
                <w:iCs w:val="0"/>
                <w:color w:val="auto"/>
                <w:highlight w:val="none"/>
              </w:rPr>
              <w:t>如接受联合体投标且投标人为联合体时</w:t>
            </w:r>
          </w:p>
        </w:tc>
      </w:tr>
    </w:tbl>
    <w:p w14:paraId="51A685B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说明：</w:t>
      </w:r>
    </w:p>
    <w:p w14:paraId="5A7E003D">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1.</w:t>
      </w:r>
      <w:r>
        <w:rPr>
          <w:rFonts w:ascii="宋体" w:hAnsi="宋体"/>
          <w:i w:val="0"/>
          <w:iCs w:val="0"/>
          <w:color w:val="auto"/>
          <w:sz w:val="24"/>
          <w:szCs w:val="24"/>
          <w:highlight w:val="none"/>
        </w:rPr>
        <w:t>上述资格证明文件</w:t>
      </w:r>
      <w:r>
        <w:rPr>
          <w:rFonts w:hint="eastAsia" w:ascii="宋体" w:hAnsi="宋体"/>
          <w:i w:val="0"/>
          <w:iCs w:val="0"/>
          <w:color w:val="auto"/>
          <w:sz w:val="24"/>
          <w:szCs w:val="24"/>
          <w:highlight w:val="none"/>
        </w:rPr>
        <w:t>1～6项必须全部按要求提供（有给定格式的，必须按给定格式的要求正确填报并提供，相应格式见本章第二部分），否则投标文件无效。</w:t>
      </w:r>
      <w:r>
        <w:rPr>
          <w:rFonts w:ascii="宋体" w:hAnsi="宋体"/>
          <w:i w:val="0"/>
          <w:iCs w:val="0"/>
          <w:color w:val="auto"/>
          <w:sz w:val="24"/>
          <w:szCs w:val="24"/>
          <w:highlight w:val="none"/>
        </w:rPr>
        <w:t>如遇年检、换证，则必须提供法定年检、换证单位出具的有效证明扫描件。</w:t>
      </w:r>
      <w:r>
        <w:rPr>
          <w:rFonts w:hint="eastAsia" w:ascii="宋体" w:hAnsi="宋体"/>
          <w:i w:val="0"/>
          <w:iCs w:val="0"/>
          <w:color w:val="auto"/>
          <w:sz w:val="24"/>
          <w:szCs w:val="24"/>
          <w:highlight w:val="none"/>
        </w:rPr>
        <w:t>其中</w:t>
      </w:r>
      <w:r>
        <w:rPr>
          <w:rFonts w:ascii="宋体" w:hAnsi="宋体"/>
          <w:i w:val="0"/>
          <w:iCs w:val="0"/>
          <w:color w:val="auto"/>
          <w:sz w:val="24"/>
          <w:szCs w:val="24"/>
          <w:highlight w:val="none"/>
        </w:rPr>
        <w:t>第</w:t>
      </w: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5</w:t>
      </w:r>
      <w:r>
        <w:rPr>
          <w:rFonts w:ascii="宋体" w:hAnsi="宋体"/>
          <w:i w:val="0"/>
          <w:iCs w:val="0"/>
          <w:color w:val="auto"/>
          <w:sz w:val="24"/>
          <w:szCs w:val="24"/>
          <w:highlight w:val="none"/>
        </w:rPr>
        <w:t>项如遇有国家相关政策规定可不具备的（如依法享受缓缴、免缴税收、社会保障资金</w:t>
      </w:r>
      <w:r>
        <w:rPr>
          <w:rFonts w:hint="eastAsia" w:ascii="宋体" w:hAnsi="宋体"/>
          <w:i w:val="0"/>
          <w:iCs w:val="0"/>
          <w:color w:val="auto"/>
          <w:sz w:val="24"/>
          <w:szCs w:val="24"/>
          <w:highlight w:val="none"/>
        </w:rPr>
        <w:t>等</w:t>
      </w:r>
      <w:r>
        <w:rPr>
          <w:rFonts w:ascii="宋体" w:hAnsi="宋体"/>
          <w:i w:val="0"/>
          <w:iCs w:val="0"/>
          <w:color w:val="auto"/>
          <w:sz w:val="24"/>
          <w:szCs w:val="24"/>
          <w:highlight w:val="none"/>
        </w:rPr>
        <w:t>），必须提供相关政策规定或相关单位出具的有效证明扫描件；如因新成立</w:t>
      </w:r>
      <w:r>
        <w:rPr>
          <w:rFonts w:hint="eastAsia" w:ascii="宋体" w:hAnsi="宋体"/>
          <w:i w:val="0"/>
          <w:iCs w:val="0"/>
          <w:color w:val="auto"/>
          <w:sz w:val="24"/>
          <w:szCs w:val="24"/>
          <w:highlight w:val="none"/>
        </w:rPr>
        <w:t>确无法提供</w:t>
      </w:r>
      <w:r>
        <w:rPr>
          <w:rFonts w:ascii="宋体" w:hAnsi="宋体"/>
          <w:i w:val="0"/>
          <w:iCs w:val="0"/>
          <w:color w:val="auto"/>
          <w:sz w:val="24"/>
          <w:szCs w:val="24"/>
          <w:highlight w:val="none"/>
        </w:rPr>
        <w:t>的，可以不提供。</w:t>
      </w:r>
    </w:p>
    <w:p w14:paraId="726176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4D14963">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2.</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7项，如本项目有落实政府采购政策需满足的资格要求的（详见第一章《投标邀请》），必须提供相应证明文件，否则投标文件无效。</w:t>
      </w:r>
    </w:p>
    <w:p w14:paraId="6F10D3A9">
      <w:pPr>
        <w:spacing w:line="500" w:lineRule="exact"/>
        <w:ind w:firstLine="480"/>
        <w:rPr>
          <w:rFonts w:hint="eastAsia" w:ascii="宋体" w:hAnsi="宋体"/>
          <w:i w:val="0"/>
          <w:iCs w:val="0"/>
          <w:color w:val="auto"/>
          <w:sz w:val="24"/>
          <w:szCs w:val="24"/>
          <w:highlight w:val="none"/>
        </w:rPr>
      </w:pPr>
      <w:r>
        <w:rPr>
          <w:rFonts w:ascii="宋体" w:hAnsi="宋体"/>
          <w:i w:val="0"/>
          <w:iCs w:val="0"/>
          <w:color w:val="auto"/>
          <w:sz w:val="24"/>
          <w:szCs w:val="24"/>
          <w:highlight w:val="none"/>
        </w:rPr>
        <w:t>专门面向中小</w:t>
      </w:r>
      <w:r>
        <w:rPr>
          <w:rFonts w:hint="eastAsia" w:ascii="宋体" w:hAnsi="宋体"/>
          <w:i w:val="0"/>
          <w:iCs w:val="0"/>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1B642201">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3.</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8项，如本项目有特定资格要求的（详见第一章《投标邀请》），须提供相应的特定资格证明文件。</w:t>
      </w:r>
    </w:p>
    <w:p w14:paraId="16D4DEE0">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4.</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7CB3C7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如项目接受联合体投标且投标人为联合体时，</w:t>
      </w:r>
      <w:r>
        <w:rPr>
          <w:rFonts w:ascii="宋体" w:hAnsi="宋体"/>
          <w:i w:val="0"/>
          <w:iCs w:val="0"/>
          <w:color w:val="auto"/>
          <w:sz w:val="24"/>
          <w:szCs w:val="24"/>
          <w:highlight w:val="none"/>
        </w:rPr>
        <w:t>上述资格证明文件</w:t>
      </w:r>
      <w:r>
        <w:rPr>
          <w:rFonts w:hint="eastAsia" w:ascii="宋体" w:hAnsi="宋体"/>
          <w:i w:val="0"/>
          <w:iCs w:val="0"/>
          <w:color w:val="auto"/>
          <w:sz w:val="24"/>
          <w:szCs w:val="24"/>
          <w:highlight w:val="none"/>
        </w:rPr>
        <w:t>中：第2、6项可由联合体主体单位（即联合体牵头人）代表联合体提供；第1、3、4、5、7（如有）、8（如有）项，联合体各方均须提供。</w:t>
      </w:r>
    </w:p>
    <w:p w14:paraId="436F3DC8">
      <w:pPr>
        <w:pStyle w:val="364"/>
        <w:numPr>
          <w:ilvl w:val="0"/>
          <w:numId w:val="0"/>
        </w:numPr>
        <w:spacing w:before="0" w:after="0" w:line="500" w:lineRule="exact"/>
        <w:jc w:val="both"/>
        <w:rPr>
          <w:rFonts w:hint="eastAsia" w:cs="Arial"/>
          <w:b/>
          <w:i w:val="0"/>
          <w:iCs w:val="0"/>
          <w:color w:val="auto"/>
          <w:sz w:val="30"/>
          <w:szCs w:val="30"/>
          <w:highlight w:val="none"/>
        </w:rPr>
      </w:pPr>
    </w:p>
    <w:p w14:paraId="39CD122F">
      <w:pPr>
        <w:pStyle w:val="364"/>
        <w:numPr>
          <w:ilvl w:val="0"/>
          <w:numId w:val="0"/>
        </w:numPr>
        <w:spacing w:before="0" w:after="0" w:line="500" w:lineRule="exact"/>
        <w:jc w:val="both"/>
        <w:rPr>
          <w:rFonts w:hint="eastAsia" w:cs="Arial"/>
          <w:b/>
          <w:i w:val="0"/>
          <w:iCs w:val="0"/>
          <w:color w:val="auto"/>
          <w:sz w:val="30"/>
          <w:szCs w:val="30"/>
          <w:highlight w:val="none"/>
        </w:rPr>
      </w:pPr>
    </w:p>
    <w:p w14:paraId="3C97BE16">
      <w:pPr>
        <w:pStyle w:val="364"/>
        <w:numPr>
          <w:ilvl w:val="0"/>
          <w:numId w:val="0"/>
        </w:numPr>
        <w:spacing w:before="0" w:after="0" w:line="500" w:lineRule="exact"/>
        <w:jc w:val="both"/>
        <w:rPr>
          <w:rFonts w:hint="eastAsia" w:cs="Arial"/>
          <w:b/>
          <w:i w:val="0"/>
          <w:iCs w:val="0"/>
          <w:color w:val="auto"/>
          <w:sz w:val="30"/>
          <w:szCs w:val="30"/>
          <w:highlight w:val="none"/>
        </w:rPr>
      </w:pPr>
    </w:p>
    <w:p w14:paraId="28BB9562">
      <w:pPr>
        <w:pStyle w:val="364"/>
        <w:numPr>
          <w:ilvl w:val="0"/>
          <w:numId w:val="0"/>
        </w:numPr>
        <w:spacing w:before="0" w:after="0" w:line="500" w:lineRule="exact"/>
        <w:jc w:val="both"/>
        <w:rPr>
          <w:rFonts w:hint="eastAsia" w:cs="Arial"/>
          <w:b/>
          <w:i w:val="0"/>
          <w:iCs w:val="0"/>
          <w:color w:val="auto"/>
          <w:sz w:val="30"/>
          <w:szCs w:val="30"/>
          <w:highlight w:val="none"/>
        </w:rPr>
      </w:pPr>
    </w:p>
    <w:p w14:paraId="30716C16">
      <w:pPr>
        <w:pStyle w:val="364"/>
        <w:numPr>
          <w:ilvl w:val="0"/>
          <w:numId w:val="0"/>
        </w:numPr>
        <w:spacing w:before="0" w:after="0" w:line="500" w:lineRule="exact"/>
        <w:jc w:val="both"/>
        <w:rPr>
          <w:rFonts w:hint="eastAsia" w:cs="Arial"/>
          <w:b/>
          <w:i w:val="0"/>
          <w:iCs w:val="0"/>
          <w:color w:val="auto"/>
          <w:sz w:val="30"/>
          <w:szCs w:val="30"/>
          <w:highlight w:val="none"/>
        </w:rPr>
      </w:pPr>
    </w:p>
    <w:p w14:paraId="19CF2209">
      <w:pPr>
        <w:pStyle w:val="364"/>
        <w:numPr>
          <w:ilvl w:val="0"/>
          <w:numId w:val="0"/>
        </w:numPr>
        <w:spacing w:before="0" w:after="0" w:line="500" w:lineRule="exact"/>
        <w:jc w:val="both"/>
        <w:rPr>
          <w:rFonts w:hint="eastAsia" w:cs="Arial"/>
          <w:b/>
          <w:i w:val="0"/>
          <w:iCs w:val="0"/>
          <w:color w:val="auto"/>
          <w:sz w:val="30"/>
          <w:szCs w:val="30"/>
          <w:highlight w:val="none"/>
        </w:rPr>
      </w:pPr>
    </w:p>
    <w:p w14:paraId="213E2330">
      <w:pPr>
        <w:pStyle w:val="364"/>
        <w:numPr>
          <w:ilvl w:val="0"/>
          <w:numId w:val="0"/>
        </w:numPr>
        <w:spacing w:before="0" w:after="0" w:line="500" w:lineRule="exact"/>
        <w:jc w:val="both"/>
        <w:rPr>
          <w:rFonts w:hint="eastAsia" w:cs="Arial"/>
          <w:b/>
          <w:i w:val="0"/>
          <w:iCs w:val="0"/>
          <w:color w:val="auto"/>
          <w:sz w:val="30"/>
          <w:szCs w:val="30"/>
          <w:highlight w:val="none"/>
        </w:rPr>
      </w:pPr>
    </w:p>
    <w:p w14:paraId="6FB1E521">
      <w:pPr>
        <w:pStyle w:val="364"/>
        <w:numPr>
          <w:ilvl w:val="0"/>
          <w:numId w:val="0"/>
        </w:numPr>
        <w:spacing w:before="0" w:after="0" w:line="500" w:lineRule="exact"/>
        <w:jc w:val="both"/>
        <w:rPr>
          <w:rFonts w:hint="eastAsia" w:cs="Arial"/>
          <w:b/>
          <w:i w:val="0"/>
          <w:iCs w:val="0"/>
          <w:color w:val="auto"/>
          <w:sz w:val="30"/>
          <w:szCs w:val="30"/>
          <w:highlight w:val="none"/>
        </w:rPr>
      </w:pPr>
    </w:p>
    <w:p w14:paraId="6CA448C9">
      <w:pPr>
        <w:pStyle w:val="364"/>
        <w:numPr>
          <w:ilvl w:val="0"/>
          <w:numId w:val="0"/>
        </w:numPr>
        <w:spacing w:before="0" w:after="0" w:line="500" w:lineRule="exact"/>
        <w:jc w:val="both"/>
        <w:rPr>
          <w:rFonts w:hint="eastAsia" w:cs="Arial"/>
          <w:b/>
          <w:i w:val="0"/>
          <w:iCs w:val="0"/>
          <w:color w:val="auto"/>
          <w:sz w:val="30"/>
          <w:szCs w:val="30"/>
          <w:highlight w:val="none"/>
        </w:rPr>
      </w:pPr>
    </w:p>
    <w:p w14:paraId="1D976812">
      <w:pPr>
        <w:pStyle w:val="364"/>
        <w:numPr>
          <w:ilvl w:val="0"/>
          <w:numId w:val="0"/>
        </w:numPr>
        <w:spacing w:before="0" w:after="0" w:line="500" w:lineRule="exact"/>
        <w:jc w:val="both"/>
        <w:rPr>
          <w:rFonts w:hint="eastAsia" w:cs="Arial"/>
          <w:b/>
          <w:i w:val="0"/>
          <w:iCs w:val="0"/>
          <w:color w:val="auto"/>
          <w:sz w:val="30"/>
          <w:szCs w:val="30"/>
          <w:highlight w:val="none"/>
        </w:rPr>
      </w:pPr>
    </w:p>
    <w:p w14:paraId="2B7C0578">
      <w:pPr>
        <w:rPr>
          <w:b/>
          <w:i w:val="0"/>
          <w:iCs w:val="0"/>
          <w:color w:val="auto"/>
          <w:sz w:val="28"/>
          <w:szCs w:val="28"/>
          <w:highlight w:val="none"/>
        </w:rPr>
      </w:pPr>
      <w:r>
        <w:rPr>
          <w:rFonts w:hint="eastAsia"/>
          <w:b/>
          <w:i w:val="0"/>
          <w:iCs w:val="0"/>
          <w:color w:val="auto"/>
          <w:sz w:val="28"/>
          <w:szCs w:val="28"/>
          <w:highlight w:val="none"/>
        </w:rPr>
        <w:t>二、符合性证明文件及其他证明文件</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525"/>
        <w:gridCol w:w="1549"/>
      </w:tblGrid>
      <w:tr w14:paraId="4E0AD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A850A04">
            <w:pPr>
              <w:pStyle w:val="364"/>
              <w:spacing w:before="0" w:after="0" w:line="240" w:lineRule="auto"/>
              <w:ind w:firstLine="0"/>
              <w:jc w:val="center"/>
              <w:rPr>
                <w:rFonts w:hint="eastAsia" w:cs="Arial"/>
                <w:b/>
                <w:i w:val="0"/>
                <w:iCs w:val="0"/>
                <w:color w:val="auto"/>
                <w:highlight w:val="none"/>
              </w:rPr>
            </w:pPr>
            <w:r>
              <w:rPr>
                <w:rFonts w:hint="eastAsia" w:cs="Arial"/>
                <w:b/>
                <w:i w:val="0"/>
                <w:iCs w:val="0"/>
                <w:color w:val="auto"/>
                <w:highlight w:val="none"/>
              </w:rPr>
              <w:t>序号</w:t>
            </w:r>
          </w:p>
        </w:tc>
        <w:tc>
          <w:tcPr>
            <w:tcW w:w="6525" w:type="dxa"/>
            <w:noWrap w:val="0"/>
            <w:vAlign w:val="center"/>
          </w:tcPr>
          <w:p w14:paraId="2E71ECE0">
            <w:pPr>
              <w:pStyle w:val="364"/>
              <w:spacing w:before="0" w:after="0" w:line="240" w:lineRule="auto"/>
              <w:ind w:firstLine="0"/>
              <w:jc w:val="center"/>
              <w:rPr>
                <w:rFonts w:hint="eastAsia" w:cs="Arial"/>
                <w:b/>
                <w:i w:val="0"/>
                <w:iCs w:val="0"/>
                <w:color w:val="auto"/>
                <w:highlight w:val="none"/>
              </w:rPr>
            </w:pPr>
            <w:r>
              <w:rPr>
                <w:rFonts w:hint="eastAsia" w:ascii="宋体" w:hAnsi="宋体" w:cs="宋体"/>
                <w:b/>
                <w:i w:val="0"/>
                <w:iCs w:val="0"/>
                <w:color w:val="auto"/>
                <w:highlight w:val="none"/>
              </w:rPr>
              <w:t>评审项及评审要求</w:t>
            </w:r>
          </w:p>
        </w:tc>
        <w:tc>
          <w:tcPr>
            <w:tcW w:w="1549" w:type="dxa"/>
            <w:noWrap w:val="0"/>
            <w:vAlign w:val="center"/>
          </w:tcPr>
          <w:p w14:paraId="3EFCBA64">
            <w:pPr>
              <w:pStyle w:val="364"/>
              <w:spacing w:before="0" w:after="0" w:line="240" w:lineRule="auto"/>
              <w:ind w:firstLine="0"/>
              <w:jc w:val="center"/>
              <w:rPr>
                <w:rFonts w:hint="eastAsia" w:cs="Arial"/>
                <w:b/>
                <w:i w:val="0"/>
                <w:iCs w:val="0"/>
                <w:color w:val="auto"/>
                <w:highlight w:val="none"/>
              </w:rPr>
            </w:pPr>
            <w:r>
              <w:rPr>
                <w:rFonts w:hint="eastAsia" w:cs="Arial"/>
                <w:b/>
                <w:i w:val="0"/>
                <w:iCs w:val="0"/>
                <w:color w:val="auto"/>
                <w:highlight w:val="none"/>
              </w:rPr>
              <w:t>审查因素</w:t>
            </w:r>
          </w:p>
        </w:tc>
      </w:tr>
      <w:tr w14:paraId="1734D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0E20153">
            <w:pPr>
              <w:pStyle w:val="364"/>
              <w:spacing w:before="0" w:after="0" w:line="240" w:lineRule="auto"/>
              <w:ind w:firstLine="0"/>
              <w:jc w:val="center"/>
              <w:rPr>
                <w:rFonts w:hint="eastAsia" w:ascii="宋体" w:hAnsi="宋体" w:cs="Arial"/>
                <w:i w:val="0"/>
                <w:iCs w:val="0"/>
                <w:color w:val="auto"/>
                <w:highlight w:val="none"/>
              </w:rPr>
            </w:pPr>
            <w:r>
              <w:rPr>
                <w:rFonts w:hint="eastAsia" w:ascii="宋体" w:hAnsi="宋体" w:cs="Arial"/>
                <w:i w:val="0"/>
                <w:iCs w:val="0"/>
                <w:color w:val="auto"/>
                <w:highlight w:val="none"/>
              </w:rPr>
              <w:t>1</w:t>
            </w:r>
          </w:p>
        </w:tc>
        <w:tc>
          <w:tcPr>
            <w:tcW w:w="6525" w:type="dxa"/>
            <w:noWrap w:val="0"/>
            <w:vAlign w:val="center"/>
          </w:tcPr>
          <w:p w14:paraId="654D398E">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cs="Arial"/>
                <w:i w:val="0"/>
                <w:iCs w:val="0"/>
                <w:color w:val="auto"/>
                <w:highlight w:val="none"/>
              </w:rPr>
              <w:t>投标函（给定格式）</w:t>
            </w:r>
          </w:p>
        </w:tc>
        <w:tc>
          <w:tcPr>
            <w:tcW w:w="1549" w:type="dxa"/>
            <w:vMerge w:val="restart"/>
            <w:noWrap w:val="0"/>
            <w:vAlign w:val="center"/>
          </w:tcPr>
          <w:p w14:paraId="5F685053">
            <w:pPr>
              <w:pStyle w:val="364"/>
              <w:spacing w:before="0" w:after="0" w:line="240" w:lineRule="auto"/>
              <w:ind w:firstLine="0"/>
              <w:jc w:val="both"/>
              <w:rPr>
                <w:rFonts w:hint="eastAsia" w:cs="Arial"/>
                <w:i w:val="0"/>
                <w:iCs w:val="0"/>
                <w:color w:val="auto"/>
                <w:highlight w:val="none"/>
              </w:rPr>
            </w:pPr>
            <w:r>
              <w:rPr>
                <w:rFonts w:hint="eastAsia" w:cs="Arial"/>
                <w:i w:val="0"/>
                <w:iCs w:val="0"/>
                <w:color w:val="auto"/>
                <w:highlight w:val="none"/>
              </w:rPr>
              <w:t>符合性证明文件</w:t>
            </w:r>
          </w:p>
        </w:tc>
      </w:tr>
      <w:tr w14:paraId="18F8F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5A9A9BC">
            <w:pPr>
              <w:pStyle w:val="364"/>
              <w:spacing w:before="0" w:after="0" w:line="240" w:lineRule="auto"/>
              <w:ind w:firstLine="0"/>
              <w:jc w:val="center"/>
              <w:rPr>
                <w:rFonts w:hint="eastAsia" w:ascii="宋体" w:hAnsi="宋体" w:cs="Arial"/>
                <w:i w:val="0"/>
                <w:iCs w:val="0"/>
                <w:color w:val="auto"/>
                <w:highlight w:val="none"/>
              </w:rPr>
            </w:pPr>
            <w:r>
              <w:rPr>
                <w:rFonts w:hint="eastAsia" w:ascii="宋体" w:hAnsi="宋体" w:cs="Arial"/>
                <w:i w:val="0"/>
                <w:iCs w:val="0"/>
                <w:color w:val="auto"/>
                <w:highlight w:val="none"/>
              </w:rPr>
              <w:t>2</w:t>
            </w:r>
          </w:p>
        </w:tc>
        <w:tc>
          <w:tcPr>
            <w:tcW w:w="6525" w:type="dxa"/>
            <w:noWrap w:val="0"/>
            <w:vAlign w:val="center"/>
          </w:tcPr>
          <w:p w14:paraId="61B77AC9">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cs="Arial"/>
                <w:i w:val="0"/>
                <w:iCs w:val="0"/>
                <w:color w:val="auto"/>
                <w:highlight w:val="none"/>
              </w:rPr>
              <w:t>承诺书（给定格式）</w:t>
            </w:r>
          </w:p>
        </w:tc>
        <w:tc>
          <w:tcPr>
            <w:tcW w:w="1549" w:type="dxa"/>
            <w:vMerge w:val="continue"/>
            <w:noWrap w:val="0"/>
            <w:vAlign w:val="center"/>
          </w:tcPr>
          <w:p w14:paraId="0E702A22">
            <w:pPr>
              <w:pStyle w:val="364"/>
              <w:spacing w:before="0" w:after="0" w:line="240" w:lineRule="auto"/>
              <w:ind w:firstLine="0"/>
              <w:jc w:val="both"/>
              <w:rPr>
                <w:rFonts w:hint="eastAsia" w:cs="Arial"/>
                <w:i w:val="0"/>
                <w:iCs w:val="0"/>
                <w:color w:val="auto"/>
                <w:highlight w:val="none"/>
              </w:rPr>
            </w:pPr>
          </w:p>
        </w:tc>
      </w:tr>
      <w:tr w14:paraId="06D31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5E0CDE3">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3</w:t>
            </w:r>
          </w:p>
        </w:tc>
        <w:tc>
          <w:tcPr>
            <w:tcW w:w="6525" w:type="dxa"/>
            <w:noWrap w:val="0"/>
            <w:vAlign w:val="center"/>
          </w:tcPr>
          <w:p w14:paraId="53BEFA12">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i w:val="0"/>
                <w:iCs w:val="0"/>
                <w:color w:val="auto"/>
                <w:highlight w:val="none"/>
              </w:rPr>
              <w:t>开标一览表（给定格式）</w:t>
            </w:r>
          </w:p>
        </w:tc>
        <w:tc>
          <w:tcPr>
            <w:tcW w:w="1549" w:type="dxa"/>
            <w:vMerge w:val="continue"/>
            <w:noWrap w:val="0"/>
            <w:vAlign w:val="center"/>
          </w:tcPr>
          <w:p w14:paraId="7DD2889D">
            <w:pPr>
              <w:pStyle w:val="364"/>
              <w:spacing w:before="0" w:after="0" w:line="240" w:lineRule="auto"/>
              <w:ind w:firstLine="0"/>
              <w:jc w:val="both"/>
              <w:rPr>
                <w:rFonts w:hint="eastAsia" w:cs="Arial"/>
                <w:i w:val="0"/>
                <w:iCs w:val="0"/>
                <w:color w:val="auto"/>
                <w:highlight w:val="none"/>
              </w:rPr>
            </w:pPr>
          </w:p>
        </w:tc>
      </w:tr>
      <w:tr w14:paraId="5C38A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81C6E67">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4</w:t>
            </w:r>
          </w:p>
        </w:tc>
        <w:tc>
          <w:tcPr>
            <w:tcW w:w="6525" w:type="dxa"/>
            <w:noWrap w:val="0"/>
            <w:vAlign w:val="center"/>
          </w:tcPr>
          <w:p w14:paraId="72E04827">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i w:val="0"/>
                <w:iCs w:val="0"/>
                <w:color w:val="auto"/>
                <w:highlight w:val="none"/>
              </w:rPr>
              <w:t>分项报价表（给定格式）</w:t>
            </w:r>
          </w:p>
        </w:tc>
        <w:tc>
          <w:tcPr>
            <w:tcW w:w="1549" w:type="dxa"/>
            <w:vMerge w:val="continue"/>
            <w:noWrap w:val="0"/>
            <w:vAlign w:val="center"/>
          </w:tcPr>
          <w:p w14:paraId="673F15E5">
            <w:pPr>
              <w:pStyle w:val="364"/>
              <w:spacing w:before="0" w:after="0" w:line="240" w:lineRule="auto"/>
              <w:ind w:firstLine="0"/>
              <w:jc w:val="both"/>
              <w:rPr>
                <w:rFonts w:hint="eastAsia" w:cs="Arial"/>
                <w:i w:val="0"/>
                <w:iCs w:val="0"/>
                <w:color w:val="auto"/>
                <w:highlight w:val="none"/>
              </w:rPr>
            </w:pPr>
          </w:p>
        </w:tc>
      </w:tr>
      <w:tr w14:paraId="34F1A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EDB7D22">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5</w:t>
            </w:r>
          </w:p>
        </w:tc>
        <w:tc>
          <w:tcPr>
            <w:tcW w:w="6525" w:type="dxa"/>
            <w:noWrap w:val="0"/>
            <w:vAlign w:val="center"/>
          </w:tcPr>
          <w:p w14:paraId="7662686C">
            <w:pPr>
              <w:pStyle w:val="364"/>
              <w:spacing w:before="0" w:after="0" w:line="240" w:lineRule="auto"/>
              <w:ind w:firstLine="0"/>
              <w:jc w:val="both"/>
              <w:rPr>
                <w:rFonts w:ascii="宋体" w:hAnsi="宋体" w:cs="Arial"/>
                <w:i w:val="0"/>
                <w:iCs w:val="0"/>
                <w:color w:val="auto"/>
                <w:highlight w:val="none"/>
              </w:rPr>
            </w:pPr>
            <w:r>
              <w:rPr>
                <w:rFonts w:hint="eastAsia" w:ascii="宋体" w:hAnsi="宋体"/>
                <w:i w:val="0"/>
                <w:iCs w:val="0"/>
                <w:color w:val="auto"/>
                <w:highlight w:val="none"/>
              </w:rPr>
              <w:t>投标偏离表（给定格式）</w:t>
            </w:r>
          </w:p>
        </w:tc>
        <w:tc>
          <w:tcPr>
            <w:tcW w:w="1549" w:type="dxa"/>
            <w:vMerge w:val="continue"/>
            <w:noWrap w:val="0"/>
            <w:vAlign w:val="center"/>
          </w:tcPr>
          <w:p w14:paraId="490D33D8">
            <w:pPr>
              <w:pStyle w:val="364"/>
              <w:spacing w:before="0" w:after="0" w:line="240" w:lineRule="auto"/>
              <w:ind w:firstLine="0"/>
              <w:jc w:val="both"/>
              <w:rPr>
                <w:rFonts w:hint="eastAsia" w:cs="Arial"/>
                <w:i w:val="0"/>
                <w:iCs w:val="0"/>
                <w:color w:val="auto"/>
                <w:highlight w:val="none"/>
              </w:rPr>
            </w:pPr>
          </w:p>
        </w:tc>
      </w:tr>
      <w:tr w14:paraId="633A39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3FA7E31A">
            <w:pPr>
              <w:pStyle w:val="364"/>
              <w:spacing w:before="0" w:after="0" w:line="240" w:lineRule="auto"/>
              <w:ind w:firstLine="0" w:firstLineChars="0"/>
              <w:jc w:val="center"/>
              <w:rPr>
                <w:rFonts w:hint="eastAsia" w:ascii="宋体" w:hAnsi="宋体" w:eastAsia="宋体" w:cs="Times New Roman"/>
                <w:i w:val="0"/>
                <w:iCs w:val="0"/>
                <w:color w:val="auto"/>
                <w:sz w:val="24"/>
                <w:szCs w:val="24"/>
                <w:highlight w:val="none"/>
                <w:lang w:val="en-US" w:eastAsia="zh-CN" w:bidi="ar-SA"/>
              </w:rPr>
            </w:pPr>
            <w:r>
              <w:rPr>
                <w:rFonts w:hint="eastAsia" w:ascii="宋体" w:hAnsi="宋体"/>
                <w:i w:val="0"/>
                <w:iCs w:val="0"/>
                <w:color w:val="auto"/>
                <w:highlight w:val="none"/>
                <w:lang w:val="en-US" w:eastAsia="zh-CN"/>
              </w:rPr>
              <w:t>6</w:t>
            </w:r>
          </w:p>
        </w:tc>
        <w:tc>
          <w:tcPr>
            <w:tcW w:w="6525" w:type="dxa"/>
            <w:noWrap w:val="0"/>
            <w:vAlign w:val="center"/>
          </w:tcPr>
          <w:p w14:paraId="13049FD1">
            <w:pPr>
              <w:pStyle w:val="364"/>
              <w:spacing w:before="0" w:after="0" w:line="240" w:lineRule="auto"/>
              <w:ind w:firstLine="0"/>
              <w:jc w:val="both"/>
              <w:rPr>
                <w:rFonts w:hint="eastAsia" w:ascii="宋体" w:hAnsi="宋体"/>
                <w:i w:val="0"/>
                <w:iCs w:val="0"/>
                <w:color w:val="auto"/>
                <w:highlight w:val="none"/>
              </w:rPr>
            </w:pPr>
            <w:r>
              <w:rPr>
                <w:rFonts w:hint="eastAsia" w:ascii="宋体" w:hAnsi="宋体" w:eastAsia="宋体" w:cs="Times New Roman"/>
                <w:i w:val="0"/>
                <w:iCs w:val="0"/>
                <w:color w:val="auto"/>
                <w:highlight w:val="none"/>
                <w:lang w:val="en-US" w:eastAsia="zh-CN"/>
              </w:rPr>
              <w:t>采购清单中CCC认证产品和强制节能产品认证证书</w:t>
            </w:r>
          </w:p>
        </w:tc>
        <w:tc>
          <w:tcPr>
            <w:tcW w:w="1549" w:type="dxa"/>
            <w:vMerge w:val="continue"/>
            <w:noWrap w:val="0"/>
            <w:vAlign w:val="center"/>
          </w:tcPr>
          <w:p w14:paraId="53A2C356">
            <w:pPr>
              <w:pStyle w:val="364"/>
              <w:spacing w:before="0" w:after="0" w:line="240" w:lineRule="auto"/>
              <w:ind w:firstLine="0"/>
              <w:jc w:val="both"/>
              <w:rPr>
                <w:rFonts w:hint="eastAsia" w:cs="Arial"/>
                <w:i w:val="0"/>
                <w:iCs w:val="0"/>
                <w:color w:val="auto"/>
                <w:highlight w:val="none"/>
              </w:rPr>
            </w:pPr>
          </w:p>
        </w:tc>
      </w:tr>
      <w:tr w14:paraId="078D6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781C093B">
            <w:pPr>
              <w:pStyle w:val="364"/>
              <w:spacing w:before="0" w:after="0" w:line="240" w:lineRule="auto"/>
              <w:ind w:firstLine="0" w:firstLineChars="0"/>
              <w:jc w:val="center"/>
              <w:rPr>
                <w:rFonts w:hint="default" w:ascii="宋体" w:hAnsi="宋体" w:eastAsia="宋体" w:cs="Times New Roman"/>
                <w:i w:val="0"/>
                <w:iCs w:val="0"/>
                <w:color w:val="auto"/>
                <w:sz w:val="24"/>
                <w:szCs w:val="24"/>
                <w:highlight w:val="none"/>
                <w:lang w:val="en-US" w:eastAsia="zh-CN" w:bidi="ar-SA"/>
              </w:rPr>
            </w:pPr>
            <w:r>
              <w:rPr>
                <w:rFonts w:hint="eastAsia" w:ascii="宋体" w:hAnsi="宋体"/>
                <w:i w:val="0"/>
                <w:iCs w:val="0"/>
                <w:color w:val="auto"/>
                <w:highlight w:val="none"/>
                <w:lang w:val="en-US" w:eastAsia="zh-CN"/>
              </w:rPr>
              <w:t>7</w:t>
            </w:r>
          </w:p>
        </w:tc>
        <w:tc>
          <w:tcPr>
            <w:tcW w:w="6525" w:type="dxa"/>
            <w:noWrap w:val="0"/>
            <w:vAlign w:val="center"/>
          </w:tcPr>
          <w:p w14:paraId="0D5BD93A">
            <w:pPr>
              <w:pStyle w:val="364"/>
              <w:spacing w:before="0" w:after="0" w:line="240" w:lineRule="auto"/>
              <w:ind w:firstLine="0"/>
              <w:jc w:val="both"/>
              <w:rPr>
                <w:rFonts w:hint="eastAsia" w:ascii="宋体" w:hAnsi="宋体"/>
                <w:i w:val="0"/>
                <w:iCs w:val="0"/>
                <w:color w:val="auto"/>
                <w:highlight w:val="none"/>
              </w:rPr>
            </w:pPr>
            <w:r>
              <w:rPr>
                <w:rFonts w:hint="eastAsia" w:ascii="宋体" w:hAnsi="宋体"/>
                <w:i w:val="0"/>
                <w:iCs w:val="0"/>
                <w:color w:val="auto"/>
                <w:highlight w:val="none"/>
              </w:rPr>
              <w:t>《评标方法与评标标准》中涉及的证明文件</w:t>
            </w:r>
          </w:p>
        </w:tc>
        <w:tc>
          <w:tcPr>
            <w:tcW w:w="1549" w:type="dxa"/>
            <w:vMerge w:val="restart"/>
            <w:noWrap w:val="0"/>
            <w:vAlign w:val="center"/>
          </w:tcPr>
          <w:p w14:paraId="2BAA61A1">
            <w:pPr>
              <w:pStyle w:val="364"/>
              <w:spacing w:before="0" w:after="0" w:line="240" w:lineRule="auto"/>
              <w:ind w:firstLine="0"/>
              <w:jc w:val="both"/>
              <w:rPr>
                <w:rFonts w:hint="eastAsia" w:cs="Arial"/>
                <w:i w:val="0"/>
                <w:iCs w:val="0"/>
                <w:color w:val="auto"/>
                <w:highlight w:val="none"/>
              </w:rPr>
            </w:pPr>
            <w:r>
              <w:rPr>
                <w:rFonts w:hint="eastAsia" w:cs="Arial"/>
                <w:i w:val="0"/>
                <w:iCs w:val="0"/>
                <w:color w:val="auto"/>
                <w:highlight w:val="none"/>
              </w:rPr>
              <w:t>其他证明文件</w:t>
            </w:r>
          </w:p>
        </w:tc>
      </w:tr>
      <w:tr w14:paraId="2E471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C49F266">
            <w:pPr>
              <w:pStyle w:val="364"/>
              <w:spacing w:before="0" w:after="0" w:line="240" w:lineRule="auto"/>
              <w:ind w:firstLine="0"/>
              <w:jc w:val="center"/>
              <w:rPr>
                <w:rFonts w:hint="default" w:ascii="宋体" w:hAnsi="宋体" w:eastAsia="宋体"/>
                <w:i w:val="0"/>
                <w:iCs w:val="0"/>
                <w:color w:val="auto"/>
                <w:highlight w:val="none"/>
                <w:lang w:val="en-US" w:eastAsia="zh-CN"/>
              </w:rPr>
            </w:pPr>
            <w:r>
              <w:rPr>
                <w:rFonts w:hint="eastAsia" w:ascii="宋体" w:hAnsi="宋体"/>
                <w:i w:val="0"/>
                <w:iCs w:val="0"/>
                <w:color w:val="auto"/>
                <w:highlight w:val="none"/>
                <w:lang w:val="en-US" w:eastAsia="zh-CN"/>
              </w:rPr>
              <w:t>8</w:t>
            </w:r>
          </w:p>
        </w:tc>
        <w:tc>
          <w:tcPr>
            <w:tcW w:w="6525" w:type="dxa"/>
            <w:noWrap w:val="0"/>
            <w:vAlign w:val="center"/>
          </w:tcPr>
          <w:p w14:paraId="770FE445">
            <w:pPr>
              <w:pStyle w:val="364"/>
              <w:spacing w:before="0" w:after="0" w:line="240" w:lineRule="auto"/>
              <w:ind w:firstLine="0"/>
              <w:jc w:val="both"/>
              <w:rPr>
                <w:rFonts w:hint="eastAsia" w:ascii="宋体" w:hAnsi="宋体"/>
                <w:i w:val="0"/>
                <w:iCs w:val="0"/>
                <w:color w:val="auto"/>
                <w:highlight w:val="none"/>
              </w:rPr>
            </w:pPr>
            <w:r>
              <w:rPr>
                <w:rFonts w:hint="eastAsia" w:ascii="宋体" w:hAnsi="宋体"/>
                <w:i w:val="0"/>
                <w:iCs w:val="0"/>
                <w:color w:val="auto"/>
                <w:highlight w:val="none"/>
              </w:rPr>
              <w:t>其他投标人认为应附的文件（如有，自拟并自行添加）</w:t>
            </w:r>
          </w:p>
        </w:tc>
        <w:tc>
          <w:tcPr>
            <w:tcW w:w="1549" w:type="dxa"/>
            <w:vMerge w:val="continue"/>
            <w:noWrap w:val="0"/>
            <w:vAlign w:val="top"/>
          </w:tcPr>
          <w:p w14:paraId="61C2DE4D">
            <w:pPr>
              <w:pStyle w:val="364"/>
              <w:spacing w:before="0" w:after="0" w:line="240" w:lineRule="auto"/>
              <w:ind w:firstLine="0"/>
              <w:rPr>
                <w:rFonts w:hint="eastAsia" w:cs="Arial"/>
                <w:i w:val="0"/>
                <w:iCs w:val="0"/>
                <w:color w:val="auto"/>
                <w:highlight w:val="none"/>
              </w:rPr>
            </w:pPr>
          </w:p>
        </w:tc>
      </w:tr>
    </w:tbl>
    <w:p w14:paraId="7799638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说明：</w:t>
      </w:r>
    </w:p>
    <w:p w14:paraId="6DBE0CB6">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1.</w:t>
      </w:r>
      <w:r>
        <w:rPr>
          <w:rFonts w:hint="eastAsia" w:ascii="宋体" w:hAnsi="宋体"/>
          <w:i w:val="0"/>
          <w:iCs w:val="0"/>
          <w:color w:val="auto"/>
          <w:sz w:val="24"/>
          <w:szCs w:val="24"/>
          <w:highlight w:val="none"/>
        </w:rPr>
        <w:t>上述</w:t>
      </w:r>
      <w:r>
        <w:rPr>
          <w:rFonts w:hint="eastAsia" w:cs="Arial"/>
          <w:i w:val="0"/>
          <w:iCs w:val="0"/>
          <w:color w:val="auto"/>
          <w:sz w:val="24"/>
          <w:szCs w:val="24"/>
          <w:highlight w:val="none"/>
        </w:rPr>
        <w:t>符合性证明文件及其他证明文件</w:t>
      </w:r>
      <w:r>
        <w:rPr>
          <w:rFonts w:hint="eastAsia" w:ascii="宋体" w:hAnsi="宋体"/>
          <w:i w:val="0"/>
          <w:iCs w:val="0"/>
          <w:color w:val="auto"/>
          <w:sz w:val="24"/>
          <w:szCs w:val="24"/>
          <w:highlight w:val="none"/>
        </w:rPr>
        <w:t>1～</w:t>
      </w:r>
      <w:r>
        <w:rPr>
          <w:rFonts w:hint="eastAsia" w:ascii="宋体" w:hAnsi="宋体"/>
          <w:i w:val="0"/>
          <w:iCs w:val="0"/>
          <w:color w:val="auto"/>
          <w:sz w:val="24"/>
          <w:szCs w:val="24"/>
          <w:highlight w:val="none"/>
          <w:lang w:val="en-US" w:eastAsia="zh-CN"/>
        </w:rPr>
        <w:t>6</w:t>
      </w:r>
      <w:r>
        <w:rPr>
          <w:rFonts w:hint="eastAsia" w:ascii="宋体" w:hAnsi="宋体"/>
          <w:i w:val="0"/>
          <w:iCs w:val="0"/>
          <w:color w:val="auto"/>
          <w:sz w:val="24"/>
          <w:szCs w:val="24"/>
          <w:highlight w:val="none"/>
        </w:rPr>
        <w:t>项必须按要求全部提供（有给定格式的，必须按给定格式的要求正确填报并提供，相应格式见本章第二部分），否则投标文件无效。</w:t>
      </w:r>
    </w:p>
    <w:p w14:paraId="67B839B4">
      <w:pPr>
        <w:numPr>
          <w:ilvl w:val="0"/>
          <w:numId w:val="0"/>
        </w:numPr>
        <w:spacing w:line="500" w:lineRule="exact"/>
        <w:ind w:firstLine="480"/>
        <w:rPr>
          <w:rFonts w:hint="eastAsia" w:cs="Arial"/>
          <w:b/>
          <w:i w:val="0"/>
          <w:iCs w:val="0"/>
          <w:color w:val="auto"/>
          <w:sz w:val="30"/>
          <w:szCs w:val="30"/>
          <w:highlight w:val="none"/>
        </w:rPr>
      </w:pPr>
      <w:r>
        <w:rPr>
          <w:rFonts w:hint="eastAsia" w:ascii="宋体" w:hAnsi="宋体" w:cs="宋体"/>
          <w:i w:val="0"/>
          <w:iCs w:val="0"/>
          <w:color w:val="auto"/>
          <w:sz w:val="24"/>
          <w:szCs w:val="24"/>
          <w:highlight w:val="none"/>
          <w:lang w:val="en-US" w:eastAsia="zh-CN"/>
        </w:rPr>
        <w:t>2.</w:t>
      </w:r>
      <w:r>
        <w:rPr>
          <w:rFonts w:hint="eastAsia" w:ascii="宋体" w:hAnsi="宋体" w:cs="宋体"/>
          <w:i w:val="0"/>
          <w:iCs w:val="0"/>
          <w:color w:val="auto"/>
          <w:sz w:val="24"/>
          <w:szCs w:val="24"/>
          <w:highlight w:val="none"/>
        </w:rPr>
        <w:t>如项目接受联合体投标，且投标人为联合体时，上述</w:t>
      </w:r>
      <w:r>
        <w:rPr>
          <w:rFonts w:hint="eastAsia" w:cs="Arial"/>
          <w:i w:val="0"/>
          <w:iCs w:val="0"/>
          <w:color w:val="auto"/>
          <w:sz w:val="24"/>
          <w:szCs w:val="24"/>
          <w:highlight w:val="none"/>
        </w:rPr>
        <w:t>符合性证明文件及其他证明文件</w:t>
      </w:r>
      <w:r>
        <w:rPr>
          <w:rFonts w:hint="eastAsia" w:ascii="宋体" w:hAnsi="宋体" w:cs="宋体"/>
          <w:i w:val="0"/>
          <w:iCs w:val="0"/>
          <w:color w:val="auto"/>
          <w:sz w:val="24"/>
          <w:szCs w:val="24"/>
          <w:highlight w:val="none"/>
        </w:rPr>
        <w:t>第1～</w:t>
      </w:r>
      <w:r>
        <w:rPr>
          <w:rFonts w:hint="eastAsia" w:ascii="宋体" w:hAnsi="宋体" w:cs="宋体"/>
          <w:i w:val="0"/>
          <w:iCs w:val="0"/>
          <w:color w:val="auto"/>
          <w:sz w:val="24"/>
          <w:szCs w:val="24"/>
          <w:highlight w:val="none"/>
          <w:lang w:val="en-US" w:eastAsia="zh-CN"/>
        </w:rPr>
        <w:t>8</w:t>
      </w:r>
      <w:r>
        <w:rPr>
          <w:rFonts w:hint="eastAsia" w:ascii="宋体" w:hAnsi="宋体" w:cs="宋体"/>
          <w:i w:val="0"/>
          <w:iCs w:val="0"/>
          <w:color w:val="auto"/>
          <w:sz w:val="24"/>
          <w:szCs w:val="24"/>
          <w:highlight w:val="none"/>
        </w:rPr>
        <w:t>项可由联合体主体单位（即联合体牵头人）代表联合体提供。</w:t>
      </w:r>
      <w:bookmarkEnd w:id="138"/>
    </w:p>
    <w:p w14:paraId="5BFE90E6">
      <w:pPr>
        <w:jc w:val="both"/>
        <w:rPr>
          <w:rFonts w:hint="eastAsia" w:cs="Arial"/>
          <w:b/>
          <w:i w:val="0"/>
          <w:iCs w:val="0"/>
          <w:color w:val="auto"/>
          <w:sz w:val="30"/>
          <w:szCs w:val="30"/>
          <w:highlight w:val="none"/>
        </w:rPr>
      </w:pPr>
    </w:p>
    <w:p w14:paraId="3FCE7A94">
      <w:pPr>
        <w:jc w:val="both"/>
        <w:rPr>
          <w:rFonts w:hint="eastAsia" w:cs="Arial"/>
          <w:b/>
          <w:i w:val="0"/>
          <w:iCs w:val="0"/>
          <w:color w:val="auto"/>
          <w:sz w:val="30"/>
          <w:szCs w:val="30"/>
          <w:highlight w:val="none"/>
        </w:rPr>
      </w:pPr>
    </w:p>
    <w:p w14:paraId="768310E4">
      <w:pPr>
        <w:jc w:val="both"/>
        <w:rPr>
          <w:rFonts w:hint="eastAsia" w:cs="Arial"/>
          <w:b/>
          <w:i w:val="0"/>
          <w:iCs w:val="0"/>
          <w:color w:val="auto"/>
          <w:sz w:val="30"/>
          <w:szCs w:val="30"/>
          <w:highlight w:val="none"/>
        </w:rPr>
      </w:pPr>
    </w:p>
    <w:p w14:paraId="78750561">
      <w:pPr>
        <w:jc w:val="both"/>
        <w:rPr>
          <w:rFonts w:hint="eastAsia" w:cs="Arial"/>
          <w:b/>
          <w:i w:val="0"/>
          <w:iCs w:val="0"/>
          <w:color w:val="auto"/>
          <w:sz w:val="30"/>
          <w:szCs w:val="30"/>
          <w:highlight w:val="none"/>
        </w:rPr>
      </w:pPr>
    </w:p>
    <w:p w14:paraId="684DCB5A">
      <w:pPr>
        <w:jc w:val="both"/>
        <w:rPr>
          <w:rFonts w:hint="eastAsia" w:cs="Arial"/>
          <w:b/>
          <w:i w:val="0"/>
          <w:iCs w:val="0"/>
          <w:color w:val="auto"/>
          <w:sz w:val="30"/>
          <w:szCs w:val="30"/>
          <w:highlight w:val="none"/>
        </w:rPr>
      </w:pPr>
    </w:p>
    <w:p w14:paraId="11AA745E">
      <w:pPr>
        <w:jc w:val="both"/>
        <w:rPr>
          <w:rFonts w:hint="eastAsia" w:cs="Arial"/>
          <w:b/>
          <w:i w:val="0"/>
          <w:iCs w:val="0"/>
          <w:color w:val="auto"/>
          <w:sz w:val="30"/>
          <w:szCs w:val="30"/>
          <w:highlight w:val="none"/>
        </w:rPr>
      </w:pPr>
    </w:p>
    <w:p w14:paraId="5AC0CAB4">
      <w:pPr>
        <w:jc w:val="both"/>
        <w:rPr>
          <w:rFonts w:hint="eastAsia" w:cs="Arial"/>
          <w:b/>
          <w:i w:val="0"/>
          <w:iCs w:val="0"/>
          <w:color w:val="auto"/>
          <w:sz w:val="30"/>
          <w:szCs w:val="30"/>
          <w:highlight w:val="none"/>
        </w:rPr>
      </w:pPr>
    </w:p>
    <w:p w14:paraId="556225A0">
      <w:pPr>
        <w:jc w:val="both"/>
        <w:rPr>
          <w:rFonts w:hint="eastAsia" w:cs="Arial"/>
          <w:b/>
          <w:i w:val="0"/>
          <w:iCs w:val="0"/>
          <w:color w:val="auto"/>
          <w:sz w:val="30"/>
          <w:szCs w:val="30"/>
          <w:highlight w:val="none"/>
        </w:rPr>
      </w:pPr>
    </w:p>
    <w:p w14:paraId="7480122A">
      <w:pPr>
        <w:jc w:val="both"/>
        <w:rPr>
          <w:rFonts w:hint="eastAsia" w:cs="Arial"/>
          <w:b/>
          <w:i w:val="0"/>
          <w:iCs w:val="0"/>
          <w:color w:val="auto"/>
          <w:sz w:val="30"/>
          <w:szCs w:val="30"/>
          <w:highlight w:val="none"/>
        </w:rPr>
      </w:pPr>
    </w:p>
    <w:p w14:paraId="22A73548">
      <w:pPr>
        <w:jc w:val="both"/>
        <w:rPr>
          <w:rFonts w:hint="eastAsia" w:cs="Arial"/>
          <w:b/>
          <w:i w:val="0"/>
          <w:iCs w:val="0"/>
          <w:color w:val="auto"/>
          <w:sz w:val="30"/>
          <w:szCs w:val="30"/>
          <w:highlight w:val="none"/>
        </w:rPr>
      </w:pPr>
    </w:p>
    <w:p w14:paraId="410B0311">
      <w:pPr>
        <w:jc w:val="both"/>
        <w:rPr>
          <w:rFonts w:hint="eastAsia" w:cs="Arial"/>
          <w:b/>
          <w:i w:val="0"/>
          <w:iCs w:val="0"/>
          <w:color w:val="auto"/>
          <w:sz w:val="30"/>
          <w:szCs w:val="30"/>
          <w:highlight w:val="none"/>
        </w:rPr>
      </w:pPr>
    </w:p>
    <w:p w14:paraId="0146A0F5">
      <w:pPr>
        <w:jc w:val="both"/>
        <w:rPr>
          <w:rFonts w:hint="eastAsia" w:cs="Arial"/>
          <w:b/>
          <w:i w:val="0"/>
          <w:iCs w:val="0"/>
          <w:color w:val="auto"/>
          <w:sz w:val="30"/>
          <w:szCs w:val="30"/>
          <w:highlight w:val="none"/>
        </w:rPr>
      </w:pPr>
    </w:p>
    <w:p w14:paraId="71DF1945">
      <w:pPr>
        <w:jc w:val="both"/>
        <w:rPr>
          <w:rFonts w:hint="eastAsia" w:cs="Arial"/>
          <w:b/>
          <w:i w:val="0"/>
          <w:iCs w:val="0"/>
          <w:color w:val="auto"/>
          <w:sz w:val="30"/>
          <w:szCs w:val="30"/>
          <w:highlight w:val="none"/>
        </w:rPr>
      </w:pPr>
    </w:p>
    <w:p w14:paraId="0831ABC8">
      <w:pPr>
        <w:jc w:val="both"/>
        <w:rPr>
          <w:rFonts w:hint="eastAsia" w:cs="Arial"/>
          <w:b/>
          <w:i w:val="0"/>
          <w:iCs w:val="0"/>
          <w:color w:val="auto"/>
          <w:sz w:val="30"/>
          <w:szCs w:val="30"/>
          <w:highlight w:val="none"/>
        </w:rPr>
      </w:pPr>
    </w:p>
    <w:p w14:paraId="099AA56E">
      <w:pPr>
        <w:jc w:val="both"/>
        <w:rPr>
          <w:rFonts w:hint="eastAsia" w:cs="Arial"/>
          <w:b/>
          <w:i w:val="0"/>
          <w:iCs w:val="0"/>
          <w:color w:val="auto"/>
          <w:sz w:val="30"/>
          <w:szCs w:val="30"/>
          <w:highlight w:val="none"/>
        </w:rPr>
      </w:pPr>
    </w:p>
    <w:p w14:paraId="3DA42FED">
      <w:pPr>
        <w:jc w:val="both"/>
        <w:rPr>
          <w:rFonts w:hint="eastAsia" w:cs="Arial"/>
          <w:b/>
          <w:i w:val="0"/>
          <w:iCs w:val="0"/>
          <w:color w:val="auto"/>
          <w:sz w:val="30"/>
          <w:szCs w:val="30"/>
          <w:highlight w:val="none"/>
        </w:rPr>
      </w:pPr>
    </w:p>
    <w:p w14:paraId="0FAA3BCB">
      <w:pPr>
        <w:jc w:val="both"/>
        <w:rPr>
          <w:rFonts w:hint="eastAsia" w:cs="Arial"/>
          <w:b/>
          <w:i w:val="0"/>
          <w:iCs w:val="0"/>
          <w:color w:val="auto"/>
          <w:sz w:val="30"/>
          <w:szCs w:val="30"/>
          <w:highlight w:val="none"/>
        </w:rPr>
      </w:pPr>
    </w:p>
    <w:p w14:paraId="5B9FEB07">
      <w:pPr>
        <w:jc w:val="both"/>
        <w:rPr>
          <w:rFonts w:hint="eastAsia" w:cs="Arial"/>
          <w:b/>
          <w:i w:val="0"/>
          <w:iCs w:val="0"/>
          <w:color w:val="auto"/>
          <w:sz w:val="30"/>
          <w:szCs w:val="30"/>
          <w:highlight w:val="none"/>
        </w:rPr>
      </w:pPr>
    </w:p>
    <w:p w14:paraId="1C441490">
      <w:pPr>
        <w:jc w:val="both"/>
        <w:rPr>
          <w:rFonts w:hint="eastAsia" w:cs="Arial"/>
          <w:b/>
          <w:i w:val="0"/>
          <w:iCs w:val="0"/>
          <w:color w:val="auto"/>
          <w:sz w:val="30"/>
          <w:szCs w:val="30"/>
          <w:highlight w:val="none"/>
        </w:rPr>
      </w:pPr>
    </w:p>
    <w:p w14:paraId="50106A14">
      <w:pPr>
        <w:ind w:firstLine="480"/>
        <w:jc w:val="center"/>
        <w:rPr>
          <w:rFonts w:hint="eastAsia" w:cs="Arial"/>
          <w:b/>
          <w:i w:val="0"/>
          <w:iCs w:val="0"/>
          <w:color w:val="auto"/>
          <w:sz w:val="30"/>
          <w:szCs w:val="30"/>
          <w:highlight w:val="none"/>
        </w:rPr>
      </w:pPr>
      <w:r>
        <w:rPr>
          <w:rFonts w:hint="eastAsia" w:cs="Arial"/>
          <w:b/>
          <w:i w:val="0"/>
          <w:iCs w:val="0"/>
          <w:color w:val="auto"/>
          <w:sz w:val="30"/>
          <w:szCs w:val="30"/>
          <w:highlight w:val="none"/>
        </w:rPr>
        <w:t>第二部分  投标文件格式</w:t>
      </w:r>
    </w:p>
    <w:p w14:paraId="15A7DF60">
      <w:pPr>
        <w:pStyle w:val="364"/>
        <w:spacing w:before="0" w:after="0"/>
        <w:ind w:firstLine="0"/>
        <w:rPr>
          <w:rFonts w:cs="Arial"/>
          <w:b/>
          <w:i w:val="0"/>
          <w:iCs w:val="0"/>
          <w:color w:val="auto"/>
          <w:sz w:val="28"/>
          <w:szCs w:val="28"/>
          <w:highlight w:val="none"/>
        </w:rPr>
      </w:pPr>
      <w:r>
        <w:rPr>
          <w:rFonts w:hint="eastAsia" w:cs="Arial"/>
          <w:b/>
          <w:i w:val="0"/>
          <w:iCs w:val="0"/>
          <w:color w:val="auto"/>
          <w:sz w:val="28"/>
          <w:szCs w:val="28"/>
          <w:highlight w:val="none"/>
        </w:rPr>
        <w:t>一、封面格式（参考格式）：</w:t>
      </w:r>
    </w:p>
    <w:p w14:paraId="3D98C20B">
      <w:pPr>
        <w:jc w:val="center"/>
        <w:rPr>
          <w:rFonts w:hint="eastAsia" w:ascii="宋体" w:hAnsi="宋体"/>
          <w:b/>
          <w:i w:val="0"/>
          <w:iCs w:val="0"/>
          <w:color w:val="auto"/>
          <w:sz w:val="72"/>
          <w:highlight w:val="none"/>
          <w:shd w:val="clear" w:color="FFFFFF" w:fill="D9D9D9"/>
        </w:rPr>
      </w:pPr>
    </w:p>
    <w:p w14:paraId="5559D0F8">
      <w:pPr>
        <w:jc w:val="center"/>
        <w:rPr>
          <w:rFonts w:hint="eastAsia" w:ascii="宋体" w:hAnsi="宋体"/>
          <w:b/>
          <w:i w:val="0"/>
          <w:iCs w:val="0"/>
          <w:color w:val="auto"/>
          <w:sz w:val="72"/>
          <w:highlight w:val="none"/>
          <w:shd w:val="clear" w:color="FFFFFF" w:fill="D9D9D9"/>
        </w:rPr>
      </w:pPr>
    </w:p>
    <w:p w14:paraId="45910353">
      <w:pPr>
        <w:jc w:val="center"/>
        <w:rPr>
          <w:rFonts w:hint="eastAsia" w:ascii="黑体" w:hAnsi="华文中宋" w:eastAsia="黑体"/>
          <w:bCs/>
          <w:i w:val="0"/>
          <w:iCs w:val="0"/>
          <w:color w:val="auto"/>
          <w:spacing w:val="20"/>
          <w:sz w:val="84"/>
          <w:szCs w:val="84"/>
          <w:highlight w:val="none"/>
        </w:rPr>
      </w:pPr>
      <w:r>
        <w:rPr>
          <w:rFonts w:hint="eastAsia" w:ascii="黑体" w:hAnsi="华文中宋" w:eastAsia="黑体"/>
          <w:bCs/>
          <w:i w:val="0"/>
          <w:iCs w:val="0"/>
          <w:color w:val="auto"/>
          <w:spacing w:val="20"/>
          <w:sz w:val="84"/>
          <w:szCs w:val="84"/>
          <w:highlight w:val="none"/>
        </w:rPr>
        <w:t>投  标  文  件</w:t>
      </w:r>
    </w:p>
    <w:p w14:paraId="3BE222A4">
      <w:pPr>
        <w:jc w:val="center"/>
        <w:rPr>
          <w:rFonts w:hint="eastAsia" w:ascii="宋体" w:hAnsi="宋体"/>
          <w:b/>
          <w:i w:val="0"/>
          <w:iCs w:val="0"/>
          <w:color w:val="auto"/>
          <w:sz w:val="72"/>
          <w:highlight w:val="none"/>
          <w:shd w:val="clear" w:color="FFFFFF" w:fill="D9D9D9"/>
        </w:rPr>
      </w:pPr>
    </w:p>
    <w:p w14:paraId="55147D41">
      <w:pPr>
        <w:jc w:val="center"/>
        <w:rPr>
          <w:rFonts w:hint="eastAsia" w:ascii="宋体" w:hAnsi="宋体"/>
          <w:b/>
          <w:i w:val="0"/>
          <w:iCs w:val="0"/>
          <w:color w:val="auto"/>
          <w:sz w:val="72"/>
          <w:highlight w:val="none"/>
          <w:shd w:val="clear" w:color="FFFFFF" w:fill="D9D9D9"/>
        </w:rPr>
      </w:pPr>
    </w:p>
    <w:p w14:paraId="17C1EB51">
      <w:pPr>
        <w:jc w:val="center"/>
        <w:rPr>
          <w:rFonts w:hint="eastAsia" w:ascii="宋体" w:hAnsi="宋体"/>
          <w:b/>
          <w:i w:val="0"/>
          <w:iCs w:val="0"/>
          <w:color w:val="auto"/>
          <w:sz w:val="72"/>
          <w:highlight w:val="none"/>
          <w:shd w:val="clear" w:color="FFFFFF" w:fill="D9D9D9"/>
        </w:rPr>
      </w:pPr>
    </w:p>
    <w:p w14:paraId="1452EB3E">
      <w:pPr>
        <w:jc w:val="center"/>
        <w:rPr>
          <w:rFonts w:hint="eastAsia" w:ascii="宋体" w:hAnsi="宋体"/>
          <w:b/>
          <w:i w:val="0"/>
          <w:iCs w:val="0"/>
          <w:color w:val="auto"/>
          <w:sz w:val="72"/>
          <w:highlight w:val="none"/>
          <w:shd w:val="clear" w:color="FFFFFF" w:fill="D9D9D9"/>
        </w:rPr>
      </w:pPr>
    </w:p>
    <w:p w14:paraId="6DE5415F">
      <w:pPr>
        <w:ind w:firstLine="1800"/>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项目编号：</w:t>
      </w:r>
      <w:r>
        <w:rPr>
          <w:rFonts w:hint="eastAsia" w:ascii="黑体" w:hAnsi="华文中宋" w:eastAsia="黑体" w:cs="Times New Roman"/>
          <w:bCs/>
          <w:i w:val="0"/>
          <w:iCs w:val="0"/>
          <w:color w:val="auto"/>
          <w:sz w:val="30"/>
          <w:szCs w:val="30"/>
          <w:highlight w:val="none"/>
          <w:lang w:eastAsia="zh-CN"/>
        </w:rPr>
        <w:t xml:space="preserve">JSZC-320206-JZCG-G2026-0051 </w:t>
      </w:r>
    </w:p>
    <w:p w14:paraId="70B61159">
      <w:pPr>
        <w:ind w:left="3289" w:hanging="1500"/>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项目名称：</w:t>
      </w:r>
      <w:r>
        <w:rPr>
          <w:rFonts w:hint="eastAsia" w:ascii="黑体" w:hAnsi="华文中宋" w:eastAsia="黑体" w:cs="Times New Roman"/>
          <w:bCs/>
          <w:i w:val="0"/>
          <w:iCs w:val="0"/>
          <w:color w:val="auto"/>
          <w:sz w:val="30"/>
          <w:szCs w:val="30"/>
          <w:highlight w:val="none"/>
          <w:lang w:eastAsia="zh-CN"/>
        </w:rPr>
        <w:t>石塘湾消防站智能化专项采购项目</w:t>
      </w:r>
    </w:p>
    <w:p w14:paraId="3FA5EFB7">
      <w:pPr>
        <w:ind w:firstLine="1800"/>
        <w:rPr>
          <w:rFonts w:hint="eastAsia"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投 标 人：</w:t>
      </w:r>
    </w:p>
    <w:p w14:paraId="5CA5728E">
      <w:pPr>
        <w:ind w:firstLine="1800"/>
        <w:rPr>
          <w:rFonts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日    期：</w:t>
      </w:r>
    </w:p>
    <w:p w14:paraId="0D7ADB78">
      <w:pPr>
        <w:pageBreakBefore/>
        <w:outlineLvl w:val="0"/>
        <w:rPr>
          <w:rFonts w:hint="eastAsia" w:ascii="黑体" w:hAnsi="宋体" w:eastAsia="黑体"/>
          <w:bCs/>
          <w:i w:val="0"/>
          <w:iCs w:val="0"/>
          <w:color w:val="auto"/>
          <w:sz w:val="24"/>
          <w:szCs w:val="24"/>
          <w:highlight w:val="none"/>
        </w:rPr>
      </w:pPr>
    </w:p>
    <w:p w14:paraId="1818110B">
      <w:pPr>
        <w:spacing w:line="440" w:lineRule="exact"/>
        <w:rPr>
          <w:rFonts w:hint="eastAsia" w:ascii="Arial" w:hAnsi="Arial"/>
          <w:b/>
          <w:i w:val="0"/>
          <w:iCs w:val="0"/>
          <w:color w:val="auto"/>
          <w:sz w:val="28"/>
          <w:szCs w:val="28"/>
          <w:highlight w:val="none"/>
        </w:rPr>
      </w:pPr>
      <w:bookmarkStart w:id="139" w:name="_Toc61444678"/>
      <w:r>
        <w:rPr>
          <w:rFonts w:hint="eastAsia" w:ascii="宋体" w:hAnsi="宋体" w:cs="宋体"/>
          <w:b/>
          <w:i w:val="0"/>
          <w:iCs w:val="0"/>
          <w:color w:val="auto"/>
          <w:sz w:val="28"/>
          <w:szCs w:val="28"/>
          <w:highlight w:val="none"/>
        </w:rPr>
        <w:t>二、授权委托书（给定格式）：</w:t>
      </w:r>
    </w:p>
    <w:p w14:paraId="0775CA35">
      <w:pPr>
        <w:jc w:val="center"/>
        <w:outlineLvl w:val="0"/>
        <w:rPr>
          <w:rFonts w:ascii="宋体" w:hAnsi="宋体"/>
          <w:i w:val="0"/>
          <w:iCs w:val="0"/>
          <w:color w:val="auto"/>
          <w:sz w:val="24"/>
          <w:highlight w:val="none"/>
          <w:shd w:val="clear" w:color="FFFFFF" w:fill="D9D9D9"/>
        </w:rPr>
      </w:pPr>
      <w:r>
        <w:rPr>
          <w:rFonts w:hint="eastAsia" w:ascii="黑体" w:eastAsia="黑体"/>
          <w:bCs/>
          <w:i w:val="0"/>
          <w:iCs w:val="0"/>
          <w:color w:val="auto"/>
          <w:sz w:val="28"/>
          <w:szCs w:val="28"/>
          <w:highlight w:val="none"/>
        </w:rPr>
        <w:t>授权委托书</w:t>
      </w:r>
    </w:p>
    <w:p w14:paraId="4B7028DA">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我公司（单位）针对</w:t>
      </w:r>
      <w:r>
        <w:rPr>
          <w:rFonts w:hint="eastAsia" w:ascii="黑体" w:eastAsia="黑体" w:cs="Times New Roman"/>
          <w:bCs/>
          <w:i w:val="0"/>
          <w:iCs w:val="0"/>
          <w:color w:val="auto"/>
          <w:sz w:val="24"/>
          <w:szCs w:val="24"/>
          <w:highlight w:val="none"/>
          <w:lang w:eastAsia="zh-CN"/>
        </w:rPr>
        <w:t>JSZC-320206-JZCG-G2026-0051</w:t>
      </w:r>
      <w:r>
        <w:rPr>
          <w:rFonts w:hint="eastAsia" w:ascii="宋体" w:hAnsi="宋体"/>
          <w:bCs/>
          <w:i w:val="0"/>
          <w:iCs w:val="0"/>
          <w:color w:val="auto"/>
          <w:sz w:val="24"/>
          <w:szCs w:val="24"/>
          <w:highlight w:val="none"/>
        </w:rPr>
        <w:t>项目，兹授权：</w:t>
      </w:r>
    </w:p>
    <w:p w14:paraId="4CA280D1">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被授权人的姓名：</w:t>
      </w:r>
      <w:r>
        <w:rPr>
          <w:rFonts w:hint="eastAsia"/>
          <w:i w:val="0"/>
          <w:iCs w:val="0"/>
          <w:color w:val="auto"/>
          <w:sz w:val="24"/>
          <w:szCs w:val="24"/>
          <w:highlight w:val="none"/>
          <w:u w:val="single"/>
        </w:rPr>
        <w:t xml:space="preserve">      </w:t>
      </w:r>
      <w:r>
        <w:rPr>
          <w:rFonts w:hint="eastAsia"/>
          <w:i w:val="0"/>
          <w:iCs w:val="0"/>
          <w:color w:val="auto"/>
          <w:sz w:val="24"/>
          <w:szCs w:val="24"/>
          <w:highlight w:val="none"/>
        </w:rPr>
        <w:t>；性别：</w:t>
      </w:r>
      <w:r>
        <w:rPr>
          <w:rFonts w:hint="eastAsia"/>
          <w:i w:val="0"/>
          <w:iCs w:val="0"/>
          <w:color w:val="auto"/>
          <w:sz w:val="24"/>
          <w:szCs w:val="24"/>
          <w:highlight w:val="none"/>
          <w:u w:val="single"/>
        </w:rPr>
        <w:t xml:space="preserve">    </w:t>
      </w:r>
      <w:r>
        <w:rPr>
          <w:rFonts w:hint="eastAsia"/>
          <w:i w:val="0"/>
          <w:iCs w:val="0"/>
          <w:color w:val="auto"/>
          <w:sz w:val="24"/>
          <w:szCs w:val="24"/>
          <w:highlight w:val="none"/>
        </w:rPr>
        <w:t>；年龄：</w:t>
      </w:r>
      <w:r>
        <w:rPr>
          <w:rFonts w:hint="eastAsia"/>
          <w:i w:val="0"/>
          <w:iCs w:val="0"/>
          <w:color w:val="auto"/>
          <w:sz w:val="24"/>
          <w:szCs w:val="24"/>
          <w:highlight w:val="none"/>
          <w:u w:val="single"/>
        </w:rPr>
        <w:t xml:space="preserve">    </w:t>
      </w:r>
      <w:r>
        <w:rPr>
          <w:rFonts w:hint="eastAsia"/>
          <w:i w:val="0"/>
          <w:iCs w:val="0"/>
          <w:color w:val="auto"/>
          <w:sz w:val="24"/>
          <w:szCs w:val="24"/>
          <w:highlight w:val="none"/>
        </w:rPr>
        <w:t>；职务：</w:t>
      </w:r>
      <w:r>
        <w:rPr>
          <w:rFonts w:hint="eastAsia"/>
          <w:i w:val="0"/>
          <w:iCs w:val="0"/>
          <w:color w:val="auto"/>
          <w:sz w:val="24"/>
          <w:szCs w:val="24"/>
          <w:highlight w:val="none"/>
          <w:u w:val="single"/>
        </w:rPr>
        <w:t xml:space="preserve">      </w:t>
      </w:r>
      <w:r>
        <w:rPr>
          <w:rFonts w:hint="eastAsia"/>
          <w:i w:val="0"/>
          <w:iCs w:val="0"/>
          <w:color w:val="auto"/>
          <w:sz w:val="24"/>
          <w:szCs w:val="24"/>
          <w:highlight w:val="none"/>
        </w:rPr>
        <w:t>；</w:t>
      </w:r>
    </w:p>
    <w:p w14:paraId="25A392B1">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被授权人的身份证号码：</w:t>
      </w:r>
      <w:r>
        <w:rPr>
          <w:rFonts w:hint="eastAsia"/>
          <w:i w:val="0"/>
          <w:iCs w:val="0"/>
          <w:color w:val="auto"/>
          <w:sz w:val="24"/>
          <w:szCs w:val="24"/>
          <w:highlight w:val="none"/>
          <w:u w:val="single"/>
        </w:rPr>
        <w:t xml:space="preserve">                  </w:t>
      </w:r>
      <w:r>
        <w:rPr>
          <w:rFonts w:hint="eastAsia"/>
          <w:i w:val="0"/>
          <w:iCs w:val="0"/>
          <w:color w:val="auto"/>
          <w:sz w:val="24"/>
          <w:szCs w:val="24"/>
          <w:highlight w:val="none"/>
        </w:rPr>
        <w:t>；联系方式：</w:t>
      </w:r>
      <w:r>
        <w:rPr>
          <w:rFonts w:hint="eastAsia"/>
          <w:i w:val="0"/>
          <w:iCs w:val="0"/>
          <w:color w:val="auto"/>
          <w:sz w:val="24"/>
          <w:szCs w:val="24"/>
          <w:highlight w:val="none"/>
          <w:u w:val="single"/>
        </w:rPr>
        <w:t xml:space="preserve">          </w:t>
      </w:r>
      <w:r>
        <w:rPr>
          <w:rFonts w:hint="eastAsia"/>
          <w:i w:val="0"/>
          <w:iCs w:val="0"/>
          <w:color w:val="auto"/>
          <w:sz w:val="24"/>
          <w:szCs w:val="24"/>
          <w:highlight w:val="none"/>
        </w:rPr>
        <w:t>；</w:t>
      </w:r>
    </w:p>
    <w:p w14:paraId="14712348">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为我方合法代理人，以本单位名义全权处理</w:t>
      </w:r>
      <w:r>
        <w:rPr>
          <w:rFonts w:hint="eastAsia" w:ascii="宋体" w:hAnsi="宋体"/>
          <w:bCs/>
          <w:i w:val="0"/>
          <w:iCs w:val="0"/>
          <w:color w:val="auto"/>
          <w:sz w:val="24"/>
          <w:szCs w:val="24"/>
          <w:highlight w:val="none"/>
        </w:rPr>
        <w:t>针对本次项目的投标、参与开标、评标、签约等具体工作，并签署全部有关的文件、协议及合同以及其他</w:t>
      </w:r>
      <w:r>
        <w:rPr>
          <w:rFonts w:hint="eastAsia"/>
          <w:i w:val="0"/>
          <w:iCs w:val="0"/>
          <w:color w:val="auto"/>
          <w:sz w:val="24"/>
          <w:szCs w:val="24"/>
          <w:highlight w:val="none"/>
        </w:rPr>
        <w:t>一切与该项目采购有关的事务。</w:t>
      </w:r>
    </w:p>
    <w:p w14:paraId="63E9C70F">
      <w:pPr>
        <w:pStyle w:val="365"/>
        <w:keepNext w:val="0"/>
        <w:keepLines w:val="0"/>
        <w:pageBreakBefore w:val="0"/>
        <w:widowControl w:val="0"/>
        <w:spacing w:line="460" w:lineRule="exact"/>
        <w:ind w:firstLine="480"/>
        <w:rPr>
          <w:rFonts w:hint="eastAsia" w:ascii="宋体" w:hAnsi="宋体"/>
          <w:bCs/>
          <w:i w:val="0"/>
          <w:iCs w:val="0"/>
          <w:color w:val="auto"/>
          <w:sz w:val="24"/>
          <w:szCs w:val="24"/>
          <w:highlight w:val="none"/>
        </w:rPr>
      </w:pPr>
      <w:r>
        <w:rPr>
          <w:rFonts w:hint="eastAsia"/>
          <w:i w:val="0"/>
          <w:iCs w:val="0"/>
          <w:color w:val="auto"/>
          <w:sz w:val="24"/>
          <w:szCs w:val="24"/>
          <w:highlight w:val="none"/>
        </w:rPr>
        <w:t>本授权委托书自授权之日起生效，</w:t>
      </w:r>
      <w:r>
        <w:rPr>
          <w:rFonts w:hint="eastAsia" w:ascii="宋体" w:hAnsi="宋体"/>
          <w:bCs/>
          <w:i w:val="0"/>
          <w:iCs w:val="0"/>
          <w:color w:val="auto"/>
          <w:sz w:val="24"/>
          <w:szCs w:val="24"/>
          <w:highlight w:val="none"/>
        </w:rPr>
        <w:t>在撤销授权的书面通知送达你处以前，本授权书一直有效，被授权人签署的所有文件（在</w:t>
      </w:r>
      <w:r>
        <w:rPr>
          <w:rFonts w:hint="eastAsia"/>
          <w:i w:val="0"/>
          <w:iCs w:val="0"/>
          <w:color w:val="auto"/>
          <w:sz w:val="24"/>
          <w:szCs w:val="24"/>
          <w:highlight w:val="none"/>
        </w:rPr>
        <w:t>授权委托</w:t>
      </w:r>
      <w:r>
        <w:rPr>
          <w:rFonts w:hint="eastAsia" w:ascii="宋体" w:hAnsi="宋体"/>
          <w:bCs/>
          <w:i w:val="0"/>
          <w:iCs w:val="0"/>
          <w:color w:val="auto"/>
          <w:sz w:val="24"/>
          <w:szCs w:val="24"/>
          <w:highlight w:val="none"/>
        </w:rPr>
        <w:t>书有效期内签署的）不因授权的撤销而失效。</w:t>
      </w:r>
    </w:p>
    <w:p w14:paraId="4CCD747B">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特此授权委托。</w:t>
      </w:r>
    </w:p>
    <w:p w14:paraId="4DA9084E">
      <w:pPr>
        <w:pStyle w:val="365"/>
        <w:keepNext w:val="0"/>
        <w:keepLines w:val="0"/>
        <w:pageBreakBefore w:val="0"/>
        <w:widowControl w:val="0"/>
        <w:spacing w:line="460" w:lineRule="exact"/>
        <w:ind w:firstLine="0"/>
        <w:rPr>
          <w:rFonts w:hint="eastAsia"/>
          <w:i w:val="0"/>
          <w:iCs w:val="0"/>
          <w:color w:val="auto"/>
          <w:sz w:val="24"/>
          <w:szCs w:val="24"/>
          <w:highlight w:val="none"/>
          <w:u w:val="single"/>
        </w:rPr>
      </w:pPr>
      <w:r>
        <w:rPr>
          <w:rFonts w:hint="eastAsia"/>
          <w:i w:val="0"/>
          <w:iCs w:val="0"/>
          <w:color w:val="auto"/>
          <w:sz w:val="24"/>
          <w:szCs w:val="24"/>
          <w:highlight w:val="none"/>
        </w:rPr>
        <w:t>授权日期：</w:t>
      </w:r>
      <w:r>
        <w:rPr>
          <w:rFonts w:hint="eastAsia"/>
          <w:i w:val="0"/>
          <w:iCs w:val="0"/>
          <w:color w:val="auto"/>
          <w:sz w:val="24"/>
          <w:szCs w:val="24"/>
          <w:highlight w:val="none"/>
          <w:u w:val="single"/>
        </w:rPr>
        <w:t xml:space="preserve">    </w:t>
      </w:r>
      <w:r>
        <w:rPr>
          <w:rFonts w:hint="eastAsia"/>
          <w:i w:val="0"/>
          <w:iCs w:val="0"/>
          <w:color w:val="auto"/>
          <w:sz w:val="24"/>
          <w:szCs w:val="24"/>
          <w:highlight w:val="none"/>
        </w:rPr>
        <w:t>年</w:t>
      </w:r>
      <w:r>
        <w:rPr>
          <w:rFonts w:hint="eastAsia"/>
          <w:i w:val="0"/>
          <w:iCs w:val="0"/>
          <w:color w:val="auto"/>
          <w:sz w:val="24"/>
          <w:szCs w:val="24"/>
          <w:highlight w:val="none"/>
          <w:u w:val="single"/>
        </w:rPr>
        <w:t xml:space="preserve">    </w:t>
      </w:r>
      <w:r>
        <w:rPr>
          <w:rFonts w:hint="eastAsia"/>
          <w:i w:val="0"/>
          <w:iCs w:val="0"/>
          <w:color w:val="auto"/>
          <w:sz w:val="24"/>
          <w:szCs w:val="24"/>
          <w:highlight w:val="none"/>
        </w:rPr>
        <w:t>月</w:t>
      </w:r>
      <w:r>
        <w:rPr>
          <w:rFonts w:hint="eastAsia"/>
          <w:i w:val="0"/>
          <w:iCs w:val="0"/>
          <w:color w:val="auto"/>
          <w:sz w:val="24"/>
          <w:szCs w:val="24"/>
          <w:highlight w:val="none"/>
          <w:u w:val="single"/>
        </w:rPr>
        <w:t xml:space="preserve">    </w:t>
      </w:r>
      <w:r>
        <w:rPr>
          <w:rFonts w:hint="eastAsia"/>
          <w:i w:val="0"/>
          <w:iCs w:val="0"/>
          <w:color w:val="auto"/>
          <w:sz w:val="24"/>
          <w:szCs w:val="24"/>
          <w:highlight w:val="none"/>
        </w:rPr>
        <w:t>日                     投标人名称</w:t>
      </w:r>
      <w:r>
        <w:rPr>
          <w:rFonts w:hint="eastAsia" w:ascii="宋体" w:hAnsi="宋体"/>
          <w:bCs/>
          <w:i w:val="0"/>
          <w:iCs w:val="0"/>
          <w:color w:val="auto"/>
          <w:sz w:val="24"/>
          <w:szCs w:val="24"/>
          <w:highlight w:val="none"/>
        </w:rPr>
        <w:t>（盖章）</w:t>
      </w:r>
      <w:r>
        <w:rPr>
          <w:rFonts w:hint="eastAsia"/>
          <w:i w:val="0"/>
          <w:iCs w:val="0"/>
          <w:color w:val="auto"/>
          <w:sz w:val="24"/>
          <w:szCs w:val="24"/>
          <w:highlight w:val="none"/>
        </w:rPr>
        <w:t>：</w:t>
      </w:r>
    </w:p>
    <w:p w14:paraId="1778EBEB">
      <w:pPr>
        <w:pStyle w:val="365"/>
        <w:keepNext w:val="0"/>
        <w:keepLines w:val="0"/>
        <w:pageBreakBefore w:val="0"/>
        <w:widowControl w:val="0"/>
        <w:spacing w:line="460" w:lineRule="exact"/>
        <w:ind w:firstLine="0"/>
        <w:rPr>
          <w:rFonts w:hint="eastAsia"/>
          <w:i w:val="0"/>
          <w:iCs w:val="0"/>
          <w:color w:val="auto"/>
          <w:sz w:val="24"/>
          <w:szCs w:val="24"/>
          <w:highlight w:val="none"/>
        </w:rPr>
      </w:pPr>
      <w:r>
        <w:rPr>
          <w:rFonts w:hint="eastAsia"/>
          <w:i w:val="0"/>
          <w:iCs w:val="0"/>
          <w:color w:val="auto"/>
          <w:sz w:val="24"/>
          <w:szCs w:val="24"/>
          <w:highlight w:val="none"/>
        </w:rPr>
        <w:t>法定代表人签字：</w:t>
      </w:r>
      <w:r>
        <w:rPr>
          <w:rFonts w:hint="eastAsia"/>
          <w:i w:val="0"/>
          <w:iCs w:val="0"/>
          <w:color w:val="auto"/>
          <w:sz w:val="24"/>
          <w:szCs w:val="24"/>
          <w:highlight w:val="none"/>
          <w:u w:val="single"/>
        </w:rPr>
        <w:t xml:space="preserve">        </w:t>
      </w:r>
      <w:r>
        <w:rPr>
          <w:rFonts w:hint="eastAsia"/>
          <w:i w:val="0"/>
          <w:iCs w:val="0"/>
          <w:color w:val="auto"/>
          <w:sz w:val="24"/>
          <w:szCs w:val="24"/>
          <w:highlight w:val="none"/>
        </w:rPr>
        <w:t xml:space="preserve">             被授权人签字：</w:t>
      </w:r>
      <w:r>
        <w:rPr>
          <w:rFonts w:hint="eastAsia"/>
          <w:i w:val="0"/>
          <w:iCs w:val="0"/>
          <w:color w:val="auto"/>
          <w:sz w:val="24"/>
          <w:szCs w:val="24"/>
          <w:highlight w:val="none"/>
          <w:u w:val="single"/>
        </w:rPr>
        <w:t xml:space="preserve">        </w:t>
      </w:r>
    </w:p>
    <w:p w14:paraId="5C67A88D">
      <w:pPr>
        <w:pStyle w:val="365"/>
        <w:keepNext w:val="0"/>
        <w:keepLines w:val="0"/>
        <w:pageBreakBefore w:val="0"/>
        <w:widowControl w:val="0"/>
        <w:spacing w:line="460" w:lineRule="exact"/>
        <w:ind w:firstLine="0"/>
        <w:rPr>
          <w:rFonts w:hint="eastAsia"/>
          <w:i w:val="0"/>
          <w:iCs w:val="0"/>
          <w:color w:val="auto"/>
          <w:sz w:val="24"/>
          <w:szCs w:val="24"/>
          <w:highlight w:val="none"/>
        </w:rPr>
      </w:pPr>
      <w:r>
        <w:rPr>
          <w:rFonts w:hint="eastAsia" w:ascii="宋体" w:hAnsi="宋体" w:cs="宋体"/>
          <w:b/>
          <w:i w:val="0"/>
          <w:iCs w:val="0"/>
          <w:color w:val="auto"/>
          <w:sz w:val="30"/>
          <w:highlight w:val="none"/>
        </w:rPr>
        <w:t>(被授权人身份证原件扫描件附后)</w:t>
      </w:r>
    </w:p>
    <w:p w14:paraId="4F555C08">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说明：</w:t>
      </w:r>
    </w:p>
    <w:p w14:paraId="23E675B3">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1.</w:t>
      </w:r>
      <w:r>
        <w:rPr>
          <w:rFonts w:ascii="宋体" w:hAnsi="宋体"/>
          <w:i w:val="0"/>
          <w:iCs w:val="0"/>
          <w:color w:val="auto"/>
          <w:sz w:val="24"/>
          <w:szCs w:val="20"/>
          <w:highlight w:val="none"/>
        </w:rPr>
        <w:t>若</w:t>
      </w:r>
      <w:r>
        <w:rPr>
          <w:rFonts w:hint="eastAsia" w:ascii="宋体" w:hAnsi="宋体"/>
          <w:i w:val="0"/>
          <w:iCs w:val="0"/>
          <w:color w:val="auto"/>
          <w:sz w:val="24"/>
          <w:szCs w:val="20"/>
          <w:highlight w:val="none"/>
        </w:rPr>
        <w:t>投标人</w:t>
      </w:r>
      <w:r>
        <w:rPr>
          <w:rFonts w:ascii="宋体" w:hAnsi="宋体"/>
          <w:i w:val="0"/>
          <w:iCs w:val="0"/>
          <w:color w:val="auto"/>
          <w:sz w:val="24"/>
          <w:szCs w:val="20"/>
          <w:highlight w:val="none"/>
        </w:rPr>
        <w:t>为事业单位或其他组织或分支机构（仅</w:t>
      </w:r>
      <w:r>
        <w:rPr>
          <w:rFonts w:hint="eastAsia" w:ascii="宋体" w:hAnsi="宋体"/>
          <w:i w:val="0"/>
          <w:iCs w:val="0"/>
          <w:color w:val="auto"/>
          <w:sz w:val="24"/>
          <w:szCs w:val="20"/>
          <w:highlight w:val="none"/>
        </w:rPr>
        <w:t>限招标</w:t>
      </w:r>
      <w:r>
        <w:rPr>
          <w:rFonts w:ascii="宋体" w:hAnsi="宋体"/>
          <w:i w:val="0"/>
          <w:iCs w:val="0"/>
          <w:color w:val="auto"/>
          <w:sz w:val="24"/>
          <w:szCs w:val="20"/>
          <w:highlight w:val="none"/>
        </w:rPr>
        <w:t>文件注明允许分支机构</w:t>
      </w:r>
      <w:r>
        <w:rPr>
          <w:rFonts w:hint="eastAsia" w:ascii="宋体" w:hAnsi="宋体"/>
          <w:i w:val="0"/>
          <w:iCs w:val="0"/>
          <w:color w:val="auto"/>
          <w:sz w:val="24"/>
          <w:szCs w:val="20"/>
          <w:highlight w:val="none"/>
        </w:rPr>
        <w:t>投标情形</w:t>
      </w:r>
      <w:r>
        <w:rPr>
          <w:rFonts w:ascii="宋体" w:hAnsi="宋体"/>
          <w:i w:val="0"/>
          <w:iCs w:val="0"/>
          <w:color w:val="auto"/>
          <w:sz w:val="24"/>
          <w:szCs w:val="20"/>
          <w:highlight w:val="none"/>
        </w:rPr>
        <w:t>的），则法定代表人</w:t>
      </w:r>
      <w:r>
        <w:rPr>
          <w:rFonts w:hint="eastAsia" w:ascii="宋体" w:hAnsi="宋体"/>
          <w:i w:val="0"/>
          <w:iCs w:val="0"/>
          <w:color w:val="auto"/>
          <w:sz w:val="24"/>
          <w:szCs w:val="20"/>
          <w:highlight w:val="none"/>
        </w:rPr>
        <w:t>处</w:t>
      </w:r>
      <w:r>
        <w:rPr>
          <w:rFonts w:ascii="宋体" w:hAnsi="宋体"/>
          <w:i w:val="0"/>
          <w:iCs w:val="0"/>
          <w:color w:val="auto"/>
          <w:sz w:val="24"/>
          <w:szCs w:val="20"/>
          <w:highlight w:val="none"/>
        </w:rPr>
        <w:t>的签</w:t>
      </w:r>
      <w:r>
        <w:rPr>
          <w:rFonts w:hint="eastAsia" w:ascii="宋体" w:hAnsi="宋体"/>
          <w:i w:val="0"/>
          <w:iCs w:val="0"/>
          <w:color w:val="auto"/>
          <w:sz w:val="24"/>
          <w:szCs w:val="20"/>
          <w:highlight w:val="none"/>
        </w:rPr>
        <w:t>字</w:t>
      </w:r>
      <w:r>
        <w:rPr>
          <w:rFonts w:ascii="宋体" w:hAnsi="宋体"/>
          <w:i w:val="0"/>
          <w:iCs w:val="0"/>
          <w:color w:val="auto"/>
          <w:sz w:val="24"/>
          <w:szCs w:val="20"/>
          <w:highlight w:val="none"/>
        </w:rPr>
        <w:t>人可为单位负责人</w:t>
      </w:r>
      <w:r>
        <w:rPr>
          <w:rFonts w:hint="eastAsia" w:ascii="宋体" w:hAnsi="宋体"/>
          <w:i w:val="0"/>
          <w:iCs w:val="0"/>
          <w:color w:val="auto"/>
          <w:sz w:val="24"/>
          <w:szCs w:val="20"/>
          <w:highlight w:val="none"/>
        </w:rPr>
        <w:t>。</w:t>
      </w:r>
    </w:p>
    <w:p w14:paraId="669F6EA8">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2.</w:t>
      </w:r>
      <w:r>
        <w:rPr>
          <w:rFonts w:hint="eastAsia" w:ascii="宋体" w:hAnsi="宋体"/>
          <w:i w:val="0"/>
          <w:iCs w:val="0"/>
          <w:color w:val="auto"/>
          <w:sz w:val="24"/>
          <w:szCs w:val="20"/>
          <w:highlight w:val="none"/>
        </w:rPr>
        <w:t>当被授权人为法定代表人（或上述情况的单位负责人）时，只需在</w:t>
      </w:r>
      <w:r>
        <w:rPr>
          <w:rFonts w:ascii="宋体" w:hAnsi="宋体"/>
          <w:i w:val="0"/>
          <w:iCs w:val="0"/>
          <w:color w:val="auto"/>
          <w:sz w:val="24"/>
          <w:szCs w:val="20"/>
          <w:highlight w:val="none"/>
        </w:rPr>
        <w:t>法定代表人</w:t>
      </w:r>
      <w:r>
        <w:rPr>
          <w:rFonts w:hint="eastAsia" w:ascii="宋体" w:hAnsi="宋体"/>
          <w:i w:val="0"/>
          <w:iCs w:val="0"/>
          <w:color w:val="auto"/>
          <w:sz w:val="24"/>
          <w:szCs w:val="20"/>
          <w:highlight w:val="none"/>
        </w:rPr>
        <w:t>处签字即可。</w:t>
      </w:r>
    </w:p>
    <w:p w14:paraId="632B9D8A">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3.</w:t>
      </w:r>
      <w:r>
        <w:rPr>
          <w:rFonts w:hint="eastAsia" w:ascii="宋体" w:hAnsi="宋体"/>
          <w:i w:val="0"/>
          <w:iCs w:val="0"/>
          <w:color w:val="auto"/>
          <w:sz w:val="24"/>
          <w:szCs w:val="20"/>
          <w:highlight w:val="none"/>
        </w:rPr>
        <w:t>供应商为自然人情形的，可不提供本</w:t>
      </w:r>
      <w:r>
        <w:rPr>
          <w:rFonts w:ascii="宋体" w:hAnsi="宋体"/>
          <w:i w:val="0"/>
          <w:iCs w:val="0"/>
          <w:color w:val="auto"/>
          <w:sz w:val="24"/>
          <w:szCs w:val="20"/>
          <w:highlight w:val="none"/>
        </w:rPr>
        <w:t>《</w:t>
      </w:r>
      <w:r>
        <w:rPr>
          <w:rFonts w:hint="eastAsia" w:ascii="宋体" w:hAnsi="宋体"/>
          <w:i w:val="0"/>
          <w:iCs w:val="0"/>
          <w:color w:val="auto"/>
          <w:sz w:val="24"/>
          <w:szCs w:val="20"/>
          <w:highlight w:val="none"/>
        </w:rPr>
        <w:t>授权委托书</w:t>
      </w:r>
      <w:r>
        <w:rPr>
          <w:rFonts w:ascii="宋体" w:hAnsi="宋体"/>
          <w:i w:val="0"/>
          <w:iCs w:val="0"/>
          <w:color w:val="auto"/>
          <w:sz w:val="24"/>
          <w:szCs w:val="20"/>
          <w:highlight w:val="none"/>
        </w:rPr>
        <w:t>》</w:t>
      </w:r>
      <w:r>
        <w:rPr>
          <w:rFonts w:hint="eastAsia" w:ascii="宋体" w:hAnsi="宋体"/>
          <w:i w:val="0"/>
          <w:iCs w:val="0"/>
          <w:color w:val="auto"/>
          <w:sz w:val="24"/>
          <w:szCs w:val="20"/>
          <w:highlight w:val="none"/>
        </w:rPr>
        <w:t>。</w:t>
      </w:r>
    </w:p>
    <w:p w14:paraId="792A18BC">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bCs/>
          <w:i w:val="0"/>
          <w:iCs w:val="0"/>
          <w:color w:val="auto"/>
          <w:sz w:val="24"/>
          <w:szCs w:val="24"/>
          <w:highlight w:val="none"/>
          <w:lang w:val="en-US" w:eastAsia="zh-CN"/>
        </w:rPr>
        <w:t>4.</w:t>
      </w:r>
      <w:r>
        <w:rPr>
          <w:rFonts w:hint="eastAsia" w:ascii="宋体" w:hAnsi="宋体"/>
          <w:bCs/>
          <w:i w:val="0"/>
          <w:iCs w:val="0"/>
          <w:color w:val="auto"/>
          <w:sz w:val="24"/>
          <w:szCs w:val="24"/>
          <w:highlight w:val="none"/>
        </w:rPr>
        <w:t>被授权人为外籍、港、澳、台地区人士的，其身份证明须提供有效的护照或港澳同胞来往内地通行证、台湾同胞来往大陆通行证，或其它可在中国大陆有效居留的许可证明。</w:t>
      </w:r>
    </w:p>
    <w:p w14:paraId="14B97F57">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0305772A">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EC1E2B4">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2648CCA7">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2AD929B">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2A2203E4">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53B16CA1">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412B128D">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760E5805">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990BA49">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68D32A7D">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6C245244">
      <w:pPr>
        <w:pStyle w:val="365"/>
        <w:ind w:firstLine="0"/>
        <w:rPr>
          <w:rFonts w:hint="eastAsia" w:ascii="宋体" w:hAnsi="宋体" w:cs="宋体"/>
          <w:b/>
          <w:i w:val="0"/>
          <w:iCs w:val="0"/>
          <w:color w:val="auto"/>
          <w:szCs w:val="28"/>
          <w:highlight w:val="none"/>
        </w:rPr>
      </w:pPr>
      <w:r>
        <w:rPr>
          <w:rFonts w:hint="eastAsia" w:ascii="宋体" w:hAnsi="宋体" w:cs="宋体"/>
          <w:b/>
          <w:i w:val="0"/>
          <w:iCs w:val="0"/>
          <w:color w:val="auto"/>
          <w:szCs w:val="28"/>
          <w:highlight w:val="none"/>
        </w:rPr>
        <w:t>三、资格声明函（给定格式）：</w:t>
      </w:r>
    </w:p>
    <w:p w14:paraId="663C19A0">
      <w:pPr>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资格声明函</w:t>
      </w:r>
    </w:p>
    <w:p w14:paraId="6C29D4B5">
      <w:pPr>
        <w:spacing w:line="480" w:lineRule="auto"/>
        <w:jc w:val="center"/>
        <w:rPr>
          <w:rFonts w:ascii="宋体"/>
          <w:bCs/>
          <w:i w:val="0"/>
          <w:iCs w:val="0"/>
          <w:color w:val="auto"/>
          <w:sz w:val="24"/>
          <w:szCs w:val="24"/>
          <w:highlight w:val="none"/>
        </w:rPr>
      </w:pPr>
    </w:p>
    <w:p w14:paraId="51A82378">
      <w:pPr>
        <w:spacing w:line="480" w:lineRule="auto"/>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w:t>
      </w:r>
    </w:p>
    <w:p w14:paraId="1554134D">
      <w:pPr>
        <w:spacing w:line="480" w:lineRule="auto"/>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我公司（单位）针对本次项目</w:t>
      </w:r>
      <w:r>
        <w:rPr>
          <w:rFonts w:hint="eastAsia" w:ascii="黑体" w:eastAsia="黑体" w:cs="Times New Roman"/>
          <w:bCs/>
          <w:i w:val="0"/>
          <w:iCs w:val="0"/>
          <w:color w:val="auto"/>
          <w:sz w:val="24"/>
          <w:szCs w:val="24"/>
          <w:highlight w:val="none"/>
          <w:lang w:eastAsia="zh-CN"/>
        </w:rPr>
        <w:t>JSZC-320206-JZCG-G2026-0051</w:t>
      </w:r>
      <w:r>
        <w:rPr>
          <w:rFonts w:hint="eastAsia" w:ascii="宋体" w:hAnsi="宋体"/>
          <w:bCs/>
          <w:i w:val="0"/>
          <w:iCs w:val="0"/>
          <w:color w:val="auto"/>
          <w:sz w:val="24"/>
          <w:szCs w:val="24"/>
          <w:highlight w:val="none"/>
        </w:rPr>
        <w:t>进行投标，并作如下声明</w:t>
      </w:r>
    </w:p>
    <w:p w14:paraId="18DD02D4">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44E8C7C7">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2.本公司（单位）具备本次项目履行合同所必需的设备和专业技术能力。</w:t>
      </w:r>
    </w:p>
    <w:p w14:paraId="35FFC0EC">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EFB0DE6">
      <w:pPr>
        <w:spacing w:line="480" w:lineRule="auto"/>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79CC8D09">
      <w:pPr>
        <w:spacing w:line="480" w:lineRule="auto"/>
        <w:rPr>
          <w:rFonts w:ascii="宋体"/>
          <w:bCs/>
          <w:i w:val="0"/>
          <w:iCs w:val="0"/>
          <w:color w:val="auto"/>
          <w:sz w:val="24"/>
          <w:szCs w:val="24"/>
          <w:highlight w:val="none"/>
        </w:rPr>
      </w:pPr>
    </w:p>
    <w:p w14:paraId="65FD321E">
      <w:pPr>
        <w:spacing w:line="480" w:lineRule="auto"/>
        <w:rPr>
          <w:rFonts w:ascii="宋体"/>
          <w:bCs/>
          <w:i w:val="0"/>
          <w:iCs w:val="0"/>
          <w:color w:val="auto"/>
          <w:sz w:val="24"/>
          <w:szCs w:val="24"/>
          <w:highlight w:val="none"/>
        </w:rPr>
      </w:pPr>
      <w:r>
        <w:rPr>
          <w:rFonts w:hint="eastAsia" w:ascii="宋体" w:hAnsi="宋体"/>
          <w:bCs/>
          <w:i w:val="0"/>
          <w:iCs w:val="0"/>
          <w:color w:val="auto"/>
          <w:sz w:val="24"/>
          <w:szCs w:val="24"/>
          <w:highlight w:val="none"/>
        </w:rPr>
        <w:t>投标人名称（盖章）：</w:t>
      </w:r>
    </w:p>
    <w:bookmarkEnd w:id="139"/>
    <w:p w14:paraId="3414A281">
      <w:pPr>
        <w:spacing w:line="440" w:lineRule="exact"/>
        <w:rPr>
          <w:rFonts w:hint="eastAsia" w:ascii="宋体" w:hAnsi="宋体" w:cs="宋体"/>
          <w:b/>
          <w:i w:val="0"/>
          <w:iCs w:val="0"/>
          <w:color w:val="auto"/>
          <w:sz w:val="28"/>
          <w:szCs w:val="28"/>
          <w:highlight w:val="none"/>
        </w:rPr>
      </w:pPr>
    </w:p>
    <w:p w14:paraId="02BEFE9F">
      <w:pPr>
        <w:spacing w:line="440" w:lineRule="exact"/>
        <w:rPr>
          <w:rFonts w:hint="eastAsia" w:ascii="宋体" w:hAnsi="宋体" w:cs="宋体"/>
          <w:b/>
          <w:i w:val="0"/>
          <w:iCs w:val="0"/>
          <w:color w:val="auto"/>
          <w:sz w:val="28"/>
          <w:szCs w:val="28"/>
          <w:highlight w:val="none"/>
        </w:rPr>
      </w:pPr>
    </w:p>
    <w:p w14:paraId="2EB25F6C">
      <w:pPr>
        <w:spacing w:line="440" w:lineRule="exact"/>
        <w:rPr>
          <w:rFonts w:hint="eastAsia" w:ascii="宋体" w:hAnsi="宋体" w:cs="宋体"/>
          <w:b/>
          <w:i w:val="0"/>
          <w:iCs w:val="0"/>
          <w:color w:val="auto"/>
          <w:sz w:val="28"/>
          <w:szCs w:val="28"/>
          <w:highlight w:val="none"/>
        </w:rPr>
      </w:pPr>
    </w:p>
    <w:p w14:paraId="50A7701D">
      <w:pPr>
        <w:spacing w:line="440" w:lineRule="exact"/>
        <w:rPr>
          <w:rFonts w:hint="eastAsia" w:ascii="宋体" w:hAnsi="宋体" w:cs="宋体"/>
          <w:b/>
          <w:i w:val="0"/>
          <w:iCs w:val="0"/>
          <w:color w:val="auto"/>
          <w:sz w:val="28"/>
          <w:szCs w:val="28"/>
          <w:highlight w:val="none"/>
        </w:rPr>
      </w:pPr>
    </w:p>
    <w:p w14:paraId="2F667C0A">
      <w:pPr>
        <w:spacing w:line="440" w:lineRule="exact"/>
        <w:rPr>
          <w:rFonts w:hint="eastAsia" w:ascii="宋体" w:hAnsi="宋体" w:cs="宋体"/>
          <w:b/>
          <w:i w:val="0"/>
          <w:iCs w:val="0"/>
          <w:color w:val="auto"/>
          <w:sz w:val="28"/>
          <w:szCs w:val="28"/>
          <w:highlight w:val="none"/>
        </w:rPr>
      </w:pPr>
    </w:p>
    <w:p w14:paraId="060287DB">
      <w:pPr>
        <w:spacing w:line="440" w:lineRule="exact"/>
        <w:rPr>
          <w:rFonts w:hint="eastAsia" w:ascii="宋体" w:hAnsi="宋体" w:cs="宋体"/>
          <w:b/>
          <w:i w:val="0"/>
          <w:iCs w:val="0"/>
          <w:color w:val="auto"/>
          <w:sz w:val="28"/>
          <w:szCs w:val="28"/>
          <w:highlight w:val="none"/>
        </w:rPr>
      </w:pPr>
    </w:p>
    <w:p w14:paraId="49C868A9">
      <w:pPr>
        <w:spacing w:line="440" w:lineRule="exact"/>
        <w:rPr>
          <w:rFonts w:hint="eastAsia" w:ascii="宋体" w:hAnsi="宋体" w:cs="宋体"/>
          <w:b/>
          <w:i w:val="0"/>
          <w:iCs w:val="0"/>
          <w:color w:val="auto"/>
          <w:sz w:val="28"/>
          <w:szCs w:val="28"/>
          <w:highlight w:val="none"/>
        </w:rPr>
      </w:pPr>
    </w:p>
    <w:p w14:paraId="43961CBC">
      <w:pPr>
        <w:spacing w:line="440" w:lineRule="exact"/>
        <w:rPr>
          <w:rFonts w:hint="eastAsia" w:ascii="宋体" w:hAnsi="宋体" w:cs="宋体"/>
          <w:b/>
          <w:i w:val="0"/>
          <w:iCs w:val="0"/>
          <w:color w:val="auto"/>
          <w:sz w:val="28"/>
          <w:szCs w:val="28"/>
          <w:highlight w:val="none"/>
        </w:rPr>
      </w:pPr>
    </w:p>
    <w:p w14:paraId="20919C15">
      <w:pPr>
        <w:spacing w:line="440" w:lineRule="exact"/>
        <w:rPr>
          <w:rFonts w:hint="eastAsia" w:ascii="宋体" w:hAnsi="宋体" w:cs="宋体"/>
          <w:b/>
          <w:i w:val="0"/>
          <w:iCs w:val="0"/>
          <w:color w:val="auto"/>
          <w:sz w:val="28"/>
          <w:szCs w:val="28"/>
          <w:highlight w:val="none"/>
        </w:rPr>
      </w:pPr>
    </w:p>
    <w:p w14:paraId="1DB13793">
      <w:pPr>
        <w:spacing w:line="440" w:lineRule="exact"/>
        <w:rPr>
          <w:rFonts w:hint="eastAsia" w:ascii="宋体" w:hAnsi="宋体" w:cs="宋体"/>
          <w:b/>
          <w:i w:val="0"/>
          <w:iCs w:val="0"/>
          <w:color w:val="auto"/>
          <w:sz w:val="28"/>
          <w:szCs w:val="28"/>
          <w:highlight w:val="none"/>
        </w:rPr>
      </w:pPr>
    </w:p>
    <w:p w14:paraId="62D6A8FD">
      <w:pPr>
        <w:spacing w:line="440" w:lineRule="exact"/>
        <w:rPr>
          <w:rFonts w:hint="eastAsia" w:ascii="宋体" w:hAnsi="宋体" w:cs="宋体"/>
          <w:b/>
          <w:i w:val="0"/>
          <w:iCs w:val="0"/>
          <w:color w:val="auto"/>
          <w:sz w:val="28"/>
          <w:szCs w:val="28"/>
          <w:highlight w:val="none"/>
        </w:rPr>
      </w:pPr>
    </w:p>
    <w:p w14:paraId="75869EEA">
      <w:pPr>
        <w:spacing w:line="440" w:lineRule="exact"/>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t>四、中小企业声明函（给定格式）：</w:t>
      </w:r>
    </w:p>
    <w:p w14:paraId="1B84614A">
      <w:pPr>
        <w:spacing w:line="360" w:lineRule="auto"/>
        <w:ind w:firstLine="560"/>
        <w:jc w:val="center"/>
        <w:rPr>
          <w:rFonts w:ascii="黑体" w:eastAsia="黑体"/>
          <w:bCs/>
          <w:i w:val="0"/>
          <w:iCs w:val="0"/>
          <w:color w:val="auto"/>
          <w:sz w:val="28"/>
          <w:szCs w:val="28"/>
          <w:highlight w:val="none"/>
        </w:rPr>
      </w:pPr>
      <w:r>
        <w:rPr>
          <w:rFonts w:ascii="黑体" w:eastAsia="黑体"/>
          <w:bCs/>
          <w:i w:val="0"/>
          <w:iCs w:val="0"/>
          <w:color w:val="auto"/>
          <w:sz w:val="28"/>
          <w:szCs w:val="28"/>
          <w:highlight w:val="none"/>
        </w:rPr>
        <w:t>中小企业声明函（</w:t>
      </w:r>
      <w:r>
        <w:rPr>
          <w:rFonts w:hint="eastAsia" w:ascii="黑体" w:eastAsia="黑体"/>
          <w:bCs/>
          <w:i w:val="0"/>
          <w:iCs w:val="0"/>
          <w:color w:val="auto"/>
          <w:sz w:val="28"/>
          <w:szCs w:val="28"/>
          <w:highlight w:val="none"/>
          <w:lang w:eastAsia="zh-CN"/>
        </w:rPr>
        <w:t>货物</w:t>
      </w:r>
      <w:r>
        <w:rPr>
          <w:rFonts w:ascii="黑体" w:eastAsia="黑体"/>
          <w:bCs/>
          <w:i w:val="0"/>
          <w:iCs w:val="0"/>
          <w:color w:val="auto"/>
          <w:sz w:val="28"/>
          <w:szCs w:val="28"/>
          <w:highlight w:val="none"/>
        </w:rPr>
        <w:t>）</w:t>
      </w:r>
    </w:p>
    <w:p w14:paraId="4834C46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bCs/>
          <w:i w:val="0"/>
          <w:iCs w:val="0"/>
          <w:color w:val="auto"/>
          <w:sz w:val="24"/>
          <w:szCs w:val="24"/>
          <w:highlight w:val="none"/>
        </w:rPr>
      </w:pPr>
      <w:bookmarkStart w:id="140" w:name="_Hlk159841372"/>
      <w:r>
        <w:rPr>
          <w:rFonts w:hint="eastAsia" w:ascii="宋体" w:hAnsi="宋体"/>
          <w:bCs/>
          <w:i w:val="0"/>
          <w:iCs w:val="0"/>
          <w:color w:val="auto"/>
          <w:sz w:val="24"/>
          <w:szCs w:val="24"/>
          <w:highlight w:val="none"/>
        </w:rPr>
        <w:t>本公司（联合体）郑重声明，根据《政府采购促进中小企业发展管理办法》（财库﹝2020﹞46号）的规定，本公司（联合体）参加</w:t>
      </w:r>
      <w:r>
        <w:rPr>
          <w:rFonts w:hint="eastAsia" w:ascii="宋体" w:hAnsi="宋体"/>
          <w:bCs/>
          <w:i w:val="0"/>
          <w:iCs w:val="0"/>
          <w:color w:val="auto"/>
          <w:sz w:val="24"/>
          <w:szCs w:val="24"/>
          <w:highlight w:val="none"/>
          <w:u w:val="single"/>
        </w:rPr>
        <w:t>（单位名称）</w:t>
      </w:r>
      <w:r>
        <w:rPr>
          <w:rFonts w:hint="eastAsia" w:ascii="宋体" w:hAnsi="宋体"/>
          <w:bCs/>
          <w:i w:val="0"/>
          <w:iCs w:val="0"/>
          <w:color w:val="auto"/>
          <w:sz w:val="24"/>
          <w:szCs w:val="24"/>
          <w:highlight w:val="none"/>
        </w:rPr>
        <w:t>的</w:t>
      </w:r>
      <w:r>
        <w:rPr>
          <w:rFonts w:hint="eastAsia" w:ascii="宋体" w:hAnsi="宋体"/>
          <w:bCs/>
          <w:i w:val="0"/>
          <w:iCs w:val="0"/>
          <w:color w:val="auto"/>
          <w:sz w:val="24"/>
          <w:szCs w:val="24"/>
          <w:highlight w:val="none"/>
          <w:u w:val="single"/>
        </w:rPr>
        <w:t>（项目名称）</w:t>
      </w:r>
      <w:r>
        <w:rPr>
          <w:rFonts w:hint="eastAsia" w:ascii="宋体" w:hAnsi="宋体"/>
          <w:bCs/>
          <w:i w:val="0"/>
          <w:iCs w:val="0"/>
          <w:color w:val="auto"/>
          <w:sz w:val="24"/>
          <w:szCs w:val="24"/>
          <w:highlight w:val="none"/>
        </w:rPr>
        <w:t>采购活动，提供的货物全部由符合政策要求的中小企业制造。相关企业（含联合体中的中小企业、签订分包意向协议的中小企业）的具体情况如下：</w:t>
      </w:r>
    </w:p>
    <w:bookmarkEnd w:id="140"/>
    <w:p w14:paraId="1F009FF4">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（标的名称）</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663733B3">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2.</w:t>
      </w:r>
      <w:r>
        <w:rPr>
          <w:rFonts w:ascii="宋体" w:hAnsi="宋体"/>
          <w:bCs/>
          <w:color w:val="auto"/>
          <w:sz w:val="24"/>
          <w:szCs w:val="24"/>
          <w:highlight w:val="none"/>
          <w:u w:val="single"/>
        </w:rPr>
        <w:t>（标的名称）</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4945B283">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49C6A2FF">
      <w:pPr>
        <w:spacing w:line="360" w:lineRule="auto"/>
        <w:ind w:firstLine="4800"/>
        <w:rPr>
          <w:rFonts w:hint="eastAsia" w:ascii="宋体" w:hAnsi="宋体"/>
          <w:bCs/>
          <w:i w:val="0"/>
          <w:iCs w:val="0"/>
          <w:color w:val="auto"/>
          <w:sz w:val="24"/>
          <w:szCs w:val="24"/>
          <w:highlight w:val="none"/>
        </w:rPr>
      </w:pPr>
    </w:p>
    <w:p w14:paraId="06B13E5E">
      <w:pPr>
        <w:spacing w:line="360" w:lineRule="auto"/>
        <w:ind w:firstLine="480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企业名称（盖章）：</w:t>
      </w:r>
    </w:p>
    <w:p w14:paraId="46D894DC">
      <w:pPr>
        <w:spacing w:line="360" w:lineRule="auto"/>
        <w:ind w:firstLine="480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日　　　　　　期：</w:t>
      </w:r>
    </w:p>
    <w:p w14:paraId="6226A874">
      <w:pPr>
        <w:spacing w:line="360" w:lineRule="auto"/>
        <w:ind w:firstLine="420"/>
        <w:rPr>
          <w:rFonts w:hint="eastAsia"/>
          <w:i w:val="0"/>
          <w:iCs w:val="0"/>
          <w:color w:val="auto"/>
          <w:highlight w:val="none"/>
        </w:rPr>
      </w:pPr>
    </w:p>
    <w:p w14:paraId="44499276">
      <w:pPr>
        <w:spacing w:line="360" w:lineRule="auto"/>
        <w:ind w:firstLine="420"/>
        <w:rPr>
          <w:rFonts w:hint="eastAsia"/>
          <w:i w:val="0"/>
          <w:iCs w:val="0"/>
          <w:color w:val="auto"/>
          <w:highlight w:val="none"/>
        </w:rPr>
      </w:pPr>
      <w:r>
        <w:rPr>
          <w:rFonts w:hint="eastAsia"/>
          <w:i w:val="0"/>
          <w:iCs w:val="0"/>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注：（1）项目技术要求中如对本项目标的及其所属行业进行逐一列明的，投标人须根据项目技术要求中所列明的标的及其所属行业逐一进行填报。根据本《中小企业声明函》类型，项目属性为服务类的，只</w:t>
      </w:r>
      <w:r>
        <w:rPr>
          <w:rFonts w:hint="eastAsia"/>
          <w:i w:val="0"/>
          <w:iCs w:val="0"/>
          <w:color w:val="auto"/>
          <w:highlight w:val="none"/>
          <w:lang w:eastAsia="zh-CN"/>
        </w:rPr>
        <w:t>需</w:t>
      </w:r>
      <w:r>
        <w:rPr>
          <w:rFonts w:hint="eastAsia"/>
          <w:i w:val="0"/>
          <w:iCs w:val="0"/>
          <w:color w:val="auto"/>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72BB7276">
      <w:pPr>
        <w:spacing w:line="360" w:lineRule="auto"/>
        <w:ind w:firstLine="420"/>
        <w:rPr>
          <w:i w:val="0"/>
          <w:iCs w:val="0"/>
          <w:color w:val="auto"/>
          <w:highlight w:val="none"/>
        </w:rPr>
      </w:pPr>
      <w:r>
        <w:rPr>
          <w:rFonts w:hint="eastAsia"/>
          <w:i w:val="0"/>
          <w:iCs w:val="0"/>
          <w:color w:val="auto"/>
          <w:highlight w:val="none"/>
        </w:rPr>
        <w:t>（2）</w:t>
      </w:r>
      <w:r>
        <w:rPr>
          <w:i w:val="0"/>
          <w:iCs w:val="0"/>
          <w:color w:val="auto"/>
          <w:highlight w:val="none"/>
        </w:rPr>
        <w:t>从业人员、营业收入、资产总额填报上一年度数据，无上一年度数据的新成立企业可不填报。</w:t>
      </w:r>
    </w:p>
    <w:p w14:paraId="39403A69">
      <w:pPr>
        <w:spacing w:line="360" w:lineRule="auto"/>
        <w:ind w:firstLine="420"/>
        <w:rPr>
          <w:rFonts w:hint="eastAsia"/>
          <w:i w:val="0"/>
          <w:iCs w:val="0"/>
          <w:color w:val="auto"/>
          <w:highlight w:val="none"/>
        </w:rPr>
      </w:pPr>
      <w:r>
        <w:rPr>
          <w:rFonts w:hint="eastAsia"/>
          <w:i w:val="0"/>
          <w:iCs w:val="0"/>
          <w:color w:val="auto"/>
          <w:highlight w:val="none"/>
        </w:rPr>
        <w:t>（3）中标供应商的《</w:t>
      </w:r>
      <w:r>
        <w:rPr>
          <w:i w:val="0"/>
          <w:iCs w:val="0"/>
          <w:color w:val="auto"/>
          <w:highlight w:val="none"/>
        </w:rPr>
        <w:t>中小企业声明函</w:t>
      </w:r>
      <w:r>
        <w:rPr>
          <w:rFonts w:hint="eastAsia"/>
          <w:i w:val="0"/>
          <w:iCs w:val="0"/>
          <w:color w:val="auto"/>
          <w:highlight w:val="none"/>
        </w:rPr>
        <w:t>》将随中标公告进行公示。供应商按照本办法规定提供声明函内容不实的，属于提供虚假材料谋取中标、成交，依照《中华人民共和国政府采购法》等国家有关规定追究相应责任。</w:t>
      </w:r>
    </w:p>
    <w:p w14:paraId="4763B7E8">
      <w:pPr>
        <w:spacing w:line="360" w:lineRule="auto"/>
        <w:ind w:firstLine="420"/>
        <w:rPr>
          <w:rFonts w:hint="default" w:eastAsia="宋体"/>
          <w:i w:val="0"/>
          <w:iCs w:val="0"/>
          <w:color w:val="auto"/>
          <w:highlight w:val="none"/>
          <w:lang w:val="en-US" w:eastAsia="zh-CN"/>
        </w:rPr>
      </w:pPr>
      <w:r>
        <w:rPr>
          <w:rFonts w:hint="eastAsia"/>
          <w:i w:val="0"/>
          <w:iCs w:val="0"/>
          <w:color w:val="auto"/>
          <w:highlight w:val="none"/>
          <w:lang w:eastAsia="zh-CN"/>
        </w:rPr>
        <w:t>（</w:t>
      </w:r>
      <w:r>
        <w:rPr>
          <w:rFonts w:hint="eastAsia"/>
          <w:i w:val="0"/>
          <w:iCs w:val="0"/>
          <w:color w:val="auto"/>
          <w:highlight w:val="none"/>
          <w:lang w:val="en-US" w:eastAsia="zh-CN"/>
        </w:rPr>
        <w:t>4）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厂家，将不予认可中小企业扶持资格，并由供应商自行承担相应责任。</w:t>
      </w:r>
    </w:p>
    <w:p w14:paraId="718D09B1">
      <w:pPr>
        <w:pStyle w:val="14"/>
        <w:ind w:left="0" w:leftChars="0" w:firstLine="0" w:firstLineChars="0"/>
        <w:rPr>
          <w:rFonts w:hint="eastAsia"/>
          <w:b/>
          <w:i w:val="0"/>
          <w:iCs w:val="0"/>
          <w:color w:val="auto"/>
          <w:sz w:val="30"/>
          <w:szCs w:val="30"/>
          <w:highlight w:val="none"/>
        </w:rPr>
      </w:pPr>
    </w:p>
    <w:p w14:paraId="089BC552">
      <w:pPr>
        <w:rPr>
          <w:rFonts w:hint="eastAsia"/>
          <w:color w:val="auto"/>
          <w:highlight w:val="none"/>
        </w:rPr>
      </w:pPr>
    </w:p>
    <w:p w14:paraId="5F8BE424">
      <w:pPr>
        <w:pStyle w:val="14"/>
        <w:rPr>
          <w:rFonts w:hint="eastAsia"/>
          <w:color w:val="auto"/>
          <w:highlight w:val="none"/>
        </w:rPr>
      </w:pPr>
    </w:p>
    <w:p w14:paraId="4C7E5049">
      <w:pPr>
        <w:spacing w:line="360" w:lineRule="auto"/>
        <w:rPr>
          <w:rFonts w:hint="eastAsia" w:ascii="宋体" w:hAnsi="宋体" w:cs="宋体"/>
          <w:b/>
          <w:i w:val="0"/>
          <w:iCs w:val="0"/>
          <w:color w:val="auto"/>
          <w:sz w:val="30"/>
          <w:szCs w:val="30"/>
          <w:highlight w:val="none"/>
        </w:rPr>
      </w:pPr>
      <w:r>
        <w:rPr>
          <w:rFonts w:hint="eastAsia"/>
          <w:b/>
          <w:i w:val="0"/>
          <w:iCs w:val="0"/>
          <w:color w:val="auto"/>
          <w:sz w:val="30"/>
          <w:szCs w:val="30"/>
          <w:highlight w:val="none"/>
        </w:rPr>
        <w:t>五</w:t>
      </w:r>
      <w:r>
        <w:rPr>
          <w:rFonts w:hint="eastAsia" w:ascii="宋体" w:hAnsi="宋体" w:cs="宋体"/>
          <w:b/>
          <w:i w:val="0"/>
          <w:iCs w:val="0"/>
          <w:color w:val="auto"/>
          <w:sz w:val="30"/>
          <w:szCs w:val="30"/>
          <w:highlight w:val="none"/>
        </w:rPr>
        <w:t>、残疾人福利性单位声明函（给定格式）：</w:t>
      </w:r>
    </w:p>
    <w:p w14:paraId="2757F3AF">
      <w:pPr>
        <w:spacing w:line="440" w:lineRule="exact"/>
        <w:ind w:firstLine="482"/>
        <w:rPr>
          <w:rFonts w:ascii="Arial" w:hAnsi="Arial"/>
          <w:b/>
          <w:i w:val="0"/>
          <w:iCs w:val="0"/>
          <w:color w:val="auto"/>
          <w:sz w:val="24"/>
          <w:highlight w:val="none"/>
        </w:rPr>
      </w:pPr>
    </w:p>
    <w:p w14:paraId="5EE04E07">
      <w:pPr>
        <w:jc w:val="center"/>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残疾人福利性单位声明函</w:t>
      </w:r>
    </w:p>
    <w:p w14:paraId="4D028E76">
      <w:pPr>
        <w:jc w:val="center"/>
        <w:rPr>
          <w:rFonts w:ascii="黑体" w:eastAsia="黑体"/>
          <w:bCs/>
          <w:i w:val="0"/>
          <w:iCs w:val="0"/>
          <w:color w:val="auto"/>
          <w:sz w:val="28"/>
          <w:szCs w:val="28"/>
          <w:highlight w:val="none"/>
        </w:rPr>
      </w:pPr>
    </w:p>
    <w:p w14:paraId="5D8C23ED">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4030FD">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本单位对上述声明的真实性负责。如有虚假，将依法承担相应责任。</w:t>
      </w:r>
    </w:p>
    <w:p w14:paraId="5EBBA943">
      <w:pPr>
        <w:spacing w:line="580" w:lineRule="exact"/>
        <w:ind w:firstLine="480"/>
        <w:rPr>
          <w:rFonts w:ascii="宋体" w:hAnsi="宋体"/>
          <w:bCs/>
          <w:i w:val="0"/>
          <w:iCs w:val="0"/>
          <w:color w:val="auto"/>
          <w:sz w:val="24"/>
          <w:szCs w:val="24"/>
          <w:highlight w:val="none"/>
        </w:rPr>
      </w:pPr>
    </w:p>
    <w:p w14:paraId="3656CEE3">
      <w:pPr>
        <w:spacing w:line="580" w:lineRule="exact"/>
        <w:ind w:firstLine="480"/>
        <w:rPr>
          <w:rFonts w:ascii="宋体" w:hAnsi="宋体"/>
          <w:bCs/>
          <w:i w:val="0"/>
          <w:iCs w:val="0"/>
          <w:color w:val="auto"/>
          <w:sz w:val="24"/>
          <w:szCs w:val="24"/>
          <w:highlight w:val="none"/>
        </w:rPr>
      </w:pPr>
    </w:p>
    <w:p w14:paraId="6D17120A">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单位名称（盖章）：</w:t>
      </w:r>
    </w:p>
    <w:p w14:paraId="279BA36C">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日  期：</w:t>
      </w:r>
    </w:p>
    <w:p w14:paraId="2A4C8205">
      <w:pPr>
        <w:spacing w:line="360" w:lineRule="auto"/>
        <w:rPr>
          <w:rFonts w:hint="eastAsia"/>
          <w:b/>
          <w:i w:val="0"/>
          <w:iCs w:val="0"/>
          <w:color w:val="auto"/>
          <w:sz w:val="30"/>
          <w:szCs w:val="30"/>
          <w:highlight w:val="none"/>
        </w:rPr>
      </w:pPr>
    </w:p>
    <w:p w14:paraId="7CBCD6FB">
      <w:pPr>
        <w:spacing w:line="360" w:lineRule="auto"/>
        <w:rPr>
          <w:rFonts w:hint="eastAsia"/>
          <w:b/>
          <w:i w:val="0"/>
          <w:iCs w:val="0"/>
          <w:color w:val="auto"/>
          <w:sz w:val="30"/>
          <w:szCs w:val="30"/>
          <w:highlight w:val="none"/>
        </w:rPr>
      </w:pPr>
    </w:p>
    <w:p w14:paraId="4B767E2E">
      <w:pPr>
        <w:spacing w:line="360" w:lineRule="auto"/>
        <w:rPr>
          <w:rFonts w:hint="eastAsia"/>
          <w:b/>
          <w:i w:val="0"/>
          <w:iCs w:val="0"/>
          <w:color w:val="auto"/>
          <w:sz w:val="30"/>
          <w:szCs w:val="30"/>
          <w:highlight w:val="none"/>
        </w:rPr>
      </w:pPr>
    </w:p>
    <w:p w14:paraId="1EFAD1D5">
      <w:pPr>
        <w:spacing w:line="360" w:lineRule="auto"/>
        <w:rPr>
          <w:rFonts w:hint="eastAsia"/>
          <w:b/>
          <w:i w:val="0"/>
          <w:iCs w:val="0"/>
          <w:color w:val="auto"/>
          <w:sz w:val="30"/>
          <w:szCs w:val="30"/>
          <w:highlight w:val="none"/>
        </w:rPr>
      </w:pPr>
    </w:p>
    <w:p w14:paraId="6D1C0F50">
      <w:pPr>
        <w:spacing w:line="360" w:lineRule="auto"/>
        <w:rPr>
          <w:rFonts w:hint="eastAsia"/>
          <w:b/>
          <w:i w:val="0"/>
          <w:iCs w:val="0"/>
          <w:color w:val="auto"/>
          <w:sz w:val="30"/>
          <w:szCs w:val="30"/>
          <w:highlight w:val="none"/>
        </w:rPr>
      </w:pPr>
    </w:p>
    <w:p w14:paraId="4F5BF10D">
      <w:pPr>
        <w:spacing w:line="360" w:lineRule="auto"/>
        <w:rPr>
          <w:rFonts w:hint="eastAsia"/>
          <w:b/>
          <w:i w:val="0"/>
          <w:iCs w:val="0"/>
          <w:color w:val="auto"/>
          <w:sz w:val="30"/>
          <w:szCs w:val="30"/>
          <w:highlight w:val="none"/>
        </w:rPr>
      </w:pPr>
    </w:p>
    <w:p w14:paraId="521AD7A4">
      <w:pPr>
        <w:spacing w:line="360" w:lineRule="auto"/>
        <w:rPr>
          <w:rFonts w:hint="eastAsia"/>
          <w:b/>
          <w:i w:val="0"/>
          <w:iCs w:val="0"/>
          <w:color w:val="auto"/>
          <w:sz w:val="30"/>
          <w:szCs w:val="30"/>
          <w:highlight w:val="none"/>
        </w:rPr>
      </w:pPr>
    </w:p>
    <w:p w14:paraId="1AF96940">
      <w:pPr>
        <w:spacing w:line="360" w:lineRule="auto"/>
        <w:rPr>
          <w:rFonts w:hint="eastAsia"/>
          <w:b/>
          <w:i w:val="0"/>
          <w:iCs w:val="0"/>
          <w:color w:val="auto"/>
          <w:sz w:val="30"/>
          <w:szCs w:val="30"/>
          <w:highlight w:val="none"/>
        </w:rPr>
      </w:pPr>
    </w:p>
    <w:p w14:paraId="59F4A565">
      <w:pPr>
        <w:spacing w:line="360" w:lineRule="auto"/>
        <w:rPr>
          <w:rFonts w:hint="eastAsia"/>
          <w:b/>
          <w:i w:val="0"/>
          <w:iCs w:val="0"/>
          <w:color w:val="auto"/>
          <w:sz w:val="30"/>
          <w:szCs w:val="30"/>
          <w:highlight w:val="none"/>
        </w:rPr>
      </w:pPr>
    </w:p>
    <w:p w14:paraId="2B3BDB6B">
      <w:pPr>
        <w:spacing w:line="360" w:lineRule="auto"/>
        <w:rPr>
          <w:rFonts w:hint="eastAsia"/>
          <w:b/>
          <w:i w:val="0"/>
          <w:iCs w:val="0"/>
          <w:color w:val="auto"/>
          <w:sz w:val="30"/>
          <w:szCs w:val="30"/>
          <w:highlight w:val="none"/>
        </w:rPr>
      </w:pPr>
    </w:p>
    <w:p w14:paraId="026D5B20">
      <w:pPr>
        <w:spacing w:line="360" w:lineRule="auto"/>
        <w:rPr>
          <w:rFonts w:hint="eastAsia"/>
          <w:b/>
          <w:i w:val="0"/>
          <w:iCs w:val="0"/>
          <w:color w:val="auto"/>
          <w:sz w:val="30"/>
          <w:szCs w:val="30"/>
          <w:highlight w:val="none"/>
        </w:rPr>
      </w:pPr>
    </w:p>
    <w:p w14:paraId="097969C0">
      <w:pPr>
        <w:spacing w:line="360" w:lineRule="auto"/>
        <w:rPr>
          <w:rFonts w:hint="eastAsia"/>
          <w:b/>
          <w:i w:val="0"/>
          <w:iCs w:val="0"/>
          <w:color w:val="auto"/>
          <w:sz w:val="30"/>
          <w:szCs w:val="30"/>
          <w:highlight w:val="none"/>
        </w:rPr>
      </w:pPr>
    </w:p>
    <w:p w14:paraId="6A5F48B8">
      <w:pPr>
        <w:spacing w:line="360" w:lineRule="auto"/>
        <w:rPr>
          <w:rFonts w:hint="eastAsia"/>
          <w:b/>
          <w:i w:val="0"/>
          <w:iCs w:val="0"/>
          <w:color w:val="auto"/>
          <w:sz w:val="30"/>
          <w:szCs w:val="30"/>
          <w:highlight w:val="none"/>
        </w:rPr>
      </w:pPr>
    </w:p>
    <w:p w14:paraId="2F9A207C">
      <w:pPr>
        <w:spacing w:line="360" w:lineRule="auto"/>
        <w:rPr>
          <w:rFonts w:hint="eastAsia" w:eastAsia="宋体"/>
          <w:b/>
          <w:color w:val="auto"/>
          <w:sz w:val="30"/>
          <w:szCs w:val="30"/>
          <w:highlight w:val="none"/>
          <w:lang w:eastAsia="zh-CN"/>
        </w:rPr>
      </w:pPr>
      <w:r>
        <w:rPr>
          <w:rFonts w:hint="eastAsia"/>
          <w:b/>
          <w:color w:val="auto"/>
          <w:sz w:val="30"/>
          <w:szCs w:val="30"/>
          <w:highlight w:val="none"/>
          <w:lang w:val="en-US" w:eastAsia="zh-CN"/>
        </w:rPr>
        <w:t>六</w:t>
      </w:r>
      <w:r>
        <w:rPr>
          <w:rFonts w:hint="eastAsia"/>
          <w:b/>
          <w:color w:val="auto"/>
          <w:sz w:val="30"/>
          <w:szCs w:val="30"/>
          <w:highlight w:val="none"/>
          <w:lang w:eastAsia="zh-CN"/>
        </w:rPr>
        <w:t>、</w:t>
      </w:r>
      <w:r>
        <w:rPr>
          <w:rFonts w:hint="eastAsia"/>
          <w:b/>
          <w:color w:val="auto"/>
          <w:sz w:val="30"/>
          <w:szCs w:val="30"/>
          <w:highlight w:val="none"/>
        </w:rPr>
        <w:t>关于符合本国产品标准的声明函（</w:t>
      </w:r>
      <w:r>
        <w:rPr>
          <w:rFonts w:hint="eastAsia"/>
          <w:b/>
          <w:color w:val="auto"/>
          <w:sz w:val="30"/>
          <w:szCs w:val="30"/>
          <w:highlight w:val="none"/>
          <w:lang w:val="en-US" w:eastAsia="zh-CN"/>
        </w:rPr>
        <w:t>给定格式</w:t>
      </w:r>
      <w:r>
        <w:rPr>
          <w:rFonts w:hint="eastAsia"/>
          <w:b/>
          <w:color w:val="auto"/>
          <w:sz w:val="30"/>
          <w:szCs w:val="30"/>
          <w:highlight w:val="none"/>
        </w:rPr>
        <w:t>）</w:t>
      </w:r>
      <w:r>
        <w:rPr>
          <w:rFonts w:hint="eastAsia"/>
          <w:b/>
          <w:color w:val="auto"/>
          <w:sz w:val="30"/>
          <w:szCs w:val="30"/>
          <w:highlight w:val="none"/>
          <w:lang w:eastAsia="zh-CN"/>
        </w:rPr>
        <w:t>：</w:t>
      </w:r>
    </w:p>
    <w:p w14:paraId="6BF69482">
      <w:pPr>
        <w:pBdr>
          <w:top w:val="none" w:color="000000" w:sz="0" w:space="0"/>
          <w:left w:val="none" w:color="000000" w:sz="0" w:space="0"/>
          <w:bottom w:val="none" w:color="000000" w:sz="0" w:space="0"/>
          <w:right w:val="none" w:color="000000" w:sz="0" w:space="0"/>
        </w:pBdr>
        <w:spacing w:before="0" w:after="0"/>
        <w:ind w:left="0" w:right="0" w:firstLine="2711"/>
        <w:rPr>
          <w:color w:val="auto"/>
          <w:highlight w:val="none"/>
        </w:rPr>
      </w:pPr>
      <w:r>
        <w:rPr>
          <w:rFonts w:ascii="宋体" w:hAnsi="宋体" w:eastAsia="宋体" w:cs="宋体"/>
          <w:b/>
          <w:color w:val="auto"/>
          <w:sz w:val="30"/>
          <w:highlight w:val="none"/>
        </w:rPr>
        <w:t>关于符合本国产品标准的声明函</w:t>
      </w:r>
    </w:p>
    <w:p w14:paraId="7BD7ADBE">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 </w:t>
      </w:r>
    </w:p>
    <w:p w14:paraId="7B3D3A59">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3C000251">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1.</w:t>
      </w:r>
      <w:r>
        <w:rPr>
          <w:rFonts w:ascii="宋体" w:hAnsi="宋体" w:eastAsia="宋体" w:cs="宋体"/>
          <w:color w:val="auto"/>
          <w:sz w:val="24"/>
          <w:highlight w:val="none"/>
          <w:u w:val="single"/>
        </w:rPr>
        <w:t>（产品名称1）</w:t>
      </w:r>
      <w:r>
        <w:rPr>
          <w:rFonts w:ascii="宋体" w:hAnsi="宋体" w:eastAsia="宋体" w:cs="宋体"/>
          <w:color w:val="auto"/>
          <w:sz w:val="24"/>
          <w:highlight w:val="none"/>
          <w:vertAlign w:val="superscript"/>
        </w:rPr>
        <w:t>1</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vertAlign w:val="superscript"/>
        </w:rPr>
        <w:t>2</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3</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4</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5</w:t>
      </w:r>
      <w:r>
        <w:rPr>
          <w:rFonts w:ascii="宋体" w:hAnsi="宋体" w:eastAsia="宋体" w:cs="宋体"/>
          <w:color w:val="auto"/>
          <w:sz w:val="24"/>
          <w:highlight w:val="none"/>
        </w:rPr>
        <w:t>在中国境内完成。</w:t>
      </w:r>
    </w:p>
    <w:p w14:paraId="7767696B">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2.</w:t>
      </w:r>
      <w:r>
        <w:rPr>
          <w:rFonts w:ascii="宋体" w:hAnsi="宋体" w:eastAsia="宋体" w:cs="宋体"/>
          <w:color w:val="auto"/>
          <w:sz w:val="24"/>
          <w:highlight w:val="none"/>
          <w:u w:val="single"/>
        </w:rPr>
        <w:t>（产品名称2）</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在中国境内完成。</w:t>
      </w:r>
    </w:p>
    <w:p w14:paraId="1914A0AF">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w:t>
      </w:r>
    </w:p>
    <w:p w14:paraId="4B8A638A">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本公司（单位）对上述声明内容的真实性负责。如有虚假，愿承担相应法律责任。</w:t>
      </w:r>
    </w:p>
    <w:p w14:paraId="4D239C3E">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6E5FA71D">
      <w:pPr>
        <w:pBdr>
          <w:top w:val="none" w:color="000000" w:sz="0" w:space="0"/>
          <w:left w:val="none" w:color="000000" w:sz="0" w:space="0"/>
          <w:bottom w:val="none" w:color="000000" w:sz="0" w:space="0"/>
          <w:right w:val="none" w:color="000000" w:sz="0" w:space="0"/>
        </w:pBdr>
        <w:spacing w:before="30" w:after="30" w:line="85" w:lineRule="atLeast"/>
        <w:ind w:left="0" w:right="0" w:firstLine="0"/>
        <w:jc w:val="right"/>
        <w:rPr>
          <w:color w:val="auto"/>
          <w:highlight w:val="none"/>
        </w:rPr>
      </w:pPr>
      <w:r>
        <w:rPr>
          <w:rFonts w:ascii="宋体" w:hAnsi="宋体" w:eastAsia="宋体" w:cs="宋体"/>
          <w:color w:val="auto"/>
          <w:sz w:val="24"/>
          <w:highlight w:val="none"/>
        </w:rPr>
        <w:t>   公司（单位）名称（加盖CA电子公章）：　</w:t>
      </w:r>
    </w:p>
    <w:p w14:paraId="0DE7A455">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rPr>
          <w:color w:val="auto"/>
          <w:highlight w:val="none"/>
        </w:rPr>
      </w:pPr>
      <w:r>
        <w:rPr>
          <w:rFonts w:ascii="宋体" w:hAnsi="宋体" w:eastAsia="宋体" w:cs="宋体"/>
          <w:color w:val="auto"/>
          <w:sz w:val="24"/>
          <w:highlight w:val="none"/>
        </w:rPr>
        <w:t>           日期：　     年　  月　  日         </w:t>
      </w:r>
    </w:p>
    <w:p w14:paraId="6067F106">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4C4BC63F">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5C57F23C">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_________________</w:t>
      </w:r>
    </w:p>
    <w:p w14:paraId="23E97C2E">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1.产品如有型号，请在“产品名称”栏一并填写。</w:t>
      </w:r>
    </w:p>
    <w:p w14:paraId="41B96869">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2.生产厂名与厂址应与生产厂营业执照载明的相关信息保持一致。</w:t>
      </w:r>
    </w:p>
    <w:p w14:paraId="38E06B9D">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3.该产品的中国境内生产的组件成本占比相关要求实施前，“规定比例”栏可不填，下同。</w:t>
      </w:r>
    </w:p>
    <w:p w14:paraId="532509F2">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4.该产品的关键组件要求实施前，“关键组件”栏可不填，下同。</w:t>
      </w:r>
    </w:p>
    <w:p w14:paraId="404F7B63">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5.该产品的关键工序要求实施前，“关键工序”栏可不填，下同。</w:t>
      </w:r>
    </w:p>
    <w:p w14:paraId="02882C6C">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6.《声明函》中标注“</w:t>
      </w:r>
      <w:r>
        <w:rPr>
          <w:rFonts w:ascii="宋体" w:hAnsi="宋体" w:eastAsia="宋体" w:cs="宋体"/>
          <w:color w:val="auto"/>
          <w:sz w:val="24"/>
          <w:highlight w:val="none"/>
          <w:u w:val="single"/>
        </w:rPr>
        <w:t>  /  </w:t>
      </w:r>
      <w:r>
        <w:rPr>
          <w:rFonts w:ascii="宋体" w:hAnsi="宋体" w:eastAsia="宋体" w:cs="宋体"/>
          <w:color w:val="auto"/>
          <w:sz w:val="24"/>
          <w:highlight w:val="none"/>
        </w:rPr>
        <w:t>”的地方无需填写。</w:t>
      </w:r>
    </w:p>
    <w:p w14:paraId="6E2178BB">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w:t>
      </w:r>
      <w:r>
        <w:rPr>
          <w:rFonts w:hint="eastAsia" w:ascii="宋体" w:hAnsi="宋体" w:cs="宋体"/>
          <w:color w:val="auto"/>
          <w:sz w:val="24"/>
          <w:highlight w:val="none"/>
          <w:lang w:val="en-US" w:eastAsia="zh-CN"/>
        </w:rPr>
        <w:t>投标供应商应将该声明函放置于“苏采云”系统中的“折扣报价证明文件”中。</w:t>
      </w:r>
    </w:p>
    <w:p w14:paraId="094C904F">
      <w:pPr>
        <w:spacing w:line="360" w:lineRule="auto"/>
        <w:rPr>
          <w:rFonts w:hint="eastAsia"/>
          <w:b/>
          <w:i w:val="0"/>
          <w:iCs w:val="0"/>
          <w:color w:val="auto"/>
          <w:sz w:val="30"/>
          <w:szCs w:val="30"/>
          <w:highlight w:val="none"/>
        </w:rPr>
      </w:pPr>
    </w:p>
    <w:p w14:paraId="26D7957F">
      <w:pPr>
        <w:spacing w:line="360" w:lineRule="auto"/>
        <w:rPr>
          <w:rFonts w:hint="eastAsia"/>
          <w:b/>
          <w:i w:val="0"/>
          <w:iCs w:val="0"/>
          <w:color w:val="auto"/>
          <w:sz w:val="30"/>
          <w:szCs w:val="30"/>
          <w:highlight w:val="none"/>
        </w:rPr>
      </w:pPr>
    </w:p>
    <w:p w14:paraId="759E415C">
      <w:pPr>
        <w:spacing w:line="360" w:lineRule="auto"/>
        <w:rPr>
          <w:rFonts w:hint="eastAsia"/>
          <w:b/>
          <w:i w:val="0"/>
          <w:iCs w:val="0"/>
          <w:color w:val="auto"/>
          <w:sz w:val="30"/>
          <w:szCs w:val="30"/>
          <w:highlight w:val="none"/>
          <w:lang w:eastAsia="zh-CN"/>
        </w:rPr>
      </w:pPr>
    </w:p>
    <w:p w14:paraId="08F135A5">
      <w:pPr>
        <w:spacing w:line="360" w:lineRule="auto"/>
        <w:rPr>
          <w:rFonts w:hint="eastAsia"/>
          <w:b/>
          <w:i w:val="0"/>
          <w:iCs w:val="0"/>
          <w:color w:val="auto"/>
          <w:sz w:val="30"/>
          <w:szCs w:val="30"/>
          <w:highlight w:val="none"/>
          <w:lang w:eastAsia="zh-CN"/>
        </w:rPr>
      </w:pPr>
    </w:p>
    <w:p w14:paraId="2C9916E2">
      <w:pPr>
        <w:spacing w:line="360" w:lineRule="auto"/>
        <w:rPr>
          <w:rFonts w:hint="eastAsia"/>
          <w:b/>
          <w:i w:val="0"/>
          <w:iCs w:val="0"/>
          <w:color w:val="auto"/>
          <w:sz w:val="30"/>
          <w:szCs w:val="30"/>
          <w:highlight w:val="none"/>
          <w:lang w:eastAsia="zh-CN"/>
        </w:rPr>
      </w:pPr>
    </w:p>
    <w:p w14:paraId="143CFD24">
      <w:pPr>
        <w:spacing w:line="360" w:lineRule="auto"/>
        <w:rPr>
          <w:rFonts w:hint="eastAsia"/>
          <w:b/>
          <w:i w:val="0"/>
          <w:iCs w:val="0"/>
          <w:color w:val="auto"/>
          <w:sz w:val="30"/>
          <w:szCs w:val="30"/>
          <w:highlight w:val="none"/>
          <w:lang w:eastAsia="zh-CN"/>
        </w:rPr>
      </w:pPr>
    </w:p>
    <w:p w14:paraId="5577D53C">
      <w:pPr>
        <w:spacing w:line="360" w:lineRule="auto"/>
        <w:rPr>
          <w:rFonts w:hint="eastAsia"/>
          <w:b/>
          <w:i w:val="0"/>
          <w:iCs w:val="0"/>
          <w:color w:val="auto"/>
          <w:sz w:val="30"/>
          <w:szCs w:val="30"/>
          <w:highlight w:val="none"/>
          <w:lang w:eastAsia="zh-CN"/>
        </w:rPr>
      </w:pPr>
    </w:p>
    <w:p w14:paraId="59A6D4BE">
      <w:pPr>
        <w:spacing w:line="360" w:lineRule="auto"/>
        <w:rPr>
          <w:rFonts w:hint="eastAsia"/>
          <w:b/>
          <w:i w:val="0"/>
          <w:iCs w:val="0"/>
          <w:color w:val="auto"/>
          <w:sz w:val="30"/>
          <w:szCs w:val="30"/>
          <w:highlight w:val="none"/>
          <w:lang w:eastAsia="zh-CN"/>
        </w:rPr>
      </w:pPr>
    </w:p>
    <w:p w14:paraId="2844BCCB">
      <w:pPr>
        <w:spacing w:line="360" w:lineRule="auto"/>
        <w:rPr>
          <w:rFonts w:hint="eastAsia"/>
          <w:b/>
          <w:i w:val="0"/>
          <w:iCs w:val="0"/>
          <w:color w:val="auto"/>
          <w:sz w:val="30"/>
          <w:szCs w:val="30"/>
          <w:highlight w:val="none"/>
          <w:lang w:eastAsia="zh-CN"/>
        </w:rPr>
      </w:pPr>
    </w:p>
    <w:p w14:paraId="0C93CD16">
      <w:pPr>
        <w:spacing w:line="360" w:lineRule="auto"/>
        <w:rPr>
          <w:rFonts w:hint="eastAsia"/>
          <w:b/>
          <w:i w:val="0"/>
          <w:iCs w:val="0"/>
          <w:color w:val="auto"/>
          <w:sz w:val="30"/>
          <w:szCs w:val="30"/>
          <w:highlight w:val="none"/>
          <w:lang w:eastAsia="zh-CN"/>
        </w:rPr>
      </w:pPr>
    </w:p>
    <w:p w14:paraId="32912F9F">
      <w:pPr>
        <w:spacing w:line="360" w:lineRule="auto"/>
        <w:rPr>
          <w:rFonts w:hint="eastAsia"/>
          <w:b/>
          <w:i w:val="0"/>
          <w:iCs w:val="0"/>
          <w:color w:val="auto"/>
          <w:sz w:val="30"/>
          <w:szCs w:val="30"/>
          <w:highlight w:val="none"/>
        </w:rPr>
      </w:pPr>
      <w:r>
        <w:rPr>
          <w:rFonts w:hint="eastAsia"/>
          <w:b/>
          <w:i w:val="0"/>
          <w:iCs w:val="0"/>
          <w:color w:val="auto"/>
          <w:sz w:val="30"/>
          <w:szCs w:val="30"/>
          <w:highlight w:val="none"/>
          <w:lang w:eastAsia="zh-CN"/>
        </w:rPr>
        <w:t>七</w:t>
      </w:r>
      <w:r>
        <w:rPr>
          <w:b/>
          <w:i w:val="0"/>
          <w:iCs w:val="0"/>
          <w:color w:val="auto"/>
          <w:sz w:val="30"/>
          <w:szCs w:val="30"/>
          <w:highlight w:val="none"/>
        </w:rPr>
        <w:t>、投标函</w:t>
      </w:r>
      <w:r>
        <w:rPr>
          <w:rFonts w:hint="eastAsia"/>
          <w:b/>
          <w:i w:val="0"/>
          <w:iCs w:val="0"/>
          <w:color w:val="auto"/>
          <w:sz w:val="30"/>
          <w:szCs w:val="30"/>
          <w:highlight w:val="none"/>
        </w:rPr>
        <w:t>（给定格式）：</w:t>
      </w:r>
    </w:p>
    <w:p w14:paraId="7AFF5233">
      <w:pPr>
        <w:spacing w:line="360" w:lineRule="auto"/>
        <w:rPr>
          <w:rFonts w:hint="eastAsia"/>
          <w:b/>
          <w:i w:val="0"/>
          <w:iCs w:val="0"/>
          <w:color w:val="auto"/>
          <w:sz w:val="30"/>
          <w:szCs w:val="30"/>
          <w:highlight w:val="none"/>
        </w:rPr>
      </w:pPr>
    </w:p>
    <w:p w14:paraId="5C5FB2FE">
      <w:pPr>
        <w:spacing w:line="400" w:lineRule="exact"/>
        <w:jc w:val="center"/>
        <w:rPr>
          <w:rFonts w:ascii="宋体"/>
          <w:bCs/>
          <w:i w:val="0"/>
          <w:iCs w:val="0"/>
          <w:color w:val="auto"/>
          <w:sz w:val="24"/>
          <w:szCs w:val="24"/>
          <w:highlight w:val="none"/>
        </w:rPr>
      </w:pPr>
      <w:r>
        <w:rPr>
          <w:rFonts w:hint="eastAsia" w:ascii="黑体" w:eastAsia="黑体"/>
          <w:bCs/>
          <w:i w:val="0"/>
          <w:iCs w:val="0"/>
          <w:color w:val="auto"/>
          <w:sz w:val="28"/>
          <w:szCs w:val="28"/>
          <w:highlight w:val="none"/>
        </w:rPr>
        <w:t>投标函</w:t>
      </w:r>
    </w:p>
    <w:p w14:paraId="2E2A8183">
      <w:pPr>
        <w:spacing w:line="400" w:lineRule="exact"/>
        <w:rPr>
          <w:rFonts w:ascii="宋体"/>
          <w:bCs/>
          <w:i w:val="0"/>
          <w:iCs w:val="0"/>
          <w:color w:val="auto"/>
          <w:sz w:val="24"/>
          <w:szCs w:val="24"/>
          <w:highlight w:val="none"/>
        </w:rPr>
      </w:pPr>
      <w:r>
        <w:rPr>
          <w:rFonts w:hint="eastAsia" w:ascii="宋体" w:hAnsi="宋体"/>
          <w:bCs/>
          <w:i w:val="0"/>
          <w:iCs w:val="0"/>
          <w:color w:val="auto"/>
          <w:sz w:val="24"/>
          <w:szCs w:val="24"/>
          <w:highlight w:val="none"/>
        </w:rPr>
        <w:t>致</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w:t>
      </w:r>
    </w:p>
    <w:p w14:paraId="2D453355">
      <w:pPr>
        <w:spacing w:line="400" w:lineRule="exact"/>
        <w:ind w:firstLine="480"/>
        <w:rPr>
          <w:rFonts w:ascii="宋体"/>
          <w:bCs/>
          <w:i w:val="0"/>
          <w:iCs w:val="0"/>
          <w:color w:val="auto"/>
          <w:sz w:val="24"/>
          <w:szCs w:val="24"/>
          <w:highlight w:val="none"/>
        </w:rPr>
      </w:pPr>
    </w:p>
    <w:p w14:paraId="19D48741">
      <w:pPr>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我方收到贵方</w:t>
      </w:r>
      <w:r>
        <w:rPr>
          <w:rFonts w:hint="eastAsia" w:ascii="黑体" w:eastAsia="黑体" w:cs="Times New Roman"/>
          <w:bCs/>
          <w:i w:val="0"/>
          <w:iCs w:val="0"/>
          <w:color w:val="auto"/>
          <w:sz w:val="24"/>
          <w:szCs w:val="24"/>
          <w:highlight w:val="none"/>
          <w:lang w:eastAsia="zh-CN"/>
        </w:rPr>
        <w:t>JSZC-320206-JZCG-G2026-0051</w:t>
      </w:r>
      <w:r>
        <w:rPr>
          <w:rFonts w:hint="eastAsia" w:ascii="宋体" w:hAnsi="宋体"/>
          <w:bCs/>
          <w:i w:val="0"/>
          <w:iCs w:val="0"/>
          <w:color w:val="auto"/>
          <w:sz w:val="24"/>
          <w:szCs w:val="24"/>
          <w:highlight w:val="none"/>
        </w:rPr>
        <w:t>招标文件，经仔细阅读和研究，我方决定参加此项目的投标。</w:t>
      </w:r>
    </w:p>
    <w:p w14:paraId="1736DCBD">
      <w:pPr>
        <w:numPr>
          <w:ilvl w:val="0"/>
          <w:numId w:val="0"/>
        </w:numPr>
        <w:tabs>
          <w:tab w:val="left" w:pos="315"/>
          <w:tab w:val="left" w:pos="840"/>
          <w:tab w:val="left" w:pos="945"/>
          <w:tab w:val="left" w:pos="1050"/>
          <w:tab w:val="left" w:pos="126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一、</w:t>
      </w:r>
      <w:r>
        <w:rPr>
          <w:rFonts w:hint="eastAsia" w:ascii="宋体" w:hAnsi="宋体"/>
          <w:bCs/>
          <w:i w:val="0"/>
          <w:iCs w:val="0"/>
          <w:color w:val="auto"/>
          <w:sz w:val="24"/>
          <w:szCs w:val="24"/>
          <w:highlight w:val="none"/>
        </w:rPr>
        <w:t>我方愿意按照招标文件的一切要求，提供本项目的投标，投标总价见《开标一览表》。</w:t>
      </w:r>
    </w:p>
    <w:p w14:paraId="6473F0D7">
      <w:pPr>
        <w:numPr>
          <w:ilvl w:val="0"/>
          <w:numId w:val="0"/>
        </w:numPr>
        <w:tabs>
          <w:tab w:val="left" w:pos="0"/>
          <w:tab w:val="left" w:pos="315"/>
          <w:tab w:val="left" w:pos="525"/>
          <w:tab w:val="left" w:pos="840"/>
          <w:tab w:val="left" w:pos="945"/>
          <w:tab w:val="left" w:pos="1050"/>
        </w:tabs>
        <w:spacing w:line="400" w:lineRule="exact"/>
        <w:ind w:firstLine="480"/>
        <w:rPr>
          <w:rStyle w:val="366"/>
          <w:bCs/>
          <w:i w:val="0"/>
          <w:iCs w:val="0"/>
          <w:color w:val="auto"/>
          <w:highlight w:val="none"/>
        </w:rPr>
      </w:pPr>
      <w:r>
        <w:rPr>
          <w:rFonts w:hint="eastAsia" w:ascii="宋体" w:hAnsi="宋体"/>
          <w:bCs/>
          <w:i w:val="0"/>
          <w:iCs w:val="0"/>
          <w:color w:val="auto"/>
          <w:sz w:val="24"/>
          <w:szCs w:val="24"/>
          <w:highlight w:val="none"/>
          <w:lang w:eastAsia="zh-CN"/>
        </w:rPr>
        <w:t>二、</w:t>
      </w:r>
      <w:r>
        <w:rPr>
          <w:rFonts w:hint="eastAsia" w:ascii="宋体" w:hAnsi="宋体"/>
          <w:bCs/>
          <w:i w:val="0"/>
          <w:iCs w:val="0"/>
          <w:color w:val="auto"/>
          <w:sz w:val="24"/>
          <w:szCs w:val="24"/>
          <w:highlight w:val="none"/>
        </w:rPr>
        <w:t>我方愿意提供</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在招标文件中要求的文件、资料。</w:t>
      </w:r>
    </w:p>
    <w:p w14:paraId="472BF136">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三、</w:t>
      </w:r>
      <w:r>
        <w:rPr>
          <w:rFonts w:hint="eastAsia" w:ascii="宋体" w:hAnsi="宋体"/>
          <w:bCs/>
          <w:i w:val="0"/>
          <w:iCs w:val="0"/>
          <w:color w:val="auto"/>
          <w:sz w:val="24"/>
          <w:szCs w:val="24"/>
          <w:highlight w:val="none"/>
        </w:rPr>
        <w:t>我方同意按招标文件中的规定，从规定的开标日期起遵循本投标文件，并在规定的投标有效期期满之前均具有约束力。</w:t>
      </w:r>
    </w:p>
    <w:p w14:paraId="69F85A59">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四、</w:t>
      </w:r>
      <w:r>
        <w:rPr>
          <w:rFonts w:hint="eastAsia" w:ascii="宋体" w:hAnsi="宋体"/>
          <w:bCs/>
          <w:i w:val="0"/>
          <w:iCs w:val="0"/>
          <w:color w:val="auto"/>
          <w:sz w:val="24"/>
          <w:szCs w:val="24"/>
          <w:highlight w:val="none"/>
        </w:rPr>
        <w:t>如果我方的投标文件被接受，我方将履行招标文件中规定的每一项要求，按期、按质、按量，完成交货任务。</w:t>
      </w:r>
    </w:p>
    <w:p w14:paraId="1328568B">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五、</w:t>
      </w:r>
      <w:r>
        <w:rPr>
          <w:rFonts w:hint="eastAsia" w:ascii="宋体" w:hAnsi="宋体"/>
          <w:bCs/>
          <w:i w:val="0"/>
          <w:iCs w:val="0"/>
          <w:color w:val="auto"/>
          <w:sz w:val="24"/>
          <w:szCs w:val="24"/>
          <w:highlight w:val="none"/>
        </w:rPr>
        <w:t>我方完全同意招标文件规定的决定中标者的方式。</w:t>
      </w:r>
    </w:p>
    <w:p w14:paraId="34534557">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六、</w:t>
      </w:r>
      <w:r>
        <w:rPr>
          <w:rFonts w:hint="eastAsia" w:ascii="宋体" w:hAnsi="宋体"/>
          <w:bCs/>
          <w:i w:val="0"/>
          <w:iCs w:val="0"/>
          <w:color w:val="auto"/>
          <w:sz w:val="24"/>
          <w:szCs w:val="24"/>
          <w:highlight w:val="none"/>
        </w:rPr>
        <w:t>我方愿意遵守《中华人民共和国政府采购法》，并按《中华人民共和国民法典》、财政部《政府采购货物和服务招标投标管理办法》</w:t>
      </w:r>
      <w:r>
        <w:rPr>
          <w:rFonts w:hint="eastAsia" w:ascii="宋体" w:hAnsi="宋体"/>
          <w:i w:val="0"/>
          <w:iCs w:val="0"/>
          <w:color w:val="auto"/>
          <w:sz w:val="24"/>
          <w:szCs w:val="24"/>
          <w:highlight w:val="none"/>
        </w:rPr>
        <w:t>和</w:t>
      </w:r>
      <w:r>
        <w:rPr>
          <w:rFonts w:hint="eastAsia" w:ascii="宋体" w:hAnsi="宋体"/>
          <w:bCs/>
          <w:i w:val="0"/>
          <w:iCs w:val="0"/>
          <w:color w:val="auto"/>
          <w:sz w:val="24"/>
          <w:szCs w:val="24"/>
          <w:highlight w:val="none"/>
        </w:rPr>
        <w:t>合同条款履行自己的全部责任。</w:t>
      </w:r>
    </w:p>
    <w:p w14:paraId="4D705C4A">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七、</w:t>
      </w:r>
      <w:r>
        <w:rPr>
          <w:rFonts w:hint="eastAsia" w:ascii="宋体" w:hAnsi="宋体"/>
          <w:bCs/>
          <w:i w:val="0"/>
          <w:iCs w:val="0"/>
          <w:color w:val="auto"/>
          <w:sz w:val="24"/>
          <w:szCs w:val="24"/>
          <w:highlight w:val="none"/>
        </w:rPr>
        <w:t>我方认可并遵守招标文件的所有规定，放弃对招标文件提出质疑的权利。</w:t>
      </w:r>
    </w:p>
    <w:p w14:paraId="2962AF81">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八、</w:t>
      </w:r>
      <w:r>
        <w:rPr>
          <w:rFonts w:hint="eastAsia" w:ascii="宋体" w:hAnsi="宋体"/>
          <w:bCs/>
          <w:i w:val="0"/>
          <w:iCs w:val="0"/>
          <w:color w:val="auto"/>
          <w:sz w:val="24"/>
          <w:szCs w:val="24"/>
          <w:highlight w:val="none"/>
        </w:rPr>
        <w:t>如我方在投标截止期后撤回投标及中标后拒绝遵守投标承诺或拒绝在规定的时间内与采购人签订合同，则接受政府采购监督管理部门的处理。</w:t>
      </w:r>
    </w:p>
    <w:p w14:paraId="4DF74397">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九、</w:t>
      </w:r>
      <w:r>
        <w:rPr>
          <w:rFonts w:hint="eastAsia" w:ascii="宋体" w:hAnsi="宋体"/>
          <w:bCs/>
          <w:i w:val="0"/>
          <w:iCs w:val="0"/>
          <w:color w:val="auto"/>
          <w:sz w:val="24"/>
          <w:szCs w:val="24"/>
          <w:highlight w:val="none"/>
        </w:rPr>
        <w:t>如果我方被确定为中标供应商，我方愿意</w:t>
      </w:r>
      <w:r>
        <w:rPr>
          <w:rFonts w:hint="eastAsia" w:ascii="宋体" w:hAnsi="宋体"/>
          <w:i w:val="0"/>
          <w:iCs w:val="0"/>
          <w:color w:val="auto"/>
          <w:sz w:val="24"/>
          <w:szCs w:val="24"/>
          <w:highlight w:val="none"/>
        </w:rPr>
        <w:t>向</w:t>
      </w:r>
      <w:r>
        <w:rPr>
          <w:rFonts w:hint="eastAsia" w:ascii="宋体" w:hAnsi="宋体"/>
          <w:bCs/>
          <w:i w:val="0"/>
          <w:iCs w:val="0"/>
          <w:color w:val="auto"/>
          <w:sz w:val="24"/>
          <w:szCs w:val="24"/>
          <w:highlight w:val="none"/>
        </w:rPr>
        <w:t>采购人交纳履约保证金。且我方如无不可抗力，又未履行招标文件、投标文件和合同条款的，一经查实，我方愿意赔偿由此而造成的一切损失，并同意接受按招标文件的相关要求对我方进行的处理。</w:t>
      </w:r>
    </w:p>
    <w:p w14:paraId="072F4983">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十、</w:t>
      </w:r>
      <w:r>
        <w:rPr>
          <w:rFonts w:hint="eastAsia" w:ascii="宋体" w:hAnsi="宋体"/>
          <w:bCs/>
          <w:i w:val="0"/>
          <w:iCs w:val="0"/>
          <w:color w:val="auto"/>
          <w:sz w:val="24"/>
          <w:szCs w:val="24"/>
          <w:highlight w:val="none"/>
        </w:rPr>
        <w:t>我方决不提供虚假材料谋取中标、决不采取不正当手段诋毁、排挤其他供应商、决不与采购人、其它供应商或者</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恶意串通、决不向采购人、</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19D0A0AF">
      <w:pPr>
        <w:spacing w:line="400" w:lineRule="exact"/>
        <w:ind w:firstLine="720"/>
        <w:rPr>
          <w:rFonts w:ascii="宋体"/>
          <w:bCs/>
          <w:i w:val="0"/>
          <w:iCs w:val="0"/>
          <w:color w:val="auto"/>
          <w:sz w:val="24"/>
          <w:szCs w:val="24"/>
          <w:highlight w:val="none"/>
        </w:rPr>
      </w:pPr>
    </w:p>
    <w:p w14:paraId="5C0345F1">
      <w:pPr>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电话：</w:t>
      </w:r>
      <w:r>
        <w:rPr>
          <w:rFonts w:hint="eastAsia" w:ascii="宋体" w:hAnsi="宋体"/>
          <w:bCs/>
          <w:i w:val="0"/>
          <w:iCs w:val="0"/>
          <w:color w:val="auto"/>
          <w:sz w:val="24"/>
          <w:szCs w:val="24"/>
          <w:highlight w:val="none"/>
          <w:u w:val="single"/>
        </w:rPr>
        <w:t xml:space="preserve">             </w:t>
      </w:r>
      <w:r>
        <w:rPr>
          <w:rFonts w:hint="eastAsia" w:ascii="宋体" w:hAnsi="宋体"/>
          <w:bCs/>
          <w:i w:val="0"/>
          <w:iCs w:val="0"/>
          <w:color w:val="auto"/>
          <w:sz w:val="24"/>
          <w:szCs w:val="24"/>
          <w:highlight w:val="none"/>
        </w:rPr>
        <w:t xml:space="preserve"> ；传真：</w:t>
      </w:r>
      <w:r>
        <w:rPr>
          <w:rFonts w:hint="eastAsia" w:ascii="宋体" w:hAnsi="宋体"/>
          <w:bCs/>
          <w:i w:val="0"/>
          <w:iCs w:val="0"/>
          <w:color w:val="auto"/>
          <w:sz w:val="24"/>
          <w:szCs w:val="24"/>
          <w:highlight w:val="none"/>
          <w:u w:val="single"/>
        </w:rPr>
        <w:t xml:space="preserve">               </w:t>
      </w:r>
      <w:r>
        <w:rPr>
          <w:rFonts w:hint="eastAsia" w:ascii="宋体" w:hAnsi="宋体"/>
          <w:bCs/>
          <w:i w:val="0"/>
          <w:iCs w:val="0"/>
          <w:color w:val="auto"/>
          <w:sz w:val="24"/>
          <w:szCs w:val="24"/>
          <w:highlight w:val="none"/>
        </w:rPr>
        <w:t>；邮编：</w:t>
      </w:r>
      <w:r>
        <w:rPr>
          <w:rFonts w:hint="eastAsia" w:ascii="宋体" w:hAnsi="宋体"/>
          <w:bCs/>
          <w:i w:val="0"/>
          <w:iCs w:val="0"/>
          <w:color w:val="auto"/>
          <w:sz w:val="24"/>
          <w:szCs w:val="24"/>
          <w:highlight w:val="none"/>
          <w:u w:val="single"/>
        </w:rPr>
        <w:t xml:space="preserve">               </w:t>
      </w:r>
    </w:p>
    <w:p w14:paraId="0188C96E">
      <w:pPr>
        <w:spacing w:line="400" w:lineRule="exact"/>
        <w:ind w:firstLine="480"/>
        <w:rPr>
          <w:rFonts w:hint="eastAsia" w:ascii="宋体" w:hAnsi="宋体"/>
          <w:bCs/>
          <w:i w:val="0"/>
          <w:iCs w:val="0"/>
          <w:color w:val="auto"/>
          <w:sz w:val="24"/>
          <w:szCs w:val="24"/>
          <w:highlight w:val="none"/>
          <w:u w:val="single"/>
        </w:rPr>
      </w:pPr>
      <w:r>
        <w:rPr>
          <w:rFonts w:hint="eastAsia" w:ascii="宋体" w:hAnsi="宋体"/>
          <w:bCs/>
          <w:i w:val="0"/>
          <w:iCs w:val="0"/>
          <w:color w:val="auto"/>
          <w:sz w:val="24"/>
          <w:szCs w:val="24"/>
          <w:highlight w:val="none"/>
        </w:rPr>
        <w:t>通讯地址：</w:t>
      </w:r>
      <w:r>
        <w:rPr>
          <w:rFonts w:hint="eastAsia" w:ascii="宋体" w:hAnsi="宋体"/>
          <w:bCs/>
          <w:i w:val="0"/>
          <w:iCs w:val="0"/>
          <w:color w:val="auto"/>
          <w:sz w:val="24"/>
          <w:szCs w:val="24"/>
          <w:highlight w:val="none"/>
          <w:u w:val="single"/>
        </w:rPr>
        <w:t xml:space="preserve">                                                        </w:t>
      </w:r>
    </w:p>
    <w:p w14:paraId="6FB619CD">
      <w:pPr>
        <w:spacing w:line="400" w:lineRule="exact"/>
        <w:ind w:firstLine="480"/>
        <w:rPr>
          <w:rFonts w:ascii="宋体" w:hAnsi="宋体"/>
          <w:bCs/>
          <w:i w:val="0"/>
          <w:iCs w:val="0"/>
          <w:color w:val="auto"/>
          <w:sz w:val="24"/>
          <w:szCs w:val="24"/>
          <w:highlight w:val="none"/>
        </w:rPr>
      </w:pPr>
    </w:p>
    <w:p w14:paraId="42878873">
      <w:pPr>
        <w:spacing w:line="46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投标人名称（盖章）：</w:t>
      </w:r>
    </w:p>
    <w:p w14:paraId="33713121">
      <w:pPr>
        <w:spacing w:line="360" w:lineRule="auto"/>
        <w:rPr>
          <w:rFonts w:hint="eastAsia"/>
          <w:b/>
          <w:i w:val="0"/>
          <w:iCs w:val="0"/>
          <w:color w:val="auto"/>
          <w:sz w:val="30"/>
          <w:szCs w:val="30"/>
          <w:highlight w:val="none"/>
        </w:rPr>
      </w:pPr>
    </w:p>
    <w:p w14:paraId="03504969">
      <w:pPr>
        <w:spacing w:line="360" w:lineRule="auto"/>
        <w:rPr>
          <w:rFonts w:hint="eastAsia"/>
          <w:b/>
          <w:i w:val="0"/>
          <w:iCs w:val="0"/>
          <w:color w:val="auto"/>
          <w:sz w:val="30"/>
          <w:szCs w:val="30"/>
          <w:highlight w:val="none"/>
        </w:rPr>
      </w:pPr>
    </w:p>
    <w:p w14:paraId="09497EA9">
      <w:pPr>
        <w:spacing w:line="360" w:lineRule="auto"/>
        <w:rPr>
          <w:rFonts w:hint="eastAsia"/>
          <w:b/>
          <w:i w:val="0"/>
          <w:iCs w:val="0"/>
          <w:color w:val="auto"/>
          <w:sz w:val="30"/>
          <w:szCs w:val="30"/>
          <w:highlight w:val="none"/>
        </w:rPr>
      </w:pPr>
    </w:p>
    <w:p w14:paraId="4A8A37AB">
      <w:pPr>
        <w:spacing w:line="360" w:lineRule="auto"/>
        <w:rPr>
          <w:rFonts w:hint="eastAsia"/>
          <w:b/>
          <w:i w:val="0"/>
          <w:iCs w:val="0"/>
          <w:color w:val="auto"/>
          <w:sz w:val="30"/>
          <w:szCs w:val="30"/>
          <w:highlight w:val="none"/>
        </w:rPr>
      </w:pPr>
      <w:r>
        <w:rPr>
          <w:rFonts w:hint="eastAsia"/>
          <w:b/>
          <w:i w:val="0"/>
          <w:iCs w:val="0"/>
          <w:color w:val="auto"/>
          <w:sz w:val="30"/>
          <w:szCs w:val="30"/>
          <w:highlight w:val="none"/>
          <w:lang w:eastAsia="zh-CN"/>
        </w:rPr>
        <w:t>八</w:t>
      </w:r>
      <w:r>
        <w:rPr>
          <w:rFonts w:hint="eastAsia"/>
          <w:b/>
          <w:i w:val="0"/>
          <w:iCs w:val="0"/>
          <w:color w:val="auto"/>
          <w:sz w:val="30"/>
          <w:szCs w:val="30"/>
          <w:highlight w:val="none"/>
        </w:rPr>
        <w:t>、承诺书（给定格式）：</w:t>
      </w:r>
    </w:p>
    <w:p w14:paraId="1F4A5A64">
      <w:pPr>
        <w:ind w:firstLine="602"/>
        <w:outlineLvl w:val="0"/>
        <w:rPr>
          <w:rFonts w:hint="eastAsia"/>
          <w:b/>
          <w:i w:val="0"/>
          <w:iCs w:val="0"/>
          <w:color w:val="auto"/>
          <w:sz w:val="30"/>
          <w:szCs w:val="30"/>
          <w:highlight w:val="none"/>
        </w:rPr>
      </w:pPr>
    </w:p>
    <w:p w14:paraId="34B379F1">
      <w:pPr>
        <w:jc w:val="center"/>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承诺书</w:t>
      </w:r>
    </w:p>
    <w:p w14:paraId="51C971B4">
      <w:pPr>
        <w:spacing w:line="480" w:lineRule="auto"/>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u w:val="single"/>
        </w:rPr>
        <w:t xml:space="preserve">                   </w:t>
      </w:r>
      <w:r>
        <w:rPr>
          <w:rFonts w:hint="eastAsia" w:ascii="宋体" w:hAnsi="宋体"/>
          <w:i w:val="0"/>
          <w:iCs w:val="0"/>
          <w:color w:val="auto"/>
          <w:sz w:val="24"/>
          <w:szCs w:val="24"/>
          <w:highlight w:val="none"/>
        </w:rPr>
        <w:t>（投标人名称）针</w:t>
      </w:r>
      <w:r>
        <w:rPr>
          <w:rFonts w:hint="eastAsia" w:ascii="宋体" w:hAnsi="宋体"/>
          <w:bCs/>
          <w:i w:val="0"/>
          <w:iCs w:val="0"/>
          <w:color w:val="auto"/>
          <w:sz w:val="24"/>
          <w:szCs w:val="24"/>
          <w:highlight w:val="none"/>
        </w:rPr>
        <w:t>对本项目</w:t>
      </w:r>
      <w:r>
        <w:rPr>
          <w:rFonts w:hint="eastAsia" w:ascii="黑体" w:eastAsia="黑体" w:cs="Times New Roman"/>
          <w:bCs/>
          <w:i w:val="0"/>
          <w:iCs w:val="0"/>
          <w:color w:val="auto"/>
          <w:sz w:val="24"/>
          <w:szCs w:val="24"/>
          <w:highlight w:val="none"/>
          <w:lang w:eastAsia="zh-CN"/>
        </w:rPr>
        <w:t>JSZC-320206-JZCG-G2026-0051</w:t>
      </w:r>
      <w:r>
        <w:rPr>
          <w:rFonts w:hint="eastAsia" w:ascii="宋体" w:hAnsi="宋体"/>
          <w:i w:val="0"/>
          <w:iCs w:val="0"/>
          <w:color w:val="auto"/>
          <w:sz w:val="24"/>
          <w:szCs w:val="24"/>
          <w:highlight w:val="none"/>
        </w:rPr>
        <w:t>在此对服务保障做如下承诺：</w:t>
      </w:r>
    </w:p>
    <w:p w14:paraId="290AABD9">
      <w:pPr>
        <w:spacing w:line="480" w:lineRule="auto"/>
        <w:ind w:firstLine="480"/>
        <w:rPr>
          <w:rFonts w:ascii="宋体"/>
          <w:bCs/>
          <w:i w:val="0"/>
          <w:iCs w:val="0"/>
          <w:color w:val="auto"/>
          <w:sz w:val="24"/>
          <w:szCs w:val="24"/>
          <w:highlight w:val="none"/>
          <w:u w:val="none"/>
        </w:rPr>
      </w:pPr>
      <w:r>
        <w:rPr>
          <w:rFonts w:ascii="宋体" w:hAnsi="宋体"/>
          <w:i w:val="0"/>
          <w:iCs w:val="0"/>
          <w:color w:val="auto"/>
          <w:sz w:val="24"/>
          <w:szCs w:val="24"/>
          <w:highlight w:val="none"/>
          <w:u w:val="none"/>
        </w:rPr>
        <w:t>1</w:t>
      </w:r>
      <w:r>
        <w:rPr>
          <w:rFonts w:hint="eastAsia" w:ascii="宋体" w:hAnsi="宋体"/>
          <w:i w:val="0"/>
          <w:iCs w:val="0"/>
          <w:color w:val="auto"/>
          <w:sz w:val="24"/>
          <w:szCs w:val="24"/>
          <w:highlight w:val="none"/>
          <w:u w:val="none"/>
        </w:rPr>
        <w:t>．本公司（单位）</w:t>
      </w:r>
      <w:r>
        <w:rPr>
          <w:rFonts w:hint="eastAsia" w:ascii="宋体" w:hAnsi="宋体"/>
          <w:bCs/>
          <w:i w:val="0"/>
          <w:iCs w:val="0"/>
          <w:color w:val="auto"/>
          <w:sz w:val="24"/>
          <w:szCs w:val="24"/>
          <w:highlight w:val="none"/>
          <w:u w:val="none"/>
        </w:rPr>
        <w:t>对本项目所提供的货物均为原厂全新合格品；</w:t>
      </w:r>
    </w:p>
    <w:p w14:paraId="5D5CFD55">
      <w:pPr>
        <w:spacing w:line="480" w:lineRule="auto"/>
        <w:ind w:firstLine="480"/>
        <w:rPr>
          <w:rFonts w:hint="eastAsia" w:ascii="宋体" w:hAnsi="宋体"/>
          <w:bCs/>
          <w:i w:val="0"/>
          <w:iCs w:val="0"/>
          <w:color w:val="auto"/>
          <w:sz w:val="24"/>
          <w:szCs w:val="24"/>
          <w:highlight w:val="none"/>
          <w:u w:val="none"/>
        </w:rPr>
      </w:pPr>
      <w:r>
        <w:rPr>
          <w:rFonts w:ascii="宋体" w:hAnsi="宋体"/>
          <w:bCs/>
          <w:i w:val="0"/>
          <w:iCs w:val="0"/>
          <w:color w:val="auto"/>
          <w:sz w:val="24"/>
          <w:szCs w:val="24"/>
          <w:highlight w:val="none"/>
          <w:u w:val="none"/>
        </w:rPr>
        <w:t>2</w:t>
      </w:r>
      <w:r>
        <w:rPr>
          <w:rFonts w:hint="eastAsia" w:ascii="宋体" w:hAnsi="宋体"/>
          <w:bCs/>
          <w:i w:val="0"/>
          <w:iCs w:val="0"/>
          <w:color w:val="auto"/>
          <w:sz w:val="24"/>
          <w:szCs w:val="24"/>
          <w:highlight w:val="none"/>
          <w:u w:val="none"/>
        </w:rPr>
        <w:t>．</w:t>
      </w:r>
      <w:r>
        <w:rPr>
          <w:rFonts w:hint="eastAsia" w:ascii="宋体" w:hAnsi="宋体"/>
          <w:i w:val="0"/>
          <w:iCs w:val="0"/>
          <w:color w:val="auto"/>
          <w:sz w:val="24"/>
          <w:szCs w:val="24"/>
          <w:highlight w:val="none"/>
          <w:u w:val="none"/>
        </w:rPr>
        <w:t>本公司（单位）</w:t>
      </w:r>
      <w:r>
        <w:rPr>
          <w:rFonts w:hint="eastAsia" w:ascii="宋体" w:hAnsi="宋体"/>
          <w:bCs/>
          <w:i w:val="0"/>
          <w:iCs w:val="0"/>
          <w:color w:val="auto"/>
          <w:sz w:val="24"/>
          <w:szCs w:val="24"/>
          <w:highlight w:val="none"/>
          <w:u w:val="none"/>
        </w:rPr>
        <w:t>具备履行合同所必需的设备和专业技术能力；</w:t>
      </w:r>
    </w:p>
    <w:p w14:paraId="7230689D">
      <w:pPr>
        <w:spacing w:line="480" w:lineRule="auto"/>
        <w:ind w:firstLine="480"/>
        <w:rPr>
          <w:rFonts w:hint="eastAsia" w:ascii="宋体" w:hAnsi="宋体"/>
          <w:i w:val="0"/>
          <w:iCs w:val="0"/>
          <w:color w:val="auto"/>
          <w:sz w:val="24"/>
          <w:szCs w:val="24"/>
          <w:highlight w:val="none"/>
          <w:u w:val="none"/>
        </w:rPr>
      </w:pPr>
      <w:r>
        <w:rPr>
          <w:rFonts w:hint="eastAsia" w:ascii="宋体" w:hAnsi="宋体"/>
          <w:bCs/>
          <w:i w:val="0"/>
          <w:iCs w:val="0"/>
          <w:color w:val="auto"/>
          <w:sz w:val="24"/>
          <w:szCs w:val="24"/>
          <w:highlight w:val="none"/>
          <w:u w:val="none"/>
        </w:rPr>
        <w:t>3.</w:t>
      </w:r>
      <w:r>
        <w:rPr>
          <w:rFonts w:hint="eastAsia" w:ascii="宋体"/>
          <w:bCs/>
          <w:i w:val="0"/>
          <w:iCs w:val="0"/>
          <w:color w:val="auto"/>
          <w:szCs w:val="21"/>
          <w:highlight w:val="none"/>
          <w:u w:val="none"/>
        </w:rPr>
        <w:t xml:space="preserve"> </w:t>
      </w:r>
      <w:r>
        <w:rPr>
          <w:rFonts w:hint="eastAsia" w:ascii="宋体" w:hAnsi="宋体"/>
          <w:i w:val="0"/>
          <w:iCs w:val="0"/>
          <w:color w:val="auto"/>
          <w:sz w:val="24"/>
          <w:szCs w:val="24"/>
          <w:highlight w:val="none"/>
          <w:u w:val="none"/>
        </w:rPr>
        <w:t>本公司未被“</w:t>
      </w:r>
      <w:r>
        <w:rPr>
          <w:rFonts w:hint="eastAsia" w:ascii="宋体" w:hAnsi="宋体"/>
          <w:bCs/>
          <w:i w:val="0"/>
          <w:iCs w:val="0"/>
          <w:color w:val="auto"/>
          <w:sz w:val="24"/>
          <w:szCs w:val="24"/>
          <w:highlight w:val="none"/>
          <w:u w:val="none"/>
        </w:rPr>
        <w:t>信用中国</w:t>
      </w:r>
      <w:r>
        <w:rPr>
          <w:rFonts w:hint="eastAsia" w:ascii="宋体" w:hAnsi="宋体"/>
          <w:i w:val="0"/>
          <w:iCs w:val="0"/>
          <w:color w:val="auto"/>
          <w:sz w:val="24"/>
          <w:szCs w:val="24"/>
          <w:highlight w:val="none"/>
          <w:u w:val="none"/>
        </w:rPr>
        <w:t>”</w:t>
      </w:r>
      <w:r>
        <w:rPr>
          <w:rFonts w:hint="eastAsia" w:ascii="宋体" w:hAnsi="宋体"/>
          <w:bCs/>
          <w:i w:val="0"/>
          <w:iCs w:val="0"/>
          <w:color w:val="auto"/>
          <w:sz w:val="24"/>
          <w:szCs w:val="24"/>
          <w:highlight w:val="none"/>
          <w:u w:val="none"/>
        </w:rPr>
        <w:t>网站（www.creditchina.gov.cn）</w:t>
      </w:r>
      <w:r>
        <w:rPr>
          <w:rFonts w:hint="eastAsia" w:ascii="宋体" w:hAnsi="宋体"/>
          <w:i w:val="0"/>
          <w:iCs w:val="0"/>
          <w:color w:val="auto"/>
          <w:sz w:val="24"/>
          <w:szCs w:val="24"/>
          <w:highlight w:val="none"/>
          <w:u w:val="none"/>
        </w:rPr>
        <w:t>列入失信被执行人、重大税收违法案件当事人名单、政府采购严重违法失信行为记录名单。</w:t>
      </w:r>
    </w:p>
    <w:p w14:paraId="23ADCA5A">
      <w:pPr>
        <w:spacing w:line="360" w:lineRule="auto"/>
        <w:ind w:firstLine="480"/>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4、</w:t>
      </w:r>
    </w:p>
    <w:p w14:paraId="26A5BCE6">
      <w:pPr>
        <w:spacing w:line="360" w:lineRule="auto"/>
        <w:ind w:firstLine="480"/>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5、</w:t>
      </w:r>
    </w:p>
    <w:p w14:paraId="3730F71C">
      <w:pPr>
        <w:tabs>
          <w:tab w:val="left" w:pos="945"/>
        </w:tabs>
        <w:spacing w:line="360" w:lineRule="auto"/>
        <w:ind w:firstLine="465"/>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6、</w:t>
      </w:r>
    </w:p>
    <w:p w14:paraId="220C9B32">
      <w:pPr>
        <w:spacing w:line="480" w:lineRule="auto"/>
        <w:ind w:firstLine="960"/>
        <w:rPr>
          <w:rFonts w:hint="eastAsia" w:ascii="宋体" w:hAnsi="宋体"/>
          <w:bCs/>
          <w:i w:val="0"/>
          <w:iCs w:val="0"/>
          <w:color w:val="auto"/>
          <w:sz w:val="24"/>
          <w:szCs w:val="24"/>
          <w:highlight w:val="none"/>
        </w:rPr>
      </w:pPr>
      <w:r>
        <w:rPr>
          <w:rFonts w:ascii="宋体" w:hAnsi="宋体"/>
          <w:bCs/>
          <w:i w:val="0"/>
          <w:iCs w:val="0"/>
          <w:color w:val="auto"/>
          <w:sz w:val="24"/>
          <w:szCs w:val="24"/>
          <w:highlight w:val="none"/>
        </w:rPr>
        <w:t>…………………</w:t>
      </w:r>
    </w:p>
    <w:p w14:paraId="13801CAD">
      <w:pPr>
        <w:spacing w:line="480" w:lineRule="auto"/>
        <w:ind w:firstLine="480"/>
        <w:rPr>
          <w:rFonts w:hint="eastAsia" w:ascii="宋体" w:hAnsi="宋体"/>
          <w:i w:val="0"/>
          <w:iCs w:val="0"/>
          <w:color w:val="auto"/>
          <w:sz w:val="24"/>
          <w:szCs w:val="24"/>
          <w:highlight w:val="none"/>
          <w:u w:val="none"/>
        </w:rPr>
      </w:pPr>
    </w:p>
    <w:p w14:paraId="64D235DC">
      <w:pPr>
        <w:spacing w:line="480" w:lineRule="auto"/>
        <w:ind w:firstLine="96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u w:val="none"/>
        </w:rPr>
        <w:t>如违背上述承诺，本公司</w:t>
      </w:r>
      <w:r>
        <w:rPr>
          <w:rFonts w:hint="eastAsia" w:ascii="宋体" w:hAnsi="宋体"/>
          <w:i w:val="0"/>
          <w:iCs w:val="0"/>
          <w:color w:val="auto"/>
          <w:sz w:val="24"/>
          <w:szCs w:val="24"/>
          <w:highlight w:val="none"/>
          <w:u w:val="none"/>
        </w:rPr>
        <w:t>（单位）</w:t>
      </w:r>
      <w:r>
        <w:rPr>
          <w:rFonts w:hint="eastAsia" w:ascii="宋体" w:hAnsi="宋体"/>
          <w:bCs/>
          <w:i w:val="0"/>
          <w:iCs w:val="0"/>
          <w:color w:val="auto"/>
          <w:sz w:val="24"/>
          <w:szCs w:val="24"/>
          <w:highlight w:val="none"/>
          <w:u w:val="none"/>
        </w:rPr>
        <w:t>将承担一切法律责任。</w:t>
      </w:r>
      <w:r>
        <w:rPr>
          <w:rFonts w:hint="eastAsia" w:ascii="宋体" w:hAnsi="宋体"/>
          <w:bCs/>
          <w:i w:val="0"/>
          <w:iCs w:val="0"/>
          <w:color w:val="auto"/>
          <w:sz w:val="24"/>
          <w:szCs w:val="24"/>
          <w:highlight w:val="none"/>
        </w:rPr>
        <w:t>如违背上述承诺，本公司</w:t>
      </w:r>
      <w:r>
        <w:rPr>
          <w:rFonts w:hint="eastAsia" w:ascii="宋体" w:hAnsi="宋体"/>
          <w:i w:val="0"/>
          <w:iCs w:val="0"/>
          <w:color w:val="auto"/>
          <w:sz w:val="24"/>
          <w:szCs w:val="24"/>
          <w:highlight w:val="none"/>
        </w:rPr>
        <w:t>（单位）</w:t>
      </w:r>
      <w:r>
        <w:rPr>
          <w:rFonts w:hint="eastAsia" w:ascii="宋体" w:hAnsi="宋体"/>
          <w:bCs/>
          <w:i w:val="0"/>
          <w:iCs w:val="0"/>
          <w:color w:val="auto"/>
          <w:sz w:val="24"/>
          <w:szCs w:val="24"/>
          <w:highlight w:val="none"/>
        </w:rPr>
        <w:t>将承担一切法律责任。</w:t>
      </w:r>
    </w:p>
    <w:p w14:paraId="3D9DB347">
      <w:pPr>
        <w:spacing w:line="480" w:lineRule="auto"/>
        <w:rPr>
          <w:rFonts w:hint="eastAsia" w:ascii="宋体" w:hAnsi="宋体"/>
          <w:bCs/>
          <w:i w:val="0"/>
          <w:iCs w:val="0"/>
          <w:color w:val="auto"/>
          <w:sz w:val="24"/>
          <w:szCs w:val="24"/>
          <w:highlight w:val="none"/>
        </w:rPr>
      </w:pPr>
    </w:p>
    <w:p w14:paraId="4263D324">
      <w:pPr>
        <w:spacing w:line="480" w:lineRule="auto"/>
        <w:ind w:firstLine="372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投标人名称</w:t>
      </w:r>
      <w:r>
        <w:rPr>
          <w:rFonts w:hint="eastAsia" w:ascii="宋体" w:hAnsi="宋体"/>
          <w:bCs/>
          <w:i w:val="0"/>
          <w:iCs w:val="0"/>
          <w:color w:val="auto"/>
          <w:sz w:val="24"/>
          <w:szCs w:val="24"/>
          <w:highlight w:val="none"/>
        </w:rPr>
        <w:t>（盖章）：</w:t>
      </w:r>
    </w:p>
    <w:p w14:paraId="4544107D">
      <w:pPr>
        <w:spacing w:line="480" w:lineRule="auto"/>
        <w:ind w:firstLine="480"/>
        <w:rPr>
          <w:rFonts w:hint="eastAsia" w:ascii="宋体" w:hAnsi="宋体"/>
          <w:bCs/>
          <w:i w:val="0"/>
          <w:iCs w:val="0"/>
          <w:color w:val="auto"/>
          <w:sz w:val="24"/>
          <w:szCs w:val="24"/>
          <w:highlight w:val="none"/>
        </w:rPr>
      </w:pPr>
    </w:p>
    <w:p w14:paraId="413A4151">
      <w:pPr>
        <w:spacing w:line="480" w:lineRule="auto"/>
        <w:ind w:firstLine="420"/>
        <w:rPr>
          <w:rFonts w:ascii="宋体"/>
          <w:bCs/>
          <w:i w:val="0"/>
          <w:iCs w:val="0"/>
          <w:color w:val="auto"/>
          <w:sz w:val="24"/>
          <w:szCs w:val="24"/>
          <w:highlight w:val="none"/>
        </w:rPr>
      </w:pPr>
      <w:r>
        <w:rPr>
          <w:rFonts w:hint="eastAsia" w:ascii="宋体" w:hAnsi="宋体"/>
          <w:bCs/>
          <w:i w:val="0"/>
          <w:iCs w:val="0"/>
          <w:color w:val="auto"/>
          <w:highlight w:val="none"/>
        </w:rPr>
        <w:t>（注：以上内容由投标单位根据采购要求自行完善。）</w:t>
      </w:r>
    </w:p>
    <w:p w14:paraId="3AA49FC3">
      <w:pPr>
        <w:spacing w:line="480" w:lineRule="auto"/>
        <w:ind w:firstLine="480"/>
        <w:rPr>
          <w:rFonts w:ascii="宋体"/>
          <w:bCs/>
          <w:i w:val="0"/>
          <w:iCs w:val="0"/>
          <w:color w:val="auto"/>
          <w:sz w:val="24"/>
          <w:szCs w:val="24"/>
          <w:highlight w:val="none"/>
          <w:u w:val="none"/>
        </w:rPr>
      </w:pPr>
    </w:p>
    <w:p w14:paraId="45621758">
      <w:pPr>
        <w:spacing w:line="480" w:lineRule="auto"/>
        <w:ind w:firstLine="480"/>
        <w:rPr>
          <w:rFonts w:ascii="宋体"/>
          <w:bCs/>
          <w:i w:val="0"/>
          <w:iCs w:val="0"/>
          <w:color w:val="auto"/>
          <w:sz w:val="24"/>
          <w:szCs w:val="24"/>
          <w:highlight w:val="none"/>
          <w:u w:val="none"/>
        </w:rPr>
      </w:pPr>
    </w:p>
    <w:p w14:paraId="17CA5A85">
      <w:pPr>
        <w:spacing w:line="480" w:lineRule="auto"/>
        <w:ind w:firstLine="480"/>
        <w:rPr>
          <w:rFonts w:ascii="宋体"/>
          <w:bCs/>
          <w:i w:val="0"/>
          <w:iCs w:val="0"/>
          <w:color w:val="auto"/>
          <w:sz w:val="24"/>
          <w:szCs w:val="24"/>
          <w:highlight w:val="none"/>
          <w:u w:val="none"/>
        </w:rPr>
      </w:pPr>
    </w:p>
    <w:p w14:paraId="670B52DD">
      <w:pPr>
        <w:spacing w:line="480" w:lineRule="auto"/>
        <w:rPr>
          <w:rFonts w:hint="eastAsia" w:ascii="宋体" w:hAnsi="宋体"/>
          <w:i w:val="0"/>
          <w:iCs w:val="0"/>
          <w:color w:val="auto"/>
          <w:sz w:val="24"/>
          <w:szCs w:val="24"/>
          <w:highlight w:val="none"/>
        </w:rPr>
      </w:pPr>
    </w:p>
    <w:p w14:paraId="5C0F02E9">
      <w:pPr>
        <w:spacing w:line="480" w:lineRule="auto"/>
        <w:rPr>
          <w:rFonts w:hint="eastAsia" w:ascii="宋体" w:hAnsi="宋体"/>
          <w:i w:val="0"/>
          <w:iCs w:val="0"/>
          <w:color w:val="auto"/>
          <w:sz w:val="24"/>
          <w:szCs w:val="24"/>
          <w:highlight w:val="none"/>
        </w:rPr>
      </w:pPr>
    </w:p>
    <w:p w14:paraId="61A352A1">
      <w:pPr>
        <w:spacing w:line="360" w:lineRule="auto"/>
        <w:rPr>
          <w:rFonts w:hint="eastAsia"/>
          <w:b/>
          <w:i w:val="0"/>
          <w:iCs w:val="0"/>
          <w:color w:val="auto"/>
          <w:sz w:val="30"/>
          <w:szCs w:val="30"/>
          <w:highlight w:val="none"/>
        </w:rPr>
      </w:pPr>
      <w:r>
        <w:rPr>
          <w:rFonts w:hint="eastAsia"/>
          <w:b/>
          <w:i w:val="0"/>
          <w:iCs w:val="0"/>
          <w:color w:val="auto"/>
          <w:sz w:val="30"/>
          <w:szCs w:val="30"/>
          <w:highlight w:val="none"/>
          <w:lang w:eastAsia="zh-CN"/>
        </w:rPr>
        <w:t>九</w:t>
      </w:r>
      <w:r>
        <w:rPr>
          <w:rFonts w:hint="eastAsia"/>
          <w:b/>
          <w:i w:val="0"/>
          <w:iCs w:val="0"/>
          <w:color w:val="auto"/>
          <w:sz w:val="30"/>
          <w:szCs w:val="30"/>
          <w:highlight w:val="none"/>
        </w:rPr>
        <w:t>、开标一览表（给定格式）：</w:t>
      </w:r>
    </w:p>
    <w:p w14:paraId="2A1EDD8E">
      <w:pPr>
        <w:spacing w:line="440" w:lineRule="exact"/>
        <w:ind w:firstLine="482"/>
        <w:rPr>
          <w:rFonts w:hint="eastAsia" w:ascii="Arial" w:hAnsi="Arial"/>
          <w:b/>
          <w:i w:val="0"/>
          <w:iCs w:val="0"/>
          <w:color w:val="auto"/>
          <w:sz w:val="24"/>
          <w:highlight w:val="none"/>
        </w:rPr>
      </w:pPr>
    </w:p>
    <w:p w14:paraId="7957FD7E">
      <w:pPr>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开标一览表</w:t>
      </w:r>
    </w:p>
    <w:p w14:paraId="557D1DB0">
      <w:pPr>
        <w:jc w:val="center"/>
        <w:outlineLvl w:val="0"/>
        <w:rPr>
          <w:rFonts w:ascii="黑体" w:eastAsia="黑体"/>
          <w:bCs/>
          <w:i w:val="0"/>
          <w:iCs w:val="0"/>
          <w:color w:val="auto"/>
          <w:sz w:val="28"/>
          <w:szCs w:val="28"/>
          <w:highlight w:val="none"/>
        </w:rPr>
      </w:pPr>
    </w:p>
    <w:p w14:paraId="55873DA3">
      <w:pPr>
        <w:spacing w:line="360" w:lineRule="auto"/>
        <w:rPr>
          <w:rFonts w:hint="eastAsia" w:ascii="黑体" w:eastAsia="黑体"/>
          <w:bCs/>
          <w:i w:val="0"/>
          <w:iCs w:val="0"/>
          <w:color w:val="auto"/>
          <w:sz w:val="24"/>
          <w:szCs w:val="24"/>
          <w:highlight w:val="none"/>
          <w:lang w:eastAsia="zh-CN"/>
        </w:rPr>
      </w:pPr>
      <w:r>
        <w:rPr>
          <w:rFonts w:hint="eastAsia" w:ascii="黑体" w:eastAsia="黑体"/>
          <w:bCs/>
          <w:i w:val="0"/>
          <w:iCs w:val="0"/>
          <w:color w:val="auto"/>
          <w:sz w:val="24"/>
          <w:szCs w:val="24"/>
          <w:highlight w:val="none"/>
        </w:rPr>
        <w:t xml:space="preserve"> 项目编号：</w:t>
      </w:r>
      <w:r>
        <w:rPr>
          <w:rFonts w:hint="eastAsia" w:ascii="黑体" w:eastAsia="黑体" w:cs="Times New Roman"/>
          <w:bCs/>
          <w:i w:val="0"/>
          <w:iCs w:val="0"/>
          <w:color w:val="auto"/>
          <w:sz w:val="24"/>
          <w:szCs w:val="24"/>
          <w:highlight w:val="none"/>
          <w:lang w:eastAsia="zh-CN"/>
        </w:rPr>
        <w:t>JSZC-320206-JZCG-G2026-0051</w:t>
      </w:r>
    </w:p>
    <w:tbl>
      <w:tblPr>
        <w:tblStyle w:val="31"/>
        <w:tblW w:w="9759"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58"/>
        <w:gridCol w:w="3501"/>
      </w:tblGrid>
      <w:tr w14:paraId="14D1A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5" w:hRule="atLeast"/>
        </w:trPr>
        <w:tc>
          <w:tcPr>
            <w:tcW w:w="6258" w:type="dxa"/>
            <w:noWrap w:val="0"/>
            <w:vAlign w:val="center"/>
          </w:tcPr>
          <w:p w14:paraId="14FFBEF4">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项目名称</w:t>
            </w:r>
          </w:p>
        </w:tc>
        <w:tc>
          <w:tcPr>
            <w:tcW w:w="3501" w:type="dxa"/>
            <w:noWrap w:val="0"/>
            <w:vAlign w:val="center"/>
          </w:tcPr>
          <w:p w14:paraId="0794C8B5">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投标总报价</w:t>
            </w:r>
            <w:r>
              <w:rPr>
                <w:rFonts w:ascii="宋体" w:hAnsi="宋体"/>
                <w:b/>
                <w:bCs/>
                <w:i w:val="0"/>
                <w:iCs w:val="0"/>
                <w:color w:val="auto"/>
                <w:sz w:val="24"/>
                <w:szCs w:val="24"/>
                <w:highlight w:val="none"/>
              </w:rPr>
              <w:t>(</w:t>
            </w:r>
            <w:r>
              <w:rPr>
                <w:rFonts w:hint="eastAsia" w:ascii="宋体" w:hAnsi="宋体"/>
                <w:b/>
                <w:bCs/>
                <w:i w:val="0"/>
                <w:iCs w:val="0"/>
                <w:color w:val="auto"/>
                <w:sz w:val="24"/>
                <w:szCs w:val="24"/>
                <w:highlight w:val="none"/>
              </w:rPr>
              <w:t>小写</w:t>
            </w:r>
            <w:r>
              <w:rPr>
                <w:rFonts w:ascii="宋体" w:hAnsi="宋体"/>
                <w:b/>
                <w:bCs/>
                <w:i w:val="0"/>
                <w:iCs w:val="0"/>
                <w:color w:val="auto"/>
                <w:sz w:val="24"/>
                <w:szCs w:val="24"/>
                <w:highlight w:val="none"/>
              </w:rPr>
              <w:t>)</w:t>
            </w:r>
          </w:p>
        </w:tc>
      </w:tr>
      <w:tr w14:paraId="213D9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1" w:hRule="atLeast"/>
        </w:trPr>
        <w:tc>
          <w:tcPr>
            <w:tcW w:w="6258" w:type="dxa"/>
            <w:noWrap w:val="0"/>
            <w:vAlign w:val="center"/>
          </w:tcPr>
          <w:p w14:paraId="715AB5BF">
            <w:pPr>
              <w:pStyle w:val="318"/>
              <w:spacing w:line="400" w:lineRule="exact"/>
              <w:jc w:val="center"/>
              <w:rPr>
                <w:rFonts w:hint="eastAsia" w:hAnsi="宋体" w:eastAsia="宋体"/>
                <w:bCs/>
                <w:i w:val="0"/>
                <w:iCs w:val="0"/>
                <w:color w:val="auto"/>
                <w:szCs w:val="24"/>
                <w:highlight w:val="none"/>
                <w:lang w:eastAsia="zh-CN"/>
              </w:rPr>
            </w:pPr>
            <w:r>
              <w:rPr>
                <w:rFonts w:hint="eastAsia" w:hAnsi="宋体"/>
                <w:bCs/>
                <w:i w:val="0"/>
                <w:iCs w:val="0"/>
                <w:color w:val="auto"/>
                <w:sz w:val="24"/>
                <w:szCs w:val="24"/>
                <w:highlight w:val="none"/>
                <w:lang w:eastAsia="zh-CN"/>
              </w:rPr>
              <w:t>石塘湾消防站智能化专项采购项目</w:t>
            </w:r>
          </w:p>
        </w:tc>
        <w:tc>
          <w:tcPr>
            <w:tcW w:w="3501" w:type="dxa"/>
            <w:noWrap w:val="0"/>
            <w:vAlign w:val="center"/>
          </w:tcPr>
          <w:p w14:paraId="7EC0D965">
            <w:pPr>
              <w:pStyle w:val="318"/>
              <w:rPr>
                <w:rFonts w:hAnsi="宋体"/>
                <w:b/>
                <w:i w:val="0"/>
                <w:iCs w:val="0"/>
                <w:color w:val="auto"/>
                <w:szCs w:val="24"/>
                <w:highlight w:val="none"/>
              </w:rPr>
            </w:pPr>
          </w:p>
        </w:tc>
      </w:tr>
      <w:tr w14:paraId="384E3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4" w:hRule="atLeast"/>
        </w:trPr>
        <w:tc>
          <w:tcPr>
            <w:tcW w:w="9759" w:type="dxa"/>
            <w:gridSpan w:val="2"/>
            <w:noWrap w:val="0"/>
            <w:vAlign w:val="center"/>
          </w:tcPr>
          <w:p w14:paraId="26EDAC18">
            <w:pPr>
              <w:rPr>
                <w:rFonts w:ascii="宋体"/>
                <w:bCs/>
                <w:i w:val="0"/>
                <w:iCs w:val="0"/>
                <w:color w:val="auto"/>
                <w:sz w:val="24"/>
                <w:szCs w:val="24"/>
                <w:highlight w:val="none"/>
              </w:rPr>
            </w:pPr>
            <w:r>
              <w:rPr>
                <w:rFonts w:hint="eastAsia" w:ascii="黑体" w:eastAsia="黑体"/>
                <w:i w:val="0"/>
                <w:iCs w:val="0"/>
                <w:color w:val="auto"/>
                <w:sz w:val="24"/>
                <w:highlight w:val="none"/>
              </w:rPr>
              <w:t>投标总报价（大写）</w:t>
            </w:r>
            <w:r>
              <w:rPr>
                <w:rFonts w:hint="eastAsia" w:ascii="宋体" w:hAnsi="宋体"/>
                <w:bCs/>
                <w:i w:val="0"/>
                <w:iCs w:val="0"/>
                <w:color w:val="auto"/>
                <w:sz w:val="24"/>
                <w:szCs w:val="24"/>
                <w:highlight w:val="none"/>
              </w:rPr>
              <w:t>：　　　</w:t>
            </w:r>
          </w:p>
        </w:tc>
      </w:tr>
      <w:tr w14:paraId="0D8BB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5" w:hRule="atLeast"/>
        </w:trPr>
        <w:tc>
          <w:tcPr>
            <w:tcW w:w="9759" w:type="dxa"/>
            <w:gridSpan w:val="2"/>
            <w:noWrap w:val="0"/>
            <w:vAlign w:val="center"/>
          </w:tcPr>
          <w:p w14:paraId="4DB88A16">
            <w:pPr>
              <w:rPr>
                <w:rFonts w:hint="eastAsia" w:ascii="黑体" w:eastAsia="黑体"/>
                <w:i w:val="0"/>
                <w:iCs w:val="0"/>
                <w:color w:val="auto"/>
                <w:sz w:val="24"/>
                <w:highlight w:val="none"/>
                <w:lang w:eastAsia="zh-CN"/>
              </w:rPr>
            </w:pPr>
            <w:r>
              <w:rPr>
                <w:rFonts w:hint="eastAsia" w:ascii="黑体" w:eastAsia="黑体"/>
                <w:i w:val="0"/>
                <w:iCs w:val="0"/>
                <w:color w:val="auto"/>
                <w:sz w:val="24"/>
                <w:highlight w:val="none"/>
                <w:lang w:eastAsia="zh-CN"/>
              </w:rPr>
              <w:t>产品质保期：</w:t>
            </w:r>
          </w:p>
        </w:tc>
      </w:tr>
    </w:tbl>
    <w:p w14:paraId="6781C2CD">
      <w:pPr>
        <w:spacing w:line="400" w:lineRule="exac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t>投标人名称（盖章）：</w:t>
      </w:r>
    </w:p>
    <w:p w14:paraId="2C815583">
      <w:pPr>
        <w:pageBreakBefore/>
        <w:numPr>
          <w:ilvl w:val="0"/>
          <w:numId w:val="0"/>
        </w:numPr>
        <w:outlineLvl w:val="0"/>
        <w:rPr>
          <w:rFonts w:hint="eastAsia"/>
          <w:b/>
          <w:i w:val="0"/>
          <w:iCs w:val="0"/>
          <w:color w:val="auto"/>
          <w:sz w:val="30"/>
          <w:szCs w:val="30"/>
          <w:highlight w:val="none"/>
        </w:rPr>
      </w:pPr>
      <w:r>
        <w:rPr>
          <w:rFonts w:hint="eastAsia" w:cs="Times New Roman"/>
          <w:b/>
          <w:i w:val="0"/>
          <w:iCs w:val="0"/>
          <w:color w:val="auto"/>
          <w:sz w:val="30"/>
          <w:szCs w:val="30"/>
          <w:lang w:val="en-US" w:eastAsia="zh-CN" w:bidi="ar-SA"/>
        </w:rPr>
        <w:t>十</w:t>
      </w:r>
      <w:r>
        <w:rPr>
          <w:rFonts w:hint="eastAsia" w:ascii="Times New Roman" w:hAnsi="Times New Roman" w:eastAsia="宋体" w:cs="Times New Roman"/>
          <w:b/>
          <w:i w:val="0"/>
          <w:iCs w:val="0"/>
          <w:color w:val="auto"/>
          <w:sz w:val="30"/>
          <w:szCs w:val="30"/>
          <w:lang w:val="en-US" w:eastAsia="zh-CN" w:bidi="ar-SA"/>
        </w:rPr>
        <w:t>、</w:t>
      </w:r>
      <w:r>
        <w:rPr>
          <w:rFonts w:hint="eastAsia"/>
          <w:b/>
          <w:i w:val="0"/>
          <w:iCs w:val="0"/>
          <w:color w:val="auto"/>
          <w:sz w:val="30"/>
          <w:szCs w:val="30"/>
          <w:highlight w:val="none"/>
        </w:rPr>
        <w:t>分项</w:t>
      </w:r>
      <w:r>
        <w:rPr>
          <w:b/>
          <w:i w:val="0"/>
          <w:iCs w:val="0"/>
          <w:color w:val="auto"/>
          <w:sz w:val="30"/>
          <w:szCs w:val="30"/>
          <w:highlight w:val="none"/>
        </w:rPr>
        <w:t>报价表</w:t>
      </w:r>
      <w:r>
        <w:rPr>
          <w:rFonts w:hint="eastAsia"/>
          <w:b/>
          <w:i w:val="0"/>
          <w:iCs w:val="0"/>
          <w:color w:val="auto"/>
          <w:sz w:val="30"/>
          <w:szCs w:val="30"/>
          <w:highlight w:val="none"/>
        </w:rPr>
        <w:t>（给定格式）：</w:t>
      </w:r>
    </w:p>
    <w:p w14:paraId="299BD44D">
      <w:pPr>
        <w:spacing w:line="400" w:lineRule="exact"/>
        <w:jc w:val="center"/>
        <w:outlineLvl w:val="0"/>
        <w:rPr>
          <w:rFonts w:ascii="黑体" w:eastAsia="黑体"/>
          <w:bCs/>
          <w:color w:val="auto"/>
          <w:sz w:val="28"/>
          <w:szCs w:val="28"/>
          <w:highlight w:val="none"/>
          <w:shd w:val="clear" w:color="auto" w:fill="auto"/>
        </w:rPr>
      </w:pPr>
      <w:r>
        <w:rPr>
          <w:rFonts w:hint="eastAsia" w:ascii="黑体" w:eastAsia="黑体"/>
          <w:bCs/>
          <w:color w:val="auto"/>
          <w:sz w:val="28"/>
          <w:szCs w:val="28"/>
          <w:highlight w:val="none"/>
          <w:shd w:val="clear" w:color="auto" w:fill="auto"/>
        </w:rPr>
        <w:t>分项报价表</w:t>
      </w:r>
    </w:p>
    <w:tbl>
      <w:tblPr>
        <w:tblStyle w:val="3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20"/>
        <w:gridCol w:w="1050"/>
        <w:gridCol w:w="945"/>
        <w:gridCol w:w="1843"/>
        <w:gridCol w:w="1054"/>
        <w:gridCol w:w="1262"/>
        <w:gridCol w:w="761"/>
        <w:gridCol w:w="992"/>
        <w:gridCol w:w="709"/>
        <w:gridCol w:w="939"/>
      </w:tblGrid>
      <w:tr w14:paraId="17FC5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9975" w:type="dxa"/>
            <w:gridSpan w:val="10"/>
            <w:noWrap/>
            <w:tcMar>
              <w:top w:w="15" w:type="dxa"/>
              <w:left w:w="15" w:type="dxa"/>
              <w:bottom w:w="0" w:type="dxa"/>
              <w:right w:w="15" w:type="dxa"/>
            </w:tcMar>
            <w:vAlign w:val="center"/>
          </w:tcPr>
          <w:p w14:paraId="623B5744">
            <w:pPr>
              <w:spacing w:before="5"/>
              <w:jc w:val="center"/>
              <w:rPr>
                <w:rFonts w:hint="eastAsia"/>
                <w:color w:val="auto"/>
                <w:sz w:val="18"/>
                <w:highlight w:val="none"/>
                <w:shd w:val="clear" w:color="auto" w:fill="auto"/>
              </w:rPr>
            </w:pPr>
            <w:r>
              <w:rPr>
                <w:rFonts w:hint="eastAsia"/>
                <w:b/>
                <w:bCs/>
                <w:color w:val="auto"/>
                <w:sz w:val="24"/>
                <w:szCs w:val="24"/>
                <w:highlight w:val="none"/>
                <w:shd w:val="clear" w:color="auto" w:fill="auto"/>
              </w:rPr>
              <w:t>服务部分</w:t>
            </w:r>
          </w:p>
        </w:tc>
      </w:tr>
      <w:tr w14:paraId="1B6DF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420" w:type="dxa"/>
            <w:noWrap/>
            <w:tcMar>
              <w:top w:w="15" w:type="dxa"/>
              <w:left w:w="15" w:type="dxa"/>
              <w:bottom w:w="0" w:type="dxa"/>
              <w:right w:w="15" w:type="dxa"/>
            </w:tcMar>
            <w:vAlign w:val="center"/>
          </w:tcPr>
          <w:p w14:paraId="135D8D9D">
            <w:pPr>
              <w:spacing w:before="5"/>
              <w:jc w:val="center"/>
              <w:rPr>
                <w:color w:val="auto"/>
                <w:sz w:val="18"/>
                <w:highlight w:val="none"/>
                <w:shd w:val="clear" w:color="auto" w:fill="auto"/>
              </w:rPr>
            </w:pPr>
            <w:r>
              <w:rPr>
                <w:rFonts w:hint="eastAsia"/>
                <w:color w:val="auto"/>
                <w:sz w:val="18"/>
                <w:highlight w:val="none"/>
                <w:shd w:val="clear" w:color="auto" w:fill="auto"/>
              </w:rPr>
              <w:t>序号</w:t>
            </w:r>
          </w:p>
        </w:tc>
        <w:tc>
          <w:tcPr>
            <w:tcW w:w="4892" w:type="dxa"/>
            <w:gridSpan w:val="4"/>
            <w:noWrap/>
            <w:tcMar>
              <w:top w:w="15" w:type="dxa"/>
              <w:left w:w="15" w:type="dxa"/>
              <w:bottom w:w="0" w:type="dxa"/>
              <w:right w:w="15" w:type="dxa"/>
            </w:tcMar>
            <w:vAlign w:val="center"/>
          </w:tcPr>
          <w:p w14:paraId="4BF6ED24">
            <w:pPr>
              <w:spacing w:before="5"/>
              <w:jc w:val="center"/>
              <w:rPr>
                <w:rFonts w:hint="eastAsia"/>
                <w:color w:val="auto"/>
                <w:sz w:val="18"/>
                <w:highlight w:val="none"/>
                <w:shd w:val="clear" w:color="auto" w:fill="auto"/>
              </w:rPr>
            </w:pPr>
            <w:r>
              <w:rPr>
                <w:rFonts w:hint="eastAsia"/>
                <w:color w:val="auto"/>
                <w:sz w:val="18"/>
                <w:highlight w:val="none"/>
                <w:shd w:val="clear" w:color="auto" w:fill="auto"/>
              </w:rPr>
              <w:t>服务内容</w:t>
            </w:r>
          </w:p>
        </w:tc>
        <w:tc>
          <w:tcPr>
            <w:tcW w:w="2023" w:type="dxa"/>
            <w:gridSpan w:val="2"/>
            <w:noWrap w:val="0"/>
            <w:vAlign w:val="center"/>
          </w:tcPr>
          <w:p w14:paraId="7D610881">
            <w:pPr>
              <w:spacing w:before="5"/>
              <w:jc w:val="center"/>
              <w:rPr>
                <w:rFonts w:hint="eastAsia"/>
                <w:color w:val="auto"/>
                <w:sz w:val="18"/>
                <w:highlight w:val="none"/>
                <w:shd w:val="clear" w:color="auto" w:fill="auto"/>
              </w:rPr>
            </w:pPr>
            <w:r>
              <w:rPr>
                <w:rFonts w:hint="eastAsia"/>
                <w:color w:val="auto"/>
                <w:sz w:val="18"/>
                <w:highlight w:val="none"/>
                <w:shd w:val="clear" w:color="auto" w:fill="auto"/>
              </w:rPr>
              <w:t>数量</w:t>
            </w:r>
          </w:p>
        </w:tc>
        <w:tc>
          <w:tcPr>
            <w:tcW w:w="992" w:type="dxa"/>
            <w:noWrap/>
            <w:tcMar>
              <w:top w:w="15" w:type="dxa"/>
              <w:left w:w="15" w:type="dxa"/>
              <w:bottom w:w="0" w:type="dxa"/>
              <w:right w:w="15" w:type="dxa"/>
            </w:tcMar>
            <w:vAlign w:val="center"/>
          </w:tcPr>
          <w:p w14:paraId="2FC51F22">
            <w:pPr>
              <w:spacing w:before="5"/>
              <w:jc w:val="center"/>
              <w:rPr>
                <w:rFonts w:hint="eastAsia"/>
                <w:color w:val="auto"/>
                <w:sz w:val="18"/>
                <w:highlight w:val="none"/>
                <w:shd w:val="clear" w:color="auto" w:fill="auto"/>
              </w:rPr>
            </w:pPr>
            <w:r>
              <w:rPr>
                <w:rFonts w:hint="eastAsia"/>
                <w:color w:val="auto"/>
                <w:sz w:val="18"/>
                <w:highlight w:val="none"/>
                <w:shd w:val="clear" w:color="auto" w:fill="auto"/>
              </w:rPr>
              <w:t>单位</w:t>
            </w:r>
          </w:p>
        </w:tc>
        <w:tc>
          <w:tcPr>
            <w:tcW w:w="709" w:type="dxa"/>
            <w:noWrap w:val="0"/>
            <w:vAlign w:val="center"/>
          </w:tcPr>
          <w:p w14:paraId="7BCB0D7A">
            <w:pPr>
              <w:spacing w:before="5"/>
              <w:jc w:val="center"/>
              <w:rPr>
                <w:color w:val="auto"/>
                <w:sz w:val="18"/>
                <w:highlight w:val="none"/>
                <w:shd w:val="clear" w:color="auto" w:fill="auto"/>
              </w:rPr>
            </w:pPr>
            <w:r>
              <w:rPr>
                <w:rFonts w:hint="eastAsia"/>
                <w:color w:val="auto"/>
                <w:sz w:val="18"/>
                <w:highlight w:val="none"/>
                <w:shd w:val="clear" w:color="auto" w:fill="auto"/>
              </w:rPr>
              <w:t>单报价</w:t>
            </w:r>
          </w:p>
        </w:tc>
        <w:tc>
          <w:tcPr>
            <w:tcW w:w="939" w:type="dxa"/>
            <w:noWrap w:val="0"/>
            <w:vAlign w:val="center"/>
          </w:tcPr>
          <w:p w14:paraId="5ACD45B3">
            <w:pPr>
              <w:spacing w:before="5"/>
              <w:jc w:val="center"/>
              <w:rPr>
                <w:color w:val="auto"/>
                <w:sz w:val="18"/>
                <w:highlight w:val="none"/>
                <w:shd w:val="clear" w:color="auto" w:fill="auto"/>
              </w:rPr>
            </w:pPr>
            <w:r>
              <w:rPr>
                <w:rFonts w:hint="eastAsia"/>
                <w:color w:val="auto"/>
                <w:sz w:val="18"/>
                <w:highlight w:val="none"/>
                <w:shd w:val="clear" w:color="auto" w:fill="auto"/>
              </w:rPr>
              <w:t>分项总报价</w:t>
            </w:r>
          </w:p>
        </w:tc>
      </w:tr>
      <w:tr w14:paraId="2E0C0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jc w:val="center"/>
        </w:trPr>
        <w:tc>
          <w:tcPr>
            <w:tcW w:w="420" w:type="dxa"/>
            <w:noWrap/>
            <w:tcMar>
              <w:top w:w="15" w:type="dxa"/>
              <w:left w:w="15" w:type="dxa"/>
              <w:bottom w:w="0" w:type="dxa"/>
              <w:right w:w="15" w:type="dxa"/>
            </w:tcMar>
            <w:vAlign w:val="center"/>
          </w:tcPr>
          <w:p w14:paraId="5417C4FD">
            <w:pPr>
              <w:pStyle w:val="216"/>
              <w:pBdr>
                <w:bottom w:val="none" w:color="000000" w:sz="0" w:space="0"/>
              </w:pBdr>
              <w:tabs>
                <w:tab w:val="clear" w:pos="4153"/>
                <w:tab w:val="clear" w:pos="8306"/>
              </w:tabs>
              <w:spacing w:before="5"/>
              <w:rPr>
                <w:rFonts w:ascii="宋体"/>
                <w:color w:val="auto"/>
                <w:highlight w:val="none"/>
                <w:shd w:val="clear" w:color="auto" w:fill="auto"/>
                <w:lang w:val="en-US" w:eastAsia="zh-CN"/>
              </w:rPr>
            </w:pPr>
            <w:r>
              <w:rPr>
                <w:rFonts w:hint="eastAsia" w:ascii="宋体"/>
                <w:color w:val="auto"/>
                <w:highlight w:val="none"/>
                <w:shd w:val="clear" w:color="auto" w:fill="auto"/>
                <w:lang w:val="en-US" w:eastAsia="zh-CN"/>
              </w:rPr>
              <w:t>1</w:t>
            </w:r>
          </w:p>
        </w:tc>
        <w:tc>
          <w:tcPr>
            <w:tcW w:w="4892" w:type="dxa"/>
            <w:gridSpan w:val="4"/>
            <w:noWrap/>
            <w:tcMar>
              <w:top w:w="15" w:type="dxa"/>
              <w:left w:w="15" w:type="dxa"/>
              <w:bottom w:w="0" w:type="dxa"/>
              <w:right w:w="15" w:type="dxa"/>
            </w:tcMar>
            <w:vAlign w:val="center"/>
          </w:tcPr>
          <w:p w14:paraId="5BFD4582">
            <w:pPr>
              <w:jc w:val="center"/>
              <w:rPr>
                <w:rFonts w:ascii="黑体" w:hAnsi="宋体" w:eastAsia="黑体"/>
                <w:b/>
                <w:bCs/>
                <w:color w:val="auto"/>
                <w:sz w:val="24"/>
                <w:szCs w:val="24"/>
                <w:highlight w:val="none"/>
                <w:shd w:val="clear" w:color="auto" w:fill="auto"/>
              </w:rPr>
            </w:pPr>
            <w:r>
              <w:rPr>
                <w:rFonts w:hint="eastAsia" w:ascii="黑体" w:eastAsia="黑体"/>
                <w:b/>
                <w:bCs/>
                <w:color w:val="auto"/>
                <w:highlight w:val="none"/>
                <w:shd w:val="clear" w:color="auto" w:fill="auto"/>
              </w:rPr>
              <w:t>　</w:t>
            </w:r>
          </w:p>
        </w:tc>
        <w:tc>
          <w:tcPr>
            <w:tcW w:w="2023" w:type="dxa"/>
            <w:gridSpan w:val="2"/>
            <w:noWrap w:val="0"/>
            <w:vAlign w:val="center"/>
          </w:tcPr>
          <w:p w14:paraId="70797AB6">
            <w:pPr>
              <w:jc w:val="center"/>
              <w:rPr>
                <w:rFonts w:ascii="黑体" w:hAnsi="宋体" w:eastAsia="黑体"/>
                <w:b/>
                <w:bCs/>
                <w:color w:val="auto"/>
                <w:sz w:val="24"/>
                <w:szCs w:val="24"/>
                <w:highlight w:val="none"/>
                <w:shd w:val="clear" w:color="auto" w:fill="auto"/>
              </w:rPr>
            </w:pPr>
          </w:p>
        </w:tc>
        <w:tc>
          <w:tcPr>
            <w:tcW w:w="992" w:type="dxa"/>
            <w:noWrap/>
            <w:tcMar>
              <w:top w:w="15" w:type="dxa"/>
              <w:left w:w="15" w:type="dxa"/>
              <w:bottom w:w="0" w:type="dxa"/>
              <w:right w:w="15" w:type="dxa"/>
            </w:tcMar>
            <w:vAlign w:val="center"/>
          </w:tcPr>
          <w:p w14:paraId="291CEF64">
            <w:pPr>
              <w:jc w:val="center"/>
              <w:rPr>
                <w:rFonts w:ascii="黑体" w:hAnsi="宋体" w:eastAsia="黑体"/>
                <w:b/>
                <w:bCs/>
                <w:color w:val="auto"/>
                <w:sz w:val="24"/>
                <w:szCs w:val="24"/>
                <w:highlight w:val="none"/>
                <w:shd w:val="clear" w:color="auto" w:fill="auto"/>
              </w:rPr>
            </w:pPr>
            <w:r>
              <w:rPr>
                <w:rFonts w:hint="eastAsia" w:ascii="黑体" w:eastAsia="黑体"/>
                <w:b/>
                <w:bCs/>
                <w:color w:val="auto"/>
                <w:highlight w:val="none"/>
                <w:shd w:val="clear" w:color="auto" w:fill="auto"/>
              </w:rPr>
              <w:t>　</w:t>
            </w:r>
          </w:p>
        </w:tc>
        <w:tc>
          <w:tcPr>
            <w:tcW w:w="709" w:type="dxa"/>
            <w:noWrap w:val="0"/>
            <w:vAlign w:val="center"/>
          </w:tcPr>
          <w:p w14:paraId="12EAA48A">
            <w:pPr>
              <w:jc w:val="center"/>
              <w:rPr>
                <w:rFonts w:ascii="黑体" w:hAnsi="宋体" w:eastAsia="黑体"/>
                <w:b/>
                <w:bCs/>
                <w:color w:val="auto"/>
                <w:sz w:val="24"/>
                <w:szCs w:val="24"/>
                <w:highlight w:val="none"/>
                <w:shd w:val="clear" w:color="auto" w:fill="auto"/>
              </w:rPr>
            </w:pPr>
          </w:p>
        </w:tc>
        <w:tc>
          <w:tcPr>
            <w:tcW w:w="939" w:type="dxa"/>
            <w:noWrap w:val="0"/>
            <w:vAlign w:val="center"/>
          </w:tcPr>
          <w:p w14:paraId="63AFD681">
            <w:pPr>
              <w:jc w:val="center"/>
              <w:rPr>
                <w:rFonts w:ascii="黑体" w:hAnsi="宋体" w:eastAsia="黑体"/>
                <w:b/>
                <w:bCs/>
                <w:color w:val="auto"/>
                <w:sz w:val="24"/>
                <w:szCs w:val="24"/>
                <w:highlight w:val="none"/>
                <w:shd w:val="clear" w:color="auto" w:fill="auto"/>
              </w:rPr>
            </w:pPr>
          </w:p>
        </w:tc>
      </w:tr>
      <w:tr w14:paraId="28616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420" w:type="dxa"/>
            <w:noWrap/>
            <w:tcMar>
              <w:top w:w="15" w:type="dxa"/>
              <w:left w:w="15" w:type="dxa"/>
              <w:bottom w:w="0" w:type="dxa"/>
              <w:right w:w="15" w:type="dxa"/>
            </w:tcMar>
            <w:vAlign w:val="center"/>
          </w:tcPr>
          <w:p w14:paraId="4E4D8E3D">
            <w:pPr>
              <w:jc w:val="center"/>
              <w:rPr>
                <w:rFonts w:ascii="宋体"/>
                <w:color w:val="auto"/>
                <w:sz w:val="18"/>
                <w:highlight w:val="none"/>
                <w:shd w:val="clear" w:color="auto" w:fill="auto"/>
              </w:rPr>
            </w:pPr>
            <w:r>
              <w:rPr>
                <w:rFonts w:hint="eastAsia" w:ascii="宋体"/>
                <w:color w:val="auto"/>
                <w:sz w:val="18"/>
                <w:highlight w:val="none"/>
                <w:shd w:val="clear" w:color="auto" w:fill="auto"/>
              </w:rPr>
              <w:t>2</w:t>
            </w:r>
          </w:p>
        </w:tc>
        <w:tc>
          <w:tcPr>
            <w:tcW w:w="4892" w:type="dxa"/>
            <w:gridSpan w:val="4"/>
            <w:noWrap/>
            <w:tcMar>
              <w:top w:w="15" w:type="dxa"/>
              <w:left w:w="15" w:type="dxa"/>
              <w:bottom w:w="0" w:type="dxa"/>
              <w:right w:w="15" w:type="dxa"/>
            </w:tcMar>
            <w:vAlign w:val="center"/>
          </w:tcPr>
          <w:p w14:paraId="723738AD">
            <w:pPr>
              <w:jc w:val="center"/>
              <w:rPr>
                <w:rFonts w:ascii="黑体" w:hAnsi="宋体" w:eastAsia="黑体"/>
                <w:b/>
                <w:bCs/>
                <w:color w:val="auto"/>
                <w:sz w:val="24"/>
                <w:szCs w:val="24"/>
                <w:highlight w:val="none"/>
                <w:shd w:val="clear" w:color="auto" w:fill="auto"/>
              </w:rPr>
            </w:pPr>
            <w:r>
              <w:rPr>
                <w:rFonts w:hint="eastAsia" w:ascii="宋体"/>
                <w:color w:val="auto"/>
                <w:highlight w:val="none"/>
                <w:shd w:val="clear" w:color="auto" w:fill="auto"/>
              </w:rPr>
              <w:t>......</w:t>
            </w:r>
          </w:p>
        </w:tc>
        <w:tc>
          <w:tcPr>
            <w:tcW w:w="2023" w:type="dxa"/>
            <w:gridSpan w:val="2"/>
            <w:noWrap w:val="0"/>
            <w:vAlign w:val="center"/>
          </w:tcPr>
          <w:p w14:paraId="456DF7A7">
            <w:pPr>
              <w:jc w:val="center"/>
              <w:rPr>
                <w:rFonts w:ascii="黑体" w:hAnsi="宋体" w:eastAsia="黑体"/>
                <w:b/>
                <w:bCs/>
                <w:color w:val="auto"/>
                <w:sz w:val="24"/>
                <w:szCs w:val="24"/>
                <w:highlight w:val="none"/>
                <w:shd w:val="clear" w:color="auto" w:fill="auto"/>
              </w:rPr>
            </w:pPr>
          </w:p>
        </w:tc>
        <w:tc>
          <w:tcPr>
            <w:tcW w:w="992" w:type="dxa"/>
            <w:noWrap/>
            <w:tcMar>
              <w:top w:w="15" w:type="dxa"/>
              <w:left w:w="15" w:type="dxa"/>
              <w:bottom w:w="0" w:type="dxa"/>
              <w:right w:w="15" w:type="dxa"/>
            </w:tcMar>
            <w:vAlign w:val="center"/>
          </w:tcPr>
          <w:p w14:paraId="4CD5F0B2">
            <w:pPr>
              <w:jc w:val="center"/>
              <w:rPr>
                <w:rFonts w:ascii="黑体" w:hAnsi="宋体" w:eastAsia="黑体"/>
                <w:b/>
                <w:bCs/>
                <w:color w:val="auto"/>
                <w:sz w:val="24"/>
                <w:szCs w:val="24"/>
                <w:highlight w:val="none"/>
                <w:shd w:val="clear" w:color="auto" w:fill="auto"/>
              </w:rPr>
            </w:pPr>
            <w:r>
              <w:rPr>
                <w:rFonts w:hint="eastAsia" w:ascii="黑体" w:eastAsia="黑体"/>
                <w:b/>
                <w:bCs/>
                <w:color w:val="auto"/>
                <w:highlight w:val="none"/>
                <w:shd w:val="clear" w:color="auto" w:fill="auto"/>
              </w:rPr>
              <w:t>　</w:t>
            </w:r>
          </w:p>
        </w:tc>
        <w:tc>
          <w:tcPr>
            <w:tcW w:w="709" w:type="dxa"/>
            <w:noWrap w:val="0"/>
            <w:vAlign w:val="center"/>
          </w:tcPr>
          <w:p w14:paraId="7C54B3A3">
            <w:pPr>
              <w:jc w:val="center"/>
              <w:rPr>
                <w:rFonts w:ascii="黑体" w:hAnsi="宋体" w:eastAsia="黑体"/>
                <w:b/>
                <w:bCs/>
                <w:color w:val="auto"/>
                <w:sz w:val="24"/>
                <w:szCs w:val="24"/>
                <w:highlight w:val="none"/>
                <w:shd w:val="clear" w:color="auto" w:fill="auto"/>
              </w:rPr>
            </w:pPr>
          </w:p>
        </w:tc>
        <w:tc>
          <w:tcPr>
            <w:tcW w:w="939" w:type="dxa"/>
            <w:noWrap w:val="0"/>
            <w:vAlign w:val="center"/>
          </w:tcPr>
          <w:p w14:paraId="103CA3AD">
            <w:pPr>
              <w:jc w:val="center"/>
              <w:rPr>
                <w:rFonts w:ascii="黑体" w:hAnsi="宋体" w:eastAsia="黑体"/>
                <w:b/>
                <w:bCs/>
                <w:color w:val="auto"/>
                <w:sz w:val="24"/>
                <w:szCs w:val="24"/>
                <w:highlight w:val="none"/>
                <w:shd w:val="clear" w:color="auto" w:fill="auto"/>
              </w:rPr>
            </w:pPr>
          </w:p>
        </w:tc>
      </w:tr>
      <w:tr w14:paraId="41AF5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65" w:hRule="atLeast"/>
          <w:jc w:val="center"/>
        </w:trPr>
        <w:tc>
          <w:tcPr>
            <w:tcW w:w="9975" w:type="dxa"/>
            <w:gridSpan w:val="10"/>
            <w:noWrap/>
            <w:tcMar>
              <w:top w:w="15" w:type="dxa"/>
              <w:left w:w="15" w:type="dxa"/>
              <w:bottom w:w="0" w:type="dxa"/>
              <w:right w:w="15" w:type="dxa"/>
            </w:tcMar>
            <w:vAlign w:val="center"/>
          </w:tcPr>
          <w:p w14:paraId="795F7241">
            <w:pPr>
              <w:spacing w:before="5"/>
              <w:jc w:val="center"/>
              <w:rPr>
                <w:color w:val="auto"/>
                <w:sz w:val="18"/>
                <w:highlight w:val="none"/>
                <w:shd w:val="clear" w:color="auto" w:fill="auto"/>
              </w:rPr>
            </w:pPr>
            <w:r>
              <w:rPr>
                <w:rFonts w:hint="eastAsia"/>
                <w:b/>
                <w:bCs/>
                <w:color w:val="auto"/>
                <w:sz w:val="24"/>
                <w:szCs w:val="24"/>
                <w:highlight w:val="none"/>
                <w:shd w:val="clear" w:color="auto" w:fill="auto"/>
              </w:rPr>
              <w:t>货物部分</w:t>
            </w:r>
          </w:p>
        </w:tc>
      </w:tr>
      <w:tr w14:paraId="0C800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420" w:type="dxa"/>
            <w:noWrap/>
            <w:tcMar>
              <w:top w:w="15" w:type="dxa"/>
              <w:left w:w="15" w:type="dxa"/>
              <w:bottom w:w="0" w:type="dxa"/>
              <w:right w:w="15" w:type="dxa"/>
            </w:tcMar>
            <w:vAlign w:val="center"/>
          </w:tcPr>
          <w:p w14:paraId="64515A62">
            <w:pPr>
              <w:spacing w:before="5"/>
              <w:jc w:val="center"/>
              <w:rPr>
                <w:color w:val="auto"/>
                <w:sz w:val="18"/>
                <w:highlight w:val="none"/>
                <w:shd w:val="clear" w:color="auto" w:fill="auto"/>
              </w:rPr>
            </w:pPr>
            <w:r>
              <w:rPr>
                <w:rFonts w:hint="eastAsia"/>
                <w:color w:val="auto"/>
                <w:sz w:val="18"/>
                <w:highlight w:val="none"/>
                <w:shd w:val="clear" w:color="auto" w:fill="auto"/>
              </w:rPr>
              <w:t>序号</w:t>
            </w:r>
          </w:p>
        </w:tc>
        <w:tc>
          <w:tcPr>
            <w:tcW w:w="1050" w:type="dxa"/>
            <w:noWrap/>
            <w:tcMar>
              <w:top w:w="15" w:type="dxa"/>
              <w:left w:w="15" w:type="dxa"/>
              <w:bottom w:w="0" w:type="dxa"/>
              <w:right w:w="15" w:type="dxa"/>
            </w:tcMar>
            <w:vAlign w:val="center"/>
          </w:tcPr>
          <w:p w14:paraId="12607252">
            <w:pPr>
              <w:spacing w:before="5"/>
              <w:jc w:val="center"/>
              <w:rPr>
                <w:color w:val="auto"/>
                <w:sz w:val="18"/>
                <w:highlight w:val="none"/>
                <w:shd w:val="clear" w:color="auto" w:fill="auto"/>
              </w:rPr>
            </w:pPr>
            <w:r>
              <w:rPr>
                <w:rFonts w:hint="eastAsia"/>
                <w:color w:val="auto"/>
                <w:sz w:val="18"/>
                <w:highlight w:val="none"/>
                <w:shd w:val="clear" w:color="auto" w:fill="auto"/>
              </w:rPr>
              <w:t>名称</w:t>
            </w:r>
          </w:p>
        </w:tc>
        <w:tc>
          <w:tcPr>
            <w:tcW w:w="945" w:type="dxa"/>
            <w:noWrap/>
            <w:tcMar>
              <w:top w:w="15" w:type="dxa"/>
              <w:left w:w="15" w:type="dxa"/>
              <w:bottom w:w="0" w:type="dxa"/>
              <w:right w:w="15" w:type="dxa"/>
            </w:tcMar>
            <w:vAlign w:val="center"/>
          </w:tcPr>
          <w:p w14:paraId="17107A58">
            <w:pPr>
              <w:spacing w:before="5"/>
              <w:jc w:val="center"/>
              <w:rPr>
                <w:color w:val="auto"/>
                <w:sz w:val="18"/>
                <w:highlight w:val="none"/>
                <w:shd w:val="clear" w:color="auto" w:fill="auto"/>
              </w:rPr>
            </w:pPr>
            <w:r>
              <w:rPr>
                <w:rFonts w:hint="eastAsia"/>
                <w:color w:val="auto"/>
                <w:sz w:val="18"/>
                <w:highlight w:val="none"/>
                <w:shd w:val="clear" w:color="auto" w:fill="auto"/>
              </w:rPr>
              <w:t>品牌型号</w:t>
            </w:r>
          </w:p>
        </w:tc>
        <w:tc>
          <w:tcPr>
            <w:tcW w:w="1843" w:type="dxa"/>
            <w:noWrap/>
            <w:tcMar>
              <w:top w:w="15" w:type="dxa"/>
              <w:left w:w="15" w:type="dxa"/>
              <w:bottom w:w="0" w:type="dxa"/>
              <w:right w:w="15" w:type="dxa"/>
            </w:tcMar>
            <w:vAlign w:val="center"/>
          </w:tcPr>
          <w:p w14:paraId="738D43E3">
            <w:pPr>
              <w:spacing w:before="5"/>
              <w:jc w:val="center"/>
              <w:rPr>
                <w:color w:val="auto"/>
                <w:sz w:val="18"/>
                <w:highlight w:val="none"/>
                <w:shd w:val="clear" w:color="auto" w:fill="auto"/>
              </w:rPr>
            </w:pPr>
            <w:r>
              <w:rPr>
                <w:rFonts w:hint="eastAsia"/>
                <w:color w:val="auto"/>
                <w:sz w:val="18"/>
                <w:highlight w:val="none"/>
                <w:shd w:val="clear" w:color="auto" w:fill="auto"/>
              </w:rPr>
              <w:t>性能指标</w:t>
            </w:r>
          </w:p>
        </w:tc>
        <w:tc>
          <w:tcPr>
            <w:tcW w:w="1054" w:type="dxa"/>
            <w:noWrap w:val="0"/>
            <w:tcMar>
              <w:top w:w="15" w:type="dxa"/>
              <w:left w:w="15" w:type="dxa"/>
              <w:bottom w:w="0" w:type="dxa"/>
              <w:right w:w="15" w:type="dxa"/>
            </w:tcMar>
            <w:vAlign w:val="center"/>
          </w:tcPr>
          <w:p w14:paraId="2CAB7BF3">
            <w:pPr>
              <w:spacing w:before="5"/>
              <w:jc w:val="center"/>
              <w:rPr>
                <w:color w:val="auto"/>
                <w:sz w:val="18"/>
                <w:highlight w:val="none"/>
                <w:shd w:val="clear" w:color="auto" w:fill="auto"/>
              </w:rPr>
            </w:pPr>
            <w:r>
              <w:rPr>
                <w:rFonts w:hint="eastAsia"/>
                <w:color w:val="auto"/>
                <w:sz w:val="18"/>
                <w:highlight w:val="none"/>
                <w:shd w:val="clear" w:color="auto" w:fill="auto"/>
              </w:rPr>
              <w:t>数量</w:t>
            </w:r>
          </w:p>
        </w:tc>
        <w:tc>
          <w:tcPr>
            <w:tcW w:w="1262" w:type="dxa"/>
            <w:tcBorders>
              <w:right w:val="single" w:color="auto" w:sz="4" w:space="0"/>
            </w:tcBorders>
            <w:noWrap w:val="0"/>
            <w:vAlign w:val="center"/>
          </w:tcPr>
          <w:p w14:paraId="0E850B07">
            <w:pPr>
              <w:spacing w:before="5"/>
              <w:jc w:val="center"/>
              <w:rPr>
                <w:color w:val="auto"/>
                <w:sz w:val="18"/>
                <w:highlight w:val="none"/>
                <w:shd w:val="clear" w:color="auto" w:fill="auto"/>
              </w:rPr>
            </w:pPr>
            <w:r>
              <w:rPr>
                <w:rFonts w:hint="eastAsia"/>
                <w:color w:val="auto"/>
                <w:sz w:val="18"/>
                <w:highlight w:val="none"/>
                <w:shd w:val="clear" w:color="auto" w:fill="auto"/>
              </w:rPr>
              <w:t>产地</w:t>
            </w:r>
          </w:p>
        </w:tc>
        <w:tc>
          <w:tcPr>
            <w:tcW w:w="761" w:type="dxa"/>
            <w:tcBorders>
              <w:left w:val="single" w:color="auto" w:sz="4" w:space="0"/>
            </w:tcBorders>
            <w:noWrap w:val="0"/>
            <w:vAlign w:val="center"/>
          </w:tcPr>
          <w:p w14:paraId="34A4E3F9">
            <w:pPr>
              <w:spacing w:before="5"/>
              <w:jc w:val="center"/>
              <w:rPr>
                <w:rFonts w:hint="eastAsia" w:eastAsia="宋体"/>
                <w:color w:val="auto"/>
                <w:sz w:val="18"/>
                <w:highlight w:val="none"/>
                <w:shd w:val="clear" w:color="auto" w:fill="auto"/>
                <w:lang w:eastAsia="zh-CN"/>
              </w:rPr>
            </w:pPr>
            <w:r>
              <w:rPr>
                <w:rFonts w:hint="eastAsia"/>
                <w:color w:val="auto"/>
                <w:sz w:val="18"/>
                <w:highlight w:val="none"/>
                <w:shd w:val="clear" w:color="auto" w:fill="auto"/>
                <w:lang w:eastAsia="zh-CN"/>
              </w:rPr>
              <w:t>是否小微企业生成产品</w:t>
            </w:r>
          </w:p>
        </w:tc>
        <w:tc>
          <w:tcPr>
            <w:tcW w:w="992" w:type="dxa"/>
            <w:noWrap/>
            <w:tcMar>
              <w:top w:w="15" w:type="dxa"/>
              <w:left w:w="15" w:type="dxa"/>
              <w:bottom w:w="0" w:type="dxa"/>
              <w:right w:w="15" w:type="dxa"/>
            </w:tcMar>
            <w:vAlign w:val="center"/>
          </w:tcPr>
          <w:p w14:paraId="7B45C1BE">
            <w:pPr>
              <w:spacing w:before="5"/>
              <w:jc w:val="center"/>
              <w:rPr>
                <w:color w:val="auto"/>
                <w:sz w:val="18"/>
                <w:highlight w:val="none"/>
                <w:shd w:val="clear" w:color="auto" w:fill="auto"/>
              </w:rPr>
            </w:pPr>
            <w:r>
              <w:rPr>
                <w:rFonts w:hint="eastAsia"/>
                <w:color w:val="auto"/>
                <w:sz w:val="18"/>
                <w:highlight w:val="none"/>
                <w:shd w:val="clear" w:color="auto" w:fill="auto"/>
              </w:rPr>
              <w:t>质保期</w:t>
            </w:r>
          </w:p>
        </w:tc>
        <w:tc>
          <w:tcPr>
            <w:tcW w:w="709" w:type="dxa"/>
            <w:noWrap w:val="0"/>
            <w:vAlign w:val="center"/>
          </w:tcPr>
          <w:p w14:paraId="24FBC32C">
            <w:pPr>
              <w:spacing w:before="5"/>
              <w:jc w:val="center"/>
              <w:rPr>
                <w:color w:val="auto"/>
                <w:sz w:val="18"/>
                <w:highlight w:val="none"/>
                <w:shd w:val="clear" w:color="auto" w:fill="auto"/>
              </w:rPr>
            </w:pPr>
            <w:r>
              <w:rPr>
                <w:rFonts w:hint="eastAsia"/>
                <w:color w:val="auto"/>
                <w:sz w:val="18"/>
                <w:highlight w:val="none"/>
                <w:shd w:val="clear" w:color="auto" w:fill="auto"/>
              </w:rPr>
              <w:t>单报价</w:t>
            </w:r>
          </w:p>
        </w:tc>
        <w:tc>
          <w:tcPr>
            <w:tcW w:w="939" w:type="dxa"/>
            <w:noWrap w:val="0"/>
            <w:vAlign w:val="center"/>
          </w:tcPr>
          <w:p w14:paraId="72B0FA1F">
            <w:pPr>
              <w:spacing w:before="5"/>
              <w:jc w:val="center"/>
              <w:rPr>
                <w:color w:val="auto"/>
                <w:sz w:val="18"/>
                <w:highlight w:val="none"/>
                <w:shd w:val="clear" w:color="auto" w:fill="auto"/>
              </w:rPr>
            </w:pPr>
            <w:r>
              <w:rPr>
                <w:rFonts w:hint="eastAsia"/>
                <w:color w:val="auto"/>
                <w:sz w:val="18"/>
                <w:highlight w:val="none"/>
                <w:shd w:val="clear" w:color="auto" w:fill="auto"/>
              </w:rPr>
              <w:t>分项总报价</w:t>
            </w:r>
          </w:p>
        </w:tc>
      </w:tr>
      <w:tr w14:paraId="57F30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jc w:val="center"/>
        </w:trPr>
        <w:tc>
          <w:tcPr>
            <w:tcW w:w="420" w:type="dxa"/>
            <w:noWrap/>
            <w:tcMar>
              <w:top w:w="15" w:type="dxa"/>
              <w:left w:w="15" w:type="dxa"/>
              <w:bottom w:w="0" w:type="dxa"/>
              <w:right w:w="15" w:type="dxa"/>
            </w:tcMar>
            <w:vAlign w:val="center"/>
          </w:tcPr>
          <w:p w14:paraId="12B269A7">
            <w:pPr>
              <w:pStyle w:val="216"/>
              <w:pBdr>
                <w:bottom w:val="none" w:color="000000" w:sz="0" w:space="0"/>
              </w:pBdr>
              <w:tabs>
                <w:tab w:val="clear" w:pos="4153"/>
                <w:tab w:val="clear" w:pos="8306"/>
              </w:tabs>
              <w:spacing w:before="5"/>
              <w:rPr>
                <w:rFonts w:ascii="宋体"/>
                <w:color w:val="auto"/>
                <w:highlight w:val="none"/>
                <w:shd w:val="clear" w:color="auto" w:fill="auto"/>
                <w:lang w:val="en-US" w:eastAsia="zh-CN"/>
              </w:rPr>
            </w:pPr>
            <w:r>
              <w:rPr>
                <w:rFonts w:hint="eastAsia" w:ascii="宋体"/>
                <w:color w:val="auto"/>
                <w:highlight w:val="none"/>
                <w:shd w:val="clear" w:color="auto" w:fill="auto"/>
                <w:lang w:val="en-US" w:eastAsia="zh-CN"/>
              </w:rPr>
              <w:t>1</w:t>
            </w:r>
          </w:p>
        </w:tc>
        <w:tc>
          <w:tcPr>
            <w:tcW w:w="1050" w:type="dxa"/>
            <w:noWrap/>
            <w:tcMar>
              <w:top w:w="15" w:type="dxa"/>
              <w:left w:w="15" w:type="dxa"/>
              <w:bottom w:w="0" w:type="dxa"/>
              <w:right w:w="15" w:type="dxa"/>
            </w:tcMar>
            <w:vAlign w:val="center"/>
          </w:tcPr>
          <w:p w14:paraId="78170C26">
            <w:pPr>
              <w:pStyle w:val="216"/>
              <w:pBdr>
                <w:bottom w:val="none" w:color="000000" w:sz="0" w:space="0"/>
              </w:pBdr>
              <w:tabs>
                <w:tab w:val="clear" w:pos="4153"/>
                <w:tab w:val="clear" w:pos="8306"/>
              </w:tabs>
              <w:rPr>
                <w:rFonts w:ascii="宋体"/>
                <w:bCs/>
                <w:color w:val="auto"/>
                <w:highlight w:val="none"/>
                <w:shd w:val="clear" w:color="auto" w:fill="auto"/>
                <w:lang w:val="en-US" w:eastAsia="zh-CN"/>
              </w:rPr>
            </w:pPr>
          </w:p>
        </w:tc>
        <w:tc>
          <w:tcPr>
            <w:tcW w:w="945" w:type="dxa"/>
            <w:noWrap w:val="0"/>
            <w:tcMar>
              <w:top w:w="15" w:type="dxa"/>
              <w:left w:w="15" w:type="dxa"/>
              <w:bottom w:w="0" w:type="dxa"/>
              <w:right w:w="15" w:type="dxa"/>
            </w:tcMar>
            <w:vAlign w:val="center"/>
          </w:tcPr>
          <w:p w14:paraId="0E7DA6DE">
            <w:pPr>
              <w:pStyle w:val="216"/>
              <w:pBdr>
                <w:bottom w:val="none" w:color="000000" w:sz="0" w:space="0"/>
              </w:pBdr>
              <w:tabs>
                <w:tab w:val="clear" w:pos="4153"/>
                <w:tab w:val="clear" w:pos="8306"/>
              </w:tabs>
              <w:rPr>
                <w:rFonts w:ascii="宋体"/>
                <w:bCs/>
                <w:color w:val="auto"/>
                <w:highlight w:val="none"/>
                <w:shd w:val="clear" w:color="auto" w:fill="auto"/>
                <w:lang w:val="en-US" w:eastAsia="zh-CN"/>
              </w:rPr>
            </w:pPr>
          </w:p>
        </w:tc>
        <w:tc>
          <w:tcPr>
            <w:tcW w:w="1843" w:type="dxa"/>
            <w:noWrap w:val="0"/>
            <w:tcMar>
              <w:top w:w="15" w:type="dxa"/>
              <w:left w:w="15" w:type="dxa"/>
              <w:bottom w:w="0" w:type="dxa"/>
              <w:right w:w="15" w:type="dxa"/>
            </w:tcMar>
            <w:vAlign w:val="top"/>
          </w:tcPr>
          <w:p w14:paraId="3EB2956E">
            <w:pPr>
              <w:jc w:val="center"/>
              <w:rPr>
                <w:rFonts w:ascii="宋体"/>
                <w:bCs/>
                <w:color w:val="auto"/>
                <w:sz w:val="18"/>
                <w:highlight w:val="none"/>
                <w:shd w:val="clear" w:color="auto" w:fill="auto"/>
              </w:rPr>
            </w:pPr>
          </w:p>
        </w:tc>
        <w:tc>
          <w:tcPr>
            <w:tcW w:w="1054" w:type="dxa"/>
            <w:noWrap w:val="0"/>
            <w:tcMar>
              <w:top w:w="15" w:type="dxa"/>
              <w:left w:w="15" w:type="dxa"/>
              <w:bottom w:w="0" w:type="dxa"/>
              <w:right w:w="15" w:type="dxa"/>
            </w:tcMar>
            <w:vAlign w:val="center"/>
          </w:tcPr>
          <w:p w14:paraId="3BFEC743">
            <w:pPr>
              <w:jc w:val="center"/>
              <w:rPr>
                <w:rFonts w:ascii="黑体" w:hAnsi="宋体" w:eastAsia="黑体"/>
                <w:b/>
                <w:bCs/>
                <w:color w:val="auto"/>
                <w:sz w:val="24"/>
                <w:szCs w:val="24"/>
                <w:highlight w:val="none"/>
                <w:shd w:val="clear" w:color="auto" w:fill="auto"/>
              </w:rPr>
            </w:pPr>
            <w:r>
              <w:rPr>
                <w:rFonts w:hint="eastAsia" w:ascii="黑体" w:eastAsia="黑体"/>
                <w:b/>
                <w:bCs/>
                <w:color w:val="auto"/>
                <w:highlight w:val="none"/>
                <w:shd w:val="clear" w:color="auto" w:fill="auto"/>
              </w:rPr>
              <w:t>　</w:t>
            </w:r>
          </w:p>
        </w:tc>
        <w:tc>
          <w:tcPr>
            <w:tcW w:w="1262" w:type="dxa"/>
            <w:tcBorders>
              <w:right w:val="single" w:color="auto" w:sz="4" w:space="0"/>
            </w:tcBorders>
            <w:noWrap w:val="0"/>
            <w:vAlign w:val="center"/>
          </w:tcPr>
          <w:p w14:paraId="0E0154DF">
            <w:pPr>
              <w:jc w:val="center"/>
              <w:rPr>
                <w:rFonts w:ascii="黑体" w:hAnsi="宋体" w:eastAsia="黑体"/>
                <w:b/>
                <w:bCs/>
                <w:color w:val="auto"/>
                <w:sz w:val="24"/>
                <w:szCs w:val="24"/>
                <w:highlight w:val="none"/>
                <w:shd w:val="clear" w:color="auto" w:fill="auto"/>
              </w:rPr>
            </w:pPr>
          </w:p>
        </w:tc>
        <w:tc>
          <w:tcPr>
            <w:tcW w:w="761" w:type="dxa"/>
            <w:tcBorders>
              <w:left w:val="single" w:color="auto" w:sz="4" w:space="0"/>
            </w:tcBorders>
            <w:noWrap w:val="0"/>
            <w:vAlign w:val="center"/>
          </w:tcPr>
          <w:p w14:paraId="062D908D">
            <w:pPr>
              <w:jc w:val="center"/>
              <w:rPr>
                <w:rFonts w:ascii="黑体" w:hAnsi="宋体" w:eastAsia="黑体"/>
                <w:b/>
                <w:bCs/>
                <w:color w:val="auto"/>
                <w:sz w:val="24"/>
                <w:szCs w:val="24"/>
                <w:highlight w:val="none"/>
                <w:shd w:val="clear" w:color="auto" w:fill="auto"/>
              </w:rPr>
            </w:pPr>
          </w:p>
        </w:tc>
        <w:tc>
          <w:tcPr>
            <w:tcW w:w="992" w:type="dxa"/>
            <w:noWrap/>
            <w:tcMar>
              <w:top w:w="15" w:type="dxa"/>
              <w:left w:w="15" w:type="dxa"/>
              <w:bottom w:w="0" w:type="dxa"/>
              <w:right w:w="15" w:type="dxa"/>
            </w:tcMar>
            <w:vAlign w:val="center"/>
          </w:tcPr>
          <w:p w14:paraId="498F702D">
            <w:pPr>
              <w:jc w:val="center"/>
              <w:rPr>
                <w:rFonts w:ascii="黑体" w:hAnsi="宋体" w:eastAsia="黑体"/>
                <w:b/>
                <w:bCs/>
                <w:color w:val="auto"/>
                <w:sz w:val="24"/>
                <w:szCs w:val="24"/>
                <w:highlight w:val="none"/>
                <w:shd w:val="clear" w:color="auto" w:fill="auto"/>
              </w:rPr>
            </w:pPr>
            <w:r>
              <w:rPr>
                <w:rFonts w:hint="eastAsia" w:ascii="黑体" w:eastAsia="黑体"/>
                <w:b/>
                <w:bCs/>
                <w:color w:val="auto"/>
                <w:highlight w:val="none"/>
                <w:shd w:val="clear" w:color="auto" w:fill="auto"/>
              </w:rPr>
              <w:t>　</w:t>
            </w:r>
          </w:p>
        </w:tc>
        <w:tc>
          <w:tcPr>
            <w:tcW w:w="709" w:type="dxa"/>
            <w:noWrap w:val="0"/>
            <w:vAlign w:val="center"/>
          </w:tcPr>
          <w:p w14:paraId="65AE2CD4">
            <w:pPr>
              <w:jc w:val="center"/>
              <w:rPr>
                <w:rFonts w:ascii="黑体" w:hAnsi="宋体" w:eastAsia="黑体"/>
                <w:b/>
                <w:bCs/>
                <w:color w:val="auto"/>
                <w:sz w:val="24"/>
                <w:szCs w:val="24"/>
                <w:highlight w:val="none"/>
                <w:shd w:val="clear" w:color="auto" w:fill="auto"/>
              </w:rPr>
            </w:pPr>
          </w:p>
        </w:tc>
        <w:tc>
          <w:tcPr>
            <w:tcW w:w="939" w:type="dxa"/>
            <w:noWrap w:val="0"/>
            <w:vAlign w:val="center"/>
          </w:tcPr>
          <w:p w14:paraId="3433497C">
            <w:pPr>
              <w:jc w:val="center"/>
              <w:rPr>
                <w:rFonts w:ascii="黑体" w:hAnsi="宋体" w:eastAsia="黑体"/>
                <w:b/>
                <w:bCs/>
                <w:color w:val="auto"/>
                <w:sz w:val="24"/>
                <w:szCs w:val="24"/>
                <w:highlight w:val="none"/>
                <w:shd w:val="clear" w:color="auto" w:fill="auto"/>
              </w:rPr>
            </w:pPr>
          </w:p>
        </w:tc>
      </w:tr>
      <w:tr w14:paraId="4B7F2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420" w:type="dxa"/>
            <w:noWrap/>
            <w:tcMar>
              <w:top w:w="15" w:type="dxa"/>
              <w:left w:w="15" w:type="dxa"/>
              <w:bottom w:w="0" w:type="dxa"/>
              <w:right w:w="15" w:type="dxa"/>
            </w:tcMar>
            <w:vAlign w:val="center"/>
          </w:tcPr>
          <w:p w14:paraId="7C7BB1DF">
            <w:pPr>
              <w:jc w:val="center"/>
              <w:rPr>
                <w:rFonts w:ascii="宋体"/>
                <w:color w:val="auto"/>
                <w:sz w:val="18"/>
                <w:highlight w:val="none"/>
                <w:shd w:val="clear" w:color="auto" w:fill="auto"/>
              </w:rPr>
            </w:pPr>
            <w:r>
              <w:rPr>
                <w:rFonts w:hint="eastAsia" w:ascii="宋体"/>
                <w:color w:val="auto"/>
                <w:sz w:val="18"/>
                <w:highlight w:val="none"/>
                <w:shd w:val="clear" w:color="auto" w:fill="auto"/>
              </w:rPr>
              <w:t>2</w:t>
            </w:r>
          </w:p>
        </w:tc>
        <w:tc>
          <w:tcPr>
            <w:tcW w:w="1050" w:type="dxa"/>
            <w:noWrap/>
            <w:tcMar>
              <w:top w:w="15" w:type="dxa"/>
              <w:left w:w="15" w:type="dxa"/>
              <w:bottom w:w="0" w:type="dxa"/>
              <w:right w:w="15" w:type="dxa"/>
            </w:tcMar>
            <w:vAlign w:val="center"/>
          </w:tcPr>
          <w:p w14:paraId="25C615CF">
            <w:pPr>
              <w:jc w:val="center"/>
              <w:rPr>
                <w:rFonts w:ascii="宋体"/>
                <w:color w:val="auto"/>
                <w:highlight w:val="none"/>
                <w:shd w:val="clear" w:color="auto" w:fill="auto"/>
              </w:rPr>
            </w:pPr>
            <w:r>
              <w:rPr>
                <w:rFonts w:hint="eastAsia" w:ascii="宋体"/>
                <w:color w:val="auto"/>
                <w:highlight w:val="none"/>
                <w:shd w:val="clear" w:color="auto" w:fill="auto"/>
              </w:rPr>
              <w:t>......</w:t>
            </w:r>
          </w:p>
        </w:tc>
        <w:tc>
          <w:tcPr>
            <w:tcW w:w="945" w:type="dxa"/>
            <w:noWrap w:val="0"/>
            <w:tcMar>
              <w:top w:w="15" w:type="dxa"/>
              <w:left w:w="15" w:type="dxa"/>
              <w:bottom w:w="0" w:type="dxa"/>
              <w:right w:w="15" w:type="dxa"/>
            </w:tcMar>
            <w:vAlign w:val="center"/>
          </w:tcPr>
          <w:p w14:paraId="360CC894">
            <w:pPr>
              <w:pStyle w:val="216"/>
              <w:pBdr>
                <w:bottom w:val="none" w:color="000000" w:sz="0" w:space="0"/>
              </w:pBdr>
              <w:tabs>
                <w:tab w:val="clear" w:pos="4153"/>
                <w:tab w:val="clear" w:pos="8306"/>
              </w:tabs>
              <w:rPr>
                <w:rFonts w:ascii="宋体"/>
                <w:bCs/>
                <w:color w:val="auto"/>
                <w:highlight w:val="none"/>
                <w:shd w:val="clear" w:color="auto" w:fill="auto"/>
                <w:lang w:val="en-US" w:eastAsia="zh-CN"/>
              </w:rPr>
            </w:pPr>
          </w:p>
        </w:tc>
        <w:tc>
          <w:tcPr>
            <w:tcW w:w="1843" w:type="dxa"/>
            <w:noWrap w:val="0"/>
            <w:tcMar>
              <w:top w:w="15" w:type="dxa"/>
              <w:left w:w="15" w:type="dxa"/>
              <w:bottom w:w="0" w:type="dxa"/>
              <w:right w:w="15" w:type="dxa"/>
            </w:tcMar>
            <w:vAlign w:val="center"/>
          </w:tcPr>
          <w:p w14:paraId="6F446E5D">
            <w:pPr>
              <w:jc w:val="center"/>
              <w:rPr>
                <w:rFonts w:ascii="宋体"/>
                <w:bCs/>
                <w:color w:val="auto"/>
                <w:sz w:val="18"/>
                <w:highlight w:val="none"/>
                <w:shd w:val="clear" w:color="auto" w:fill="auto"/>
              </w:rPr>
            </w:pPr>
          </w:p>
        </w:tc>
        <w:tc>
          <w:tcPr>
            <w:tcW w:w="1054" w:type="dxa"/>
            <w:noWrap w:val="0"/>
            <w:tcMar>
              <w:top w:w="15" w:type="dxa"/>
              <w:left w:w="15" w:type="dxa"/>
              <w:bottom w:w="0" w:type="dxa"/>
              <w:right w:w="15" w:type="dxa"/>
            </w:tcMar>
            <w:vAlign w:val="center"/>
          </w:tcPr>
          <w:p w14:paraId="05279F1E">
            <w:pPr>
              <w:jc w:val="center"/>
              <w:rPr>
                <w:rFonts w:ascii="黑体" w:hAnsi="宋体" w:eastAsia="黑体"/>
                <w:b/>
                <w:bCs/>
                <w:color w:val="auto"/>
                <w:sz w:val="24"/>
                <w:szCs w:val="24"/>
                <w:highlight w:val="none"/>
                <w:shd w:val="clear" w:color="auto" w:fill="auto"/>
              </w:rPr>
            </w:pPr>
            <w:r>
              <w:rPr>
                <w:rFonts w:hint="eastAsia" w:ascii="黑体" w:eastAsia="黑体"/>
                <w:b/>
                <w:bCs/>
                <w:color w:val="auto"/>
                <w:highlight w:val="none"/>
                <w:shd w:val="clear" w:color="auto" w:fill="auto"/>
              </w:rPr>
              <w:t>　</w:t>
            </w:r>
          </w:p>
        </w:tc>
        <w:tc>
          <w:tcPr>
            <w:tcW w:w="1262" w:type="dxa"/>
            <w:tcBorders>
              <w:right w:val="single" w:color="auto" w:sz="4" w:space="0"/>
            </w:tcBorders>
            <w:noWrap w:val="0"/>
            <w:vAlign w:val="center"/>
          </w:tcPr>
          <w:p w14:paraId="0145310E">
            <w:pPr>
              <w:jc w:val="center"/>
              <w:rPr>
                <w:rFonts w:ascii="黑体" w:hAnsi="宋体" w:eastAsia="黑体"/>
                <w:b/>
                <w:bCs/>
                <w:color w:val="auto"/>
                <w:sz w:val="24"/>
                <w:szCs w:val="24"/>
                <w:highlight w:val="none"/>
                <w:shd w:val="clear" w:color="auto" w:fill="auto"/>
              </w:rPr>
            </w:pPr>
          </w:p>
        </w:tc>
        <w:tc>
          <w:tcPr>
            <w:tcW w:w="761" w:type="dxa"/>
            <w:tcBorders>
              <w:left w:val="single" w:color="auto" w:sz="4" w:space="0"/>
            </w:tcBorders>
            <w:noWrap w:val="0"/>
            <w:vAlign w:val="center"/>
          </w:tcPr>
          <w:p w14:paraId="4C23963C">
            <w:pPr>
              <w:jc w:val="center"/>
              <w:rPr>
                <w:rFonts w:ascii="黑体" w:hAnsi="宋体" w:eastAsia="黑体"/>
                <w:b/>
                <w:bCs/>
                <w:color w:val="auto"/>
                <w:sz w:val="24"/>
                <w:szCs w:val="24"/>
                <w:highlight w:val="none"/>
                <w:shd w:val="clear" w:color="auto" w:fill="auto"/>
              </w:rPr>
            </w:pPr>
          </w:p>
        </w:tc>
        <w:tc>
          <w:tcPr>
            <w:tcW w:w="992" w:type="dxa"/>
            <w:noWrap/>
            <w:tcMar>
              <w:top w:w="15" w:type="dxa"/>
              <w:left w:w="15" w:type="dxa"/>
              <w:bottom w:w="0" w:type="dxa"/>
              <w:right w:w="15" w:type="dxa"/>
            </w:tcMar>
            <w:vAlign w:val="center"/>
          </w:tcPr>
          <w:p w14:paraId="193DA9DD">
            <w:pPr>
              <w:jc w:val="center"/>
              <w:rPr>
                <w:rFonts w:ascii="黑体" w:hAnsi="宋体" w:eastAsia="黑体"/>
                <w:b/>
                <w:bCs/>
                <w:color w:val="auto"/>
                <w:sz w:val="24"/>
                <w:szCs w:val="24"/>
                <w:highlight w:val="none"/>
                <w:shd w:val="clear" w:color="auto" w:fill="auto"/>
              </w:rPr>
            </w:pPr>
            <w:r>
              <w:rPr>
                <w:rFonts w:hint="eastAsia" w:ascii="黑体" w:eastAsia="黑体"/>
                <w:b/>
                <w:bCs/>
                <w:color w:val="auto"/>
                <w:highlight w:val="none"/>
                <w:shd w:val="clear" w:color="auto" w:fill="auto"/>
              </w:rPr>
              <w:t>　</w:t>
            </w:r>
          </w:p>
        </w:tc>
        <w:tc>
          <w:tcPr>
            <w:tcW w:w="709" w:type="dxa"/>
            <w:noWrap w:val="0"/>
            <w:vAlign w:val="center"/>
          </w:tcPr>
          <w:p w14:paraId="79BA9BB0">
            <w:pPr>
              <w:jc w:val="center"/>
              <w:rPr>
                <w:rFonts w:ascii="黑体" w:hAnsi="宋体" w:eastAsia="黑体"/>
                <w:b/>
                <w:bCs/>
                <w:color w:val="auto"/>
                <w:sz w:val="24"/>
                <w:szCs w:val="24"/>
                <w:highlight w:val="none"/>
                <w:shd w:val="clear" w:color="auto" w:fill="auto"/>
              </w:rPr>
            </w:pPr>
          </w:p>
        </w:tc>
        <w:tc>
          <w:tcPr>
            <w:tcW w:w="939" w:type="dxa"/>
            <w:noWrap w:val="0"/>
            <w:vAlign w:val="center"/>
          </w:tcPr>
          <w:p w14:paraId="32C809AF">
            <w:pPr>
              <w:jc w:val="center"/>
              <w:rPr>
                <w:rFonts w:ascii="黑体" w:hAnsi="宋体" w:eastAsia="黑体"/>
                <w:b/>
                <w:bCs/>
                <w:color w:val="auto"/>
                <w:sz w:val="24"/>
                <w:szCs w:val="24"/>
                <w:highlight w:val="none"/>
                <w:shd w:val="clear" w:color="auto" w:fill="auto"/>
              </w:rPr>
            </w:pPr>
          </w:p>
        </w:tc>
      </w:tr>
      <w:tr w14:paraId="5156D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53" w:hRule="atLeast"/>
          <w:jc w:val="center"/>
        </w:trPr>
        <w:tc>
          <w:tcPr>
            <w:tcW w:w="9975" w:type="dxa"/>
            <w:gridSpan w:val="10"/>
            <w:noWrap/>
            <w:tcMar>
              <w:top w:w="15" w:type="dxa"/>
              <w:left w:w="15" w:type="dxa"/>
              <w:bottom w:w="0" w:type="dxa"/>
              <w:right w:w="15" w:type="dxa"/>
            </w:tcMar>
            <w:vAlign w:val="center"/>
          </w:tcPr>
          <w:p w14:paraId="3952D9CD">
            <w:pPr>
              <w:spacing w:line="288" w:lineRule="auto"/>
              <w:jc w:val="left"/>
              <w:rPr>
                <w:rFonts w:hint="eastAsia" w:ascii="楷体" w:hAnsi="楷体" w:eastAsia="楷体"/>
                <w:bCs/>
                <w:color w:val="auto"/>
                <w:sz w:val="28"/>
                <w:szCs w:val="28"/>
                <w:highlight w:val="none"/>
                <w:shd w:val="clear" w:color="auto" w:fill="auto"/>
              </w:rPr>
            </w:pPr>
            <w:r>
              <w:rPr>
                <w:rFonts w:hint="eastAsia" w:ascii="楷体" w:hAnsi="楷体" w:eastAsia="楷体"/>
                <w:bCs/>
                <w:color w:val="auto"/>
                <w:sz w:val="28"/>
                <w:szCs w:val="28"/>
                <w:highlight w:val="none"/>
                <w:shd w:val="clear" w:color="auto" w:fill="auto"/>
              </w:rPr>
              <w:t>投标人承诺：</w:t>
            </w:r>
          </w:p>
          <w:p w14:paraId="4BE5238D">
            <w:pPr>
              <w:spacing w:line="288" w:lineRule="auto"/>
              <w:jc w:val="left"/>
              <w:rPr>
                <w:rFonts w:ascii="楷体" w:hAnsi="楷体" w:eastAsia="楷体"/>
                <w:b/>
                <w:bCs/>
                <w:color w:val="auto"/>
                <w:sz w:val="28"/>
                <w:szCs w:val="28"/>
                <w:highlight w:val="none"/>
                <w:shd w:val="clear" w:color="auto" w:fill="auto"/>
              </w:rPr>
            </w:pPr>
            <w:r>
              <w:rPr>
                <w:rFonts w:hint="eastAsia" w:ascii="楷体" w:hAnsi="楷体" w:eastAsia="楷体"/>
                <w:bCs/>
                <w:color w:val="auto"/>
                <w:sz w:val="28"/>
                <w:szCs w:val="28"/>
                <w:highlight w:val="none"/>
                <w:shd w:val="clear" w:color="auto" w:fill="auto"/>
              </w:rPr>
              <w:t>本采购项目或采购包中提供的符合本国产品标准的产品</w:t>
            </w:r>
            <w:r>
              <w:rPr>
                <w:rFonts w:hint="eastAsia" w:ascii="楷体" w:hAnsi="楷体" w:eastAsia="楷体"/>
                <w:b/>
                <w:bCs/>
                <w:color w:val="auto"/>
                <w:sz w:val="28"/>
                <w:szCs w:val="28"/>
                <w:highlight w:val="none"/>
                <w:shd w:val="clear" w:color="auto" w:fill="auto"/>
              </w:rPr>
              <w:t>成本之和</w:t>
            </w:r>
            <w:r>
              <w:rPr>
                <w:rFonts w:hint="eastAsia" w:ascii="楷体" w:hAnsi="楷体" w:eastAsia="楷体"/>
                <w:bCs/>
                <w:color w:val="auto"/>
                <w:sz w:val="28"/>
                <w:szCs w:val="28"/>
                <w:highlight w:val="none"/>
                <w:shd w:val="clear" w:color="auto" w:fill="auto"/>
              </w:rPr>
              <w:t>占提供的全部产品</w:t>
            </w:r>
            <w:r>
              <w:rPr>
                <w:rFonts w:hint="eastAsia" w:ascii="楷体" w:hAnsi="楷体" w:eastAsia="楷体"/>
                <w:b/>
                <w:bCs/>
                <w:color w:val="auto"/>
                <w:sz w:val="28"/>
                <w:szCs w:val="28"/>
                <w:highlight w:val="none"/>
                <w:shd w:val="clear" w:color="auto" w:fill="auto"/>
              </w:rPr>
              <w:t>成本之和</w:t>
            </w:r>
            <w:r>
              <w:rPr>
                <w:rFonts w:hint="eastAsia" w:ascii="楷体" w:hAnsi="楷体" w:eastAsia="楷体"/>
                <w:bCs/>
                <w:color w:val="auto"/>
                <w:sz w:val="28"/>
                <w:szCs w:val="28"/>
                <w:highlight w:val="none"/>
                <w:shd w:val="clear" w:color="auto" w:fill="auto"/>
              </w:rPr>
              <w:t>的比例：</w:t>
            </w:r>
            <w:r>
              <w:rPr>
                <w:rFonts w:hint="eastAsia" w:ascii="楷体" w:hAnsi="楷体" w:eastAsia="楷体"/>
                <w:bCs/>
                <w:color w:val="auto"/>
                <w:sz w:val="28"/>
                <w:szCs w:val="28"/>
                <w:highlight w:val="none"/>
                <w:u w:val="single"/>
                <w:shd w:val="clear" w:color="auto" w:fill="auto"/>
              </w:rPr>
              <w:t xml:space="preserve">      </w:t>
            </w:r>
            <w:r>
              <w:rPr>
                <w:rFonts w:hint="eastAsia" w:ascii="楷体" w:hAnsi="楷体" w:eastAsia="楷体"/>
                <w:bCs/>
                <w:color w:val="auto"/>
                <w:sz w:val="28"/>
                <w:szCs w:val="28"/>
                <w:highlight w:val="none"/>
                <w:shd w:val="clear" w:color="auto" w:fill="auto"/>
              </w:rPr>
              <w:t>%</w:t>
            </w:r>
          </w:p>
        </w:tc>
      </w:tr>
    </w:tbl>
    <w:p w14:paraId="0C9D9AC7">
      <w:pPr>
        <w:spacing w:before="5" w:line="560" w:lineRule="atLeast"/>
        <w:rPr>
          <w:b/>
          <w:bCs/>
          <w:i w:val="0"/>
          <w:iCs w:val="0"/>
          <w:color w:val="auto"/>
          <w:sz w:val="24"/>
          <w:szCs w:val="24"/>
          <w:highlight w:val="none"/>
          <w:u w:val="none"/>
        </w:rPr>
      </w:pPr>
      <w:r>
        <w:rPr>
          <w:rFonts w:hint="eastAsia"/>
          <w:b/>
          <w:bCs/>
          <w:i w:val="0"/>
          <w:iCs w:val="0"/>
          <w:color w:val="auto"/>
          <w:sz w:val="24"/>
          <w:szCs w:val="24"/>
          <w:highlight w:val="none"/>
          <w:u w:val="none"/>
        </w:rPr>
        <w:t>法定代表人或法定代表人授权代表签字或盖章：</w:t>
      </w:r>
    </w:p>
    <w:p w14:paraId="4A8A0E8D">
      <w:pPr>
        <w:spacing w:line="360" w:lineRule="exact"/>
        <w:outlineLvl w:val="0"/>
        <w:rPr>
          <w:rFonts w:ascii="宋体"/>
          <w:bCs/>
          <w:i w:val="0"/>
          <w:iCs w:val="0"/>
          <w:color w:val="auto"/>
          <w:szCs w:val="21"/>
          <w:highlight w:val="none"/>
          <w:u w:val="none"/>
        </w:rPr>
      </w:pPr>
      <w:r>
        <w:rPr>
          <w:rFonts w:hint="eastAsia" w:ascii="宋体" w:hAnsi="宋体"/>
          <w:b/>
          <w:i w:val="0"/>
          <w:iCs w:val="0"/>
          <w:color w:val="auto"/>
          <w:szCs w:val="21"/>
          <w:highlight w:val="none"/>
          <w:u w:val="none"/>
        </w:rPr>
        <w:t>注：</w:t>
      </w: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1</w:t>
      </w: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在“是否小、微企业（或监狱企业、残疾人福利性单位）产品”栏内填写“是”或“否”。如填写“是”，</w:t>
      </w:r>
      <w:r>
        <w:rPr>
          <w:rFonts w:hint="eastAsia" w:ascii="宋体" w:hAnsi="宋体" w:cs="宋体"/>
          <w:i w:val="0"/>
          <w:iCs w:val="0"/>
          <w:color w:val="auto"/>
          <w:szCs w:val="21"/>
          <w:highlight w:val="none"/>
          <w:u w:val="none"/>
          <w:lang w:val="zh-CN"/>
        </w:rPr>
        <w:t xml:space="preserve"> 投标人本项目</w:t>
      </w:r>
      <w:r>
        <w:rPr>
          <w:rFonts w:ascii="宋体" w:hAnsi="宋体" w:cs="宋体"/>
          <w:i w:val="0"/>
          <w:iCs w:val="0"/>
          <w:color w:val="auto"/>
          <w:szCs w:val="21"/>
          <w:highlight w:val="none"/>
          <w:u w:val="none"/>
          <w:lang w:val="zh-CN"/>
        </w:rPr>
        <w:t>提供的货物全部由符合政策要求的中小企业制造</w:t>
      </w:r>
      <w:r>
        <w:rPr>
          <w:rFonts w:hint="eastAsia" w:ascii="宋体" w:hAnsi="宋体" w:cs="宋体"/>
          <w:i w:val="0"/>
          <w:iCs w:val="0"/>
          <w:color w:val="auto"/>
          <w:szCs w:val="21"/>
          <w:highlight w:val="none"/>
          <w:u w:val="none"/>
          <w:lang w:val="zh-CN"/>
        </w:rPr>
        <w:t>的，须提供按格式填写的《中小企业声明函》（货物）（《中小企业声明函》（货物）相应内容须与上表填列内容保持一致）；投标人本项目提供的</w:t>
      </w:r>
      <w:r>
        <w:rPr>
          <w:rFonts w:ascii="宋体" w:hAnsi="宋体" w:cs="宋体"/>
          <w:i w:val="0"/>
          <w:iCs w:val="0"/>
          <w:color w:val="auto"/>
          <w:szCs w:val="21"/>
          <w:highlight w:val="none"/>
          <w:u w:val="none"/>
          <w:lang w:val="zh-CN"/>
        </w:rPr>
        <w:t>服务全部由符合政策要求的中小企业承接</w:t>
      </w:r>
      <w:r>
        <w:rPr>
          <w:rFonts w:hint="eastAsia" w:ascii="宋体" w:hAnsi="宋体" w:cs="宋体"/>
          <w:i w:val="0"/>
          <w:iCs w:val="0"/>
          <w:color w:val="auto"/>
          <w:szCs w:val="21"/>
          <w:highlight w:val="none"/>
          <w:u w:val="none"/>
          <w:lang w:val="zh-CN"/>
        </w:rPr>
        <w:t>的，须提供按格式填写的《中小企业声明函》（服务）</w:t>
      </w:r>
      <w:r>
        <w:rPr>
          <w:rFonts w:ascii="宋体" w:hAnsi="宋体"/>
          <w:bCs/>
          <w:i w:val="0"/>
          <w:iCs w:val="0"/>
          <w:color w:val="auto"/>
          <w:szCs w:val="21"/>
          <w:highlight w:val="none"/>
          <w:u w:val="none"/>
        </w:rPr>
        <w:t>；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惠山区政府采购中心有权将相关内容进行公示。</w:t>
      </w:r>
    </w:p>
    <w:p w14:paraId="01A5C169">
      <w:pPr>
        <w:spacing w:line="360" w:lineRule="exact"/>
        <w:ind w:firstLine="315"/>
        <w:outlineLvl w:val="0"/>
        <w:rPr>
          <w:rFonts w:hint="eastAsia" w:ascii="宋体" w:hAnsi="宋体" w:eastAsia="宋体"/>
          <w:bCs/>
          <w:i w:val="0"/>
          <w:iCs w:val="0"/>
          <w:color w:val="auto"/>
          <w:szCs w:val="21"/>
          <w:highlight w:val="none"/>
          <w:u w:val="none"/>
          <w:lang w:eastAsia="zh-CN"/>
        </w:rPr>
      </w:pP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2</w:t>
      </w:r>
      <w:r>
        <w:rPr>
          <w:rFonts w:hint="eastAsia" w:ascii="宋体" w:hAnsi="宋体"/>
          <w:bCs/>
          <w:i w:val="0"/>
          <w:iCs w:val="0"/>
          <w:color w:val="auto"/>
          <w:szCs w:val="21"/>
          <w:highlight w:val="none"/>
          <w:u w:val="none"/>
        </w:rPr>
        <w:t>）投标人应当根据“项目技术要求和有关说明”的内容在上表中详细填写</w:t>
      </w:r>
      <w:r>
        <w:rPr>
          <w:rFonts w:hint="eastAsia" w:ascii="宋体" w:hAnsi="宋体"/>
          <w:bCs/>
          <w:i w:val="0"/>
          <w:iCs w:val="0"/>
          <w:color w:val="auto"/>
          <w:szCs w:val="21"/>
          <w:highlight w:val="none"/>
          <w:u w:val="none"/>
          <w:lang w:eastAsia="zh-CN"/>
        </w:rPr>
        <w:t>。</w:t>
      </w:r>
    </w:p>
    <w:p w14:paraId="7CC56196">
      <w:pPr>
        <w:spacing w:line="360" w:lineRule="exact"/>
        <w:ind w:firstLine="315"/>
        <w:outlineLvl w:val="0"/>
        <w:rPr>
          <w:rFonts w:hint="eastAsia" w:ascii="宋体" w:hAnsi="宋体" w:cs="Times New Roman"/>
          <w:bCs/>
          <w:i w:val="0"/>
          <w:iCs w:val="0"/>
          <w:color w:val="auto"/>
          <w:szCs w:val="21"/>
          <w:highlight w:val="none"/>
          <w:u w:val="none"/>
        </w:rPr>
      </w:pPr>
      <w:r>
        <w:rPr>
          <w:rFonts w:hint="eastAsia" w:ascii="宋体" w:hAnsi="宋体" w:cs="Times New Roman"/>
          <w:bCs/>
          <w:i w:val="0"/>
          <w:iCs w:val="0"/>
          <w:color w:val="auto"/>
          <w:szCs w:val="21"/>
          <w:highlight w:val="none"/>
          <w:u w:val="none"/>
          <w:lang w:eastAsia="zh-CN"/>
        </w:rPr>
        <w:t>（</w:t>
      </w:r>
      <w:r>
        <w:rPr>
          <w:rFonts w:hint="eastAsia" w:ascii="宋体" w:hAnsi="宋体" w:cs="Times New Roman"/>
          <w:bCs/>
          <w:i w:val="0"/>
          <w:iCs w:val="0"/>
          <w:color w:val="auto"/>
          <w:szCs w:val="21"/>
          <w:highlight w:val="none"/>
          <w:u w:val="none"/>
          <w:lang w:val="en-US" w:eastAsia="zh-CN"/>
        </w:rPr>
        <w:t>3</w:t>
      </w:r>
      <w:r>
        <w:rPr>
          <w:rFonts w:hint="eastAsia" w:ascii="宋体" w:hAnsi="宋体" w:cs="Times New Roman"/>
          <w:bCs/>
          <w:i w:val="0"/>
          <w:iCs w:val="0"/>
          <w:color w:val="auto"/>
          <w:szCs w:val="21"/>
          <w:highlight w:val="none"/>
          <w:u w:val="none"/>
          <w:lang w:eastAsia="zh-CN"/>
        </w:rPr>
        <w:t>）</w:t>
      </w:r>
      <w:r>
        <w:rPr>
          <w:rFonts w:hint="eastAsia" w:ascii="宋体" w:hAnsi="宋体" w:cs="Times New Roman"/>
          <w:bCs/>
          <w:i w:val="0"/>
          <w:iCs w:val="0"/>
          <w:color w:val="auto"/>
          <w:szCs w:val="21"/>
          <w:highlight w:val="none"/>
          <w:u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7EE0975">
      <w:pPr>
        <w:spacing w:line="360" w:lineRule="exact"/>
        <w:ind w:firstLine="315"/>
        <w:outlineLvl w:val="0"/>
        <w:rPr>
          <w:rFonts w:ascii="宋体" w:hAnsi="宋体"/>
          <w:bCs/>
          <w:i w:val="0"/>
          <w:iCs w:val="0"/>
          <w:color w:val="auto"/>
          <w:szCs w:val="21"/>
          <w:highlight w:val="none"/>
          <w:u w:val="none"/>
        </w:rPr>
      </w:pPr>
      <w:r>
        <w:rPr>
          <w:rFonts w:hint="eastAsia" w:ascii="宋体" w:hAnsi="宋体" w:cs="Times New Roman"/>
          <w:bCs/>
          <w:i w:val="0"/>
          <w:iCs w:val="0"/>
          <w:color w:val="auto"/>
          <w:szCs w:val="21"/>
          <w:highlight w:val="none"/>
          <w:u w:val="none"/>
        </w:rPr>
        <w:t>（</w:t>
      </w:r>
      <w:r>
        <w:rPr>
          <w:rFonts w:hint="eastAsia" w:ascii="宋体" w:hAnsi="宋体" w:cs="Times New Roman"/>
          <w:bCs/>
          <w:i w:val="0"/>
          <w:iCs w:val="0"/>
          <w:color w:val="auto"/>
          <w:szCs w:val="21"/>
          <w:highlight w:val="none"/>
          <w:u w:val="none"/>
          <w:lang w:val="en-US" w:eastAsia="zh-CN"/>
        </w:rPr>
        <w:t>4</w:t>
      </w:r>
      <w:r>
        <w:rPr>
          <w:rFonts w:hint="eastAsia" w:ascii="宋体" w:hAnsi="宋体" w:cs="Times New Roman"/>
          <w:bCs/>
          <w:i w:val="0"/>
          <w:iCs w:val="0"/>
          <w:color w:val="auto"/>
          <w:szCs w:val="21"/>
          <w:highlight w:val="none"/>
          <w:u w:val="none"/>
        </w:rPr>
        <w:t>）表格</w:t>
      </w:r>
      <w:r>
        <w:rPr>
          <w:rFonts w:hint="eastAsia" w:ascii="宋体" w:hAnsi="宋体"/>
          <w:bCs/>
          <w:i w:val="0"/>
          <w:iCs w:val="0"/>
          <w:color w:val="auto"/>
          <w:szCs w:val="21"/>
          <w:highlight w:val="none"/>
          <w:u w:val="none"/>
        </w:rPr>
        <w:t>不够可自行延长。</w:t>
      </w:r>
    </w:p>
    <w:p w14:paraId="698A087F">
      <w:pPr>
        <w:tabs>
          <w:tab w:val="left" w:pos="701"/>
        </w:tabs>
        <w:jc w:val="left"/>
        <w:rPr>
          <w:rFonts w:hint="eastAsia"/>
          <w:i w:val="0"/>
          <w:iCs w:val="0"/>
          <w:color w:val="auto"/>
          <w:sz w:val="21"/>
          <w:highlight w:val="none"/>
          <w:lang w:val="en-US" w:eastAsia="zh-CN" w:bidi="ar-SA"/>
        </w:rPr>
      </w:pPr>
    </w:p>
    <w:p w14:paraId="77FFC189">
      <w:pPr>
        <w:tabs>
          <w:tab w:val="left" w:pos="701"/>
        </w:tabs>
        <w:jc w:val="left"/>
        <w:rPr>
          <w:rFonts w:hint="eastAsia"/>
          <w:i w:val="0"/>
          <w:iCs w:val="0"/>
          <w:color w:val="auto"/>
          <w:sz w:val="21"/>
          <w:highlight w:val="none"/>
          <w:lang w:val="en-US" w:eastAsia="zh-CN" w:bidi="ar-SA"/>
        </w:rPr>
      </w:pPr>
    </w:p>
    <w:p w14:paraId="7D03C392">
      <w:pPr>
        <w:tabs>
          <w:tab w:val="left" w:pos="701"/>
        </w:tabs>
        <w:jc w:val="left"/>
        <w:rPr>
          <w:rFonts w:hint="eastAsia"/>
          <w:i w:val="0"/>
          <w:iCs w:val="0"/>
          <w:color w:val="auto"/>
          <w:sz w:val="21"/>
          <w:highlight w:val="none"/>
          <w:lang w:val="en-US" w:eastAsia="zh-CN" w:bidi="ar-SA"/>
        </w:rPr>
      </w:pPr>
    </w:p>
    <w:p w14:paraId="285E7241">
      <w:pPr>
        <w:tabs>
          <w:tab w:val="left" w:pos="701"/>
        </w:tabs>
        <w:jc w:val="left"/>
        <w:rPr>
          <w:rFonts w:hint="eastAsia"/>
          <w:i w:val="0"/>
          <w:iCs w:val="0"/>
          <w:color w:val="auto"/>
          <w:sz w:val="21"/>
          <w:highlight w:val="none"/>
          <w:lang w:val="en-US" w:eastAsia="zh-CN" w:bidi="ar-SA"/>
        </w:rPr>
      </w:pPr>
    </w:p>
    <w:p w14:paraId="770B735C">
      <w:pPr>
        <w:tabs>
          <w:tab w:val="left" w:pos="701"/>
        </w:tabs>
        <w:jc w:val="left"/>
        <w:rPr>
          <w:rFonts w:hint="eastAsia"/>
          <w:i w:val="0"/>
          <w:iCs w:val="0"/>
          <w:color w:val="auto"/>
          <w:sz w:val="21"/>
          <w:highlight w:val="none"/>
          <w:lang w:val="en-US" w:eastAsia="zh-CN" w:bidi="ar-SA"/>
        </w:rPr>
      </w:pPr>
    </w:p>
    <w:p w14:paraId="79D37DE8">
      <w:pPr>
        <w:tabs>
          <w:tab w:val="left" w:pos="701"/>
        </w:tabs>
        <w:jc w:val="left"/>
        <w:rPr>
          <w:rFonts w:hint="eastAsia"/>
          <w:i w:val="0"/>
          <w:iCs w:val="0"/>
          <w:color w:val="auto"/>
          <w:sz w:val="21"/>
          <w:highlight w:val="none"/>
          <w:lang w:val="en-US" w:eastAsia="zh-CN" w:bidi="ar-SA"/>
        </w:rPr>
      </w:pPr>
    </w:p>
    <w:p w14:paraId="26AD6E4A">
      <w:pPr>
        <w:spacing w:line="360" w:lineRule="auto"/>
        <w:rPr>
          <w:rFonts w:hint="eastAsia"/>
          <w:b/>
          <w:i w:val="0"/>
          <w:iCs w:val="0"/>
          <w:color w:val="auto"/>
          <w:sz w:val="30"/>
          <w:szCs w:val="30"/>
          <w:highlight w:val="none"/>
        </w:rPr>
      </w:pPr>
      <w:r>
        <w:rPr>
          <w:rFonts w:hint="eastAsia"/>
          <w:b/>
          <w:i w:val="0"/>
          <w:iCs w:val="0"/>
          <w:color w:val="auto"/>
          <w:sz w:val="30"/>
          <w:szCs w:val="30"/>
          <w:highlight w:val="none"/>
        </w:rPr>
        <w:t>十</w:t>
      </w:r>
      <w:r>
        <w:rPr>
          <w:rFonts w:hint="eastAsia"/>
          <w:b/>
          <w:i w:val="0"/>
          <w:iCs w:val="0"/>
          <w:color w:val="auto"/>
          <w:sz w:val="30"/>
          <w:szCs w:val="30"/>
          <w:highlight w:val="none"/>
          <w:lang w:eastAsia="zh-CN"/>
        </w:rPr>
        <w:t>一</w:t>
      </w:r>
      <w:r>
        <w:rPr>
          <w:b/>
          <w:i w:val="0"/>
          <w:iCs w:val="0"/>
          <w:color w:val="auto"/>
          <w:sz w:val="30"/>
          <w:szCs w:val="30"/>
          <w:highlight w:val="none"/>
        </w:rPr>
        <w:t>、</w:t>
      </w:r>
      <w:r>
        <w:rPr>
          <w:rFonts w:hint="eastAsia"/>
          <w:b/>
          <w:i w:val="0"/>
          <w:iCs w:val="0"/>
          <w:color w:val="auto"/>
          <w:sz w:val="30"/>
          <w:szCs w:val="30"/>
          <w:highlight w:val="none"/>
        </w:rPr>
        <w:t>投标偏离表（给定格式）：</w:t>
      </w:r>
    </w:p>
    <w:p w14:paraId="6DCDA1A0">
      <w:pPr>
        <w:ind w:firstLine="490"/>
        <w:jc w:val="center"/>
        <w:outlineLvl w:val="0"/>
        <w:rPr>
          <w:rFonts w:ascii="黑体" w:eastAsia="黑体"/>
          <w:bCs/>
          <w:i w:val="0"/>
          <w:iCs w:val="0"/>
          <w:color w:val="auto"/>
          <w:sz w:val="28"/>
          <w:szCs w:val="28"/>
          <w:highlight w:val="none"/>
        </w:rPr>
      </w:pPr>
    </w:p>
    <w:p w14:paraId="4DBF3337">
      <w:pPr>
        <w:ind w:firstLine="490"/>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投标偏离表</w:t>
      </w:r>
    </w:p>
    <w:p w14:paraId="130F77F5">
      <w:pPr>
        <w:spacing w:line="400" w:lineRule="exact"/>
        <w:jc w:val="center"/>
        <w:outlineLvl w:val="0"/>
        <w:rPr>
          <w:rFonts w:ascii="黑体" w:eastAsia="黑体"/>
          <w:bCs/>
          <w:i w:val="0"/>
          <w:iCs w:val="0"/>
          <w:color w:val="auto"/>
          <w:sz w:val="28"/>
          <w:szCs w:val="28"/>
          <w:highlight w:val="none"/>
        </w:rPr>
      </w:pPr>
    </w:p>
    <w:p w14:paraId="056161AA">
      <w:pPr>
        <w:spacing w:line="400" w:lineRule="exact"/>
        <w:jc w:val="center"/>
        <w:outlineLvl w:val="0"/>
        <w:rPr>
          <w:rFonts w:ascii="黑体" w:eastAsia="黑体"/>
          <w:bCs/>
          <w:i w:val="0"/>
          <w:iCs w:val="0"/>
          <w:color w:val="auto"/>
          <w:sz w:val="28"/>
          <w:szCs w:val="28"/>
          <w:highlight w:val="none"/>
        </w:rPr>
      </w:pPr>
    </w:p>
    <w:p w14:paraId="250401EC">
      <w:pPr>
        <w:spacing w:line="400" w:lineRule="exact"/>
        <w:rPr>
          <w:rFonts w:hint="eastAsia" w:ascii="黑体" w:eastAsia="黑体"/>
          <w:bCs/>
          <w:i w:val="0"/>
          <w:iCs w:val="0"/>
          <w:color w:val="auto"/>
          <w:sz w:val="24"/>
          <w:szCs w:val="24"/>
          <w:highlight w:val="none"/>
          <w:lang w:eastAsia="zh-CN"/>
        </w:rPr>
      </w:pPr>
      <w:r>
        <w:rPr>
          <w:rFonts w:hint="eastAsia" w:ascii="黑体" w:eastAsia="黑体"/>
          <w:bCs/>
          <w:i w:val="0"/>
          <w:iCs w:val="0"/>
          <w:color w:val="auto"/>
          <w:sz w:val="24"/>
          <w:szCs w:val="24"/>
          <w:highlight w:val="none"/>
        </w:rPr>
        <w:t>项目编号：</w:t>
      </w:r>
      <w:r>
        <w:rPr>
          <w:rFonts w:hint="eastAsia" w:ascii="黑体" w:eastAsia="黑体" w:cs="Times New Roman"/>
          <w:bCs/>
          <w:i w:val="0"/>
          <w:iCs w:val="0"/>
          <w:color w:val="auto"/>
          <w:sz w:val="24"/>
          <w:szCs w:val="24"/>
          <w:highlight w:val="none"/>
          <w:lang w:eastAsia="zh-CN"/>
        </w:rPr>
        <w:t>JSZC-320206-JZCG-G2026-0051</w:t>
      </w:r>
    </w:p>
    <w:tbl>
      <w:tblPr>
        <w:tblStyle w:val="31"/>
        <w:tblW w:w="9885" w:type="dxa"/>
        <w:jc w:val="center"/>
        <w:tblLayout w:type="fixed"/>
        <w:tblCellMar>
          <w:top w:w="15" w:type="dxa"/>
          <w:left w:w="15" w:type="dxa"/>
          <w:bottom w:w="0" w:type="dxa"/>
          <w:right w:w="15" w:type="dxa"/>
        </w:tblCellMar>
      </w:tblPr>
      <w:tblGrid>
        <w:gridCol w:w="1905"/>
        <w:gridCol w:w="2835"/>
        <w:gridCol w:w="2835"/>
        <w:gridCol w:w="2310"/>
      </w:tblGrid>
      <w:tr w14:paraId="11CECF62">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88EA3C5">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39913B8">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C48E1A3">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218B009">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偏离说明</w:t>
            </w:r>
          </w:p>
        </w:tc>
      </w:tr>
      <w:tr w14:paraId="6666347B">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9437794">
            <w:pPr>
              <w:jc w:val="center"/>
              <w:rPr>
                <w:rFonts w:ascii="宋体"/>
                <w:bCs/>
                <w:i w:val="0"/>
                <w:iCs w:val="0"/>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4E603EB">
            <w:pPr>
              <w:rPr>
                <w:rFonts w:ascii="宋体"/>
                <w:bCs/>
                <w:i w:val="0"/>
                <w:iCs w:val="0"/>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6311C44">
            <w:pPr>
              <w:jc w:val="center"/>
              <w:rPr>
                <w:rFonts w:ascii="宋体"/>
                <w:bCs/>
                <w:i w:val="0"/>
                <w:iCs w:val="0"/>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117FB45">
            <w:pPr>
              <w:jc w:val="center"/>
              <w:rPr>
                <w:rFonts w:ascii="宋体"/>
                <w:bCs/>
                <w:i w:val="0"/>
                <w:iCs w:val="0"/>
                <w:color w:val="auto"/>
                <w:highlight w:val="none"/>
              </w:rPr>
            </w:pPr>
          </w:p>
        </w:tc>
      </w:tr>
    </w:tbl>
    <w:p w14:paraId="5BFEF24F">
      <w:pPr>
        <w:rPr>
          <w:rFonts w:hint="eastAsia" w:ascii="宋体" w:eastAsia="黑体"/>
          <w:b/>
          <w:i w:val="0"/>
          <w:iCs w:val="0"/>
          <w:color w:val="auto"/>
          <w:sz w:val="24"/>
          <w:szCs w:val="24"/>
          <w:highlight w:val="none"/>
        </w:rPr>
      </w:pPr>
      <w:r>
        <w:rPr>
          <w:rFonts w:hint="eastAsia" w:ascii="黑体" w:eastAsia="黑体"/>
          <w:bCs/>
          <w:i w:val="0"/>
          <w:iCs w:val="0"/>
          <w:color w:val="auto"/>
          <w:sz w:val="24"/>
          <w:szCs w:val="24"/>
          <w:highlight w:val="none"/>
        </w:rPr>
        <w:t>投标人名称（盖章）：</w:t>
      </w:r>
    </w:p>
    <w:p w14:paraId="52B97D6D">
      <w:pPr>
        <w:rPr>
          <w:rFonts w:ascii="宋体"/>
          <w:bCs/>
          <w:i w:val="0"/>
          <w:iCs w:val="0"/>
          <w:color w:val="auto"/>
          <w:sz w:val="30"/>
          <w:highlight w:val="none"/>
        </w:rPr>
      </w:pPr>
    </w:p>
    <w:p w14:paraId="0E186989">
      <w:pPr>
        <w:ind w:firstLine="420"/>
        <w:outlineLvl w:val="0"/>
        <w:rPr>
          <w:rFonts w:hint="eastAsia" w:ascii="宋体" w:hAnsi="宋体"/>
          <w:bCs/>
          <w:i w:val="0"/>
          <w:iCs w:val="0"/>
          <w:color w:val="auto"/>
          <w:sz w:val="24"/>
          <w:szCs w:val="24"/>
          <w:highlight w:val="none"/>
        </w:rPr>
      </w:pPr>
    </w:p>
    <w:p w14:paraId="734E1395">
      <w:pPr>
        <w:ind w:firstLine="420"/>
        <w:outlineLvl w:val="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注：（</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）本表不得删除；</w:t>
      </w:r>
    </w:p>
    <w:p w14:paraId="29AC1156">
      <w:pPr>
        <w:ind w:firstLine="420"/>
        <w:outlineLvl w:val="0"/>
        <w:rPr>
          <w:rFonts w:ascii="宋体" w:hAnsi="宋体"/>
          <w:bCs/>
          <w:i w:val="0"/>
          <w:iCs w:val="0"/>
          <w:color w:val="auto"/>
          <w:sz w:val="24"/>
          <w:szCs w:val="24"/>
          <w:highlight w:val="none"/>
        </w:rPr>
      </w:pPr>
      <w:r>
        <w:rPr>
          <w:rFonts w:ascii="宋体" w:hAnsi="宋体"/>
          <w:bCs/>
          <w:i w:val="0"/>
          <w:iCs w:val="0"/>
          <w:color w:val="auto"/>
          <w:sz w:val="24"/>
          <w:szCs w:val="24"/>
          <w:highlight w:val="none"/>
        </w:rPr>
        <w:t xml:space="preserve">   </w:t>
      </w:r>
      <w:r>
        <w:rPr>
          <w:rFonts w:hint="eastAsia" w:ascii="宋体" w:hAnsi="宋体"/>
          <w:bCs/>
          <w:i w:val="0"/>
          <w:iCs w:val="0"/>
          <w:color w:val="auto"/>
          <w:sz w:val="24"/>
          <w:szCs w:val="24"/>
          <w:highlight w:val="none"/>
        </w:rPr>
        <w:t>（</w:t>
      </w:r>
      <w:r>
        <w:rPr>
          <w:rFonts w:ascii="宋体" w:hAnsi="宋体"/>
          <w:bCs/>
          <w:i w:val="0"/>
          <w:iCs w:val="0"/>
          <w:color w:val="auto"/>
          <w:sz w:val="24"/>
          <w:szCs w:val="24"/>
          <w:highlight w:val="none"/>
        </w:rPr>
        <w:t>2</w:t>
      </w:r>
      <w:r>
        <w:rPr>
          <w:rFonts w:hint="eastAsia" w:ascii="宋体" w:hAnsi="宋体"/>
          <w:bCs/>
          <w:i w:val="0"/>
          <w:iCs w:val="0"/>
          <w:color w:val="auto"/>
          <w:sz w:val="24"/>
          <w:szCs w:val="24"/>
          <w:highlight w:val="none"/>
        </w:rPr>
        <w:t>）如无任何服务偏离，请于本表 “偏离说明”中注明“无偏离”；</w:t>
      </w:r>
    </w:p>
    <w:p w14:paraId="5BA63CD9">
      <w:pPr>
        <w:ind w:firstLine="420"/>
        <w:outlineLvl w:val="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   （3）如有服务偏离项，请于本表中列明偏离内容，如需要可自行延长，其余无偏离内容不须赘述。</w:t>
      </w:r>
    </w:p>
    <w:sectPr>
      <w:headerReference r:id="rId4" w:type="default"/>
      <w:footerReference r:id="rId5" w:type="default"/>
      <w:footerReference r:id="rId6" w:type="even"/>
      <w:pgSz w:w="11906" w:h="16838"/>
      <w:pgMar w:top="567" w:right="851" w:bottom="567" w:left="1134" w:header="624"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楷体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Times">
    <w:altName w:val="Times New Roman"/>
    <w:panose1 w:val="020206030504050203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Book Antiqua">
    <w:panose1 w:val="02040602050305030304"/>
    <w:charset w:val="00"/>
    <w:family w:val="auto"/>
    <w:pitch w:val="default"/>
    <w:sig w:usb0="00000287" w:usb1="00000000" w:usb2="00000000" w:usb3="00000000" w:csb0="2000009F" w:csb1="DFD70000"/>
  </w:font>
  <w:font w:name="Tahoma">
    <w:panose1 w:val="020B0604030504040204"/>
    <w:charset w:val="00"/>
    <w:family w:val="auto"/>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Univers">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B4951">
    <w:pPr>
      <w:pStyle w:val="19"/>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A04908">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3A04908">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45467">
    <w:pPr>
      <w:pStyle w:val="21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5AF11A8">
                          <w:pPr>
                            <w:pStyle w:val="214"/>
                            <w:jc w:val="center"/>
                          </w:pPr>
                          <w:r>
                            <w:fldChar w:fldCharType="begin"/>
                          </w:r>
                          <w:r>
                            <w:instrText xml:space="preserve">PAGE   \* MERGEFORMAT</w:instrText>
                          </w:r>
                          <w:r>
                            <w:fldChar w:fldCharType="separate"/>
                          </w:r>
                          <w:r>
                            <w:rPr>
                              <w:lang w:val="zh-CN"/>
                            </w:rP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14:paraId="15AF11A8">
                    <w:pPr>
                      <w:pStyle w:val="214"/>
                      <w:jc w:val="center"/>
                    </w:pPr>
                    <w:r>
                      <w:fldChar w:fldCharType="begin"/>
                    </w:r>
                    <w:r>
                      <w:instrText xml:space="preserve">PAGE   \* MERGEFORMAT</w:instrText>
                    </w:r>
                    <w:r>
                      <w:fldChar w:fldCharType="separate"/>
                    </w:r>
                    <w:r>
                      <w:rPr>
                        <w:lang w:val="zh-CN"/>
                      </w:rPr>
                      <w:t>33</w:t>
                    </w:r>
                    <w:r>
                      <w:fldChar w:fldCharType="end"/>
                    </w:r>
                  </w:p>
                </w:txbxContent>
              </v:textbox>
            </v:shape>
          </w:pict>
        </mc:Fallback>
      </mc:AlternateContent>
    </w:r>
  </w:p>
  <w:p w14:paraId="4D3B124B">
    <w:pPr>
      <w:pStyle w:val="214"/>
      <w:jc w:val="center"/>
    </w:pPr>
  </w:p>
  <w:p w14:paraId="2B9CD0F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050C0">
    <w:pPr>
      <w:pStyle w:val="214"/>
      <w:framePr w:wrap="around" w:vAnchor="text" w:hAnchor="margin" w:xAlign="center" w:y="1"/>
      <w:rPr>
        <w:rStyle w:val="234"/>
      </w:rPr>
    </w:pPr>
    <w:r>
      <w:fldChar w:fldCharType="begin"/>
    </w:r>
    <w:r>
      <w:rPr>
        <w:rStyle w:val="234"/>
      </w:rPr>
      <w:instrText xml:space="preserve">PAGE  </w:instrText>
    </w:r>
    <w:r>
      <w:fldChar w:fldCharType="separate"/>
    </w:r>
    <w:r>
      <w:rPr>
        <w:rStyle w:val="234"/>
      </w:rPr>
      <w:t>1</w:t>
    </w:r>
    <w:r>
      <w:fldChar w:fldCharType="end"/>
    </w:r>
  </w:p>
  <w:p w14:paraId="785A3C7B">
    <w:pPr>
      <w:pStyle w:val="214"/>
      <w:ind w:right="360"/>
    </w:pPr>
  </w:p>
  <w:p w14:paraId="26B0B9DF"/>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FEADA">
    <w:pPr>
      <w:pStyle w:val="216"/>
      <w:jc w:val="left"/>
    </w:pPr>
    <w:r>
      <w:rPr>
        <w:rFonts w:hint="eastAsia" w:ascii="方正小标宋_GBK" w:hAnsi="华文中宋" w:eastAsia="方正小标宋_GBK"/>
        <w:bCs/>
        <w:szCs w:val="21"/>
        <w:lang w:eastAsia="zh-CN"/>
      </w:rPr>
      <w:t>JSZC-320206-JZCG-G2026-0051</w:t>
    </w:r>
    <w:r>
      <w:rPr>
        <w:rFonts w:hint="eastAsia" w:ascii="方正小标宋_GBK" w:hAnsi="华文中宋" w:eastAsia="方正小标宋_GBK" w:cs="Times New Roman"/>
        <w:bCs/>
        <w:szCs w:val="21"/>
        <w:lang w:eastAsia="zh-CN"/>
      </w:rPr>
      <w:t>石塘湾消防站智能化专项采购项目</w:t>
    </w:r>
    <w:r>
      <w:rPr>
        <w:rFonts w:hint="eastAsia" w:ascii="方正小标宋_GBK" w:hAnsi="华文中宋" w:eastAsia="方正小标宋_GBK" w:cs="Times New Roman"/>
        <w:bCs/>
        <w:szCs w:val="21"/>
        <w:lang w:val="en-US" w:eastAsia="zh-CN"/>
      </w:rPr>
      <w:t xml:space="preserve">                                         </w:t>
    </w:r>
    <w:r>
      <w:rPr>
        <w:rFonts w:hint="eastAsia" w:eastAsia="方正小标宋_GBK"/>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ind w:left="840" w:hanging="360"/>
      </w:pPr>
      <w:rPr>
        <w:color w:val="000000"/>
      </w:rPr>
    </w:lvl>
    <w:lvl w:ilvl="1" w:tentative="0">
      <w:start w:val="1"/>
      <w:numFmt w:val="lowerLetter"/>
      <w:pStyle w:val="355"/>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C8879AEF"/>
    <w:multiLevelType w:val="multilevel"/>
    <w:tmpl w:val="C8879AEF"/>
    <w:lvl w:ilvl="0" w:tentative="0">
      <w:start w:val="1"/>
      <w:numFmt w:val="japaneseCounting"/>
      <w:suff w:val="nothing"/>
      <w:lvlText w:val="%1、"/>
      <w:lvlJc w:val="left"/>
      <w:pPr>
        <w:ind w:left="450" w:hanging="450"/>
      </w:pPr>
      <w:rPr>
        <w:rFonts w:hint="eastAsia"/>
        <w:b/>
        <w:bCs w:val="0"/>
        <w:color w:val="auto"/>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3">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4">
    <w:nsid w:val="0053208E"/>
    <w:multiLevelType w:val="multilevel"/>
    <w:tmpl w:val="0053208E"/>
    <w:lvl w:ilvl="0" w:tentative="0">
      <w:start w:val="1"/>
      <w:numFmt w:val="upperLetter"/>
      <w:pStyle w:val="190"/>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248C179"/>
    <w:multiLevelType w:val="multilevel"/>
    <w:tmpl w:val="0248C179"/>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lvlOverride w:ilvl="0">
      <w:lvl w:ilvl="0" w:tentative="1">
        <w:start w:val="1"/>
        <w:numFmt w:val="decimal"/>
        <w:pStyle w:val="321"/>
        <w:lvlText w:val="第%1章"/>
        <w:lvlJc w:val="left"/>
        <w:pPr>
          <w:ind w:left="465" w:hanging="465"/>
        </w:pPr>
      </w:lvl>
    </w:lvlOverride>
    <w:lvlOverride w:ilvl="1">
      <w:lvl w:ilvl="1" w:tentative="1">
        <w:start w:val="1"/>
        <w:numFmt w:val="decimal"/>
        <w:pStyle w:val="283"/>
        <w:lvlText w:val="%1.%2"/>
        <w:lvlJc w:val="left"/>
        <w:pPr>
          <w:ind w:left="465" w:hanging="465"/>
        </w:pPr>
      </w:lvl>
    </w:lvlOverride>
    <w:lvlOverride w:ilvl="2">
      <w:lvl w:ilvl="2" w:tentative="1">
        <w:start w:val="1"/>
        <w:numFmt w:val="decimal"/>
        <w:pStyle w:val="322"/>
        <w:lvlText w:val="%1.%2.%3"/>
        <w:lvlJc w:val="left"/>
        <w:pPr>
          <w:ind w:left="720" w:hanging="720"/>
        </w:pPr>
      </w:lvl>
    </w:lvlOverride>
    <w:lvlOverride w:ilvl="3">
      <w:lvl w:ilvl="3" w:tentative="1">
        <w:start w:val="1"/>
        <w:numFmt w:val="decimal"/>
        <w:pStyle w:val="285"/>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1942"/>
    <w:rsid w:val="00110543"/>
    <w:rsid w:val="00496DA9"/>
    <w:rsid w:val="004A3368"/>
    <w:rsid w:val="00535E7A"/>
    <w:rsid w:val="008D484F"/>
    <w:rsid w:val="00C14B91"/>
    <w:rsid w:val="00E46AD2"/>
    <w:rsid w:val="00E61F93"/>
    <w:rsid w:val="01017684"/>
    <w:rsid w:val="01115B19"/>
    <w:rsid w:val="014D4677"/>
    <w:rsid w:val="0159126E"/>
    <w:rsid w:val="016C71F3"/>
    <w:rsid w:val="016F283F"/>
    <w:rsid w:val="01AB7E6D"/>
    <w:rsid w:val="01DD71EC"/>
    <w:rsid w:val="01F40D1D"/>
    <w:rsid w:val="021B576C"/>
    <w:rsid w:val="024E1CE8"/>
    <w:rsid w:val="0252098B"/>
    <w:rsid w:val="025D7143"/>
    <w:rsid w:val="027F4D04"/>
    <w:rsid w:val="02875474"/>
    <w:rsid w:val="02897931"/>
    <w:rsid w:val="029403CC"/>
    <w:rsid w:val="02C80459"/>
    <w:rsid w:val="037D5D5F"/>
    <w:rsid w:val="03DD6186"/>
    <w:rsid w:val="03EF2E9E"/>
    <w:rsid w:val="03F1578E"/>
    <w:rsid w:val="04043713"/>
    <w:rsid w:val="043F347F"/>
    <w:rsid w:val="04836CFC"/>
    <w:rsid w:val="049C1B9D"/>
    <w:rsid w:val="04CB2483"/>
    <w:rsid w:val="04D27A5A"/>
    <w:rsid w:val="04D37589"/>
    <w:rsid w:val="0508013B"/>
    <w:rsid w:val="05154177"/>
    <w:rsid w:val="05544226"/>
    <w:rsid w:val="05552983"/>
    <w:rsid w:val="05572184"/>
    <w:rsid w:val="055B49B5"/>
    <w:rsid w:val="05940E2A"/>
    <w:rsid w:val="05964DD0"/>
    <w:rsid w:val="05AC22B4"/>
    <w:rsid w:val="05D53C72"/>
    <w:rsid w:val="05DD246D"/>
    <w:rsid w:val="05F35877"/>
    <w:rsid w:val="061D1A01"/>
    <w:rsid w:val="064F49ED"/>
    <w:rsid w:val="06523C1B"/>
    <w:rsid w:val="065E7482"/>
    <w:rsid w:val="068C79F0"/>
    <w:rsid w:val="06900B3E"/>
    <w:rsid w:val="06CB3E2B"/>
    <w:rsid w:val="071E2D3E"/>
    <w:rsid w:val="0752156E"/>
    <w:rsid w:val="079E77B6"/>
    <w:rsid w:val="07DE071F"/>
    <w:rsid w:val="07E95AC0"/>
    <w:rsid w:val="081B3D75"/>
    <w:rsid w:val="08E458C1"/>
    <w:rsid w:val="09434CDD"/>
    <w:rsid w:val="09554A11"/>
    <w:rsid w:val="0985741A"/>
    <w:rsid w:val="09AB4631"/>
    <w:rsid w:val="0A03310D"/>
    <w:rsid w:val="0A8868ED"/>
    <w:rsid w:val="0ABF2726"/>
    <w:rsid w:val="0AEB73DB"/>
    <w:rsid w:val="0B293A5F"/>
    <w:rsid w:val="0B3D575C"/>
    <w:rsid w:val="0B4E71F6"/>
    <w:rsid w:val="0B662015"/>
    <w:rsid w:val="0B6F5085"/>
    <w:rsid w:val="0B721CF9"/>
    <w:rsid w:val="0B7C44D7"/>
    <w:rsid w:val="0B7D4251"/>
    <w:rsid w:val="0BBC0D77"/>
    <w:rsid w:val="0BDE31B1"/>
    <w:rsid w:val="0C1E558E"/>
    <w:rsid w:val="0C7041F5"/>
    <w:rsid w:val="0C7D22B4"/>
    <w:rsid w:val="0C9615C8"/>
    <w:rsid w:val="0CA17E5F"/>
    <w:rsid w:val="0CC066D9"/>
    <w:rsid w:val="0CD30126"/>
    <w:rsid w:val="0CEA36C2"/>
    <w:rsid w:val="0CF05857"/>
    <w:rsid w:val="0D004C93"/>
    <w:rsid w:val="0D0B5F08"/>
    <w:rsid w:val="0D9755F8"/>
    <w:rsid w:val="0DEC0AFE"/>
    <w:rsid w:val="0DEE3D1F"/>
    <w:rsid w:val="0E010CC3"/>
    <w:rsid w:val="0E572FD9"/>
    <w:rsid w:val="0E664FCA"/>
    <w:rsid w:val="0E707BF7"/>
    <w:rsid w:val="0E821359"/>
    <w:rsid w:val="0EB67D00"/>
    <w:rsid w:val="0EED229A"/>
    <w:rsid w:val="0F184C1B"/>
    <w:rsid w:val="0F207E9C"/>
    <w:rsid w:val="0F421593"/>
    <w:rsid w:val="0F6A1243"/>
    <w:rsid w:val="0F706100"/>
    <w:rsid w:val="0F7D081D"/>
    <w:rsid w:val="0F884C20"/>
    <w:rsid w:val="0F8C0A60"/>
    <w:rsid w:val="0FC52D16"/>
    <w:rsid w:val="0FD2073D"/>
    <w:rsid w:val="0FF94348"/>
    <w:rsid w:val="10390BE8"/>
    <w:rsid w:val="106317C1"/>
    <w:rsid w:val="10635C65"/>
    <w:rsid w:val="10AA3894"/>
    <w:rsid w:val="10B8333F"/>
    <w:rsid w:val="10C3028B"/>
    <w:rsid w:val="10C304B2"/>
    <w:rsid w:val="10DB6F0E"/>
    <w:rsid w:val="10E741A0"/>
    <w:rsid w:val="10EA5F52"/>
    <w:rsid w:val="10FE2C78"/>
    <w:rsid w:val="11036B0A"/>
    <w:rsid w:val="110411F6"/>
    <w:rsid w:val="11056D1C"/>
    <w:rsid w:val="111B02EE"/>
    <w:rsid w:val="112A22DF"/>
    <w:rsid w:val="117A5014"/>
    <w:rsid w:val="11FC3C7B"/>
    <w:rsid w:val="122D6FB1"/>
    <w:rsid w:val="123258EF"/>
    <w:rsid w:val="126A3816"/>
    <w:rsid w:val="12E45511"/>
    <w:rsid w:val="13370C17"/>
    <w:rsid w:val="1362330B"/>
    <w:rsid w:val="13B62550"/>
    <w:rsid w:val="13C72A25"/>
    <w:rsid w:val="13E64BE3"/>
    <w:rsid w:val="13E9022F"/>
    <w:rsid w:val="13F14EFC"/>
    <w:rsid w:val="141334FE"/>
    <w:rsid w:val="14290F74"/>
    <w:rsid w:val="142B4CEC"/>
    <w:rsid w:val="14731F34"/>
    <w:rsid w:val="147E4E1C"/>
    <w:rsid w:val="14857D56"/>
    <w:rsid w:val="14C67113"/>
    <w:rsid w:val="14D0319D"/>
    <w:rsid w:val="14E11AFE"/>
    <w:rsid w:val="14E153AA"/>
    <w:rsid w:val="14F0383F"/>
    <w:rsid w:val="14F36F5F"/>
    <w:rsid w:val="15080B89"/>
    <w:rsid w:val="154712A7"/>
    <w:rsid w:val="154F67B8"/>
    <w:rsid w:val="156D4E90"/>
    <w:rsid w:val="15853F88"/>
    <w:rsid w:val="15A51F1D"/>
    <w:rsid w:val="15A85BD2"/>
    <w:rsid w:val="15EB4733"/>
    <w:rsid w:val="168C3D3A"/>
    <w:rsid w:val="16B26FFE"/>
    <w:rsid w:val="16BE2A62"/>
    <w:rsid w:val="16D76A65"/>
    <w:rsid w:val="16E318AE"/>
    <w:rsid w:val="16E66CA8"/>
    <w:rsid w:val="172577D0"/>
    <w:rsid w:val="173B3498"/>
    <w:rsid w:val="1763479D"/>
    <w:rsid w:val="17840AC6"/>
    <w:rsid w:val="17BB1EE3"/>
    <w:rsid w:val="17C90AA4"/>
    <w:rsid w:val="17F959B3"/>
    <w:rsid w:val="18245CDA"/>
    <w:rsid w:val="18673E19"/>
    <w:rsid w:val="18A92683"/>
    <w:rsid w:val="18B03138"/>
    <w:rsid w:val="190B50EC"/>
    <w:rsid w:val="190B692E"/>
    <w:rsid w:val="193058E6"/>
    <w:rsid w:val="19502AFF"/>
    <w:rsid w:val="19AD2CC7"/>
    <w:rsid w:val="1A2F1077"/>
    <w:rsid w:val="1A304E0A"/>
    <w:rsid w:val="1A58610F"/>
    <w:rsid w:val="1A5959E3"/>
    <w:rsid w:val="1A96036F"/>
    <w:rsid w:val="1ABC669E"/>
    <w:rsid w:val="1B040045"/>
    <w:rsid w:val="1B065B6B"/>
    <w:rsid w:val="1B1464DA"/>
    <w:rsid w:val="1B1C70FB"/>
    <w:rsid w:val="1B4F57C2"/>
    <w:rsid w:val="1B502A2B"/>
    <w:rsid w:val="1B632FBD"/>
    <w:rsid w:val="1B7D4D0E"/>
    <w:rsid w:val="1BAA0BEC"/>
    <w:rsid w:val="1BAA7F40"/>
    <w:rsid w:val="1BD21EF1"/>
    <w:rsid w:val="1BDE2644"/>
    <w:rsid w:val="1BE37C5A"/>
    <w:rsid w:val="1BEC2FB3"/>
    <w:rsid w:val="1BF16803"/>
    <w:rsid w:val="1C4A7CD9"/>
    <w:rsid w:val="1C5648D0"/>
    <w:rsid w:val="1C5C2071"/>
    <w:rsid w:val="1C9C036D"/>
    <w:rsid w:val="1D175E0D"/>
    <w:rsid w:val="1D5726AE"/>
    <w:rsid w:val="1D5D45C4"/>
    <w:rsid w:val="1D7154E5"/>
    <w:rsid w:val="1D8A2A83"/>
    <w:rsid w:val="1DCB2BCC"/>
    <w:rsid w:val="1DE101C9"/>
    <w:rsid w:val="1E127BE4"/>
    <w:rsid w:val="1E2106D1"/>
    <w:rsid w:val="1E4E3AB1"/>
    <w:rsid w:val="1E696B3C"/>
    <w:rsid w:val="1E6F1C79"/>
    <w:rsid w:val="1E8C6387"/>
    <w:rsid w:val="1EA669B3"/>
    <w:rsid w:val="1EBF675C"/>
    <w:rsid w:val="1ED3043E"/>
    <w:rsid w:val="1ED8781E"/>
    <w:rsid w:val="1F1D16D5"/>
    <w:rsid w:val="1F226CEB"/>
    <w:rsid w:val="1F31662D"/>
    <w:rsid w:val="1F837486"/>
    <w:rsid w:val="1F86409F"/>
    <w:rsid w:val="1F8D0609"/>
    <w:rsid w:val="1FA20D6F"/>
    <w:rsid w:val="1FA90E82"/>
    <w:rsid w:val="1FC648F1"/>
    <w:rsid w:val="202D5948"/>
    <w:rsid w:val="202F16C0"/>
    <w:rsid w:val="2100305C"/>
    <w:rsid w:val="211441B8"/>
    <w:rsid w:val="21333432"/>
    <w:rsid w:val="21426EE8"/>
    <w:rsid w:val="216C57F6"/>
    <w:rsid w:val="217A4BBD"/>
    <w:rsid w:val="219A4027"/>
    <w:rsid w:val="21EE732A"/>
    <w:rsid w:val="21F229A5"/>
    <w:rsid w:val="224A5109"/>
    <w:rsid w:val="225B3EBB"/>
    <w:rsid w:val="225C42C2"/>
    <w:rsid w:val="228A0E2F"/>
    <w:rsid w:val="22FA4207"/>
    <w:rsid w:val="230E7CB2"/>
    <w:rsid w:val="233D2346"/>
    <w:rsid w:val="23525352"/>
    <w:rsid w:val="237613B4"/>
    <w:rsid w:val="23A128D5"/>
    <w:rsid w:val="23C16AD3"/>
    <w:rsid w:val="23C30A9D"/>
    <w:rsid w:val="23C465C3"/>
    <w:rsid w:val="240B5FA0"/>
    <w:rsid w:val="243F3E9B"/>
    <w:rsid w:val="24B14D99"/>
    <w:rsid w:val="24B44889"/>
    <w:rsid w:val="24CF521F"/>
    <w:rsid w:val="24EE0220"/>
    <w:rsid w:val="251946ED"/>
    <w:rsid w:val="253357AE"/>
    <w:rsid w:val="253D487F"/>
    <w:rsid w:val="253F23A5"/>
    <w:rsid w:val="25937F25"/>
    <w:rsid w:val="259B4D17"/>
    <w:rsid w:val="25D312AA"/>
    <w:rsid w:val="26154EB4"/>
    <w:rsid w:val="26357304"/>
    <w:rsid w:val="265A329C"/>
    <w:rsid w:val="26661BB3"/>
    <w:rsid w:val="2668592C"/>
    <w:rsid w:val="2683355D"/>
    <w:rsid w:val="268362C1"/>
    <w:rsid w:val="26E92866"/>
    <w:rsid w:val="26F70A5D"/>
    <w:rsid w:val="270A253F"/>
    <w:rsid w:val="27233601"/>
    <w:rsid w:val="278D78E5"/>
    <w:rsid w:val="27930786"/>
    <w:rsid w:val="27A504B9"/>
    <w:rsid w:val="27C070A1"/>
    <w:rsid w:val="27C60B5C"/>
    <w:rsid w:val="27DA4607"/>
    <w:rsid w:val="27E2742C"/>
    <w:rsid w:val="27E47572"/>
    <w:rsid w:val="282F380E"/>
    <w:rsid w:val="28341F69"/>
    <w:rsid w:val="289B3D96"/>
    <w:rsid w:val="28C055AB"/>
    <w:rsid w:val="28CA0B7C"/>
    <w:rsid w:val="290E2EC2"/>
    <w:rsid w:val="29387837"/>
    <w:rsid w:val="294E0E09"/>
    <w:rsid w:val="29567CBD"/>
    <w:rsid w:val="2996455E"/>
    <w:rsid w:val="29A21154"/>
    <w:rsid w:val="2A0616E3"/>
    <w:rsid w:val="2A1C442B"/>
    <w:rsid w:val="2A2E4796"/>
    <w:rsid w:val="2A3A138D"/>
    <w:rsid w:val="2A41786C"/>
    <w:rsid w:val="2A8422CE"/>
    <w:rsid w:val="2AAD6003"/>
    <w:rsid w:val="2AB949A8"/>
    <w:rsid w:val="2B033E75"/>
    <w:rsid w:val="2B1B7EB7"/>
    <w:rsid w:val="2B402F95"/>
    <w:rsid w:val="2B411449"/>
    <w:rsid w:val="2B4A5600"/>
    <w:rsid w:val="2B4C5D60"/>
    <w:rsid w:val="2BCC24B9"/>
    <w:rsid w:val="2C1D0F66"/>
    <w:rsid w:val="2C2D6D7E"/>
    <w:rsid w:val="2C482B06"/>
    <w:rsid w:val="2C5801F0"/>
    <w:rsid w:val="2C8362B3"/>
    <w:rsid w:val="2C8B0B3A"/>
    <w:rsid w:val="2D5A058E"/>
    <w:rsid w:val="2D8549C8"/>
    <w:rsid w:val="2D8D5C78"/>
    <w:rsid w:val="2DC53663"/>
    <w:rsid w:val="2DFB7085"/>
    <w:rsid w:val="2E1169DA"/>
    <w:rsid w:val="2E193CAC"/>
    <w:rsid w:val="2EB97CA5"/>
    <w:rsid w:val="2EBA484A"/>
    <w:rsid w:val="2ED71392"/>
    <w:rsid w:val="2EFA558F"/>
    <w:rsid w:val="2F6F3887"/>
    <w:rsid w:val="2F736F4A"/>
    <w:rsid w:val="2FB27C17"/>
    <w:rsid w:val="2FC11C09"/>
    <w:rsid w:val="2FC70413"/>
    <w:rsid w:val="2FCA605E"/>
    <w:rsid w:val="2FCB3C7C"/>
    <w:rsid w:val="30764BE7"/>
    <w:rsid w:val="309C0099"/>
    <w:rsid w:val="31201969"/>
    <w:rsid w:val="31230DCD"/>
    <w:rsid w:val="313A6116"/>
    <w:rsid w:val="3163566D"/>
    <w:rsid w:val="316433D0"/>
    <w:rsid w:val="318E2C8A"/>
    <w:rsid w:val="32026A50"/>
    <w:rsid w:val="327A36DA"/>
    <w:rsid w:val="32831138"/>
    <w:rsid w:val="328C234A"/>
    <w:rsid w:val="32C428D3"/>
    <w:rsid w:val="32E13866"/>
    <w:rsid w:val="330E1609"/>
    <w:rsid w:val="33310B16"/>
    <w:rsid w:val="33353039"/>
    <w:rsid w:val="333C7F24"/>
    <w:rsid w:val="335F5F3F"/>
    <w:rsid w:val="338040E8"/>
    <w:rsid w:val="338D4DAE"/>
    <w:rsid w:val="339935C8"/>
    <w:rsid w:val="33C6541B"/>
    <w:rsid w:val="33DB773D"/>
    <w:rsid w:val="33E16D1D"/>
    <w:rsid w:val="33FE342B"/>
    <w:rsid w:val="3409654F"/>
    <w:rsid w:val="34584E85"/>
    <w:rsid w:val="35466E38"/>
    <w:rsid w:val="355D6D9F"/>
    <w:rsid w:val="35B91D00"/>
    <w:rsid w:val="35E2382D"/>
    <w:rsid w:val="35F03248"/>
    <w:rsid w:val="36360D76"/>
    <w:rsid w:val="36453593"/>
    <w:rsid w:val="364A0BAA"/>
    <w:rsid w:val="36783969"/>
    <w:rsid w:val="368A369C"/>
    <w:rsid w:val="36975753"/>
    <w:rsid w:val="36B41CD5"/>
    <w:rsid w:val="371116C7"/>
    <w:rsid w:val="37217B5C"/>
    <w:rsid w:val="37287910"/>
    <w:rsid w:val="375A7329"/>
    <w:rsid w:val="378B6E72"/>
    <w:rsid w:val="37A45EE1"/>
    <w:rsid w:val="37F9067C"/>
    <w:rsid w:val="38111E79"/>
    <w:rsid w:val="382D0783"/>
    <w:rsid w:val="384A0EEA"/>
    <w:rsid w:val="388434EC"/>
    <w:rsid w:val="388D1833"/>
    <w:rsid w:val="38A10829"/>
    <w:rsid w:val="38EA6674"/>
    <w:rsid w:val="38F372D7"/>
    <w:rsid w:val="391159AF"/>
    <w:rsid w:val="3925145A"/>
    <w:rsid w:val="393125F0"/>
    <w:rsid w:val="399975EE"/>
    <w:rsid w:val="39A86313"/>
    <w:rsid w:val="3A211C22"/>
    <w:rsid w:val="3A80103E"/>
    <w:rsid w:val="3A86417A"/>
    <w:rsid w:val="3AAB3F75"/>
    <w:rsid w:val="3AD722D6"/>
    <w:rsid w:val="3AE80991"/>
    <w:rsid w:val="3B0532F1"/>
    <w:rsid w:val="3B1B6E04"/>
    <w:rsid w:val="3B295232"/>
    <w:rsid w:val="3B3E6803"/>
    <w:rsid w:val="3B6C15C2"/>
    <w:rsid w:val="3B862684"/>
    <w:rsid w:val="3BAA5C47"/>
    <w:rsid w:val="3BAB1079"/>
    <w:rsid w:val="3BC8595D"/>
    <w:rsid w:val="3BD76CB6"/>
    <w:rsid w:val="3BE0777E"/>
    <w:rsid w:val="3BE253E0"/>
    <w:rsid w:val="3C2679C3"/>
    <w:rsid w:val="3C3975B5"/>
    <w:rsid w:val="3C930C13"/>
    <w:rsid w:val="3CD60753"/>
    <w:rsid w:val="3CFC0724"/>
    <w:rsid w:val="3D13665C"/>
    <w:rsid w:val="3D250CA1"/>
    <w:rsid w:val="3D314871"/>
    <w:rsid w:val="3D6907A7"/>
    <w:rsid w:val="3DC53153"/>
    <w:rsid w:val="3E4405D4"/>
    <w:rsid w:val="3E693B97"/>
    <w:rsid w:val="3E7003FD"/>
    <w:rsid w:val="3EAD2DD1"/>
    <w:rsid w:val="3EB10138"/>
    <w:rsid w:val="3EC040FF"/>
    <w:rsid w:val="3F3C4ABD"/>
    <w:rsid w:val="3F52287D"/>
    <w:rsid w:val="3F6E3B5B"/>
    <w:rsid w:val="3F7647BE"/>
    <w:rsid w:val="3F854A01"/>
    <w:rsid w:val="3F982986"/>
    <w:rsid w:val="3FAF7CCF"/>
    <w:rsid w:val="3FDE56EE"/>
    <w:rsid w:val="40104C12"/>
    <w:rsid w:val="406D5BC1"/>
    <w:rsid w:val="409018AF"/>
    <w:rsid w:val="40C00DC8"/>
    <w:rsid w:val="40E56788"/>
    <w:rsid w:val="413C4872"/>
    <w:rsid w:val="418E5503"/>
    <w:rsid w:val="41A03D74"/>
    <w:rsid w:val="41AA69A0"/>
    <w:rsid w:val="41AF6737"/>
    <w:rsid w:val="41BC5837"/>
    <w:rsid w:val="42935686"/>
    <w:rsid w:val="42B50A7D"/>
    <w:rsid w:val="43087E22"/>
    <w:rsid w:val="433B01F8"/>
    <w:rsid w:val="4345316E"/>
    <w:rsid w:val="43455072"/>
    <w:rsid w:val="435629F7"/>
    <w:rsid w:val="43930B00"/>
    <w:rsid w:val="43D321DE"/>
    <w:rsid w:val="43D441A9"/>
    <w:rsid w:val="43E477E4"/>
    <w:rsid w:val="443864E5"/>
    <w:rsid w:val="443B5FD6"/>
    <w:rsid w:val="44663053"/>
    <w:rsid w:val="44894F93"/>
    <w:rsid w:val="44906321"/>
    <w:rsid w:val="44A228C8"/>
    <w:rsid w:val="44A678F3"/>
    <w:rsid w:val="44F3065E"/>
    <w:rsid w:val="450F2741"/>
    <w:rsid w:val="452E517F"/>
    <w:rsid w:val="453A0573"/>
    <w:rsid w:val="4598072C"/>
    <w:rsid w:val="459B7FA8"/>
    <w:rsid w:val="45A00D58"/>
    <w:rsid w:val="45CF69D6"/>
    <w:rsid w:val="45DB7806"/>
    <w:rsid w:val="45E43797"/>
    <w:rsid w:val="45E71F71"/>
    <w:rsid w:val="464473C4"/>
    <w:rsid w:val="464C1D11"/>
    <w:rsid w:val="465A44EE"/>
    <w:rsid w:val="465F41FD"/>
    <w:rsid w:val="4698326B"/>
    <w:rsid w:val="46A3677D"/>
    <w:rsid w:val="46BA58D8"/>
    <w:rsid w:val="46BC4A78"/>
    <w:rsid w:val="46C8055E"/>
    <w:rsid w:val="47024B89"/>
    <w:rsid w:val="4723522B"/>
    <w:rsid w:val="477E47F0"/>
    <w:rsid w:val="479A7464"/>
    <w:rsid w:val="47C22C96"/>
    <w:rsid w:val="487B4BF3"/>
    <w:rsid w:val="48981C49"/>
    <w:rsid w:val="48D55B16"/>
    <w:rsid w:val="48E56510"/>
    <w:rsid w:val="48F609CD"/>
    <w:rsid w:val="492E50F9"/>
    <w:rsid w:val="496A2D5C"/>
    <w:rsid w:val="49C64593"/>
    <w:rsid w:val="49E862B8"/>
    <w:rsid w:val="49EF6445"/>
    <w:rsid w:val="49F41101"/>
    <w:rsid w:val="4A311421"/>
    <w:rsid w:val="4A4554B8"/>
    <w:rsid w:val="4A673681"/>
    <w:rsid w:val="4A705397"/>
    <w:rsid w:val="4A742241"/>
    <w:rsid w:val="4A834233"/>
    <w:rsid w:val="4AA14387"/>
    <w:rsid w:val="4AC705C3"/>
    <w:rsid w:val="4AC97E97"/>
    <w:rsid w:val="4ACB00B3"/>
    <w:rsid w:val="4ADA20A4"/>
    <w:rsid w:val="4AF40715"/>
    <w:rsid w:val="4B1749BC"/>
    <w:rsid w:val="4B17661E"/>
    <w:rsid w:val="4B75139B"/>
    <w:rsid w:val="4B95421D"/>
    <w:rsid w:val="4BDB0077"/>
    <w:rsid w:val="4BDC3BFA"/>
    <w:rsid w:val="4C03387D"/>
    <w:rsid w:val="4C5C3B7C"/>
    <w:rsid w:val="4C64086E"/>
    <w:rsid w:val="4C8A18A8"/>
    <w:rsid w:val="4C8D3147"/>
    <w:rsid w:val="4CA8697D"/>
    <w:rsid w:val="4CB22BAD"/>
    <w:rsid w:val="4CE511D4"/>
    <w:rsid w:val="4CE94821"/>
    <w:rsid w:val="4CF02261"/>
    <w:rsid w:val="4D1675E0"/>
    <w:rsid w:val="4D40640B"/>
    <w:rsid w:val="4D97427D"/>
    <w:rsid w:val="4D9A1FBF"/>
    <w:rsid w:val="4DCE1CDC"/>
    <w:rsid w:val="4DCE3A17"/>
    <w:rsid w:val="4E0336C0"/>
    <w:rsid w:val="4E571C5E"/>
    <w:rsid w:val="4E690324"/>
    <w:rsid w:val="4EA50C1B"/>
    <w:rsid w:val="4EBB043F"/>
    <w:rsid w:val="4EC8490A"/>
    <w:rsid w:val="4ED137BE"/>
    <w:rsid w:val="4EFB083B"/>
    <w:rsid w:val="4F164ECB"/>
    <w:rsid w:val="4F18387B"/>
    <w:rsid w:val="4F251D5C"/>
    <w:rsid w:val="4F3124AF"/>
    <w:rsid w:val="4F3501F1"/>
    <w:rsid w:val="4F642DD4"/>
    <w:rsid w:val="4F6B3C13"/>
    <w:rsid w:val="4F8847C5"/>
    <w:rsid w:val="4FB01626"/>
    <w:rsid w:val="4FDD2FC7"/>
    <w:rsid w:val="4FDF2564"/>
    <w:rsid w:val="4FE77820"/>
    <w:rsid w:val="50046EE9"/>
    <w:rsid w:val="5008608D"/>
    <w:rsid w:val="5011165E"/>
    <w:rsid w:val="501C27D5"/>
    <w:rsid w:val="50560C35"/>
    <w:rsid w:val="507702EA"/>
    <w:rsid w:val="507F7220"/>
    <w:rsid w:val="5086682B"/>
    <w:rsid w:val="508825A3"/>
    <w:rsid w:val="50C07F8E"/>
    <w:rsid w:val="50CA384D"/>
    <w:rsid w:val="50E53551"/>
    <w:rsid w:val="511F0CCF"/>
    <w:rsid w:val="51735001"/>
    <w:rsid w:val="51826FF2"/>
    <w:rsid w:val="518D173F"/>
    <w:rsid w:val="51AD7AEB"/>
    <w:rsid w:val="51F63F1B"/>
    <w:rsid w:val="521A547C"/>
    <w:rsid w:val="52291BFB"/>
    <w:rsid w:val="52792E56"/>
    <w:rsid w:val="528D3EA0"/>
    <w:rsid w:val="52BC67CA"/>
    <w:rsid w:val="52CF1AED"/>
    <w:rsid w:val="52EB0BC7"/>
    <w:rsid w:val="52FB52AE"/>
    <w:rsid w:val="52FE4D9E"/>
    <w:rsid w:val="533308FD"/>
    <w:rsid w:val="537B1F4B"/>
    <w:rsid w:val="538E7ED0"/>
    <w:rsid w:val="53C25DCC"/>
    <w:rsid w:val="53E144A4"/>
    <w:rsid w:val="540957A8"/>
    <w:rsid w:val="5422686A"/>
    <w:rsid w:val="54467240"/>
    <w:rsid w:val="54870688"/>
    <w:rsid w:val="552A59D6"/>
    <w:rsid w:val="55344AA7"/>
    <w:rsid w:val="553E52D5"/>
    <w:rsid w:val="554B7562"/>
    <w:rsid w:val="55686E01"/>
    <w:rsid w:val="556C5FEF"/>
    <w:rsid w:val="55D343BA"/>
    <w:rsid w:val="56026953"/>
    <w:rsid w:val="562C39D0"/>
    <w:rsid w:val="5646208C"/>
    <w:rsid w:val="567B169F"/>
    <w:rsid w:val="568B6721"/>
    <w:rsid w:val="568E6439"/>
    <w:rsid w:val="569021B1"/>
    <w:rsid w:val="56DB78D0"/>
    <w:rsid w:val="56E83D18"/>
    <w:rsid w:val="570F43DF"/>
    <w:rsid w:val="57212E09"/>
    <w:rsid w:val="5749020C"/>
    <w:rsid w:val="576D24F2"/>
    <w:rsid w:val="57715B3F"/>
    <w:rsid w:val="57776ECD"/>
    <w:rsid w:val="57810B57"/>
    <w:rsid w:val="578E4942"/>
    <w:rsid w:val="57A31178"/>
    <w:rsid w:val="57CF21EA"/>
    <w:rsid w:val="58192A45"/>
    <w:rsid w:val="582F1556"/>
    <w:rsid w:val="588C69A8"/>
    <w:rsid w:val="58BA08D1"/>
    <w:rsid w:val="59162714"/>
    <w:rsid w:val="59172716"/>
    <w:rsid w:val="591B0458"/>
    <w:rsid w:val="59205A6E"/>
    <w:rsid w:val="594E53E5"/>
    <w:rsid w:val="596F4300"/>
    <w:rsid w:val="5983355E"/>
    <w:rsid w:val="59EE791A"/>
    <w:rsid w:val="5A0F3B18"/>
    <w:rsid w:val="5A776714"/>
    <w:rsid w:val="5AAF563E"/>
    <w:rsid w:val="5ADD24CF"/>
    <w:rsid w:val="5B35379B"/>
    <w:rsid w:val="5B7F09C0"/>
    <w:rsid w:val="5BBE50CA"/>
    <w:rsid w:val="5BD26DC8"/>
    <w:rsid w:val="5BEA6599"/>
    <w:rsid w:val="5C321615"/>
    <w:rsid w:val="5C3E620B"/>
    <w:rsid w:val="5C471564"/>
    <w:rsid w:val="5C62639E"/>
    <w:rsid w:val="5C66635B"/>
    <w:rsid w:val="5C6E0BD2"/>
    <w:rsid w:val="5C990449"/>
    <w:rsid w:val="5CA40764"/>
    <w:rsid w:val="5CDF79EE"/>
    <w:rsid w:val="5D1C1A5D"/>
    <w:rsid w:val="5DF11787"/>
    <w:rsid w:val="5E231B5D"/>
    <w:rsid w:val="5E3653EC"/>
    <w:rsid w:val="5E483371"/>
    <w:rsid w:val="5E4F2952"/>
    <w:rsid w:val="5E5227B4"/>
    <w:rsid w:val="5F1F40D2"/>
    <w:rsid w:val="5F8D1984"/>
    <w:rsid w:val="5FA01F9D"/>
    <w:rsid w:val="5FAB005C"/>
    <w:rsid w:val="5FB0066B"/>
    <w:rsid w:val="6028645B"/>
    <w:rsid w:val="602A71D2"/>
    <w:rsid w:val="603E2C7E"/>
    <w:rsid w:val="604375DA"/>
    <w:rsid w:val="604A33D1"/>
    <w:rsid w:val="606C1599"/>
    <w:rsid w:val="606D1789"/>
    <w:rsid w:val="608250F0"/>
    <w:rsid w:val="60A30D33"/>
    <w:rsid w:val="60C863F4"/>
    <w:rsid w:val="60CF1B28"/>
    <w:rsid w:val="60F8107F"/>
    <w:rsid w:val="61047A23"/>
    <w:rsid w:val="611814CD"/>
    <w:rsid w:val="611D0AE5"/>
    <w:rsid w:val="612D7A16"/>
    <w:rsid w:val="613A51F3"/>
    <w:rsid w:val="61775A1A"/>
    <w:rsid w:val="61815EAF"/>
    <w:rsid w:val="61F53810"/>
    <w:rsid w:val="626253CB"/>
    <w:rsid w:val="62643A48"/>
    <w:rsid w:val="626D33A6"/>
    <w:rsid w:val="62D358FF"/>
    <w:rsid w:val="62E80825"/>
    <w:rsid w:val="62ED08B8"/>
    <w:rsid w:val="63100901"/>
    <w:rsid w:val="63110A8B"/>
    <w:rsid w:val="6325060A"/>
    <w:rsid w:val="632B573B"/>
    <w:rsid w:val="633E4315"/>
    <w:rsid w:val="636E1A6D"/>
    <w:rsid w:val="638E56DB"/>
    <w:rsid w:val="639D5F0D"/>
    <w:rsid w:val="63E15DFA"/>
    <w:rsid w:val="63E53BC8"/>
    <w:rsid w:val="63EB73BE"/>
    <w:rsid w:val="63F64AF7"/>
    <w:rsid w:val="641E0DFC"/>
    <w:rsid w:val="643C5726"/>
    <w:rsid w:val="647B624F"/>
    <w:rsid w:val="64DE67DD"/>
    <w:rsid w:val="64F81CAE"/>
    <w:rsid w:val="65053D6A"/>
    <w:rsid w:val="65055B18"/>
    <w:rsid w:val="653E102A"/>
    <w:rsid w:val="6562740E"/>
    <w:rsid w:val="65702E88"/>
    <w:rsid w:val="65B062FF"/>
    <w:rsid w:val="65FA13F5"/>
    <w:rsid w:val="6600448F"/>
    <w:rsid w:val="66091638"/>
    <w:rsid w:val="662A7F2C"/>
    <w:rsid w:val="66326DE1"/>
    <w:rsid w:val="66540B05"/>
    <w:rsid w:val="669E0B12"/>
    <w:rsid w:val="66AC6FB3"/>
    <w:rsid w:val="66AD6C48"/>
    <w:rsid w:val="66B735B4"/>
    <w:rsid w:val="66B912B0"/>
    <w:rsid w:val="66C9026B"/>
    <w:rsid w:val="66CC2D91"/>
    <w:rsid w:val="66DC5708"/>
    <w:rsid w:val="66F81DD8"/>
    <w:rsid w:val="67003A08"/>
    <w:rsid w:val="671865AC"/>
    <w:rsid w:val="673B1CC5"/>
    <w:rsid w:val="674E7C4A"/>
    <w:rsid w:val="678E44EB"/>
    <w:rsid w:val="679118E5"/>
    <w:rsid w:val="67927140"/>
    <w:rsid w:val="67C47F0C"/>
    <w:rsid w:val="67C779FD"/>
    <w:rsid w:val="680B78E9"/>
    <w:rsid w:val="68706575"/>
    <w:rsid w:val="68914EB4"/>
    <w:rsid w:val="68BB1F19"/>
    <w:rsid w:val="68DB72BC"/>
    <w:rsid w:val="69092D7D"/>
    <w:rsid w:val="693B7B3B"/>
    <w:rsid w:val="697414BE"/>
    <w:rsid w:val="699D27C3"/>
    <w:rsid w:val="69AC2A06"/>
    <w:rsid w:val="69C812BA"/>
    <w:rsid w:val="6A3550F2"/>
    <w:rsid w:val="6A452A79"/>
    <w:rsid w:val="6AA302AD"/>
    <w:rsid w:val="6AA81420"/>
    <w:rsid w:val="6AAB53B4"/>
    <w:rsid w:val="6AD40467"/>
    <w:rsid w:val="6AD404C6"/>
    <w:rsid w:val="6ADE12E5"/>
    <w:rsid w:val="6B4355EC"/>
    <w:rsid w:val="6B581098"/>
    <w:rsid w:val="6BE62939"/>
    <w:rsid w:val="6BE91CF0"/>
    <w:rsid w:val="6C027255"/>
    <w:rsid w:val="6C271DDA"/>
    <w:rsid w:val="6C2C0FD1"/>
    <w:rsid w:val="6C4C04D0"/>
    <w:rsid w:val="6C615234"/>
    <w:rsid w:val="6C692E30"/>
    <w:rsid w:val="6C726189"/>
    <w:rsid w:val="6C7C2B64"/>
    <w:rsid w:val="6CAB3449"/>
    <w:rsid w:val="6CB239D6"/>
    <w:rsid w:val="6CC22541"/>
    <w:rsid w:val="6CF22E26"/>
    <w:rsid w:val="6D071EEA"/>
    <w:rsid w:val="6D502AE7"/>
    <w:rsid w:val="6D5B6C1D"/>
    <w:rsid w:val="6D704099"/>
    <w:rsid w:val="6DA700B4"/>
    <w:rsid w:val="6DD93FE6"/>
    <w:rsid w:val="6DE22E9A"/>
    <w:rsid w:val="6DED4A0B"/>
    <w:rsid w:val="6E736A82"/>
    <w:rsid w:val="6EC62972"/>
    <w:rsid w:val="6EE36ECA"/>
    <w:rsid w:val="6EE719FA"/>
    <w:rsid w:val="6FD25146"/>
    <w:rsid w:val="70211AB5"/>
    <w:rsid w:val="70253370"/>
    <w:rsid w:val="703F2826"/>
    <w:rsid w:val="705D2CAC"/>
    <w:rsid w:val="706C2EEF"/>
    <w:rsid w:val="707A0C11"/>
    <w:rsid w:val="70A00DEB"/>
    <w:rsid w:val="70B0102E"/>
    <w:rsid w:val="70B2124A"/>
    <w:rsid w:val="715776FB"/>
    <w:rsid w:val="71915F81"/>
    <w:rsid w:val="71FA350A"/>
    <w:rsid w:val="71FB028A"/>
    <w:rsid w:val="72062ED0"/>
    <w:rsid w:val="72120104"/>
    <w:rsid w:val="72273572"/>
    <w:rsid w:val="722F7A7C"/>
    <w:rsid w:val="724D0AFE"/>
    <w:rsid w:val="7258197D"/>
    <w:rsid w:val="725B321B"/>
    <w:rsid w:val="72616B76"/>
    <w:rsid w:val="72640322"/>
    <w:rsid w:val="727073F5"/>
    <w:rsid w:val="73010267"/>
    <w:rsid w:val="730D09BA"/>
    <w:rsid w:val="731700C0"/>
    <w:rsid w:val="73185E94"/>
    <w:rsid w:val="735E7467"/>
    <w:rsid w:val="73685DD0"/>
    <w:rsid w:val="736B56E0"/>
    <w:rsid w:val="73C03C7E"/>
    <w:rsid w:val="73D34C4F"/>
    <w:rsid w:val="73E31FE5"/>
    <w:rsid w:val="73E6120B"/>
    <w:rsid w:val="73EA4857"/>
    <w:rsid w:val="73FD740F"/>
    <w:rsid w:val="74040C07"/>
    <w:rsid w:val="740C2793"/>
    <w:rsid w:val="74185FD6"/>
    <w:rsid w:val="741B5358"/>
    <w:rsid w:val="741C4C2C"/>
    <w:rsid w:val="749E3893"/>
    <w:rsid w:val="74A30C47"/>
    <w:rsid w:val="74EF5F37"/>
    <w:rsid w:val="7505733F"/>
    <w:rsid w:val="75153B55"/>
    <w:rsid w:val="75581C94"/>
    <w:rsid w:val="755C1784"/>
    <w:rsid w:val="75BF7F65"/>
    <w:rsid w:val="75CB06B8"/>
    <w:rsid w:val="75E6443D"/>
    <w:rsid w:val="75F53987"/>
    <w:rsid w:val="760659DE"/>
    <w:rsid w:val="761B33ED"/>
    <w:rsid w:val="76373F9F"/>
    <w:rsid w:val="765D7E8B"/>
    <w:rsid w:val="766308F1"/>
    <w:rsid w:val="768D6460"/>
    <w:rsid w:val="769B7323"/>
    <w:rsid w:val="76A07D97"/>
    <w:rsid w:val="771C1C9F"/>
    <w:rsid w:val="77567DA3"/>
    <w:rsid w:val="782B3690"/>
    <w:rsid w:val="790F43FB"/>
    <w:rsid w:val="7912614C"/>
    <w:rsid w:val="791D56CF"/>
    <w:rsid w:val="794519BF"/>
    <w:rsid w:val="795B7FA5"/>
    <w:rsid w:val="7975059D"/>
    <w:rsid w:val="79EF1E68"/>
    <w:rsid w:val="7A207086"/>
    <w:rsid w:val="7A266805"/>
    <w:rsid w:val="7A3E3B4E"/>
    <w:rsid w:val="7A462A03"/>
    <w:rsid w:val="7A6A4943"/>
    <w:rsid w:val="7A756E44"/>
    <w:rsid w:val="7A8F43F6"/>
    <w:rsid w:val="7AE2272C"/>
    <w:rsid w:val="7B114DBF"/>
    <w:rsid w:val="7B2E3D9A"/>
    <w:rsid w:val="7B452CBB"/>
    <w:rsid w:val="7B6F68ED"/>
    <w:rsid w:val="7B7A0BB6"/>
    <w:rsid w:val="7B83730E"/>
    <w:rsid w:val="7B875081"/>
    <w:rsid w:val="7B9A4DB4"/>
    <w:rsid w:val="7BC10593"/>
    <w:rsid w:val="7BD1532C"/>
    <w:rsid w:val="7C10780F"/>
    <w:rsid w:val="7C653614"/>
    <w:rsid w:val="7C914409"/>
    <w:rsid w:val="7CA12173"/>
    <w:rsid w:val="7CB43A32"/>
    <w:rsid w:val="7CBC56FE"/>
    <w:rsid w:val="7CEF376C"/>
    <w:rsid w:val="7CF84488"/>
    <w:rsid w:val="7D165E47"/>
    <w:rsid w:val="7D2D756F"/>
    <w:rsid w:val="7D5B6EBA"/>
    <w:rsid w:val="7D6513F2"/>
    <w:rsid w:val="7D6B2EAC"/>
    <w:rsid w:val="7D817139"/>
    <w:rsid w:val="7D8950E1"/>
    <w:rsid w:val="7D8F021D"/>
    <w:rsid w:val="7DBC2D12"/>
    <w:rsid w:val="7E2968C4"/>
    <w:rsid w:val="7E7713DD"/>
    <w:rsid w:val="7E933D3D"/>
    <w:rsid w:val="7EC01A44"/>
    <w:rsid w:val="7F231565"/>
    <w:rsid w:val="7F680BB6"/>
    <w:rsid w:val="7F6F6558"/>
    <w:rsid w:val="7F802513"/>
    <w:rsid w:val="7F8D69DE"/>
    <w:rsid w:val="7FD12B85"/>
    <w:rsid w:val="7FD37C9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82"/>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0"/>
    <w:rPr>
      <w:kern w:val="0"/>
      <w:sz w:val="20"/>
    </w:rPr>
  </w:style>
  <w:style w:type="paragraph" w:styleId="14">
    <w:name w:val="index 4"/>
    <w:basedOn w:val="1"/>
    <w:next w:val="1"/>
    <w:qFormat/>
    <w:uiPriority w:val="99"/>
    <w:pPr>
      <w:ind w:left="600" w:leftChars="600"/>
    </w:pPr>
    <w:rPr>
      <w:szCs w:val="2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4"/>
    <w:semiHidden/>
    <w:unhideWhenUsed/>
    <w:qFormat/>
    <w:uiPriority w:val="99"/>
    <w:pPr>
      <w:spacing w:after="0" w:line="240" w:lineRule="auto"/>
    </w:pPr>
    <w:rPr>
      <w:sz w:val="20"/>
    </w:rPr>
  </w:style>
  <w:style w:type="paragraph" w:styleId="19">
    <w:name w:val="footer"/>
    <w:basedOn w:val="1"/>
    <w:link w:val="57"/>
    <w:unhideWhenUsed/>
    <w:qFormat/>
    <w:uiPriority w:val="99"/>
    <w:pPr>
      <w:tabs>
        <w:tab w:val="center" w:pos="7143"/>
        <w:tab w:val="right" w:pos="14287"/>
      </w:tabs>
      <w:spacing w:after="0" w:line="240" w:lineRule="auto"/>
    </w:pPr>
  </w:style>
  <w:style w:type="paragraph" w:styleId="20">
    <w:name w:val="header"/>
    <w:basedOn w:val="1"/>
    <w:link w:val="55"/>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0"/>
    <w:qFormat/>
    <w:uiPriority w:val="11"/>
    <w:pPr>
      <w:spacing w:before="200" w:after="200"/>
    </w:pPr>
    <w:rPr>
      <w:sz w:val="24"/>
      <w:szCs w:val="24"/>
    </w:rPr>
  </w:style>
  <w:style w:type="paragraph" w:styleId="24">
    <w:name w:val="footnote text"/>
    <w:basedOn w:val="1"/>
    <w:link w:val="183"/>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0">
    <w:name w:val="Title"/>
    <w:basedOn w:val="1"/>
    <w:next w:val="1"/>
    <w:link w:val="49"/>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索引 41"/>
    <w:basedOn w:val="1"/>
    <w:next w:val="1"/>
    <w:qFormat/>
    <w:uiPriority w:val="99"/>
    <w:pPr>
      <w:ind w:left="600"/>
    </w:pPr>
    <w:rPr>
      <w:szCs w:val="24"/>
    </w:rPr>
  </w:style>
  <w:style w:type="character" w:customStyle="1" w:styleId="39">
    <w:name w:val="Heading 1 Char"/>
    <w:link w:val="2"/>
    <w:qFormat/>
    <w:uiPriority w:val="9"/>
    <w:rPr>
      <w:rFonts w:ascii="Arial" w:hAnsi="Arial" w:eastAsia="Arial" w:cs="Arial"/>
      <w:sz w:val="40"/>
      <w:szCs w:val="40"/>
    </w:rPr>
  </w:style>
  <w:style w:type="character" w:customStyle="1" w:styleId="40">
    <w:name w:val="Heading 2 Char"/>
    <w:link w:val="3"/>
    <w:qFormat/>
    <w:uiPriority w:val="9"/>
    <w:rPr>
      <w:rFonts w:ascii="Arial" w:hAnsi="Arial" w:eastAsia="Arial" w:cs="Arial"/>
      <w:sz w:val="34"/>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6"/>
    <w:qFormat/>
    <w:uiPriority w:val="9"/>
    <w:rPr>
      <w:rFonts w:ascii="Arial" w:hAnsi="Arial" w:eastAsia="Arial" w:cs="Arial"/>
      <w:b/>
      <w:bCs/>
      <w:sz w:val="24"/>
      <w:szCs w:val="24"/>
    </w:rPr>
  </w:style>
  <w:style w:type="character" w:customStyle="1" w:styleId="44">
    <w:name w:val="Heading 6 Char"/>
    <w:link w:val="7"/>
    <w:qFormat/>
    <w:uiPriority w:val="9"/>
    <w:rPr>
      <w:rFonts w:ascii="Arial" w:hAnsi="Arial" w:eastAsia="Arial" w:cs="Arial"/>
      <w:b/>
      <w:bCs/>
      <w:sz w:val="22"/>
      <w:szCs w:val="22"/>
    </w:rPr>
  </w:style>
  <w:style w:type="character" w:customStyle="1" w:styleId="45">
    <w:name w:val="Heading 7 Char"/>
    <w:link w:val="8"/>
    <w:qFormat/>
    <w:uiPriority w:val="9"/>
    <w:rPr>
      <w:rFonts w:ascii="Arial" w:hAnsi="Arial" w:eastAsia="Arial" w:cs="Arial"/>
      <w:b/>
      <w:bCs/>
      <w:i/>
      <w:iCs/>
      <w:sz w:val="22"/>
      <w:szCs w:val="22"/>
    </w:rPr>
  </w:style>
  <w:style w:type="character" w:customStyle="1" w:styleId="46">
    <w:name w:val="Heading 8 Char"/>
    <w:link w:val="9"/>
    <w:qFormat/>
    <w:uiPriority w:val="9"/>
    <w:rPr>
      <w:rFonts w:ascii="Arial" w:hAnsi="Arial" w:eastAsia="Arial" w:cs="Arial"/>
      <w:i/>
      <w:iCs/>
      <w:sz w:val="22"/>
      <w:szCs w:val="22"/>
    </w:rPr>
  </w:style>
  <w:style w:type="character" w:customStyle="1" w:styleId="47">
    <w:name w:val="Heading 9 Char"/>
    <w:link w:val="10"/>
    <w:qFormat/>
    <w:uiPriority w:val="9"/>
    <w:rPr>
      <w:rFonts w:ascii="Arial" w:hAnsi="Arial" w:eastAsia="Arial" w:cs="Arial"/>
      <w:i/>
      <w:iCs/>
      <w:sz w:val="21"/>
      <w:szCs w:val="21"/>
    </w:r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30"/>
    <w:qFormat/>
    <w:uiPriority w:val="10"/>
    <w:rPr>
      <w:sz w:val="48"/>
      <w:szCs w:val="48"/>
    </w:rPr>
  </w:style>
  <w:style w:type="character" w:customStyle="1" w:styleId="50">
    <w:name w:val="Subtitle Char"/>
    <w:link w:val="23"/>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0"/>
    <w:qFormat/>
    <w:uiPriority w:val="99"/>
  </w:style>
  <w:style w:type="character" w:customStyle="1" w:styleId="56">
    <w:name w:val="Footer Char"/>
    <w:link w:val="19"/>
    <w:qFormat/>
    <w:uiPriority w:val="99"/>
  </w:style>
  <w:style w:type="character" w:customStyle="1" w:styleId="57">
    <w:name w:val="Caption Char"/>
    <w:link w:val="19"/>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4"/>
    <w:qFormat/>
    <w:uiPriority w:val="99"/>
    <w:rPr>
      <w:sz w:val="18"/>
    </w:rPr>
  </w:style>
  <w:style w:type="character" w:customStyle="1" w:styleId="184">
    <w:name w:val="Endnote Text Char"/>
    <w:link w:val="18"/>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193"/>
    <w:qFormat/>
    <w:uiPriority w:val="0"/>
    <w:pPr>
      <w:keepNext/>
      <w:jc w:val="center"/>
      <w:outlineLvl w:val="0"/>
    </w:pPr>
    <w:rPr>
      <w:b/>
      <w:bCs/>
      <w:sz w:val="44"/>
      <w:szCs w:val="44"/>
    </w:rPr>
  </w:style>
  <w:style w:type="paragraph" w:customStyle="1" w:styleId="187">
    <w:name w:val="标题 21"/>
    <w:basedOn w:val="1"/>
    <w:next w:val="1"/>
    <w:link w:val="194"/>
    <w:qFormat/>
    <w:uiPriority w:val="0"/>
    <w:pPr>
      <w:keepNext/>
      <w:jc w:val="center"/>
      <w:outlineLvl w:val="1"/>
    </w:pPr>
    <w:rPr>
      <w:rFonts w:ascii="Cambria" w:hAnsi="Cambria"/>
      <w:b/>
      <w:bCs/>
      <w:sz w:val="32"/>
      <w:szCs w:val="32"/>
    </w:rPr>
  </w:style>
  <w:style w:type="paragraph" w:customStyle="1" w:styleId="188">
    <w:name w:val="标题 311"/>
    <w:basedOn w:val="1"/>
    <w:next w:val="1"/>
    <w:link w:val="195"/>
    <w:qFormat/>
    <w:uiPriority w:val="0"/>
    <w:pPr>
      <w:keepNext/>
      <w:jc w:val="center"/>
      <w:outlineLvl w:val="2"/>
    </w:pPr>
    <w:rPr>
      <w:b/>
      <w:bCs/>
      <w:sz w:val="32"/>
      <w:szCs w:val="32"/>
    </w:rPr>
  </w:style>
  <w:style w:type="paragraph" w:customStyle="1" w:styleId="189">
    <w:name w:val="标题 411"/>
    <w:basedOn w:val="1"/>
    <w:next w:val="1"/>
    <w:link w:val="196"/>
    <w:qFormat/>
    <w:uiPriority w:val="0"/>
    <w:pPr>
      <w:keepNext/>
      <w:jc w:val="center"/>
      <w:outlineLvl w:val="3"/>
    </w:pPr>
    <w:rPr>
      <w:rFonts w:ascii="Cambria" w:hAnsi="Cambria"/>
      <w:b/>
      <w:bCs/>
      <w:sz w:val="28"/>
      <w:szCs w:val="28"/>
    </w:rPr>
  </w:style>
  <w:style w:type="paragraph" w:customStyle="1" w:styleId="190">
    <w:name w:val="标题 51"/>
    <w:basedOn w:val="1"/>
    <w:next w:val="1"/>
    <w:link w:val="197"/>
    <w:qFormat/>
    <w:uiPriority w:val="0"/>
    <w:pPr>
      <w:keepNext/>
      <w:numPr>
        <w:ilvl w:val="0"/>
        <w:numId w:val="1"/>
      </w:numPr>
      <w:outlineLvl w:val="4"/>
    </w:pPr>
    <w:rPr>
      <w:rFonts w:ascii="楷体_GB2312" w:eastAsia="楷体_GB2312"/>
      <w:bCs/>
      <w:sz w:val="28"/>
    </w:rPr>
  </w:style>
  <w:style w:type="character" w:customStyle="1" w:styleId="191">
    <w:name w:val="默认段落字体11"/>
    <w:link w:val="1"/>
    <w:unhideWhenUsed/>
    <w:qFormat/>
    <w:uiPriority w:val="1"/>
  </w:style>
  <w:style w:type="table" w:customStyle="1" w:styleId="192">
    <w:name w:val="普通表格1"/>
    <w:unhideWhenUsed/>
    <w:qFormat/>
    <w:uiPriority w:val="99"/>
  </w:style>
  <w:style w:type="character" w:customStyle="1" w:styleId="193">
    <w:name w:val="标题 1 Char"/>
    <w:link w:val="186"/>
    <w:qFormat/>
    <w:uiPriority w:val="0"/>
    <w:rPr>
      <w:rFonts w:cs="Times New Roman"/>
      <w:b/>
      <w:bCs/>
      <w:sz w:val="44"/>
      <w:szCs w:val="44"/>
    </w:rPr>
  </w:style>
  <w:style w:type="character" w:customStyle="1" w:styleId="194">
    <w:name w:val="标题 2 Char"/>
    <w:link w:val="187"/>
    <w:semiHidden/>
    <w:qFormat/>
    <w:uiPriority w:val="0"/>
    <w:rPr>
      <w:rFonts w:ascii="Cambria" w:hAnsi="Cambria" w:eastAsia="宋体" w:cs="Times New Roman"/>
      <w:b/>
      <w:bCs/>
      <w:sz w:val="32"/>
      <w:szCs w:val="32"/>
    </w:rPr>
  </w:style>
  <w:style w:type="character" w:customStyle="1" w:styleId="195">
    <w:name w:val="标题 3 Char"/>
    <w:link w:val="188"/>
    <w:semiHidden/>
    <w:qFormat/>
    <w:uiPriority w:val="0"/>
    <w:rPr>
      <w:rFonts w:cs="Times New Roman"/>
      <w:b/>
      <w:bCs/>
      <w:sz w:val="32"/>
      <w:szCs w:val="32"/>
    </w:rPr>
  </w:style>
  <w:style w:type="character" w:customStyle="1" w:styleId="196">
    <w:name w:val="标题 4 Char"/>
    <w:link w:val="189"/>
    <w:semiHidden/>
    <w:qFormat/>
    <w:uiPriority w:val="0"/>
    <w:rPr>
      <w:rFonts w:ascii="Cambria" w:hAnsi="Cambria" w:eastAsia="宋体" w:cs="Times New Roman"/>
      <w:b/>
      <w:bCs/>
      <w:sz w:val="28"/>
      <w:szCs w:val="28"/>
    </w:rPr>
  </w:style>
  <w:style w:type="character" w:customStyle="1" w:styleId="197">
    <w:name w:val="标题 5 Char"/>
    <w:link w:val="190"/>
    <w:qFormat/>
    <w:uiPriority w:val="0"/>
    <w:rPr>
      <w:rFonts w:ascii="楷体_GB2312" w:eastAsia="楷体_GB2312"/>
      <w:bCs/>
      <w:sz w:val="28"/>
    </w:rPr>
  </w:style>
  <w:style w:type="paragraph" w:customStyle="1" w:styleId="198">
    <w:name w:val="正文缩进11"/>
    <w:basedOn w:val="1"/>
    <w:link w:val="199"/>
    <w:qFormat/>
    <w:uiPriority w:val="0"/>
    <w:pPr>
      <w:ind w:firstLine="420"/>
    </w:pPr>
  </w:style>
  <w:style w:type="character" w:customStyle="1" w:styleId="199">
    <w:name w:val="正文缩进 Char"/>
    <w:link w:val="198"/>
    <w:qFormat/>
    <w:uiPriority w:val="0"/>
    <w:rPr>
      <w:sz w:val="21"/>
    </w:rPr>
  </w:style>
  <w:style w:type="paragraph" w:customStyle="1" w:styleId="200">
    <w:name w:val="文档结构图1"/>
    <w:basedOn w:val="1"/>
    <w:link w:val="201"/>
    <w:semiHidden/>
    <w:qFormat/>
    <w:uiPriority w:val="0"/>
    <w:pPr>
      <w:shd w:val="clear" w:color="auto" w:fill="000080"/>
    </w:pPr>
    <w:rPr>
      <w:sz w:val="2"/>
    </w:rPr>
  </w:style>
  <w:style w:type="character" w:customStyle="1" w:styleId="201">
    <w:name w:val="文档结构图 Char"/>
    <w:link w:val="200"/>
    <w:semiHidden/>
    <w:qFormat/>
    <w:uiPriority w:val="0"/>
    <w:rPr>
      <w:rFonts w:cs="Times New Roman"/>
      <w:sz w:val="2"/>
    </w:rPr>
  </w:style>
  <w:style w:type="paragraph" w:customStyle="1" w:styleId="202">
    <w:name w:val="批注文字1"/>
    <w:basedOn w:val="1"/>
    <w:link w:val="203"/>
    <w:unhideWhenUsed/>
    <w:qFormat/>
    <w:uiPriority w:val="0"/>
    <w:pPr>
      <w:jc w:val="left"/>
    </w:pPr>
  </w:style>
  <w:style w:type="character" w:customStyle="1" w:styleId="203">
    <w:name w:val="批注文字 Char"/>
    <w:link w:val="202"/>
    <w:qFormat/>
    <w:uiPriority w:val="0"/>
    <w:rPr>
      <w:sz w:val="21"/>
    </w:rPr>
  </w:style>
  <w:style w:type="paragraph" w:customStyle="1" w:styleId="204">
    <w:name w:val="正文文本1"/>
    <w:basedOn w:val="1"/>
    <w:link w:val="205"/>
    <w:qFormat/>
    <w:uiPriority w:val="0"/>
    <w:rPr>
      <w:sz w:val="20"/>
    </w:rPr>
  </w:style>
  <w:style w:type="character" w:customStyle="1" w:styleId="205">
    <w:name w:val="正文文本 Char"/>
    <w:link w:val="204"/>
    <w:semiHidden/>
    <w:qFormat/>
    <w:uiPriority w:val="0"/>
    <w:rPr>
      <w:rFonts w:cs="Times New Roman"/>
      <w:sz w:val="20"/>
      <w:szCs w:val="20"/>
    </w:rPr>
  </w:style>
  <w:style w:type="paragraph" w:customStyle="1" w:styleId="206">
    <w:name w:val="正文文本缩进11"/>
    <w:basedOn w:val="1"/>
    <w:link w:val="207"/>
    <w:qFormat/>
    <w:uiPriority w:val="0"/>
    <w:pPr>
      <w:ind w:firstLine="576"/>
    </w:pPr>
    <w:rPr>
      <w:sz w:val="20"/>
    </w:rPr>
  </w:style>
  <w:style w:type="character" w:customStyle="1" w:styleId="207">
    <w:name w:val="正文文本缩进 Char"/>
    <w:link w:val="206"/>
    <w:semiHidden/>
    <w:qFormat/>
    <w:uiPriority w:val="0"/>
    <w:rPr>
      <w:rFonts w:cs="Times New Roman"/>
      <w:sz w:val="20"/>
      <w:szCs w:val="20"/>
    </w:rPr>
  </w:style>
  <w:style w:type="paragraph" w:customStyle="1" w:styleId="208">
    <w:name w:val="日期1"/>
    <w:basedOn w:val="1"/>
    <w:next w:val="1"/>
    <w:link w:val="209"/>
    <w:qFormat/>
    <w:uiPriority w:val="0"/>
    <w:rPr>
      <w:sz w:val="20"/>
    </w:rPr>
  </w:style>
  <w:style w:type="character" w:customStyle="1" w:styleId="209">
    <w:name w:val="日期 Char"/>
    <w:link w:val="208"/>
    <w:semiHidden/>
    <w:qFormat/>
    <w:uiPriority w:val="0"/>
    <w:rPr>
      <w:rFonts w:cs="Times New Roman"/>
      <w:sz w:val="20"/>
      <w:szCs w:val="20"/>
    </w:rPr>
  </w:style>
  <w:style w:type="paragraph" w:customStyle="1" w:styleId="210">
    <w:name w:val="正文文本缩进 21"/>
    <w:basedOn w:val="1"/>
    <w:link w:val="211"/>
    <w:qFormat/>
    <w:uiPriority w:val="0"/>
    <w:pPr>
      <w:ind w:left="900"/>
    </w:pPr>
    <w:rPr>
      <w:sz w:val="20"/>
    </w:rPr>
  </w:style>
  <w:style w:type="character" w:customStyle="1" w:styleId="211">
    <w:name w:val="正文文本缩进 2 Char"/>
    <w:link w:val="210"/>
    <w:semiHidden/>
    <w:qFormat/>
    <w:uiPriority w:val="0"/>
    <w:rPr>
      <w:rFonts w:cs="Times New Roman"/>
      <w:sz w:val="20"/>
      <w:szCs w:val="20"/>
    </w:rPr>
  </w:style>
  <w:style w:type="paragraph" w:customStyle="1" w:styleId="212">
    <w:name w:val="批注框文本1"/>
    <w:basedOn w:val="1"/>
    <w:link w:val="213"/>
    <w:unhideWhenUsed/>
    <w:qFormat/>
    <w:uiPriority w:val="99"/>
    <w:rPr>
      <w:sz w:val="18"/>
      <w:szCs w:val="18"/>
    </w:rPr>
  </w:style>
  <w:style w:type="character" w:customStyle="1" w:styleId="213">
    <w:name w:val="批注框文本 Char"/>
    <w:link w:val="212"/>
    <w:qFormat/>
    <w:uiPriority w:val="99"/>
    <w:rPr>
      <w:sz w:val="18"/>
      <w:szCs w:val="18"/>
    </w:rPr>
  </w:style>
  <w:style w:type="paragraph" w:customStyle="1" w:styleId="214">
    <w:name w:val="页脚1"/>
    <w:basedOn w:val="1"/>
    <w:link w:val="215"/>
    <w:qFormat/>
    <w:uiPriority w:val="99"/>
    <w:pPr>
      <w:tabs>
        <w:tab w:val="center" w:pos="4153"/>
        <w:tab w:val="right" w:pos="8306"/>
      </w:tabs>
      <w:jc w:val="left"/>
    </w:pPr>
    <w:rPr>
      <w:sz w:val="18"/>
      <w:szCs w:val="18"/>
    </w:rPr>
  </w:style>
  <w:style w:type="character" w:customStyle="1" w:styleId="215">
    <w:name w:val="页脚 Char"/>
    <w:link w:val="214"/>
    <w:qFormat/>
    <w:uiPriority w:val="99"/>
    <w:rPr>
      <w:rFonts w:cs="Times New Roman"/>
      <w:sz w:val="18"/>
      <w:szCs w:val="18"/>
    </w:rPr>
  </w:style>
  <w:style w:type="paragraph" w:customStyle="1" w:styleId="216">
    <w:name w:val="页眉1"/>
    <w:basedOn w:val="1"/>
    <w:link w:val="217"/>
    <w:qFormat/>
    <w:uiPriority w:val="99"/>
    <w:pPr>
      <w:pBdr>
        <w:bottom w:val="single" w:color="000000" w:sz="6" w:space="1"/>
      </w:pBdr>
      <w:tabs>
        <w:tab w:val="center" w:pos="4153"/>
        <w:tab w:val="right" w:pos="8306"/>
      </w:tabs>
      <w:jc w:val="center"/>
    </w:pPr>
    <w:rPr>
      <w:sz w:val="18"/>
      <w:szCs w:val="18"/>
    </w:rPr>
  </w:style>
  <w:style w:type="character" w:customStyle="1" w:styleId="217">
    <w:name w:val="页眉 Char"/>
    <w:link w:val="216"/>
    <w:qFormat/>
    <w:uiPriority w:val="99"/>
    <w:rPr>
      <w:rFonts w:cs="Times New Roman"/>
      <w:sz w:val="18"/>
      <w:szCs w:val="18"/>
    </w:rPr>
  </w:style>
  <w:style w:type="paragraph" w:customStyle="1" w:styleId="218">
    <w:name w:val="目录 11"/>
    <w:basedOn w:val="1"/>
    <w:next w:val="1"/>
    <w:qFormat/>
    <w:uiPriority w:val="39"/>
  </w:style>
  <w:style w:type="paragraph" w:customStyle="1" w:styleId="219">
    <w:name w:val="副标题1"/>
    <w:basedOn w:val="1"/>
    <w:next w:val="1"/>
    <w:link w:val="220"/>
    <w:qFormat/>
    <w:uiPriority w:val="11"/>
    <w:pPr>
      <w:spacing w:before="240" w:after="60" w:line="312" w:lineRule="auto"/>
      <w:jc w:val="center"/>
      <w:outlineLvl w:val="1"/>
    </w:pPr>
    <w:rPr>
      <w:rFonts w:ascii="Calibri Light" w:hAnsi="Calibri Light"/>
      <w:b/>
      <w:bCs/>
      <w:sz w:val="32"/>
      <w:szCs w:val="32"/>
    </w:rPr>
  </w:style>
  <w:style w:type="character" w:customStyle="1" w:styleId="220">
    <w:name w:val="副标题 Char"/>
    <w:link w:val="219"/>
    <w:qFormat/>
    <w:uiPriority w:val="11"/>
    <w:rPr>
      <w:rFonts w:ascii="Calibri Light" w:hAnsi="Calibri Light"/>
      <w:b/>
      <w:bCs/>
      <w:sz w:val="32"/>
      <w:szCs w:val="32"/>
    </w:rPr>
  </w:style>
  <w:style w:type="paragraph" w:customStyle="1" w:styleId="221">
    <w:name w:val="正文文本缩进 31"/>
    <w:basedOn w:val="1"/>
    <w:link w:val="222"/>
    <w:qFormat/>
    <w:uiPriority w:val="0"/>
    <w:pPr>
      <w:ind w:left="359" w:firstLine="359"/>
    </w:pPr>
    <w:rPr>
      <w:sz w:val="16"/>
      <w:szCs w:val="16"/>
    </w:rPr>
  </w:style>
  <w:style w:type="character" w:customStyle="1" w:styleId="222">
    <w:name w:val="正文文本缩进 3 Char"/>
    <w:link w:val="221"/>
    <w:semiHidden/>
    <w:qFormat/>
    <w:uiPriority w:val="0"/>
    <w:rPr>
      <w:rFonts w:cs="Times New Roman"/>
      <w:sz w:val="16"/>
      <w:szCs w:val="16"/>
    </w:rPr>
  </w:style>
  <w:style w:type="paragraph" w:customStyle="1" w:styleId="223">
    <w:name w:val="正文文本 21"/>
    <w:basedOn w:val="1"/>
    <w:link w:val="224"/>
    <w:qFormat/>
    <w:uiPriority w:val="0"/>
    <w:pPr>
      <w:spacing w:after="120" w:line="480" w:lineRule="auto"/>
    </w:pPr>
    <w:rPr>
      <w:sz w:val="20"/>
    </w:rPr>
  </w:style>
  <w:style w:type="character" w:customStyle="1" w:styleId="224">
    <w:name w:val="正文文本 2 Char"/>
    <w:link w:val="223"/>
    <w:semiHidden/>
    <w:qFormat/>
    <w:uiPriority w:val="0"/>
    <w:rPr>
      <w:rFonts w:cs="Times New Roman"/>
      <w:sz w:val="20"/>
      <w:szCs w:val="20"/>
    </w:rPr>
  </w:style>
  <w:style w:type="paragraph" w:customStyle="1" w:styleId="225">
    <w:name w:val="HTML 预设格式1"/>
    <w:basedOn w:val="1"/>
    <w:unhideWhenUsed/>
    <w:qFormat/>
    <w:uiPriority w:val="99"/>
    <w:rPr>
      <w:rFonts w:ascii="Courier New" w:hAnsi="Courier New" w:cs="Courier New"/>
      <w:sz w:val="20"/>
      <w:szCs w:val="20"/>
    </w:rPr>
  </w:style>
  <w:style w:type="paragraph" w:customStyle="1" w:styleId="226">
    <w:name w:val="普通(网站)1"/>
    <w:basedOn w:val="1"/>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27">
    <w:name w:val="标题1"/>
    <w:basedOn w:val="1"/>
    <w:next w:val="1"/>
    <w:link w:val="228"/>
    <w:qFormat/>
    <w:uiPriority w:val="99"/>
    <w:pPr>
      <w:spacing w:before="240" w:after="60" w:line="336" w:lineRule="auto"/>
      <w:ind w:firstLine="200"/>
      <w:jc w:val="center"/>
      <w:outlineLvl w:val="0"/>
    </w:pPr>
    <w:rPr>
      <w:rFonts w:ascii="Cambria" w:hAnsi="Cambria"/>
      <w:b/>
      <w:bCs/>
      <w:sz w:val="32"/>
      <w:szCs w:val="32"/>
    </w:rPr>
  </w:style>
  <w:style w:type="character" w:customStyle="1" w:styleId="228">
    <w:name w:val="标题 Char"/>
    <w:link w:val="227"/>
    <w:qFormat/>
    <w:uiPriority w:val="99"/>
    <w:rPr>
      <w:rFonts w:ascii="Cambria" w:hAnsi="Cambria" w:cs="Cambria"/>
      <w:b/>
      <w:bCs/>
      <w:sz w:val="32"/>
      <w:szCs w:val="32"/>
    </w:rPr>
  </w:style>
  <w:style w:type="paragraph" w:customStyle="1" w:styleId="229">
    <w:name w:val="批注主题1"/>
    <w:basedOn w:val="202"/>
    <w:next w:val="202"/>
    <w:link w:val="230"/>
    <w:unhideWhenUsed/>
    <w:qFormat/>
    <w:uiPriority w:val="99"/>
    <w:rPr>
      <w:b/>
      <w:bCs/>
    </w:rPr>
  </w:style>
  <w:style w:type="character" w:customStyle="1" w:styleId="230">
    <w:name w:val="批注主题 Char"/>
    <w:link w:val="229"/>
    <w:semiHidden/>
    <w:qFormat/>
    <w:uiPriority w:val="99"/>
    <w:rPr>
      <w:b/>
      <w:bCs/>
      <w:sz w:val="21"/>
    </w:rPr>
  </w:style>
  <w:style w:type="paragraph" w:customStyle="1" w:styleId="231">
    <w:name w:val="正文首行缩进 211"/>
    <w:basedOn w:val="206"/>
    <w:qFormat/>
    <w:uiPriority w:val="99"/>
    <w:pPr>
      <w:widowControl w:val="0"/>
      <w:spacing w:after="120" w:line="240" w:lineRule="auto"/>
      <w:ind w:left="420" w:firstLine="420"/>
    </w:pPr>
    <w:rPr>
      <w:rFonts w:ascii="Times New Roman" w:hAnsi="Times New Roman"/>
      <w:spacing w:val="0"/>
      <w:sz w:val="20"/>
    </w:rPr>
  </w:style>
  <w:style w:type="table" w:customStyle="1" w:styleId="232">
    <w:name w:val="网格型1"/>
    <w:basedOn w:val="192"/>
    <w:qFormat/>
    <w:uiPriority w:val="0"/>
    <w:rPr>
      <w:rFonts w:ascii="Times" w:hAnsi="Times" w:cs="Times"/>
    </w:rPr>
  </w:style>
  <w:style w:type="character" w:customStyle="1" w:styleId="233">
    <w:name w:val="要点1"/>
    <w:link w:val="1"/>
    <w:qFormat/>
    <w:uiPriority w:val="0"/>
    <w:rPr>
      <w:rFonts w:cs="Times New Roman"/>
      <w:b/>
      <w:bCs/>
    </w:rPr>
  </w:style>
  <w:style w:type="character" w:customStyle="1" w:styleId="234">
    <w:name w:val="页码1"/>
    <w:link w:val="1"/>
    <w:qFormat/>
    <w:uiPriority w:val="0"/>
    <w:rPr>
      <w:rFonts w:cs="Times New Roman"/>
    </w:rPr>
  </w:style>
  <w:style w:type="character" w:customStyle="1" w:styleId="235">
    <w:name w:val="已访问的超链接1"/>
    <w:link w:val="1"/>
    <w:qFormat/>
    <w:uiPriority w:val="99"/>
    <w:rPr>
      <w:rFonts w:cs="Times New Roman"/>
      <w:color w:val="000000"/>
      <w:u w:val="none"/>
    </w:rPr>
  </w:style>
  <w:style w:type="character" w:customStyle="1" w:styleId="236">
    <w:name w:val="HTML 打字机11"/>
    <w:link w:val="1"/>
    <w:qFormat/>
    <w:uiPriority w:val="0"/>
    <w:rPr>
      <w:rFonts w:ascii="宋体" w:hAnsi="宋体" w:eastAsia="宋体" w:cs="宋体"/>
      <w:sz w:val="24"/>
      <w:szCs w:val="24"/>
    </w:rPr>
  </w:style>
  <w:style w:type="character" w:customStyle="1" w:styleId="237">
    <w:name w:val="超链接1"/>
    <w:link w:val="1"/>
    <w:qFormat/>
    <w:uiPriority w:val="99"/>
    <w:rPr>
      <w:rFonts w:cs="Times New Roman"/>
      <w:color w:val="000000"/>
      <w:u w:val="none"/>
    </w:rPr>
  </w:style>
  <w:style w:type="character" w:customStyle="1" w:styleId="238">
    <w:name w:val="批注引用11"/>
    <w:link w:val="1"/>
    <w:unhideWhenUsed/>
    <w:qFormat/>
    <w:uiPriority w:val="99"/>
    <w:rPr>
      <w:sz w:val="21"/>
      <w:szCs w:val="21"/>
    </w:rPr>
  </w:style>
  <w:style w:type="character" w:customStyle="1" w:styleId="239">
    <w:name w:val="批注引用1"/>
    <w:basedOn w:val="191"/>
    <w:link w:val="1"/>
    <w:semiHidden/>
    <w:qFormat/>
    <w:uiPriority w:val="0"/>
    <w:rPr>
      <w:sz w:val="21"/>
      <w:lang w:val="en-US" w:eastAsia="zh-CN" w:bidi="ar-SA"/>
    </w:rPr>
  </w:style>
  <w:style w:type="character" w:customStyle="1" w:styleId="240">
    <w:name w:val="style21"/>
    <w:link w:val="1"/>
    <w:qFormat/>
    <w:uiPriority w:val="99"/>
    <w:rPr>
      <w:sz w:val="22"/>
      <w:szCs w:val="22"/>
    </w:rPr>
  </w:style>
  <w:style w:type="character" w:customStyle="1" w:styleId="241">
    <w:name w:val="列出段落 字符"/>
    <w:link w:val="1"/>
    <w:qFormat/>
    <w:uiPriority w:val="34"/>
    <w:rPr>
      <w:sz w:val="21"/>
    </w:rPr>
  </w:style>
  <w:style w:type="character" w:customStyle="1" w:styleId="242">
    <w:name w:val="宋体&amp;Time5# Char"/>
    <w:link w:val="243"/>
    <w:qFormat/>
    <w:uiPriority w:val="0"/>
    <w:rPr>
      <w:rFonts w:ascii="Calibri" w:hAnsi="Calibri" w:eastAsia="Times New Roman"/>
      <w:sz w:val="21"/>
      <w:szCs w:val="21"/>
    </w:rPr>
  </w:style>
  <w:style w:type="paragraph" w:customStyle="1" w:styleId="243">
    <w:name w:val="宋体&amp;Time5#"/>
    <w:basedOn w:val="1"/>
    <w:link w:val="242"/>
    <w:qFormat/>
    <w:uiPriority w:val="0"/>
    <w:pPr>
      <w:jc w:val="center"/>
    </w:pPr>
    <w:rPr>
      <w:rFonts w:ascii="Calibri" w:hAnsi="Calibri" w:eastAsia="Times New Roman"/>
      <w:szCs w:val="21"/>
    </w:rPr>
  </w:style>
  <w:style w:type="character" w:customStyle="1" w:styleId="244">
    <w:name w:val="访问过的超链接1"/>
    <w:link w:val="1"/>
    <w:qFormat/>
    <w:uiPriority w:val="0"/>
    <w:rPr>
      <w:color w:val="000000"/>
      <w:u w:val="none"/>
    </w:rPr>
  </w:style>
  <w:style w:type="character" w:customStyle="1" w:styleId="245">
    <w:name w:val="列出段落 Char"/>
    <w:link w:val="246"/>
    <w:qFormat/>
    <w:uiPriority w:val="34"/>
    <w:rPr>
      <w:sz w:val="21"/>
    </w:rPr>
  </w:style>
  <w:style w:type="paragraph" w:customStyle="1" w:styleId="246">
    <w:name w:val="列出段落"/>
    <w:basedOn w:val="1"/>
    <w:link w:val="245"/>
    <w:qFormat/>
    <w:uiPriority w:val="34"/>
    <w:pPr>
      <w:ind w:firstLine="420"/>
    </w:pPr>
  </w:style>
  <w:style w:type="character" w:customStyle="1" w:styleId="247">
    <w:name w:val="case31"/>
    <w:link w:val="1"/>
    <w:qFormat/>
    <w:uiPriority w:val="0"/>
    <w:rPr>
      <w:rFonts w:cs="Times New Roman"/>
      <w:spacing w:val="390"/>
      <w:sz w:val="21"/>
      <w:szCs w:val="21"/>
    </w:rPr>
  </w:style>
  <w:style w:type="character" w:customStyle="1" w:styleId="248">
    <w:name w:val="_正文 Char"/>
    <w:link w:val="249"/>
    <w:qFormat/>
    <w:uiPriority w:val="0"/>
    <w:rPr>
      <w:rFonts w:ascii="微软雅黑" w:hAnsi="微软雅黑"/>
    </w:rPr>
  </w:style>
  <w:style w:type="paragraph" w:customStyle="1" w:styleId="249">
    <w:name w:val="_正文"/>
    <w:basedOn w:val="1"/>
    <w:link w:val="248"/>
    <w:qFormat/>
    <w:uiPriority w:val="0"/>
    <w:pPr>
      <w:widowControl/>
      <w:spacing w:line="360" w:lineRule="auto"/>
      <w:ind w:firstLine="200"/>
      <w:jc w:val="left"/>
    </w:pPr>
    <w:rPr>
      <w:rFonts w:ascii="微软雅黑" w:hAnsi="微软雅黑"/>
      <w:sz w:val="20"/>
    </w:rPr>
  </w:style>
  <w:style w:type="paragraph" w:customStyle="1" w:styleId="250">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5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52">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53">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54">
    <w:name w:val="样式 首行缩进:  2 字符"/>
    <w:basedOn w:val="1"/>
    <w:qFormat/>
    <w:uiPriority w:val="99"/>
    <w:pPr>
      <w:spacing w:line="288" w:lineRule="auto"/>
      <w:ind w:firstLine="200"/>
    </w:pPr>
    <w:rPr>
      <w:rFonts w:ascii="仿宋_GB2312" w:hAnsi="Times" w:eastAsia="仿宋_GB2312" w:cs="仿宋_GB2312"/>
      <w:sz w:val="32"/>
      <w:szCs w:val="32"/>
    </w:rPr>
  </w:style>
  <w:style w:type="paragraph" w:customStyle="1" w:styleId="255">
    <w:name w:val="font13"/>
    <w:basedOn w:val="1"/>
    <w:qFormat/>
    <w:uiPriority w:val="0"/>
    <w:pPr>
      <w:widowControl/>
      <w:spacing w:before="100" w:beforeAutospacing="1" w:after="100" w:afterAutospacing="1"/>
      <w:jc w:val="left"/>
    </w:pPr>
    <w:rPr>
      <w:i/>
      <w:iCs/>
      <w:sz w:val="36"/>
      <w:szCs w:val="36"/>
    </w:rPr>
  </w:style>
  <w:style w:type="paragraph" w:customStyle="1" w:styleId="256">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5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58">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2">
    <w:name w:val="样式 首行缩进:  2 字符1"/>
    <w:basedOn w:val="1"/>
    <w:qFormat/>
    <w:uiPriority w:val="99"/>
    <w:pPr>
      <w:spacing w:line="288" w:lineRule="auto"/>
      <w:ind w:firstLine="200"/>
    </w:pPr>
    <w:rPr>
      <w:rFonts w:ascii="仿宋_GB2312" w:hAnsi="Times" w:eastAsia="仿宋_GB2312" w:cs="仿宋_GB2312"/>
      <w:sz w:val="32"/>
      <w:szCs w:val="32"/>
    </w:rPr>
  </w:style>
  <w:style w:type="paragraph" w:customStyle="1" w:styleId="263">
    <w:name w:val="font7"/>
    <w:basedOn w:val="1"/>
    <w:qFormat/>
    <w:uiPriority w:val="0"/>
    <w:pPr>
      <w:widowControl/>
      <w:spacing w:before="100" w:beforeAutospacing="1" w:after="100" w:afterAutospacing="1"/>
      <w:jc w:val="left"/>
    </w:pPr>
    <w:rPr>
      <w:b/>
      <w:bCs/>
      <w:i/>
      <w:iCs/>
      <w:sz w:val="20"/>
    </w:rPr>
  </w:style>
  <w:style w:type="paragraph" w:customStyle="1" w:styleId="264">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265">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6">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67">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8">
    <w:name w:val="xl1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69">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0">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71">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72">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73">
    <w:name w:val="Table Description"/>
    <w:basedOn w:val="1"/>
    <w:next w:val="1"/>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74">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styleId="275">
    <w:name w:val="List Paragraph"/>
    <w:basedOn w:val="1"/>
    <w:qFormat/>
    <w:uiPriority w:val="0"/>
    <w:pPr>
      <w:ind w:firstLine="420"/>
    </w:pPr>
  </w:style>
  <w:style w:type="paragraph" w:customStyle="1" w:styleId="27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7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8">
    <w:name w:val="文件标题"/>
    <w:basedOn w:val="1"/>
    <w:qFormat/>
    <w:uiPriority w:val="99"/>
    <w:pPr>
      <w:spacing w:line="640" w:lineRule="exact"/>
      <w:jc w:val="center"/>
    </w:pPr>
    <w:rPr>
      <w:rFonts w:ascii="宋体" w:hAnsi="宋体" w:eastAsia="方正小标宋_GBK" w:cs="宋体"/>
      <w:sz w:val="44"/>
      <w:szCs w:val="44"/>
    </w:rPr>
  </w:style>
  <w:style w:type="paragraph" w:customStyle="1" w:styleId="279">
    <w:name w:val="文档正文"/>
    <w:basedOn w:val="1"/>
    <w:qFormat/>
    <w:uiPriority w:val="0"/>
    <w:pPr>
      <w:spacing w:line="312" w:lineRule="atLeast"/>
      <w:ind w:firstLine="567"/>
    </w:pPr>
    <w:rPr>
      <w:rFonts w:ascii="长城仿宋" w:eastAsia="长城仿宋"/>
      <w:sz w:val="28"/>
    </w:rPr>
  </w:style>
  <w:style w:type="paragraph" w:customStyle="1" w:styleId="28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1">
    <w:name w:val="font8"/>
    <w:basedOn w:val="1"/>
    <w:qFormat/>
    <w:uiPriority w:val="0"/>
    <w:pPr>
      <w:widowControl/>
      <w:spacing w:before="100" w:beforeAutospacing="1" w:after="100" w:afterAutospacing="1"/>
      <w:jc w:val="left"/>
    </w:pPr>
    <w:rPr>
      <w:rFonts w:ascii="宋体" w:hAnsi="宋体"/>
      <w:b/>
      <w:bCs/>
      <w:i/>
      <w:iCs/>
      <w:sz w:val="20"/>
    </w:rPr>
  </w:style>
  <w:style w:type="paragraph" w:customStyle="1" w:styleId="282">
    <w:name w:val="Figure Description"/>
    <w:next w:val="1"/>
    <w:qFormat/>
    <w:uiPriority w:val="0"/>
    <w:pPr>
      <w:keepNext/>
      <w:spacing w:before="320" w:after="80" w:line="240" w:lineRule="atLeast"/>
      <w:ind w:left="1701"/>
      <w:outlineLvl w:val="7"/>
    </w:pPr>
    <w:rPr>
      <w:rFonts w:hint="default" w:ascii="Times New Roman" w:hAnsi="Times New Roman" w:eastAsia="黑体" w:cs="Arial"/>
      <w:spacing w:val="-4"/>
      <w:sz w:val="21"/>
      <w:szCs w:val="21"/>
      <w:lang w:val="en-US" w:eastAsia="zh-CN" w:bidi="ar-SA"/>
    </w:rPr>
  </w:style>
  <w:style w:type="paragraph" w:customStyle="1" w:styleId="283">
    <w:name w:val="_标题 2"/>
    <w:basedOn w:val="187"/>
    <w:next w:val="249"/>
    <w:qFormat/>
    <w:uiPriority w:val="0"/>
    <w:pPr>
      <w:keepLines/>
      <w:widowControl/>
      <w:numPr>
        <w:ilvl w:val="1"/>
        <w:numId w:val="2"/>
      </w:numPr>
      <w:spacing w:before="260" w:after="260"/>
      <w:jc w:val="left"/>
    </w:pPr>
    <w:rPr>
      <w:rFonts w:ascii="微软雅黑" w:hAnsi="微软雅黑" w:eastAsia="宋体"/>
      <w:sz w:val="21"/>
      <w:szCs w:val="32"/>
    </w:rPr>
  </w:style>
  <w:style w:type="paragraph" w:customStyle="1" w:styleId="284">
    <w:name w:val="Block Label"/>
    <w:basedOn w:val="1"/>
    <w:next w:val="1"/>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85">
    <w:name w:val="_标题 4"/>
    <w:basedOn w:val="189"/>
    <w:next w:val="249"/>
    <w:qFormat/>
    <w:uiPriority w:val="0"/>
    <w:pPr>
      <w:keepLines/>
      <w:widowControl/>
      <w:numPr>
        <w:ilvl w:val="3"/>
        <w:numId w:val="2"/>
      </w:numPr>
      <w:spacing w:before="260" w:after="260" w:line="377" w:lineRule="auto"/>
      <w:ind w:left="0" w:firstLine="283"/>
      <w:jc w:val="left"/>
    </w:pPr>
    <w:rPr>
      <w:rFonts w:ascii="微软雅黑" w:hAnsi="微软雅黑" w:eastAsia="宋体"/>
      <w:color w:val="000000"/>
      <w:sz w:val="20"/>
      <w:szCs w:val="21"/>
    </w:rPr>
  </w:style>
  <w:style w:type="paragraph" w:customStyle="1" w:styleId="286">
    <w:name w:val="Char Char Char Char"/>
    <w:basedOn w:val="200"/>
    <w:qFormat/>
    <w:uiPriority w:val="0"/>
    <w:pPr>
      <w:spacing w:line="360" w:lineRule="auto"/>
    </w:pPr>
    <w:rPr>
      <w:rFonts w:ascii="Tahoma" w:hAnsi="Tahoma"/>
      <w:sz w:val="24"/>
      <w:szCs w:val="24"/>
    </w:rPr>
  </w:style>
  <w:style w:type="paragraph" w:customStyle="1" w:styleId="287">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88">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89">
    <w:name w:val="xl49"/>
    <w:basedOn w:val="1"/>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0">
    <w:name w:val="默认段落字体 Para Char"/>
    <w:basedOn w:val="1"/>
    <w:qFormat/>
    <w:uiPriority w:val="0"/>
    <w:pPr>
      <w:tabs>
        <w:tab w:val="left" w:pos="552"/>
      </w:tabs>
      <w:ind w:left="552" w:hanging="420"/>
    </w:pPr>
    <w:rPr>
      <w:sz w:val="24"/>
      <w:szCs w:val="24"/>
    </w:rPr>
  </w:style>
  <w:style w:type="paragraph" w:customStyle="1" w:styleId="291">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2">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293">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4">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95">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296">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29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299">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0">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1">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02">
    <w:name w:val="_Style 22"/>
    <w:basedOn w:val="1"/>
    <w:qFormat/>
    <w:uiPriority w:val="0"/>
    <w:pPr>
      <w:spacing w:line="300" w:lineRule="auto"/>
      <w:ind w:firstLine="200"/>
    </w:pPr>
    <w:rPr>
      <w:rFonts w:ascii="宋体" w:hAnsi="Calibri" w:eastAsia="等线"/>
      <w:sz w:val="24"/>
      <w:szCs w:val="22"/>
    </w:rPr>
  </w:style>
  <w:style w:type="paragraph" w:customStyle="1" w:styleId="30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4">
    <w:name w:val="Char Char1 Char Char Char Char"/>
    <w:basedOn w:val="200"/>
    <w:qFormat/>
    <w:uiPriority w:val="0"/>
    <w:pPr>
      <w:spacing w:line="436" w:lineRule="exact"/>
      <w:ind w:left="357"/>
      <w:jc w:val="left"/>
      <w:outlineLvl w:val="3"/>
    </w:pPr>
    <w:rPr>
      <w:rFonts w:ascii="Tahoma" w:hAnsi="Tahoma"/>
      <w:b/>
      <w:sz w:val="24"/>
      <w:szCs w:val="24"/>
    </w:rPr>
  </w:style>
  <w:style w:type="paragraph" w:customStyle="1" w:styleId="305">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6">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07">
    <w:name w:val="font9"/>
    <w:basedOn w:val="1"/>
    <w:qFormat/>
    <w:uiPriority w:val="0"/>
    <w:pPr>
      <w:widowControl/>
      <w:spacing w:before="100" w:beforeAutospacing="1" w:after="100" w:afterAutospacing="1"/>
      <w:jc w:val="left"/>
    </w:pPr>
    <w:rPr>
      <w:b/>
      <w:bCs/>
      <w:sz w:val="20"/>
    </w:rPr>
  </w:style>
  <w:style w:type="paragraph" w:customStyle="1" w:styleId="308">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hint="default" w:ascii="Calibri" w:hAnsi="Calibri" w:eastAsia="宋体" w:cs="Calibri"/>
      <w:sz w:val="21"/>
      <w:szCs w:val="21"/>
      <w:lang w:val="en-US" w:eastAsia="zh-CN" w:bidi="ar-SA"/>
    </w:rPr>
  </w:style>
  <w:style w:type="paragraph" w:customStyle="1" w:styleId="309">
    <w:name w:val="_Style 1"/>
    <w:basedOn w:val="1"/>
    <w:qFormat/>
    <w:uiPriority w:val="99"/>
    <w:pPr>
      <w:ind w:firstLine="420"/>
    </w:pPr>
    <w:rPr>
      <w:szCs w:val="22"/>
    </w:rPr>
  </w:style>
  <w:style w:type="paragraph" w:customStyle="1" w:styleId="310">
    <w:name w:val="Body"/>
    <w:qFormat/>
    <w:uiPriority w:val="0"/>
    <w:pPr>
      <w:spacing w:before="130" w:after="130" w:line="260" w:lineRule="exact"/>
    </w:pPr>
    <w:rPr>
      <w:rFonts w:hint="default" w:ascii="Univers" w:hAnsi="Univers" w:eastAsia="宋体" w:cs="Times New Roman"/>
      <w:color w:val="000000"/>
      <w:sz w:val="22"/>
      <w:lang w:val="en-US" w:eastAsia="en-US" w:bidi="ar-SA"/>
    </w:rPr>
  </w:style>
  <w:style w:type="paragraph" w:customStyle="1" w:styleId="311">
    <w:name w:val="列出段落1"/>
    <w:basedOn w:val="1"/>
    <w:qFormat/>
    <w:uiPriority w:val="0"/>
    <w:pPr>
      <w:ind w:firstLine="420"/>
    </w:pPr>
    <w:rPr>
      <w:sz w:val="20"/>
    </w:rPr>
  </w:style>
  <w:style w:type="paragraph" w:customStyle="1" w:styleId="312">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1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4">
    <w:name w:val="font11"/>
    <w:basedOn w:val="1"/>
    <w:qFormat/>
    <w:uiPriority w:val="0"/>
    <w:pPr>
      <w:widowControl/>
      <w:spacing w:before="100" w:beforeAutospacing="1" w:after="100" w:afterAutospacing="1"/>
      <w:jc w:val="left"/>
    </w:pPr>
    <w:rPr>
      <w:b/>
      <w:bCs/>
      <w:sz w:val="18"/>
      <w:szCs w:val="18"/>
    </w:rPr>
  </w:style>
  <w:style w:type="paragraph" w:customStyle="1" w:styleId="31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6">
    <w:name w:val=" Char1"/>
    <w:basedOn w:val="1"/>
    <w:qFormat/>
    <w:uiPriority w:val="0"/>
    <w:pPr>
      <w:widowControl/>
      <w:spacing w:after="160" w:line="240" w:lineRule="exact"/>
      <w:jc w:val="left"/>
    </w:pPr>
  </w:style>
  <w:style w:type="paragraph" w:customStyle="1" w:styleId="317">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18">
    <w:name w:val="普通文字"/>
    <w:basedOn w:val="1"/>
    <w:next w:val="1"/>
    <w:qFormat/>
    <w:uiPriority w:val="0"/>
    <w:rPr>
      <w:rFonts w:ascii="宋体"/>
      <w:sz w:val="24"/>
    </w:rPr>
  </w:style>
  <w:style w:type="paragraph" w:customStyle="1" w:styleId="319">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2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1">
    <w:name w:val="_标题 1"/>
    <w:basedOn w:val="1"/>
    <w:next w:val="249"/>
    <w:qFormat/>
    <w:uiPriority w:val="0"/>
    <w:pPr>
      <w:keepNext/>
      <w:keepLines/>
      <w:pageBreakBefore/>
      <w:widowControl/>
      <w:numPr>
        <w:ilvl w:val="0"/>
        <w:numId w:val="2"/>
      </w:numPr>
      <w:spacing w:before="340" w:after="330"/>
      <w:ind w:firstLine="0"/>
      <w:jc w:val="center"/>
      <w:outlineLvl w:val="0"/>
    </w:pPr>
    <w:rPr>
      <w:rFonts w:ascii="微软雅黑" w:hAnsi="微软雅黑"/>
      <w:b/>
      <w:bCs/>
      <w:sz w:val="32"/>
      <w:szCs w:val="28"/>
    </w:rPr>
  </w:style>
  <w:style w:type="paragraph" w:customStyle="1" w:styleId="322">
    <w:name w:val="_标题 3"/>
    <w:basedOn w:val="188"/>
    <w:next w:val="249"/>
    <w:qFormat/>
    <w:uiPriority w:val="0"/>
    <w:pPr>
      <w:keepLines/>
      <w:widowControl/>
      <w:numPr>
        <w:ilvl w:val="2"/>
        <w:numId w:val="2"/>
      </w:numPr>
      <w:spacing w:before="260" w:after="260"/>
      <w:jc w:val="left"/>
    </w:pPr>
    <w:rPr>
      <w:rFonts w:ascii="微软雅黑" w:hAnsi="微软雅黑" w:eastAsia="宋体"/>
      <w:sz w:val="21"/>
      <w:szCs w:val="21"/>
    </w:rPr>
  </w:style>
  <w:style w:type="paragraph" w:customStyle="1" w:styleId="323">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24">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2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6">
    <w:name w:val="font14"/>
    <w:basedOn w:val="1"/>
    <w:qFormat/>
    <w:uiPriority w:val="0"/>
    <w:pPr>
      <w:widowControl/>
      <w:spacing w:before="100" w:beforeAutospacing="1" w:after="100" w:afterAutospacing="1"/>
      <w:jc w:val="left"/>
    </w:pPr>
    <w:rPr>
      <w:sz w:val="36"/>
      <w:szCs w:val="36"/>
    </w:rPr>
  </w:style>
  <w:style w:type="paragraph" w:customStyle="1" w:styleId="327">
    <w:name w:val="彩色列表 - 着色 11"/>
    <w:basedOn w:val="1"/>
    <w:qFormat/>
    <w:uiPriority w:val="34"/>
    <w:pPr>
      <w:ind w:firstLine="420"/>
    </w:pPr>
    <w:rPr>
      <w:szCs w:val="24"/>
    </w:rPr>
  </w:style>
  <w:style w:type="paragraph" w:customStyle="1" w:styleId="328">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29">
    <w:name w:val="正文文本 字符"/>
    <w:link w:val="1"/>
    <w:semiHidden/>
    <w:qFormat/>
    <w:uiPriority w:val="0"/>
    <w:rPr>
      <w:rFonts w:cs="Times New Roman"/>
      <w:sz w:val="20"/>
      <w:szCs w:val="20"/>
    </w:rPr>
  </w:style>
  <w:style w:type="character" w:customStyle="1" w:styleId="330">
    <w:name w:val="页脚 字符"/>
    <w:link w:val="1"/>
    <w:qFormat/>
    <w:uiPriority w:val="99"/>
    <w:rPr>
      <w:rFonts w:cs="Times New Roman"/>
      <w:sz w:val="18"/>
      <w:szCs w:val="18"/>
    </w:rPr>
  </w:style>
  <w:style w:type="character" w:customStyle="1" w:styleId="331">
    <w:name w:val="正文文本缩进 字符"/>
    <w:link w:val="1"/>
    <w:semiHidden/>
    <w:qFormat/>
    <w:uiPriority w:val="0"/>
    <w:rPr>
      <w:rFonts w:cs="Times New Roman"/>
      <w:sz w:val="20"/>
      <w:szCs w:val="20"/>
    </w:rPr>
  </w:style>
  <w:style w:type="character" w:customStyle="1" w:styleId="332">
    <w:name w:val="批注框文本 字符"/>
    <w:link w:val="1"/>
    <w:qFormat/>
    <w:uiPriority w:val="0"/>
    <w:rPr>
      <w:sz w:val="18"/>
      <w:szCs w:val="18"/>
    </w:rPr>
  </w:style>
  <w:style w:type="character" w:customStyle="1" w:styleId="333">
    <w:name w:val="批注主题 字符"/>
    <w:link w:val="1"/>
    <w:semiHidden/>
    <w:qFormat/>
    <w:uiPriority w:val="99"/>
    <w:rPr>
      <w:b/>
      <w:bCs/>
      <w:sz w:val="21"/>
    </w:rPr>
  </w:style>
  <w:style w:type="character" w:customStyle="1" w:styleId="334">
    <w:name w:val="正文文本缩进 2 字符"/>
    <w:link w:val="1"/>
    <w:semiHidden/>
    <w:qFormat/>
    <w:uiPriority w:val="0"/>
    <w:rPr>
      <w:rFonts w:cs="Times New Roman"/>
      <w:sz w:val="20"/>
      <w:szCs w:val="20"/>
    </w:rPr>
  </w:style>
  <w:style w:type="character" w:customStyle="1" w:styleId="335">
    <w:name w:val="正文文本 2 字符"/>
    <w:link w:val="1"/>
    <w:semiHidden/>
    <w:qFormat/>
    <w:uiPriority w:val="0"/>
    <w:rPr>
      <w:rFonts w:cs="Times New Roman"/>
      <w:sz w:val="20"/>
      <w:szCs w:val="20"/>
    </w:rPr>
  </w:style>
  <w:style w:type="character" w:customStyle="1" w:styleId="336">
    <w:name w:val="正文文本缩进 3 字符"/>
    <w:link w:val="1"/>
    <w:semiHidden/>
    <w:qFormat/>
    <w:uiPriority w:val="0"/>
    <w:rPr>
      <w:rFonts w:cs="Times New Roman"/>
      <w:sz w:val="16"/>
      <w:szCs w:val="16"/>
    </w:rPr>
  </w:style>
  <w:style w:type="character" w:customStyle="1" w:styleId="337">
    <w:name w:val="标题 字符"/>
    <w:link w:val="1"/>
    <w:qFormat/>
    <w:uiPriority w:val="99"/>
    <w:rPr>
      <w:rFonts w:ascii="Cambria" w:hAnsi="Cambria" w:cs="Cambria"/>
      <w:b/>
      <w:bCs/>
      <w:sz w:val="32"/>
      <w:szCs w:val="32"/>
    </w:rPr>
  </w:style>
  <w:style w:type="character" w:customStyle="1" w:styleId="338">
    <w:name w:val="文档结构图 字符"/>
    <w:link w:val="1"/>
    <w:semiHidden/>
    <w:qFormat/>
    <w:uiPriority w:val="0"/>
    <w:rPr>
      <w:rFonts w:cs="Times New Roman"/>
      <w:sz w:val="2"/>
    </w:rPr>
  </w:style>
  <w:style w:type="character" w:customStyle="1" w:styleId="339">
    <w:name w:val="日期 字符"/>
    <w:link w:val="1"/>
    <w:semiHidden/>
    <w:qFormat/>
    <w:uiPriority w:val="0"/>
    <w:rPr>
      <w:rFonts w:cs="Times New Roman"/>
      <w:sz w:val="20"/>
      <w:szCs w:val="20"/>
    </w:rPr>
  </w:style>
  <w:style w:type="character" w:customStyle="1" w:styleId="340">
    <w:name w:val="标题 2 字符"/>
    <w:link w:val="1"/>
    <w:semiHidden/>
    <w:qFormat/>
    <w:uiPriority w:val="0"/>
    <w:rPr>
      <w:rFonts w:ascii="Cambria" w:hAnsi="Cambria" w:eastAsia="宋体" w:cs="Times New Roman"/>
      <w:b/>
      <w:bCs/>
      <w:sz w:val="32"/>
      <w:szCs w:val="32"/>
    </w:rPr>
  </w:style>
  <w:style w:type="character" w:customStyle="1" w:styleId="341">
    <w:name w:val="副标题 字符"/>
    <w:link w:val="1"/>
    <w:qFormat/>
    <w:uiPriority w:val="11"/>
    <w:rPr>
      <w:rFonts w:ascii="Calibri Light" w:hAnsi="Calibri Light"/>
      <w:b/>
      <w:bCs/>
      <w:sz w:val="32"/>
      <w:szCs w:val="32"/>
    </w:rPr>
  </w:style>
  <w:style w:type="character" w:customStyle="1" w:styleId="342">
    <w:name w:val="标题 4 字符"/>
    <w:link w:val="1"/>
    <w:semiHidden/>
    <w:qFormat/>
    <w:uiPriority w:val="0"/>
    <w:rPr>
      <w:rFonts w:ascii="Cambria" w:hAnsi="Cambria" w:eastAsia="宋体" w:cs="Times New Roman"/>
      <w:b/>
      <w:bCs/>
      <w:sz w:val="28"/>
      <w:szCs w:val="28"/>
    </w:rPr>
  </w:style>
  <w:style w:type="character" w:customStyle="1" w:styleId="343">
    <w:name w:val="标题 1 字符"/>
    <w:link w:val="1"/>
    <w:qFormat/>
    <w:uiPriority w:val="0"/>
    <w:rPr>
      <w:rFonts w:cs="Times New Roman"/>
      <w:b/>
      <w:bCs/>
      <w:sz w:val="44"/>
      <w:szCs w:val="44"/>
    </w:rPr>
  </w:style>
  <w:style w:type="character" w:customStyle="1" w:styleId="344">
    <w:name w:val="标题 3 字符"/>
    <w:link w:val="1"/>
    <w:semiHidden/>
    <w:qFormat/>
    <w:uiPriority w:val="0"/>
    <w:rPr>
      <w:rFonts w:cs="Times New Roman"/>
      <w:b/>
      <w:bCs/>
      <w:sz w:val="32"/>
      <w:szCs w:val="32"/>
    </w:rPr>
  </w:style>
  <w:style w:type="character" w:customStyle="1" w:styleId="345">
    <w:name w:val="列出段落 字符1"/>
    <w:link w:val="1"/>
    <w:qFormat/>
    <w:uiPriority w:val="34"/>
    <w:rPr>
      <w:sz w:val="21"/>
    </w:rPr>
  </w:style>
  <w:style w:type="character" w:customStyle="1" w:styleId="346">
    <w:name w:val="标题 5 字符"/>
    <w:link w:val="1"/>
    <w:qFormat/>
    <w:uiPriority w:val="0"/>
    <w:rPr>
      <w:rFonts w:ascii="楷体_GB2312" w:eastAsia="楷体_GB2312"/>
      <w:bCs/>
      <w:sz w:val="28"/>
    </w:rPr>
  </w:style>
  <w:style w:type="character" w:customStyle="1" w:styleId="347">
    <w:name w:val="页眉 字符"/>
    <w:link w:val="1"/>
    <w:qFormat/>
    <w:uiPriority w:val="99"/>
    <w:rPr>
      <w:rFonts w:cs="Times New Roman"/>
      <w:sz w:val="18"/>
      <w:szCs w:val="18"/>
    </w:rPr>
  </w:style>
  <w:style w:type="character" w:customStyle="1" w:styleId="348">
    <w:name w:val="批注文字 字符"/>
    <w:link w:val="1"/>
    <w:semiHidden/>
    <w:qFormat/>
    <w:uiPriority w:val="99"/>
    <w:rPr>
      <w:sz w:val="21"/>
    </w:rPr>
  </w:style>
  <w:style w:type="paragraph" w:customStyle="1" w:styleId="349">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350">
    <w:name w:val="Char1 Char Char Char"/>
    <w:basedOn w:val="1"/>
    <w:qFormat/>
    <w:uiPriority w:val="0"/>
    <w:rPr>
      <w:rFonts w:ascii="Tahoma" w:hAnsi="Tahoma"/>
      <w:sz w:val="24"/>
    </w:rPr>
  </w:style>
  <w:style w:type="paragraph" w:customStyle="1" w:styleId="351">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2">
    <w:name w:val="Normal_0_1"/>
    <w:qFormat/>
    <w:uiPriority w:val="0"/>
    <w:rPr>
      <w:rFonts w:hint="default" w:ascii="Calibri" w:hAnsi="Calibri" w:eastAsia="Times New Roman" w:cs="Times New Roman"/>
      <w:sz w:val="24"/>
      <w:szCs w:val="24"/>
      <w:lang w:val="en-US" w:eastAsia="zh-CN" w:bidi="ar-SA"/>
    </w:rPr>
  </w:style>
  <w:style w:type="paragraph" w:customStyle="1" w:styleId="353">
    <w:name w:val="段"/>
    <w:next w:val="1"/>
    <w:qFormat/>
    <w:uiPriority w:val="99"/>
    <w:pPr>
      <w:ind w:firstLine="200"/>
      <w:jc w:val="both"/>
    </w:pPr>
    <w:rPr>
      <w:rFonts w:hint="default" w:ascii="宋体" w:hAnsi="Times New Roman" w:eastAsia="Times New Roman" w:cs="Times New Roman"/>
      <w:sz w:val="21"/>
      <w:lang w:val="en-US" w:eastAsia="zh-CN" w:bidi="ar-SA"/>
    </w:rPr>
  </w:style>
  <w:style w:type="character" w:customStyle="1" w:styleId="354">
    <w:name w:val="NormalCharacter1"/>
    <w:link w:val="1"/>
    <w:qFormat/>
    <w:uiPriority w:val="0"/>
  </w:style>
  <w:style w:type="paragraph" w:customStyle="1" w:styleId="355">
    <w:name w:val="02-标书-标题2"/>
    <w:qFormat/>
    <w:uiPriority w:val="0"/>
    <w:pPr>
      <w:numPr>
        <w:ilvl w:val="1"/>
        <w:numId w:val="3"/>
      </w:numPr>
      <w:spacing w:line="360" w:lineRule="auto"/>
      <w:outlineLvl w:val="1"/>
    </w:pPr>
    <w:rPr>
      <w:rFonts w:hint="default" w:ascii="黑体" w:hAnsi="宋体" w:eastAsia="黑体" w:cs="Calibri"/>
      <w:sz w:val="32"/>
      <w:szCs w:val="28"/>
      <w:lang w:val="en-US" w:eastAsia="zh-CN" w:bidi="ar-SA"/>
    </w:rPr>
  </w:style>
  <w:style w:type="character" w:customStyle="1" w:styleId="356">
    <w:name w:val="font101"/>
    <w:basedOn w:val="191"/>
    <w:link w:val="1"/>
    <w:qFormat/>
    <w:uiPriority w:val="0"/>
    <w:rPr>
      <w:rFonts w:ascii="Times New Roman" w:hAnsi="Times New Roman" w:cs="Times New Roman"/>
      <w:b/>
      <w:bCs/>
      <w:color w:val="FF0000"/>
      <w:sz w:val="16"/>
      <w:szCs w:val="16"/>
      <w:u w:val="none"/>
    </w:rPr>
  </w:style>
  <w:style w:type="paragraph" w:customStyle="1" w:styleId="357">
    <w:name w:val="Body text|1"/>
    <w:basedOn w:val="1"/>
    <w:qFormat/>
    <w:uiPriority w:val="0"/>
    <w:pPr>
      <w:spacing w:line="430" w:lineRule="auto"/>
      <w:ind w:firstLine="400"/>
    </w:pPr>
    <w:rPr>
      <w:rFonts w:ascii="宋体" w:hAnsi="宋体" w:cs="宋体"/>
      <w:sz w:val="42"/>
      <w:szCs w:val="42"/>
      <w:lang w:val="zh-TW" w:eastAsia="zh-TW" w:bidi="zh-TW"/>
    </w:rPr>
  </w:style>
  <w:style w:type="paragraph" w:customStyle="1" w:styleId="358">
    <w:name w:val="纯文本1"/>
    <w:basedOn w:val="1"/>
    <w:qFormat/>
    <w:uiPriority w:val="0"/>
    <w:rPr>
      <w:rFonts w:ascii="宋体" w:hAnsi="Courier New" w:eastAsia="楷体_GB2312" w:cs="宋体"/>
      <w:sz w:val="28"/>
    </w:rPr>
  </w:style>
  <w:style w:type="character" w:customStyle="1" w:styleId="359">
    <w:name w:val="默认段落字体1"/>
    <w:link w:val="1"/>
    <w:unhideWhenUsed/>
    <w:qFormat/>
    <w:uiPriority w:val="1"/>
  </w:style>
  <w:style w:type="paragraph" w:customStyle="1" w:styleId="360">
    <w:name w:val="标题 31"/>
    <w:basedOn w:val="1"/>
    <w:next w:val="36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paragraph" w:customStyle="1" w:styleId="361">
    <w:name w:val="正文缩进1"/>
    <w:basedOn w:val="1"/>
    <w:qFormat/>
    <w:uiPriority w:val="0"/>
    <w:pPr>
      <w:ind w:firstLine="420"/>
    </w:pPr>
    <w:rPr>
      <w:sz w:val="20"/>
    </w:rPr>
  </w:style>
  <w:style w:type="paragraph" w:customStyle="1" w:styleId="362">
    <w:name w:val="标题 41"/>
    <w:basedOn w:val="1"/>
    <w:next w:val="361"/>
    <w:qFormat/>
    <w:uiPriority w:val="0"/>
    <w:pPr>
      <w:keepNext/>
      <w:keepLines/>
      <w:spacing w:before="280" w:after="290" w:line="376" w:lineRule="auto"/>
      <w:outlineLvl w:val="3"/>
    </w:pPr>
    <w:rPr>
      <w:rFonts w:ascii="Arial" w:hAnsi="Arial" w:eastAsia="黑体"/>
      <w:b/>
      <w:bCs/>
      <w:sz w:val="28"/>
      <w:szCs w:val="28"/>
    </w:rPr>
  </w:style>
  <w:style w:type="paragraph" w:customStyle="1" w:styleId="363">
    <w:name w:val="Table Text"/>
    <w:basedOn w:val="1"/>
    <w:semiHidden/>
    <w:qFormat/>
    <w:uiPriority w:val="0"/>
    <w:rPr>
      <w:szCs w:val="21"/>
      <w:lang w:eastAsia="en-US"/>
    </w:rPr>
  </w:style>
  <w:style w:type="paragraph" w:customStyle="1" w:styleId="364">
    <w:name w:val="普通正文"/>
    <w:basedOn w:val="1"/>
    <w:qFormat/>
    <w:uiPriority w:val="0"/>
    <w:pPr>
      <w:spacing w:before="120" w:after="120" w:line="360" w:lineRule="auto"/>
      <w:ind w:firstLine="480"/>
      <w:jc w:val="left"/>
    </w:pPr>
    <w:rPr>
      <w:rFonts w:ascii="Arial" w:hAnsi="Arial"/>
      <w:sz w:val="24"/>
      <w:szCs w:val="24"/>
    </w:rPr>
  </w:style>
  <w:style w:type="paragraph" w:customStyle="1" w:styleId="365">
    <w:name w:val="Char"/>
    <w:basedOn w:val="1"/>
    <w:qFormat/>
    <w:uiPriority w:val="0"/>
    <w:pPr>
      <w:tabs>
        <w:tab w:val="left" w:pos="360"/>
      </w:tabs>
      <w:ind w:firstLine="200"/>
    </w:pPr>
    <w:rPr>
      <w:sz w:val="28"/>
      <w:szCs w:val="30"/>
    </w:rPr>
  </w:style>
  <w:style w:type="character" w:customStyle="1" w:styleId="366">
    <w:name w:val="HTML 打字机1"/>
    <w:link w:val="1"/>
    <w:qFormat/>
    <w:uiPriority w:val="99"/>
    <w:rPr>
      <w:rFonts w:ascii="宋体" w:hAnsi="宋体" w:eastAsia="宋体" w:cs="宋体"/>
      <w:sz w:val="24"/>
      <w:szCs w:val="24"/>
    </w:rPr>
  </w:style>
  <w:style w:type="paragraph" w:customStyle="1" w:styleId="367">
    <w:name w:val="Table Paragraph"/>
    <w:basedOn w:val="1"/>
    <w:qFormat/>
    <w:uiPriority w:val="1"/>
    <w:rPr>
      <w:rFonts w:ascii="宋体" w:hAnsi="宋体" w:cs="宋体"/>
      <w:szCs w:val="24"/>
      <w:lang w:val="zh-CN" w:bidi="zh-CN"/>
    </w:rPr>
  </w:style>
  <w:style w:type="paragraph" w:customStyle="1" w:styleId="368">
    <w:name w:val="_Style 14"/>
    <w:basedOn w:val="1"/>
    <w:next w:val="246"/>
    <w:qFormat/>
    <w:uiPriority w:val="99"/>
    <w:pPr>
      <w:ind w:firstLine="420"/>
    </w:pPr>
    <w:rPr>
      <w:rFonts w:ascii="宋体" w:hAnsi="宋体" w:cs="Times New Roman"/>
      <w:bCs/>
      <w:szCs w:val="32"/>
    </w:rPr>
  </w:style>
  <w:style w:type="paragraph" w:customStyle="1" w:styleId="369">
    <w:name w:val="List Paragraph1"/>
    <w:basedOn w:val="1"/>
    <w:qFormat/>
    <w:uiPriority w:val="0"/>
    <w:pPr>
      <w:ind w:firstLine="420"/>
    </w:pPr>
    <w:rPr>
      <w:szCs w:val="21"/>
    </w:rPr>
  </w:style>
  <w:style w:type="character" w:customStyle="1" w:styleId="370">
    <w:name w:val="font131"/>
    <w:basedOn w:val="191"/>
    <w:link w:val="1"/>
    <w:qFormat/>
    <w:uiPriority w:val="0"/>
    <w:rPr>
      <w:rFonts w:ascii="Calibri" w:hAnsi="Calibri" w:cs="Calibri"/>
      <w:color w:val="000000"/>
      <w:sz w:val="22"/>
      <w:szCs w:val="22"/>
      <w:u w:val="none"/>
    </w:rPr>
  </w:style>
  <w:style w:type="character" w:customStyle="1" w:styleId="371">
    <w:name w:val="font141"/>
    <w:basedOn w:val="191"/>
    <w:link w:val="1"/>
    <w:qFormat/>
    <w:uiPriority w:val="0"/>
    <w:rPr>
      <w:rFonts w:hint="eastAsia" w:ascii="宋体" w:hAnsi="宋体" w:eastAsia="宋体" w:cs="宋体"/>
      <w:color w:val="000000"/>
      <w:sz w:val="22"/>
      <w:szCs w:val="22"/>
      <w:u w:val="none"/>
    </w:rPr>
  </w:style>
  <w:style w:type="character" w:customStyle="1" w:styleId="372">
    <w:name w:val="font31"/>
    <w:basedOn w:val="33"/>
    <w:link w:val="1"/>
    <w:qFormat/>
    <w:uiPriority w:val="0"/>
    <w:rPr>
      <w:rFonts w:hint="eastAsia" w:ascii="楷体" w:hAnsi="楷体" w:eastAsia="楷体" w:cs="楷体"/>
      <w:color w:val="000000"/>
      <w:sz w:val="22"/>
      <w:szCs w:val="22"/>
      <w:u w:val="none"/>
    </w:rPr>
  </w:style>
  <w:style w:type="character" w:customStyle="1" w:styleId="373">
    <w:name w:val="font151"/>
    <w:basedOn w:val="191"/>
    <w:link w:val="1"/>
    <w:qFormat/>
    <w:uiPriority w:val="0"/>
    <w:rPr>
      <w:rFonts w:hint="eastAsia" w:ascii="宋体" w:hAnsi="宋体" w:eastAsia="宋体" w:cs="宋体"/>
      <w:color w:val="000000"/>
      <w:sz w:val="22"/>
      <w:szCs w:val="22"/>
      <w:u w:val="none"/>
    </w:rPr>
  </w:style>
  <w:style w:type="paragraph" w:customStyle="1" w:styleId="374">
    <w:name w:val="正文首行缩进 21"/>
    <w:basedOn w:val="375"/>
    <w:qFormat/>
    <w:uiPriority w:val="0"/>
    <w:pPr>
      <w:spacing w:line="360" w:lineRule="auto"/>
      <w:ind w:firstLine="420"/>
    </w:pPr>
    <w:rPr>
      <w:rFonts w:ascii="宋体" w:hAnsi="宋体" w:eastAsia="宋体"/>
      <w:szCs w:val="20"/>
    </w:rPr>
  </w:style>
  <w:style w:type="paragraph" w:customStyle="1" w:styleId="375">
    <w:name w:val="正文文本缩进1"/>
    <w:basedOn w:val="1"/>
    <w:next w:val="376"/>
    <w:qFormat/>
    <w:uiPriority w:val="0"/>
    <w:pPr>
      <w:ind w:firstLine="645"/>
    </w:pPr>
    <w:rPr>
      <w:rFonts w:ascii="楷体_GB2312" w:eastAsia="楷体_GB2312"/>
      <w:sz w:val="32"/>
      <w:szCs w:val="32"/>
    </w:rPr>
  </w:style>
  <w:style w:type="paragraph" w:customStyle="1" w:styleId="376">
    <w:name w:val="寄信人地址1"/>
    <w:basedOn w:val="1"/>
    <w:unhideWhenUsed/>
    <w:qFormat/>
    <w:uiPriority w:val="99"/>
    <w:rPr>
      <w:rFonts w:hint="eastAsia" w:ascii="Arial" w:hAnsi="Arial"/>
      <w:sz w:val="24"/>
    </w:rPr>
  </w:style>
  <w:style w:type="character" w:customStyle="1" w:styleId="377">
    <w:name w:val="font21"/>
    <w:basedOn w:val="191"/>
    <w:link w:val="1"/>
    <w:qFormat/>
    <w:uiPriority w:val="0"/>
    <w:rPr>
      <w:rFonts w:hint="eastAsia" w:ascii="宋体" w:hAnsi="宋体" w:eastAsia="宋体" w:cs="宋体"/>
      <w:b/>
      <w:bCs/>
      <w:color w:val="000000"/>
      <w:sz w:val="20"/>
      <w:szCs w:val="20"/>
      <w:u w:val="none"/>
    </w:rPr>
  </w:style>
  <w:style w:type="character" w:customStyle="1" w:styleId="378">
    <w:name w:val="font41"/>
    <w:basedOn w:val="191"/>
    <w:link w:val="1"/>
    <w:qFormat/>
    <w:uiPriority w:val="0"/>
    <w:rPr>
      <w:rFonts w:ascii="宋体" w:hAnsi="宋体" w:eastAsia="宋体" w:cs="宋体"/>
      <w:b/>
      <w:bCs/>
      <w:color w:val="000000"/>
      <w:sz w:val="20"/>
      <w:szCs w:val="20"/>
      <w:u w:val="none"/>
    </w:rPr>
  </w:style>
  <w:style w:type="character" w:customStyle="1" w:styleId="379">
    <w:name w:val="font51"/>
    <w:basedOn w:val="191"/>
    <w:link w:val="1"/>
    <w:qFormat/>
    <w:uiPriority w:val="0"/>
    <w:rPr>
      <w:rFonts w:ascii="等线" w:hAnsi="等线" w:eastAsia="等线" w:cs="等线"/>
      <w:b/>
      <w:bCs/>
      <w:color w:val="000000"/>
      <w:sz w:val="20"/>
      <w:szCs w:val="20"/>
      <w:u w:val="none"/>
    </w:rPr>
  </w:style>
  <w:style w:type="character" w:customStyle="1" w:styleId="380">
    <w:name w:val="fontstyle01"/>
    <w:link w:val="1"/>
    <w:qFormat/>
    <w:uiPriority w:val="0"/>
    <w:rPr>
      <w:rFonts w:hint="eastAsia" w:ascii="宋体" w:hAnsi="宋体" w:eastAsia="宋体"/>
      <w:color w:val="000000"/>
      <w:sz w:val="24"/>
      <w:szCs w:val="24"/>
    </w:rPr>
  </w:style>
  <w:style w:type="paragraph" w:customStyle="1" w:styleId="381">
    <w:name w:val="列表段落1"/>
    <w:qFormat/>
    <w:uiPriority w:val="0"/>
    <w:pPr>
      <w:widowControl w:val="0"/>
      <w:ind w:firstLine="420"/>
      <w:jc w:val="both"/>
    </w:pPr>
    <w:rPr>
      <w:rFonts w:hint="default" w:ascii="Times New Roman" w:hAnsi="Times New Roman" w:eastAsia="宋体" w:cs="Times New Roman"/>
      <w:sz w:val="21"/>
      <w:lang w:val="en-US" w:eastAsia="zh-CN" w:bidi="ar-SA"/>
    </w:rPr>
  </w:style>
  <w:style w:type="character" w:customStyle="1" w:styleId="382">
    <w:name w:val="font251"/>
    <w:basedOn w:val="191"/>
    <w:link w:val="1"/>
    <w:qFormat/>
    <w:uiPriority w:val="0"/>
    <w:rPr>
      <w:rFonts w:hint="eastAsia" w:ascii="宋体" w:hAnsi="宋体" w:eastAsia="宋体" w:cs="宋体"/>
      <w:color w:val="FF0000"/>
      <w:sz w:val="20"/>
      <w:szCs w:val="20"/>
      <w:u w:val="none"/>
    </w:rPr>
  </w:style>
  <w:style w:type="character" w:customStyle="1" w:styleId="383">
    <w:name w:val="font91"/>
    <w:basedOn w:val="33"/>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邀请招</Template>
  <Company>Lenov</Company>
  <Pages>97</Pages>
  <Words>16269</Words>
  <Characters>17645</Characters>
  <TotalTime>3</TotalTime>
  <ScaleCrop>false</ScaleCrop>
  <LinksUpToDate>false</LinksUpToDate>
  <CharactersWithSpaces>17762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dc:creator>
  <cp:lastModifiedBy>俊俊</cp:lastModifiedBy>
  <dcterms:modified xsi:type="dcterms:W3CDTF">2026-08-25T02:58:12Z</dcterms:modified>
  <dc:title>投标邀</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0737A0ADFF434D589C2CB9D1BDC0FE92_13</vt:lpwstr>
  </property>
  <property fmtid="{D5CDD505-2E9C-101B-9397-08002B2CF9AE}" pid="4" name="KSOTemplateDocerSaveRecord">
    <vt:lpwstr>eyJoZGlkIjoiOWMyNDI3ZWI4YmM0NjdlMGViOTE3ODY3YTk2NzY2YzYiLCJ1c2VySWQiOiI5MjgxOTkyNDUifQ==</vt:lpwstr>
  </property>
</Properties>
</file>