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670"/>
        <w:gridCol w:w="1077"/>
        <w:gridCol w:w="4840"/>
        <w:gridCol w:w="1255"/>
      </w:tblGrid>
      <w:tr w14:paraId="487D8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58DC2F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25" w:type="pct"/>
            <w:gridSpan w:val="2"/>
            <w:shd w:val="clear" w:color="auto" w:fill="auto"/>
            <w:vAlign w:val="center"/>
          </w:tcPr>
          <w:p w14:paraId="58FC9D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服务项目</w:t>
            </w:r>
          </w:p>
        </w:tc>
        <w:tc>
          <w:tcPr>
            <w:tcW w:w="2840" w:type="pct"/>
            <w:vAlign w:val="center"/>
          </w:tcPr>
          <w:p w14:paraId="1ECB7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736" w:type="pct"/>
            <w:vAlign w:val="center"/>
          </w:tcPr>
          <w:p w14:paraId="51511D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服务形式</w:t>
            </w:r>
          </w:p>
        </w:tc>
      </w:tr>
      <w:tr w14:paraId="1E3B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505DED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93" w:type="pct"/>
            <w:vMerge w:val="restart"/>
            <w:shd w:val="clear" w:color="auto" w:fill="auto"/>
            <w:vAlign w:val="center"/>
          </w:tcPr>
          <w:p w14:paraId="72A278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数据安全服务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7B418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数据接口防护服务</w:t>
            </w:r>
          </w:p>
        </w:tc>
        <w:tc>
          <w:tcPr>
            <w:tcW w:w="2840" w:type="pct"/>
            <w:vAlign w:val="center"/>
          </w:tcPr>
          <w:p w14:paraId="563446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提供应用系统API访问行为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的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细粒度实时监测，及时发现API访问异常行为，避免系统被攻击；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提供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应用系统API资产自动化梳理盘点，形成应用系统、API资产、责任人关联资产台账，清晰掌握应用系统API资产；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提供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API访问行为实时监测，发现存在异常访问的行为；对数据中台开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放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API进行识别，发现数据中台开放API传输的敏感数据。</w:t>
            </w:r>
          </w:p>
        </w:tc>
        <w:tc>
          <w:tcPr>
            <w:tcW w:w="736" w:type="pct"/>
            <w:vAlign w:val="center"/>
          </w:tcPr>
          <w:p w14:paraId="01AEF3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现场</w:t>
            </w:r>
          </w:p>
        </w:tc>
      </w:tr>
      <w:tr w14:paraId="1DEE0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3C1426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93" w:type="pct"/>
            <w:vMerge w:val="continue"/>
            <w:shd w:val="clear" w:color="auto" w:fill="auto"/>
            <w:vAlign w:val="center"/>
          </w:tcPr>
          <w:p w14:paraId="1E20D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5F97B4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数据库审计服务</w:t>
            </w:r>
          </w:p>
        </w:tc>
        <w:tc>
          <w:tcPr>
            <w:tcW w:w="2840" w:type="pct"/>
            <w:vAlign w:val="center"/>
          </w:tcPr>
          <w:p w14:paraId="69E2D9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提供基于数据库协议解析与分析技术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的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库安全审计服务，采用数据库深度报文协议解析技术DPI及流媒体分析技术DFI等，将数据库的各种访问操作，解析还原为数据库级的操作语句，通过安全规则匹配，智能分析和监控访问者操作，进行实时威胁预警，并对事件进行统计分析记录，生成分析报告，通过多重身份定位溯源，实现核心数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有效保护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736" w:type="pct"/>
            <w:vAlign w:val="center"/>
          </w:tcPr>
          <w:p w14:paraId="2C92C6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现场</w:t>
            </w:r>
          </w:p>
        </w:tc>
      </w:tr>
      <w:tr w14:paraId="6E43B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4D329E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93" w:type="pct"/>
            <w:vMerge w:val="continue"/>
            <w:shd w:val="clear" w:color="auto" w:fill="auto"/>
            <w:vAlign w:val="center"/>
          </w:tcPr>
          <w:p w14:paraId="7A557B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5A63E7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数据安全态势感知服务</w:t>
            </w:r>
          </w:p>
        </w:tc>
        <w:tc>
          <w:tcPr>
            <w:tcW w:w="2840" w:type="pct"/>
            <w:vAlign w:val="center"/>
          </w:tcPr>
          <w:p w14:paraId="003D82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遵循持续自适应风险与信任评估（CARTA）安全理念，提供全生命周期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的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一体化数据安全态势感知服务，盘点全域数据资产，清晰呈现资产分布与敏感数据态势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实时监测数据采集、传输、存储、使用、共享至销毁全链路流转行为并实现全程溯源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发现各类异常风险，动态研判风险等级与发展趋势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同时贴合合规要求生成审计台账报表，并通过统一态势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界面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汇聚内部数据安全态势，全方位构建数据安全发现、防护、检测、响应体系，实现常态化安全运营。</w:t>
            </w:r>
          </w:p>
        </w:tc>
        <w:tc>
          <w:tcPr>
            <w:tcW w:w="736" w:type="pct"/>
            <w:vAlign w:val="center"/>
          </w:tcPr>
          <w:p w14:paraId="65391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现场</w:t>
            </w:r>
          </w:p>
        </w:tc>
      </w:tr>
      <w:tr w14:paraId="4173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3494C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393" w:type="pct"/>
            <w:vMerge w:val="continue"/>
            <w:shd w:val="clear" w:color="auto" w:fill="auto"/>
            <w:vAlign w:val="center"/>
          </w:tcPr>
          <w:p w14:paraId="45570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411F5A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AI数据安全风险研判服务</w:t>
            </w:r>
          </w:p>
        </w:tc>
        <w:tc>
          <w:tcPr>
            <w:tcW w:w="2840" w:type="pct"/>
            <w:vAlign w:val="center"/>
          </w:tcPr>
          <w:p w14:paraId="7D3438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基于AI大模型智能研判能力，提供数据安全告警智能研判、风险线索关联分析、风险事件智能定级解读、自动输出研判依据与事件报告等智能化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数据安全风险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研判服务，并依托AI辅助运营能力指导安全运营处置动作。服务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范围包括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账号、应用、数据库、接口、数据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交换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开发测试环境等各类数据安全场景，提供全方位场景化风险监控、事件分析与用户风险核查服务，精准识别异常账号、权限失序应用、API滥用、数据暴露面扩大等隐性风险，同时提供风险事件邮件告警推送服务，实现数据安全风险的智能研判、精准发现与快速闭环处置。</w:t>
            </w:r>
          </w:p>
        </w:tc>
        <w:tc>
          <w:tcPr>
            <w:tcW w:w="736" w:type="pct"/>
            <w:vAlign w:val="center"/>
          </w:tcPr>
          <w:p w14:paraId="23FC35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现场</w:t>
            </w:r>
          </w:p>
        </w:tc>
      </w:tr>
      <w:tr w14:paraId="0501B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779760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393" w:type="pct"/>
            <w:vMerge w:val="continue"/>
            <w:shd w:val="clear" w:color="auto" w:fill="auto"/>
            <w:vAlign w:val="center"/>
          </w:tcPr>
          <w:p w14:paraId="7AAE6B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646E24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数据安全运营服务</w:t>
            </w:r>
          </w:p>
        </w:tc>
        <w:tc>
          <w:tcPr>
            <w:tcW w:w="2840" w:type="pct"/>
            <w:vAlign w:val="center"/>
          </w:tcPr>
          <w:p w14:paraId="009186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针对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数据安全保护的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完整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服务体系，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遵循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数据安全管理制度体系要求，充分利用数据安全防护技术工具，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采取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数据安全风险识别、安全防御、安全检测、安全响应和安全恢复管理手段，提升数据安全运营保障，建立事前管审批、事中全留痕、事后可追溯的全链路数据安全监管机制，及时发现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和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处置各类数据安全风险，切实防范数据篡改、泄漏、滥用。</w:t>
            </w:r>
          </w:p>
        </w:tc>
        <w:tc>
          <w:tcPr>
            <w:tcW w:w="736" w:type="pct"/>
            <w:vAlign w:val="center"/>
          </w:tcPr>
          <w:p w14:paraId="492E34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现场</w:t>
            </w:r>
          </w:p>
        </w:tc>
      </w:tr>
      <w:tr w14:paraId="1D6D7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6F5C49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93" w:type="pct"/>
            <w:shd w:val="clear" w:color="auto" w:fill="auto"/>
            <w:vAlign w:val="center"/>
          </w:tcPr>
          <w:p w14:paraId="76CCF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终端安全能力提升服务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08EFCE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250个服务器终端防护服务</w:t>
            </w:r>
          </w:p>
        </w:tc>
        <w:tc>
          <w:tcPr>
            <w:tcW w:w="2840" w:type="pct"/>
            <w:vAlign w:val="center"/>
          </w:tcPr>
          <w:p w14:paraId="0D66F4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不少于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250个服务器终端的安全防护和杀毒服务，实时监测所有防护终端的安全运行情况，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及时更新和维护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终端病毒库。</w:t>
            </w:r>
          </w:p>
        </w:tc>
        <w:tc>
          <w:tcPr>
            <w:tcW w:w="736" w:type="pct"/>
            <w:vAlign w:val="center"/>
          </w:tcPr>
          <w:p w14:paraId="6E098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现场</w:t>
            </w:r>
          </w:p>
        </w:tc>
      </w:tr>
      <w:tr w14:paraId="4E12A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7FC40E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393" w:type="pct"/>
            <w:shd w:val="clear" w:color="auto" w:fill="auto"/>
            <w:vAlign w:val="center"/>
          </w:tcPr>
          <w:p w14:paraId="4881DC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应急响应服务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3A1AC3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应急响应服务</w:t>
            </w:r>
          </w:p>
        </w:tc>
        <w:tc>
          <w:tcPr>
            <w:tcW w:w="2840" w:type="pct"/>
            <w:vAlign w:val="center"/>
          </w:tcPr>
          <w:p w14:paraId="53672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提供信息破坏事件（篡改、泄露、窃取、丢失等）、大规模病毒事件、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安全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漏洞事件等信息安全事件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的应急响应服务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及时安排技术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专家协助处置。其中，应急响应事件服务范围包括勒索病毒、挖矿木马、蠕虫病毒、APT事件、网站挂马、网站暗链、网站篡改、漏洞事件、数据泄露以及其他安全事件。</w:t>
            </w:r>
          </w:p>
        </w:tc>
        <w:tc>
          <w:tcPr>
            <w:tcW w:w="736" w:type="pct"/>
            <w:vAlign w:val="center"/>
          </w:tcPr>
          <w:p w14:paraId="1A3AAD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现场/远程</w:t>
            </w:r>
          </w:p>
        </w:tc>
      </w:tr>
      <w:tr w14:paraId="1483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shd w:val="clear" w:color="auto" w:fill="auto"/>
            <w:vAlign w:val="center"/>
          </w:tcPr>
          <w:p w14:paraId="19F523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393" w:type="pct"/>
            <w:shd w:val="clear" w:color="auto" w:fill="auto"/>
            <w:vAlign w:val="center"/>
          </w:tcPr>
          <w:p w14:paraId="75A92E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安全培训服务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613F9E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安全培训服务</w:t>
            </w:r>
          </w:p>
        </w:tc>
        <w:tc>
          <w:tcPr>
            <w:tcW w:w="2840" w:type="pct"/>
            <w:vAlign w:val="center"/>
          </w:tcPr>
          <w:p w14:paraId="43AE1B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提供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此次服务所涉及使用工具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数据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安全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、终端安全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等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事项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的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培训服务等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736" w:type="pct"/>
            <w:vAlign w:val="center"/>
          </w:tcPr>
          <w:p w14:paraId="481905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现场</w:t>
            </w:r>
          </w:p>
        </w:tc>
      </w:tr>
    </w:tbl>
    <w:p w14:paraId="6E546B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110A7"/>
    <w:rsid w:val="00C977DB"/>
    <w:rsid w:val="12F81121"/>
    <w:rsid w:val="167F38AA"/>
    <w:rsid w:val="18BE48EE"/>
    <w:rsid w:val="40556ED7"/>
    <w:rsid w:val="48193BFA"/>
    <w:rsid w:val="4E342B7A"/>
    <w:rsid w:val="6BA1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2026-09-16T06:31:00Z</dcterms:created>
  <dc:creator>mico</dc:creator>
  <cp:lastModifiedBy>mico</cp:lastModifiedBy>
  <dcterms:modified xsi:type="dcterms:W3CDTF">2026-09-16T06:31:51Z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32364F540B474D15914340B80AE04B5E_11</vt:lpwstr>
  </property>
  <property fmtid="{D5CDD505-2E9C-101B-9397-08002B2CF9AE}" pid="4" name="KSOTemplateDocerSaveRecord">
    <vt:lpwstr>eyJoZGlkIjoiYTYxNTZmOWYwM2Y1YTYzZTIyOGJjNTlkOWY1OTc5NGQiLCJ1c2VySWQiOiI0MzI4Njc3MDAifQ==</vt:lpwstr>
  </property>
</Properties>
</file>