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color w:val="auto"/>
          <w:sz w:val="72"/>
          <w:szCs w:val="72"/>
          <w:highlight w:val="none"/>
          <w:lang w:val="zh-CN"/>
        </w:rPr>
      </w:pPr>
      <w:r/>
      <w:bookmarkStart w:id="0" w:name="_Toc2583690"/>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pStyle w:val="754"/>
        <w:ind w:firstLine="1440"/>
        <w:jc w:val="center"/>
        <w:spacing w:before="75" w:beforeAutospacing="0" w:after="75" w:afterAutospacing="0"/>
        <w:widowControl/>
        <w:rPr>
          <w:rStyle w:val="758"/>
          <w:rFonts w:ascii="宋体" w:hAnsi="宋体" w:cs="宋体"/>
          <w:color w:val="auto"/>
          <w:sz w:val="72"/>
          <w:szCs w:val="72"/>
          <w:highlight w:val="none"/>
          <w:lang w:val="zh-CN"/>
        </w:rPr>
      </w:pPr>
      <w:r>
        <w:rPr>
          <w:rFonts w:hint="eastAsia" w:ascii="宋体" w:hAnsi="宋体" w:cs="宋体"/>
          <w:b/>
          <w:color w:val="auto"/>
          <w:sz w:val="72"/>
          <w:highlight w:val="none"/>
        </w:rPr>
        <w:t xml:space="preserve">江苏省政府采购</w:t>
      </w:r>
      <w:r/>
    </w:p>
    <w:p>
      <w:pPr>
        <w:pStyle w:val="754"/>
        <w:ind w:firstLine="1440"/>
        <w:jc w:val="center"/>
        <w:spacing w:before="75" w:beforeAutospacing="0" w:after="75" w:afterAutospacing="0"/>
        <w:widowControl/>
        <w:rPr>
          <w:rStyle w:val="758"/>
          <w:rFonts w:hint="eastAsia" w:ascii="宋体" w:hAnsi="宋体" w:cs="宋体"/>
          <w:color w:val="auto"/>
          <w:sz w:val="72"/>
          <w:szCs w:val="72"/>
          <w:highlight w:val="none"/>
          <w:lang w:val="zh-CN"/>
        </w:rPr>
      </w:pPr>
      <w:r>
        <w:rPr>
          <w:rFonts w:hint="eastAsia" w:ascii="宋体" w:hAnsi="宋体" w:cs="宋体"/>
          <w:color w:val="auto"/>
          <w:sz w:val="72"/>
          <w:szCs w:val="72"/>
          <w:highlight w:val="none"/>
          <w:lang w:val="zh-CN"/>
        </w:rPr>
      </w:r>
      <w:r/>
    </w:p>
    <w:p>
      <w:pPr>
        <w:pStyle w:val="754"/>
        <w:ind w:firstLine="1440"/>
        <w:jc w:val="center"/>
        <w:spacing w:before="75" w:beforeAutospacing="0" w:after="75" w:afterAutospacing="0"/>
        <w:widowControl/>
        <w:rPr>
          <w:rStyle w:val="758"/>
          <w:rFonts w:ascii="宋体" w:hAnsi="宋体" w:cs="宋体"/>
          <w:color w:val="auto"/>
          <w:sz w:val="72"/>
          <w:szCs w:val="72"/>
          <w:highlight w:val="none"/>
          <w:lang w:val="zh-CN"/>
        </w:rPr>
      </w:pPr>
      <w:r>
        <w:rPr>
          <w:rStyle w:val="758"/>
          <w:rFonts w:hint="eastAsia" w:ascii="宋体" w:hAnsi="宋体" w:cs="宋体"/>
          <w:color w:val="auto"/>
          <w:sz w:val="72"/>
          <w:szCs w:val="72"/>
          <w:highlight w:val="none"/>
          <w:lang w:val="zh-CN"/>
        </w:rPr>
        <w:t xml:space="preserve">招标文件</w:t>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Fonts w:ascii="宋体" w:hAnsi="宋体" w:cs="宋体"/>
          <w:color w:val="auto"/>
          <w:sz w:val="30"/>
          <w:szCs w:val="30"/>
          <w:highlight w:val="none"/>
        </w:rPr>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Fonts w:ascii="宋体" w:hAnsi="宋体" w:cs="宋体"/>
          <w:color w:val="auto"/>
          <w:sz w:val="30"/>
          <w:szCs w:val="30"/>
          <w:highlight w:val="none"/>
        </w:rPr>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Fonts w:ascii="宋体" w:hAnsi="宋体" w:cs="宋体"/>
          <w:color w:val="auto"/>
          <w:sz w:val="30"/>
          <w:szCs w:val="30"/>
          <w:highlight w:val="none"/>
        </w:rPr>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Style w:val="758"/>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val="zh-CN"/>
        </w:rPr>
        <w:t xml:space="preserve">JSZC-320000-CJZB-G2026-0086</w:t>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Style w:val="758"/>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ECMO</w:t>
      </w:r>
      <w:r/>
    </w:p>
    <w:p>
      <w:pPr>
        <w:pStyle w:val="754"/>
        <w:ind w:left="2766" w:hanging="1506"/>
        <w:spacing w:beforeAutospacing="0" w:afterAutospacing="0" w:line="360" w:lineRule="auto"/>
        <w:widowControl/>
        <w:rPr>
          <w:rFonts w:ascii="宋体" w:hAnsi="宋体" w:cs="宋体"/>
          <w:color w:val="auto"/>
          <w:highlight w:val="none"/>
        </w:rPr>
      </w:pPr>
      <w:r>
        <w:rPr>
          <w:rStyle w:val="758"/>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苏州大学附属第一医院</w:t>
      </w:r>
      <w:r/>
    </w:p>
    <w:p>
      <w:pPr>
        <w:pStyle w:val="754"/>
        <w:ind w:left="2766" w:hanging="1506"/>
        <w:spacing w:beforeAutospacing="0" w:afterAutospacing="0" w:line="360" w:lineRule="auto"/>
        <w:widowControl/>
        <w:rPr>
          <w:rFonts w:ascii="宋体" w:hAnsi="宋体" w:cs="宋体"/>
          <w:color w:val="auto"/>
          <w:highlight w:val="none"/>
        </w:rPr>
      </w:pPr>
      <w:r>
        <w:rPr>
          <w:rStyle w:val="758"/>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rPr>
        <w:t xml:space="preserve">货物</w:t>
      </w:r>
      <w:r>
        <w:rPr>
          <w:rFonts w:hint="eastAsia" w:ascii="宋体" w:hAnsi="宋体" w:cs="宋体"/>
          <w:color w:val="auto"/>
          <w:sz w:val="30"/>
          <w:szCs w:val="30"/>
          <w:highlight w:val="none"/>
          <w:lang w:val="zh-CN"/>
        </w:rPr>
        <w:t xml:space="preserve">类</w:t>
      </w:r>
      <w:r/>
    </w:p>
    <w:p>
      <w:pPr>
        <w:pStyle w:val="754"/>
        <w:ind w:firstLine="482"/>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754"/>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602"/>
        <w:jc w:val="center"/>
        <w:spacing w:beforeAutospacing="0" w:afterAutospacing="0" w:line="360" w:lineRule="auto"/>
        <w:widowControl/>
        <w:rPr>
          <w:rStyle w:val="758"/>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苏州市创杰招投标咨询服务有限公司</w:t>
      </w:r>
      <w:r/>
    </w:p>
    <w:p>
      <w:pPr>
        <w:ind w:firstLine="602"/>
        <w:jc w:val="center"/>
        <w:spacing w:line="360" w:lineRule="auto"/>
        <w:rPr>
          <w:rFonts w:ascii="宋体" w:hAnsi="宋体" w:cs="宋体"/>
          <w:color w:val="auto"/>
          <w:sz w:val="30"/>
          <w:szCs w:val="30"/>
          <w:highlight w:val="none"/>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color w:val="auto"/>
          <w:sz w:val="30"/>
          <w:szCs w:val="30"/>
          <w:highlight w:val="none"/>
        </w:rPr>
        <w:t xml:space="preserve">二○二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八</w:t>
      </w:r>
      <w:r>
        <w:rPr>
          <w:rFonts w:hint="eastAsia" w:ascii="宋体" w:hAnsi="宋体" w:cs="宋体"/>
          <w:color w:val="auto"/>
          <w:sz w:val="30"/>
          <w:szCs w:val="30"/>
          <w:highlight w:val="none"/>
        </w:rPr>
        <w:t xml:space="preserve">月</w:t>
      </w:r>
      <w:bookmarkEnd w:id="1"/>
      <w:r/>
      <w:r/>
    </w:p>
    <w:p>
      <w:pPr>
        <w:pStyle w:val="748"/>
        <w:ind w:firstLine="640"/>
        <w:jc w:val="center"/>
        <w:pageBreakBefore/>
        <w:spacing w:line="360" w:lineRule="auto"/>
        <w:tabs>
          <w:tab w:val="right" w:pos="8302" w:leader="dot"/>
        </w:tabs>
        <w:rPr>
          <w:rStyle w:val="758"/>
          <w:rFonts w:ascii="宋体" w:hAnsi="宋体" w:cs="宋体"/>
          <w:bCs/>
          <w:color w:val="auto"/>
          <w:sz w:val="32"/>
          <w:szCs w:val="32"/>
          <w:highlight w:val="none"/>
        </w:rPr>
      </w:pPr>
      <w:r>
        <w:rPr>
          <w:rStyle w:val="758"/>
          <w:rFonts w:hint="eastAsia" w:ascii="宋体" w:hAnsi="宋体" w:cs="宋体"/>
          <w:bCs/>
          <w:color w:val="auto"/>
          <w:sz w:val="32"/>
          <w:szCs w:val="32"/>
          <w:highlight w:val="none"/>
        </w:rPr>
        <w:t xml:space="preserve">前附表</w:t>
      </w:r>
      <w:bookmarkEnd w:id="0"/>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3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JSZC-320000-CJZB-G2026-0086号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color w:val="auto"/>
                <w:highlight w:val="none"/>
              </w:rPr>
            </w:pPr>
            <w:r>
              <w:rPr>
                <w:rFonts w:hint="eastAsia" w:ascii="宋体" w:hAnsi="宋体" w:cs="宋体"/>
                <w:color w:val="auto"/>
                <w:szCs w:val="21"/>
                <w:highlight w:val="none"/>
                <w:lang w:val="zh-CN"/>
              </w:rPr>
              <w:t xml:space="preserve">ECMO</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42"/>
              <w:spacing w:line="360" w:lineRule="auto"/>
              <w:rPr>
                <w:rStyle w:val="802"/>
                <w:rFonts w:ascii="宋体" w:hAnsi="宋体" w:cs="宋体"/>
                <w:bCs w:val="0"/>
                <w:color w:val="auto"/>
                <w:spacing w:val="0"/>
                <w:sz w:val="21"/>
                <w:szCs w:val="21"/>
                <w:highlight w:val="none"/>
              </w:rPr>
            </w:pPr>
            <w:r>
              <w:rPr>
                <w:rStyle w:val="802"/>
                <w:rFonts w:ascii="Wingdings" w:hAnsi="Wingdings" w:eastAsia="Wingdings" w:cs="Wingdings"/>
                <w:bCs w:val="0"/>
                <w:color w:val="auto"/>
                <w:spacing w:val="0"/>
                <w:sz w:val="21"/>
                <w:szCs w:val="21"/>
                <w:highlight w:val="none"/>
              </w:rPr>
              <w:t xml:space="preserve">þ</w:t>
            </w:r>
            <w:r>
              <w:rPr>
                <w:rStyle w:val="802"/>
                <w:rFonts w:hint="eastAsia" w:ascii="宋体" w:hAnsi="宋体" w:cs="宋体"/>
                <w:bCs w:val="0"/>
                <w:color w:val="auto"/>
                <w:spacing w:val="0"/>
                <w:sz w:val="21"/>
                <w:szCs w:val="21"/>
                <w:highlight w:val="none"/>
              </w:rPr>
              <w:t xml:space="preserve">不需提交，招标文件中有关投标保证金的规定均不适用。</w:t>
            </w:r>
            <w:r/>
          </w:p>
          <w:p>
            <w:pPr>
              <w:pStyle w:val="742"/>
              <w:spacing w:line="360" w:lineRule="auto"/>
              <w:rPr>
                <w:rFonts w:ascii="宋体" w:hAnsi="宋体" w:cs="宋体"/>
                <w:color w:val="auto"/>
                <w:sz w:val="18"/>
                <w:szCs w:val="18"/>
                <w:highlight w:val="none"/>
              </w:rPr>
            </w:pPr>
            <w:r>
              <w:rPr>
                <w:rStyle w:val="802"/>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38"/>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苏州市创杰招投标咨询服务有限公司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 苏州市干将西路399号银海大厦303室   邮编：215002</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电话/传真：0512-65238816  65238892   </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color w:val="auto"/>
                <w:highlight w:val="none"/>
                <w:lang w:val="zh-CN"/>
              </w:rPr>
            </w:pPr>
            <w:r>
              <w:rPr>
                <w:rFonts w:hint="eastAsia" w:ascii="宋体" w:hAnsi="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名称：</w:t>
            </w:r>
            <w:r>
              <w:rPr>
                <w:rFonts w:hint="eastAsia" w:ascii="宋体" w:hAnsi="宋体" w:cs="宋体"/>
                <w:color w:val="auto"/>
                <w:szCs w:val="21"/>
                <w:highlight w:val="none"/>
                <w:lang w:val="zh-CN"/>
              </w:rPr>
              <w:t xml:space="preserve">苏州大学附属第一医院</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地址：苏州市姑苏区平海路899号</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联系人：</w:t>
            </w:r>
            <w:r>
              <w:rPr>
                <w:rFonts w:hint="eastAsia" w:ascii="宋体" w:hAnsi="宋体" w:cs="宋体"/>
                <w:color w:val="auto"/>
                <w:szCs w:val="22"/>
                <w:highlight w:val="none"/>
              </w:rPr>
              <w:t xml:space="preserve">黄剑平     电　话：0512-67972901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：30（北京时间）</w:t>
            </w:r>
            <w:r/>
          </w:p>
          <w:p>
            <w:pPr>
              <w:pStyle w:val="739"/>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：30（北京时间）</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440" w:lineRule="exact"/>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12"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：30（北京时间）</w:t>
            </w:r>
            <w:r/>
          </w:p>
          <w:p>
            <w:pPr>
              <w:jc w:val="left"/>
              <w:spacing w:line="312" w:lineRule="auto"/>
              <w:rPr>
                <w:rFonts w:ascii="宋体" w:hAnsi="宋体" w:cs="宋体"/>
                <w:color w:val="auto"/>
                <w:highlight w:val="none"/>
              </w:rPr>
            </w:pPr>
            <w:r>
              <w:rPr>
                <w:rFonts w:hint="eastAsia" w:ascii="宋体" w:hAnsi="宋体" w:cs="宋体"/>
                <w:color w:val="auto"/>
                <w:szCs w:val="21"/>
                <w:highlight w:val="none"/>
              </w:rPr>
              <w:t xml:space="preserve">苏州市干将西路399号银海大厦30</w:t>
            </w:r>
            <w:r>
              <w:rPr>
                <w:rFonts w:hint="eastAsia" w:ascii="宋体" w:hAnsi="宋体" w:cs="宋体"/>
                <w:color w:val="auto"/>
                <w:szCs w:val="21"/>
                <w:highlight w:val="none"/>
                <w:lang w:val="en-US" w:eastAsia="zh-CN"/>
              </w:rPr>
              <w:t xml:space="preserve">2A</w:t>
            </w:r>
            <w:r>
              <w:rPr>
                <w:rFonts w:hint="eastAsia" w:ascii="宋体" w:hAnsi="宋体" w:cs="宋体"/>
                <w:color w:val="auto"/>
                <w:szCs w:val="21"/>
                <w:highlight w:val="none"/>
              </w:rPr>
              <w:t xml:space="preserve">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68"/>
              <w:ind w:firstLine="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pStyle w:val="768"/>
              <w:ind w:firstLine="0"/>
              <w:spacing w:line="440" w:lineRule="exact"/>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采购代理</w:t>
            </w:r>
            <w:r>
              <w:rPr>
                <w:rFonts w:hint="eastAsia" w:ascii="宋体" w:hAnsi="宋体" w:cs="宋体"/>
                <w:color w:val="auto"/>
                <w:highlight w:val="none"/>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本项目在编制预算时已综合考虑采购代理服务费，根据代理协议约定，本项目</w:t>
            </w:r>
            <w:r>
              <w:rPr>
                <w:rFonts w:hint="eastAsia" w:ascii="宋体" w:hAnsi="宋体" w:cs="宋体"/>
                <w:color w:val="auto"/>
                <w:highlight w:val="none"/>
              </w:rPr>
              <w:t xml:space="preserve">采购代理服务费</w:t>
            </w:r>
            <w:r>
              <w:rPr>
                <w:rFonts w:hint="eastAsia" w:ascii="宋体" w:hAnsi="宋体" w:cs="宋体"/>
                <w:color w:val="auto"/>
                <w:highlight w:val="none"/>
                <w:lang w:val="en-US" w:eastAsia="zh-CN"/>
              </w:rPr>
              <w:t xml:space="preserve">由中标单位支付</w:t>
            </w:r>
            <w:r>
              <w:rPr>
                <w:rFonts w:hint="eastAsia" w:ascii="宋体" w:hAnsi="宋体" w:cs="宋体"/>
                <w:color w:val="auto"/>
                <w:highlight w:val="none"/>
              </w:rPr>
              <w:t xml:space="preserve">，请各供应商在投标报价中综合考虑。中标单位在领取中标通知书时</w:t>
            </w:r>
            <w:r>
              <w:rPr>
                <w:rFonts w:hint="eastAsia" w:ascii="宋体" w:hAnsi="宋体" w:cs="宋体"/>
                <w:color w:val="auto"/>
                <w:highlight w:val="none"/>
                <w:lang w:val="en-US" w:eastAsia="zh-CN"/>
              </w:rPr>
              <w:t xml:space="preserve">向招标代理机构</w:t>
            </w:r>
            <w:r>
              <w:rPr>
                <w:rFonts w:hint="eastAsia" w:ascii="宋体" w:hAnsi="宋体" w:cs="宋体"/>
                <w:color w:val="auto"/>
                <w:highlight w:val="none"/>
              </w:rPr>
              <w:t xml:space="preserve">一次性</w:t>
            </w:r>
            <w:r>
              <w:rPr>
                <w:rFonts w:hint="eastAsia" w:ascii="宋体" w:hAnsi="宋体" w:cs="宋体"/>
                <w:color w:val="auto"/>
                <w:highlight w:val="none"/>
                <w:lang w:val="en-US" w:eastAsia="zh-CN"/>
              </w:rPr>
              <w:t xml:space="preserve">支付</w:t>
            </w:r>
            <w:r>
              <w:rPr>
                <w:rFonts w:hint="eastAsia" w:ascii="宋体" w:hAnsi="宋体" w:cs="宋体"/>
                <w:color w:val="auto"/>
                <w:highlight w:val="none"/>
              </w:rPr>
              <w:t xml:space="preserve">。</w:t>
            </w:r>
            <w:r/>
          </w:p>
          <w:p>
            <w:pP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收费标准：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预算金额100万元以下部分，费率为该部分预算金额的1.5%；</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预算金额100万元（含）－500万元部分，费率为该部分预算金额的1.1%；</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预算金额500万元（含）-1000万元部分，费率为该部分预算金额的0.8%；</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预算金额1000万元（含）-5000万元部分，费率为该部分预算金额的0.5%；</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预算金额5000万元以上部分，费率为该部分预算金额的0.25%。</w:t>
            </w:r>
            <w:r/>
          </w:p>
          <w:p>
            <w:pPr>
              <w:spacing w:line="360" w:lineRule="auto"/>
              <w:rPr>
                <w:rFonts w:ascii="宋体" w:hAnsi="宋体" w:cs="宋体"/>
                <w:color w:val="auto"/>
                <w:highlight w:val="none"/>
              </w:rPr>
            </w:pPr>
            <w:r>
              <w:rPr>
                <w:rFonts w:hint="eastAsia" w:ascii="宋体" w:hAnsi="宋体" w:cs="宋体"/>
                <w:color w:val="auto"/>
                <w:highlight w:val="none"/>
              </w:rPr>
              <w:t xml:space="preserve">说明：代理服务费以采购预算金额为基数依据，按以上规定的标准和差额定率累进法的70%进行计算收取。如按上述方法计算的金额低于人民币3000元整的，则本项目代理服务费按人民币3000元整计收。</w:t>
            </w:r>
            <w:r>
              <w:rPr>
                <w:rFonts w:hint="eastAsia" w:ascii="宋体" w:hAnsi="宋体" w:cs="宋体"/>
                <w:color w:val="auto"/>
                <w:highlight w:val="none"/>
                <w:lang w:val="en-US" w:eastAsia="zh-CN"/>
              </w:rPr>
              <w:t xml:space="preserve">根据代理协议约定，</w:t>
            </w:r>
            <w:r>
              <w:rPr>
                <w:rFonts w:hint="eastAsia" w:ascii="宋体" w:hAnsi="宋体" w:cs="宋体"/>
                <w:color w:val="auto"/>
                <w:highlight w:val="none"/>
              </w:rPr>
              <w:t xml:space="preserve">本项目中标服务费为</w:t>
            </w:r>
            <w:r>
              <w:rPr>
                <w:rFonts w:hint="eastAsia" w:ascii="宋体" w:hAnsi="宋体" w:cs="宋体"/>
                <w:color w:val="auto"/>
                <w:highlight w:val="none"/>
                <w:lang w:val="en-US" w:eastAsia="zh-CN"/>
              </w:rPr>
              <w:t xml:space="preserve">壹万伍仟肆佰叁拾</w:t>
            </w:r>
            <w:r>
              <w:rPr>
                <w:rFonts w:hint="eastAsia" w:ascii="宋体" w:hAnsi="宋体" w:cs="宋体"/>
                <w:color w:val="auto"/>
                <w:highlight w:val="none"/>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采购代理服务</w:t>
            </w:r>
            <w:r>
              <w:rPr>
                <w:rFonts w:hint="eastAsia" w:ascii="宋体" w:hAnsi="宋体" w:cs="宋体"/>
                <w:color w:val="auto"/>
                <w:highlight w:val="none"/>
              </w:rPr>
              <w:t xml:space="preserve">费交纳账号： </w:t>
            </w:r>
            <w:r/>
          </w:p>
          <w:p>
            <w:pPr>
              <w:spacing w:line="360" w:lineRule="auto"/>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苏州市创杰招投标咨询服务有限公司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开户行：江苏银行苏州金阊支行</w:t>
            </w:r>
            <w:r/>
          </w:p>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52"/>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投标文件含有采购单位不能接受的附加条件的；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w:t>
            </w:r>
            <w:r>
              <w:rPr>
                <w:rFonts w:hint="eastAsia" w:ascii="宋体" w:hAnsi="宋体" w:cs="宋体"/>
                <w:color w:val="auto"/>
                <w:highlight w:val="none"/>
                <w:lang w:val="zh-CN"/>
              </w:rPr>
              <w:t xml:space="preserve">最高限价的</w:t>
            </w:r>
            <w:r>
              <w:rPr>
                <w:rFonts w:hint="eastAsia" w:ascii="宋体" w:hAnsi="宋体" w:cs="宋体"/>
                <w:color w:val="auto"/>
                <w:szCs w:val="21"/>
                <w:highlight w:val="none"/>
                <w:lang w:val="zh-CN"/>
              </w:rPr>
              <w:t xml:space="preserve">，采购单位不能支付的；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bl>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ind w:firstLine="1044"/>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jc w:val="center"/>
        <w:spacing w:line="360" w:lineRule="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合同一般条款</w:t>
      </w:r>
      <w:r/>
    </w:p>
    <w:p>
      <w:pPr>
        <w:ind w:firstLine="723"/>
        <w:rPr>
          <w:color w:val="auto"/>
          <w:highlight w:val="none"/>
        </w:rPr>
      </w:pPr>
      <w:r>
        <w:rPr>
          <w:rFonts w:hint="eastAsia" w:ascii="宋体" w:hAnsi="宋体" w:cs="宋体"/>
          <w:color w:val="auto"/>
          <w:sz w:val="36"/>
          <w:highlight w:val="none"/>
        </w:rPr>
        <w:t xml:space="preserve">第六章  合同主要条款</w:t>
      </w:r>
      <w:r/>
    </w:p>
    <w:p>
      <w:pPr>
        <w:pStyle w:val="748"/>
        <w:ind w:firstLine="723"/>
        <w:spacing w:line="360" w:lineRule="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36"/>
          <w:szCs w:val="24"/>
          <w:highlight w:val="none"/>
        </w:rPr>
        <w:t xml:space="preserve">第七章  评标办法及评分标准</w:t>
      </w:r>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第一章  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ECMO</w:t>
      </w:r>
      <w:r>
        <w:rPr>
          <w:rFonts w:hint="eastAsia" w:ascii="宋体" w:hAnsi="宋体" w:cs="宋体"/>
          <w:color w:val="auto"/>
          <w:szCs w:val="21"/>
          <w:highlight w:val="none"/>
        </w:rPr>
        <w:t xml:space="preserve">招标项目的潜在投标人应在</w:t>
      </w:r>
      <w:r>
        <w:rPr>
          <w:rFonts w:hint="eastAsia" w:ascii="宋体" w:hAnsi="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日1</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3" w:name="_Toc35393621"/>
      <w:r/>
      <w:bookmarkStart w:id="4" w:name="_Toc28359002"/>
      <w:r/>
      <w:bookmarkStart w:id="5" w:name="_Toc35393790"/>
      <w:r/>
      <w:bookmarkStart w:id="6" w:name="_Toc28359079"/>
      <w:r/>
      <w:bookmarkStart w:id="7" w:name="_Hlk24379207"/>
      <w:r>
        <w:rPr>
          <w:rFonts w:hint="eastAsia" w:ascii="宋体" w:hAnsi="宋体" w:cs="宋体"/>
          <w:b/>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JSZC-320000-CJZB-G2026-0086</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ECMO</w:t>
      </w:r>
      <w:bookmarkEnd w:id="7"/>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贰佰叁拾肆万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2340000</w:t>
      </w:r>
      <w:r>
        <w:rPr>
          <w:rFonts w:hint="eastAsia" w:ascii="宋体" w:hAnsi="宋体" w:cs="宋体"/>
          <w:color w:val="auto"/>
          <w:szCs w:val="21"/>
          <w:highlight w:val="none"/>
        </w:rPr>
        <w:t xml:space="preserve">.00）</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最高限价：人民币</w:t>
      </w:r>
      <w:r>
        <w:rPr>
          <w:rFonts w:hint="eastAsia" w:ascii="宋体" w:hAnsi="宋体" w:cs="宋体"/>
          <w:color w:val="auto"/>
          <w:szCs w:val="21"/>
          <w:highlight w:val="none"/>
          <w:lang w:val="en-US" w:eastAsia="zh-CN"/>
        </w:rPr>
        <w:t xml:space="preserve">壹佰玖拾万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1900000</w:t>
      </w:r>
      <w:r>
        <w:rPr>
          <w:rFonts w:hint="eastAsia" w:ascii="宋体" w:hAnsi="宋体" w:cs="宋体"/>
          <w:color w:val="auto"/>
          <w:szCs w:val="21"/>
          <w:highlight w:val="none"/>
        </w:rPr>
        <w:t xml:space="preserve">.00）</w:t>
      </w:r>
      <w:r/>
    </w:p>
    <w:p>
      <w:pPr>
        <w:ind w:firstLine="420"/>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eastAsia="zh-CN"/>
        </w:rPr>
        <w:t xml:space="preserve">ECMO</w:t>
      </w:r>
      <w:r>
        <w:rPr>
          <w:rFonts w:hint="eastAsia" w:ascii="宋体" w:hAnsi="宋体" w:cs="宋体"/>
          <w:color w:val="auto"/>
          <w:szCs w:val="21"/>
          <w:highlight w:val="none"/>
          <w:lang w:val="en-US" w:eastAsia="zh-CN"/>
        </w:rPr>
        <w:t xml:space="preserve"> 1套，接受进口产品投标。</w:t>
      </w:r>
      <w:r/>
    </w:p>
    <w:p>
      <w:pPr>
        <w:ind w:firstLine="420"/>
        <w:spacing w:line="360" w:lineRule="auto"/>
        <w:rPr>
          <w:rFonts w:ascii="宋体" w:hAnsi="宋体" w:cs="宋体"/>
          <w:color w:val="auto"/>
          <w:szCs w:val="21"/>
          <w:highlight w:val="none"/>
        </w:rPr>
      </w:pPr>
      <w:r/>
      <w:bookmarkStart w:id="8" w:name="_Toc35393791"/>
      <w:r/>
      <w:bookmarkStart w:id="9" w:name="_Toc28359080"/>
      <w:r/>
      <w:bookmarkStart w:id="10" w:name="_Toc35393622"/>
      <w:r/>
      <w:bookmarkStart w:id="11" w:name="_Toc28359003"/>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.合同履行期限：合同签订后60天内安装调试完毕，免费质保期为验收合格之日起3年（原厂）。</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.本项目不接受联合体投标</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bookmarkStart w:id="12" w:name="_Toc28359004"/>
      <w:r/>
      <w:bookmarkStart w:id="13" w:name="_Toc28359081"/>
      <w:r>
        <w:rPr>
          <w:rFonts w:hint="eastAsia" w:ascii="宋体" w:hAnsi="宋体" w:cs="宋体"/>
          <w:color w:val="auto"/>
          <w:szCs w:val="21"/>
          <w:highlight w:val="none"/>
        </w:rPr>
        <w:t xml:space="preserve">2.落实政府采购政策需满足的资格要求：</w:t>
      </w:r>
      <w:r>
        <w:rPr>
          <w:rFonts w:hint="eastAsia" w:ascii="宋体" w:hAnsi="宋体"/>
          <w:color w:val="auto"/>
          <w:highlight w:val="none"/>
        </w:rPr>
        <w:t xml:space="preserve">根据《政府采购促进中小企业发展管理办法》的相关规定，</w:t>
      </w:r>
      <w:r>
        <w:rPr>
          <w:rFonts w:hint="eastAsia" w:ascii="宋体" w:hAnsi="宋体"/>
          <w:b/>
          <w:bCs/>
          <w:color w:val="auto"/>
          <w:highlight w:val="none"/>
        </w:rPr>
        <w:t xml:space="preserve">本项目非专门面向中小企业采购。</w:t>
      </w:r>
      <w:r>
        <w:rPr>
          <w:rFonts w:hint="eastAsia" w:ascii="宋体" w:hAnsi="宋体" w:cs="宋体"/>
          <w:b/>
          <w:bCs/>
          <w:color w:val="auto"/>
          <w:szCs w:val="21"/>
          <w:highlight w:val="none"/>
        </w:rPr>
        <w:t xml:space="preserve">本项目所属行业为工业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5.为采购项目提供整体设计、规范编制或者项目管理、监理、检测等服务的供应商，不得再参加该采购项目的其他采购活动。</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6.法人的分支机构不得参加投标(除银行、保险、石油石化、电力、电信等行业特殊情况外)</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lang w:bidi="ar"/>
        </w:rPr>
        <w:t xml:space="preserve">投标单位具有与所投产品相对应的医疗器械生产或经营(许可)资格</w:t>
      </w:r>
      <w:r>
        <w:rPr>
          <w:rFonts w:hint="eastAsia" w:ascii="宋体" w:hAnsi="宋体" w:cs="宋体"/>
          <w:color w:val="auto"/>
          <w:szCs w:val="21"/>
          <w:highlight w:val="none"/>
          <w:lang w:eastAsia="zh-CN" w:bidi="ar"/>
        </w:rPr>
        <w:t xml:space="preserve">。</w:t>
      </w:r>
      <w:r/>
    </w:p>
    <w:p>
      <w:pPr>
        <w:ind w:firstLine="422"/>
        <w:spacing w:line="360" w:lineRule="auto"/>
        <w:rPr>
          <w:rFonts w:ascii="宋体" w:hAnsi="宋体" w:cs="宋体"/>
          <w:b/>
          <w:color w:val="auto"/>
          <w:szCs w:val="21"/>
          <w:highlight w:val="none"/>
        </w:rPr>
      </w:pPr>
      <w:r/>
      <w:bookmarkStart w:id="14" w:name="_Toc35393792"/>
      <w:r/>
      <w:bookmarkStart w:id="15" w:name="_Toc35393623"/>
      <w:r>
        <w:rPr>
          <w:rFonts w:hint="eastAsia" w:ascii="宋体" w:hAnsi="宋体" w:cs="宋体"/>
          <w:b/>
          <w:color w:val="auto"/>
          <w:szCs w:val="21"/>
          <w:highlight w:val="none"/>
        </w:rPr>
        <w:t xml:space="preserve">三、</w:t>
      </w:r>
      <w:bookmarkEnd w:id="12"/>
      <w:r/>
      <w:bookmarkEnd w:id="13"/>
      <w:r/>
      <w:bookmarkEnd w:id="14"/>
      <w:r/>
      <w:bookmarkEnd w:id="15"/>
      <w:r>
        <w:rPr>
          <w:rFonts w:hint="eastAsia" w:ascii="宋体" w:hAnsi="宋体" w:cs="宋体"/>
          <w:b/>
          <w:color w:val="auto"/>
          <w:szCs w:val="21"/>
          <w:highlight w:val="none"/>
        </w:rPr>
        <w:t xml:space="preserve">招标文件的获取</w:t>
      </w:r>
      <w:r/>
    </w:p>
    <w:p>
      <w:pPr>
        <w:ind w:firstLine="420"/>
        <w:spacing w:line="360" w:lineRule="auto"/>
        <w:rPr>
          <w:rFonts w:hint="eastAsia" w:ascii="宋体" w:hAnsi="宋体" w:eastAsia="宋体" w:cs="宋体"/>
          <w:color w:val="auto"/>
          <w:szCs w:val="21"/>
          <w:highlight w:val="none"/>
          <w:shd w:val="clear" w:color="auto" w:fill="ffffff"/>
          <w:lang w:eastAsia="zh-CN"/>
        </w:rPr>
      </w:pPr>
      <w:r/>
      <w:bookmarkStart w:id="16" w:name="_Toc28359005"/>
      <w:r/>
      <w:bookmarkStart w:id="17" w:name="_Toc28359082"/>
      <w:r/>
      <w:bookmarkStart w:id="18" w:name="_Toc35393624"/>
      <w:r/>
      <w:bookmarkStart w:id="19" w:name="_Toc35393793"/>
      <w:r>
        <w:rPr>
          <w:rFonts w:hint="eastAsia" w:ascii="宋体" w:hAnsi="宋体" w:cs="宋体"/>
          <w:color w:val="auto"/>
          <w:szCs w:val="21"/>
          <w:highlight w:val="none"/>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733"/>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苏州现场办理地址：苏州市高新区邓尉路105号狮山科技馆一楼服务大厅，咨询电话：0512-65737699</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6"/>
      <w:r/>
      <w:bookmarkEnd w:id="17"/>
      <w:r>
        <w:rPr>
          <w:rFonts w:hint="eastAsia" w:ascii="宋体" w:hAnsi="宋体" w:cs="宋体"/>
          <w:b/>
          <w:color w:val="auto"/>
          <w:szCs w:val="21"/>
          <w:highlight w:val="none"/>
        </w:rPr>
        <w:t xml:space="preserve">截止时间、开标时间和地点</w:t>
      </w:r>
      <w:bookmarkEnd w:id="18"/>
      <w:r/>
      <w:bookmarkEnd w:id="19"/>
      <w:r/>
      <w:r/>
    </w:p>
    <w:p>
      <w:pPr>
        <w:pStyle w:val="733"/>
        <w:spacing w:line="360" w:lineRule="auto"/>
        <w:rPr>
          <w:rFonts w:ascii="宋体" w:hAnsi="宋体" w:eastAsia="宋体" w:cs="宋体"/>
          <w:color w:val="auto"/>
          <w:sz w:val="21"/>
          <w:szCs w:val="21"/>
          <w:highlight w:val="none"/>
        </w:rPr>
      </w:pPr>
      <w:r/>
      <w:bookmarkStart w:id="20" w:name="_Toc35393794"/>
      <w:r/>
      <w:bookmarkStart w:id="21" w:name="_Toc28359084"/>
      <w:r/>
      <w:bookmarkStart w:id="22" w:name="_Toc28359007"/>
      <w:r/>
      <w:bookmarkStart w:id="23" w:name="_Toc35393625"/>
      <w:r>
        <w:rPr>
          <w:rFonts w:hint="eastAsia" w:ascii="宋体" w:hAnsi="宋体" w:eastAsia="宋体" w:cs="宋体"/>
          <w:color w:val="auto"/>
          <w:sz w:val="21"/>
          <w:szCs w:val="21"/>
          <w:highlight w:val="none"/>
        </w:rPr>
        <w:t xml:space="preserve">1.提交投标文件截止时间：202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日1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：30（北京时间）； </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9月9</w:t>
      </w:r>
      <w:r>
        <w:rPr>
          <w:rFonts w:hint="eastAsia" w:ascii="宋体" w:hAnsi="宋体" w:eastAsia="宋体" w:cs="宋体"/>
          <w:color w:val="auto"/>
          <w:sz w:val="21"/>
          <w:szCs w:val="21"/>
          <w:highlight w:val="none"/>
        </w:rPr>
        <w:t xml:space="preserve">日1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：30（北京时间）；</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ind w:firstLine="422"/>
        <w:spacing w:line="360" w:lineRule="auto"/>
        <w:rPr>
          <w:rFonts w:ascii="宋体" w:hAnsi="宋体" w:cs="宋体"/>
          <w:b/>
          <w:color w:val="auto"/>
          <w:szCs w:val="21"/>
          <w:highlight w:val="none"/>
        </w:rPr>
      </w:pPr>
      <w:r/>
      <w:bookmarkStart w:id="24" w:name="_Toc35393626"/>
      <w:r/>
      <w:bookmarkStart w:id="25" w:name="_Toc35393795"/>
      <w:r>
        <w:rPr>
          <w:rFonts w:hint="eastAsia" w:ascii="宋体" w:hAnsi="宋体" w:cs="宋体"/>
          <w:b/>
          <w:color w:val="auto"/>
          <w:szCs w:val="21"/>
          <w:highlight w:val="none"/>
        </w:rPr>
        <w:t xml:space="preserve">其他补充事宜</w:t>
      </w:r>
      <w:bookmarkEnd w:id="24"/>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1.本项目支持政府采购合同信用融资。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2.本公告有关信息将同时在江苏省政府采购网上发布，敬请留意！</w:t>
      </w:r>
      <w:r/>
    </w:p>
    <w:p>
      <w:pPr>
        <w:ind w:firstLine="422"/>
        <w:spacing w:line="360" w:lineRule="auto"/>
        <w:rPr>
          <w:rFonts w:ascii="宋体" w:hAnsi="宋体" w:cs="宋体"/>
          <w:b/>
          <w:color w:val="auto"/>
          <w:szCs w:val="21"/>
          <w:highlight w:val="none"/>
        </w:rPr>
      </w:pPr>
      <w:r/>
      <w:bookmarkStart w:id="26" w:name="_Toc35393627"/>
      <w:r/>
      <w:bookmarkStart w:id="27" w:name="_Toc35393796"/>
      <w:r/>
      <w:bookmarkStart w:id="28" w:name="_Toc28359085"/>
      <w:r/>
      <w:bookmarkStart w:id="29" w:name="_Toc28359008"/>
      <w:r>
        <w:rPr>
          <w:rFonts w:hint="eastAsia" w:ascii="宋体" w:hAnsi="宋体" w:cs="宋体"/>
          <w:b/>
          <w:color w:val="auto"/>
          <w:szCs w:val="21"/>
          <w:highlight w:val="none"/>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color w:val="auto"/>
          <w:szCs w:val="21"/>
          <w:highlight w:val="none"/>
        </w:rPr>
      </w:pPr>
      <w:r/>
      <w:bookmarkStart w:id="30" w:name="_Toc28359075"/>
      <w:r/>
      <w:bookmarkStart w:id="31" w:name="_Toc35393786"/>
      <w:r/>
      <w:bookmarkStart w:id="32" w:name="_Toc35393617"/>
      <w:r/>
      <w:bookmarkStart w:id="33" w:name="_Toc28358998"/>
      <w:r>
        <w:rPr>
          <w:rFonts w:hint="eastAsia" w:ascii="宋体" w:hAnsi="宋体" w:cs="宋体"/>
          <w:color w:val="auto"/>
          <w:szCs w:val="21"/>
          <w:highlight w:val="none"/>
        </w:rPr>
        <w:t xml:space="preserve">1.采购单位信息</w:t>
      </w:r>
      <w:bookmarkEnd w:id="30"/>
      <w:r/>
      <w:bookmarkEnd w:id="31"/>
      <w:r/>
      <w:bookmarkEnd w:id="32"/>
      <w:r/>
      <w:bookmarkEnd w:id="33"/>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苏州大学附属第一医院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址：苏州市姑苏区平海路899号</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联系人：黄剑平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话：0512-67972901</w:t>
      </w:r>
      <w:r/>
    </w:p>
    <w:p>
      <w:pPr>
        <w:ind w:firstLine="420"/>
        <w:jc w:val="left"/>
        <w:spacing w:line="360" w:lineRule="auto"/>
        <w:widowControl/>
        <w:rPr>
          <w:rFonts w:ascii="宋体" w:hAnsi="宋体" w:cs="宋体"/>
          <w:color w:val="auto"/>
          <w:szCs w:val="21"/>
          <w:highlight w:val="none"/>
        </w:rPr>
      </w:pPr>
      <w:r/>
      <w:bookmarkStart w:id="34" w:name="_Toc35393619"/>
      <w:r/>
      <w:bookmarkStart w:id="35" w:name="_Toc35393788"/>
      <w:r/>
      <w:bookmarkStart w:id="36" w:name="_Toc28359077"/>
      <w:r/>
      <w:bookmarkStart w:id="37" w:name="_Toc28359000"/>
      <w:r>
        <w:rPr>
          <w:rFonts w:hint="eastAsia" w:ascii="宋体" w:hAnsi="宋体" w:cs="宋体"/>
          <w:color w:val="auto"/>
          <w:szCs w:val="21"/>
          <w:highlight w:val="none"/>
        </w:rPr>
        <w:t xml:space="preserve">2.代理机构联系方式</w:t>
      </w:r>
      <w:bookmarkEnd w:id="34"/>
      <w:r/>
      <w:bookmarkEnd w:id="35"/>
      <w:r/>
      <w:bookmarkEnd w:id="36"/>
      <w:r/>
      <w:bookmarkEnd w:id="37"/>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38" w:name="XTDLJG_2"/>
      <w:r>
        <w:rPr>
          <w:rFonts w:hint="eastAsia" w:ascii="宋体" w:hAnsi="宋体" w:cs="宋体"/>
          <w:color w:val="auto"/>
          <w:szCs w:val="21"/>
          <w:highlight w:val="none"/>
        </w:rPr>
        <w:t xml:space="preserve">：</w:t>
      </w:r>
      <w:bookmarkEnd w:id="38"/>
      <w:r>
        <w:rPr>
          <w:rFonts w:hint="eastAsia" w:ascii="宋体" w:hAnsi="宋体" w:cs="宋体"/>
          <w:color w:val="auto"/>
          <w:szCs w:val="21"/>
          <w:highlight w:val="none"/>
        </w:rPr>
        <w:t xml:space="preserve">苏州市创杰招投标咨询服务有限公司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联系人：路丽丽  潘莉莉  朱晓芹  庄天扬</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项目联系人：路丽丽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bookmarkEnd w:id="2"/>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第二章  投标人须知</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1.1本招标文件仅适用于苏州市创杰招投标咨询服务有限公司组织的招标活动。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1.3本招标文件的解释权属于苏州市创杰招投标咨询服务有限公司。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hint="eastAsia" w:ascii="宋体" w:hAnsi="宋体" w:cs="宋体"/>
          <w:color w:val="auto"/>
          <w:highlight w:val="none"/>
        </w:rPr>
        <w:t xml:space="preserve">合格投标单位其他资格条件见第一章投标邀请函；</w:t>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 投标费用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 联合投标及分包转包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5.1本次招标不接受联合投标的方式；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5.2本次招标不接受转包、分包。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w:t>
      </w:r>
      <w:r>
        <w:rPr>
          <w:rFonts w:hint="eastAsia" w:ascii="宋体" w:hAnsi="宋体" w:cs="宋体"/>
          <w:color w:val="auto"/>
          <w:highlight w:val="none"/>
          <w:lang w:val="en-US" w:eastAsia="zh-CN"/>
        </w:rPr>
        <w:t xml:space="preserve">江苏省</w:t>
      </w:r>
      <w:r>
        <w:rPr>
          <w:rFonts w:hint="eastAsia" w:ascii="宋体" w:hAnsi="宋体" w:cs="宋体"/>
          <w:color w:val="auto"/>
          <w:highlight w:val="none"/>
        </w:rPr>
        <w:t xml:space="preserve">政府采购网</w:t>
      </w:r>
      <w:r>
        <w:rPr>
          <w:rFonts w:hint="eastAsia" w:ascii="宋体" w:hAnsi="宋体" w:cs="宋体"/>
          <w:color w:val="auto"/>
          <w:highlight w:val="none"/>
          <w:lang w:val="en-US" w:eastAsia="zh-CN"/>
        </w:rPr>
        <w:t xml:space="preserve">等</w:t>
      </w:r>
      <w:r>
        <w:rPr>
          <w:rFonts w:hint="eastAsia" w:ascii="宋体" w:hAnsi="宋体" w:cs="宋体"/>
          <w:color w:val="auto"/>
          <w:highlight w:val="none"/>
        </w:rPr>
        <w:t xml:space="preserve">对外进行发布。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w:t>
      </w:r>
      <w:r>
        <w:rPr>
          <w:rFonts w:hint="eastAsia" w:ascii="宋体" w:hAnsi="宋体" w:cs="宋体"/>
          <w:color w:val="auto"/>
          <w:highlight w:val="none"/>
          <w:lang w:val="en-US" w:eastAsia="zh-CN"/>
        </w:rPr>
        <w:t xml:space="preserve">江苏省</w:t>
      </w:r>
      <w:r>
        <w:rPr>
          <w:rFonts w:hint="eastAsia" w:ascii="宋体" w:hAnsi="宋体" w:cs="宋体"/>
          <w:color w:val="auto"/>
          <w:highlight w:val="none"/>
        </w:rPr>
        <w:t xml:space="preserve">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9.1投标人在获取招标文件后，若对招标文件有疑问（包括询问和质疑），可与招标代理机构或采购人联系。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9.2勘察现场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本项目无需勘察现场</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w:t>
      </w:r>
      <w:r>
        <w:rPr>
          <w:rFonts w:hint="eastAsia" w:ascii="宋体" w:hAnsi="宋体" w:cs="宋体"/>
          <w:color w:val="auto"/>
          <w:szCs w:val="21"/>
          <w:highlight w:val="none"/>
          <w:lang w:val="en-US" w:eastAsia="zh-CN"/>
        </w:rPr>
        <w:t xml:space="preserve">招标代理机构</w:t>
      </w:r>
      <w:r>
        <w:rPr>
          <w:rFonts w:hint="eastAsia" w:ascii="宋体" w:hAnsi="宋体" w:cs="宋体"/>
          <w:color w:val="auto"/>
          <w:szCs w:val="21"/>
          <w:highlight w:val="none"/>
        </w:rPr>
        <w:t xml:space="preserve">发布的内容为准。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73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33"/>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73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2）具有良好的商业信誉和健全的财务会计制度。提供最近一期（</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4或2025年度</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经审计的财务报告或</w:t>
      </w:r>
      <w:r>
        <w:rPr>
          <w:rFonts w:hint="eastAsia" w:ascii="宋体" w:hAnsi="宋体" w:cs="宋体"/>
          <w:color w:val="auto"/>
          <w:szCs w:val="21"/>
          <w:highlight w:val="none"/>
          <w:lang w:val="en-US" w:eastAsia="zh-CN"/>
        </w:rPr>
        <w:t xml:space="preserve">最近一期（2026年5月至今任意一期）的</w:t>
      </w:r>
      <w:r>
        <w:rPr>
          <w:rFonts w:hint="eastAsia" w:ascii="宋体" w:hAnsi="宋体" w:cs="宋体"/>
          <w:color w:val="auto"/>
          <w:szCs w:val="21"/>
          <w:highlight w:val="none"/>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color w:val="auto"/>
          <w:szCs w:val="21"/>
          <w:highlight w:val="none"/>
        </w:rPr>
        <w:t xml:space="preserve">提供书面声明函</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12.4.2</w:t>
      </w:r>
      <w:r>
        <w:rPr>
          <w:rFonts w:hint="eastAsia" w:ascii="宋体" w:hAnsi="宋体" w:cs="宋体"/>
          <w:color w:val="auto"/>
          <w:szCs w:val="21"/>
          <w:highlight w:val="none"/>
          <w:lang w:bidi="ar"/>
        </w:rPr>
        <w:t xml:space="preserve">投标单位具有与所投产品相对应的医疗器械生产或经营(许可)资格</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提供证明资料。</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12.4.3</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4"/>
          <w:highlight w:val="none"/>
        </w:rPr>
        <w:t xml:space="preserve">有关</w:t>
      </w:r>
      <w:r>
        <w:rPr>
          <w:rFonts w:hint="eastAsia" w:ascii="宋体" w:hAnsi="宋体" w:eastAsia="宋体" w:cs="宋体"/>
          <w:color w:val="auto"/>
          <w:sz w:val="21"/>
          <w:szCs w:val="24"/>
          <w:highlight w:val="none"/>
          <w:lang w:val="en-US" w:eastAsia="zh-CN"/>
        </w:rPr>
        <w:t xml:space="preserve">资格</w:t>
      </w:r>
      <w:r>
        <w:rPr>
          <w:rFonts w:hint="eastAsia" w:ascii="宋体" w:hAnsi="宋体" w:eastAsia="宋体" w:cs="宋体"/>
          <w:color w:val="auto"/>
          <w:sz w:val="21"/>
          <w:szCs w:val="24"/>
          <w:highlight w:val="none"/>
        </w:rPr>
        <w:t xml:space="preserve">性证明的文件（如有）</w:t>
      </w:r>
      <w:r>
        <w:rPr>
          <w:rFonts w:hint="eastAsia" w:ascii="宋体" w:hAnsi="宋体" w:eastAsia="宋体" w:cs="宋体"/>
          <w:color w:val="auto"/>
          <w:sz w:val="21"/>
          <w:szCs w:val="24"/>
          <w:highlight w:val="none"/>
          <w:lang w:eastAsia="zh-CN"/>
        </w:rPr>
        <w:t xml:space="preserve">；</w:t>
      </w:r>
      <w:r/>
    </w:p>
    <w:p>
      <w:pPr>
        <w:pStyle w:val="73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12.5.2商务条款偏离表；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12.5.3</w:t>
      </w:r>
      <w:r>
        <w:rPr>
          <w:rFonts w:hint="eastAsia" w:ascii="宋体" w:hAnsi="宋体" w:cs="宋体"/>
          <w:color w:val="auto"/>
          <w:szCs w:val="21"/>
          <w:highlight w:val="none"/>
          <w:lang w:val="zh-CN"/>
        </w:rPr>
        <w:t xml:space="preserve">关于资格文件的声明函；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法定代表人身份证复印件，法人授权委托书（如有授权）及委托代理人身份证复印件（如有授权）；</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5</w:t>
      </w:r>
      <w:r>
        <w:rPr>
          <w:rFonts w:hint="eastAsia" w:ascii="宋体" w:hAnsi="宋体" w:cs="宋体"/>
          <w:b/>
          <w:color w:val="auto"/>
          <w:highlight w:val="none"/>
        </w:rPr>
        <w:t xml:space="preserve">投标文件中提供投标产品中华人民共和国医疗器械注册证，否则为无效投标</w:t>
      </w:r>
      <w:r>
        <w:rPr>
          <w:rFonts w:hint="eastAsia" w:ascii="宋体" w:hAnsi="宋体" w:cs="宋体"/>
          <w:b/>
          <w:color w:val="auto"/>
          <w:highlight w:val="none"/>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en-US" w:eastAsia="zh-CN"/>
        </w:rPr>
        <w:t xml:space="preserve">12.5.6</w:t>
      </w:r>
      <w:r>
        <w:rPr>
          <w:rFonts w:hint="eastAsia" w:ascii="宋体" w:hAnsi="宋体" w:cs="宋体"/>
          <w:color w:val="auto"/>
          <w:szCs w:val="21"/>
          <w:highlight w:val="none"/>
          <w:lang w:val="zh-CN"/>
        </w:rPr>
        <w:t xml:space="preserve">投标（响应）保证承诺书；</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4"/>
          <w:highlight w:val="none"/>
        </w:rPr>
        <w:t xml:space="preserve">有关符合性证明的文件（如有）；</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6综合评审文件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12.6.1技术响应对照表；</w:t>
      </w:r>
      <w:r/>
    </w:p>
    <w:p>
      <w:pPr>
        <w:ind w:firstLine="420"/>
        <w:spacing w:line="360" w:lineRule="auto"/>
        <w:rPr>
          <w:rFonts w:ascii="宋体" w:hAnsi="宋体" w:cs="宋体"/>
          <w:color w:val="auto"/>
          <w:highlight w:val="none"/>
          <w:lang w:val="zh-CN"/>
        </w:rPr>
      </w:pPr>
      <w:r>
        <w:rPr>
          <w:rFonts w:hint="eastAsia" w:ascii="宋体" w:hAnsi="宋体"/>
          <w:color w:val="auto"/>
          <w:szCs w:val="21"/>
          <w:highlight w:val="none"/>
        </w:rPr>
        <w:t xml:space="preserve">12.6.2项目实施方案</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12.6.3《设备配置清单表》</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w:t>
      </w:r>
      <w:r>
        <w:rPr>
          <w:rFonts w:hint="eastAsia" w:ascii="宋体" w:hAnsi="宋体" w:cs="宋体"/>
          <w:color w:val="auto"/>
          <w:highlight w:val="none"/>
        </w:rPr>
        <w:t xml:space="preserve">不属于上述企业类型无需提供</w:t>
      </w:r>
      <w:r>
        <w:rPr>
          <w:rFonts w:hint="eastAsia" w:ascii="宋体" w:hAnsi="宋体" w:cs="宋体"/>
          <w:color w:val="auto"/>
          <w:highlight w:val="none"/>
          <w:lang w:val="zh-CN"/>
        </w:rPr>
        <w:t xml:space="preserve">）</w:t>
      </w:r>
      <w:r>
        <w:rPr>
          <w:rFonts w:hint="eastAsia" w:ascii="宋体" w:hAnsi="宋体" w:cs="宋体"/>
          <w:color w:val="auto"/>
          <w:highlight w:val="none"/>
        </w:rPr>
        <w:t xml:space="preserve">。</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12.7.2</w:t>
      </w:r>
      <w:r>
        <w:rPr>
          <w:rFonts w:hint="eastAsia" w:ascii="宋体" w:hAnsi="宋体" w:cs="宋体"/>
          <w:color w:val="auto"/>
          <w:szCs w:val="21"/>
          <w:highlight w:val="none"/>
          <w:lang w:val="en-US" w:eastAsia="zh-CN"/>
        </w:rPr>
        <w:t xml:space="preserve">供应商对其提供的产品出具《关于符合本国产品标准的声明函》（以下简称《声明函》）或财政部会同有关部门规定的有关证明文件。如不提供将不享受本国产品价格评审优惠。</w:t>
      </w:r>
      <w:r/>
    </w:p>
    <w:p>
      <w:pPr>
        <w:pStyle w:val="768"/>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768"/>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768"/>
        <w:ind w:firstLine="430"/>
        <w:spacing w:line="360" w:lineRule="auto"/>
        <w:rPr>
          <w:rFonts w:ascii="宋体" w:hAnsi="宋体"/>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lang w:val="en-US"/>
        </w:rPr>
        <w:t xml:space="preserve">12.4</w:t>
      </w:r>
      <w:r>
        <w:rPr>
          <w:rFonts w:ascii="宋体" w:hAnsi="宋体"/>
          <w:b/>
          <w:color w:val="auto"/>
          <w:szCs w:val="21"/>
          <w:highlight w:val="none"/>
        </w:rPr>
        <w:t xml:space="preserve">-1</w:t>
      </w:r>
      <w:r>
        <w:rPr>
          <w:rFonts w:hint="eastAsia" w:ascii="宋体" w:hAnsi="宋体"/>
          <w:b/>
          <w:color w:val="auto"/>
          <w:szCs w:val="21"/>
          <w:highlight w:val="none"/>
          <w:lang w:val="en-US"/>
        </w:rPr>
        <w:t xml:space="preserve">2.7</w:t>
      </w:r>
      <w:r>
        <w:rPr>
          <w:rFonts w:hint="eastAsia" w:ascii="宋体" w:hAnsi="宋体"/>
          <w:b/>
          <w:color w:val="auto"/>
          <w:szCs w:val="21"/>
          <w:highlight w:val="none"/>
        </w:rPr>
        <w:t xml:space="preserve">”中不得出现投标总报价。</w:t>
      </w:r>
      <w:r>
        <w:rPr>
          <w:rFonts w:hint="eastAsia" w:ascii="宋体" w:hAnsi="宋体"/>
          <w:color w:val="auto"/>
          <w:szCs w:val="21"/>
          <w:highlight w:val="none"/>
        </w:rPr>
        <w:t xml:space="preserve">投标人所提交的资料的完整与否，将直接影响投标人的评分。</w:t>
      </w:r>
      <w:r/>
    </w:p>
    <w:p>
      <w:pPr>
        <w:pStyle w:val="768"/>
        <w:ind w:firstLine="430"/>
        <w:spacing w:line="360" w:lineRule="auto"/>
        <w:rPr>
          <w:rFonts w:ascii="宋体" w:hAnsi="宋体" w:cs="宋体"/>
          <w:b/>
          <w:bCs/>
          <w:color w:val="auto"/>
          <w:szCs w:val="21"/>
          <w:highlight w:val="none"/>
        </w:rPr>
      </w:pPr>
      <w:r>
        <w:rPr>
          <w:rFonts w:hint="eastAsia" w:ascii="宋体" w:hAnsi="宋体"/>
          <w:b/>
          <w:color w:val="auto"/>
          <w:szCs w:val="21"/>
          <w:highlight w:val="none"/>
        </w:rPr>
        <w:t xml:space="preserve">（</w:t>
      </w:r>
      <w:r>
        <w:rPr>
          <w:rFonts w:ascii="宋体" w:hAnsi="宋体"/>
          <w:b/>
          <w:color w:val="auto"/>
          <w:szCs w:val="21"/>
          <w:highlight w:val="none"/>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768"/>
        <w:ind w:firstLine="430"/>
        <w:spacing w:line="360" w:lineRule="auto"/>
        <w:rPr>
          <w:rFonts w:ascii="宋体" w:hAnsi="宋体"/>
          <w:b/>
          <w:color w:val="auto"/>
          <w:szCs w:val="21"/>
          <w:highlight w:val="none"/>
        </w:rPr>
      </w:pPr>
      <w:r>
        <w:rPr>
          <w:rFonts w:hint="eastAsia" w:ascii="宋体" w:hAnsi="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16.1自开标日起60天内，投标书应保持有效。有效期短于这个规定期限的投标文件，将被拒绝。</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768"/>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bookmarkEnd w:id="40"/>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768"/>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768"/>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33"/>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纸质投标文件两份。</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bCs/>
          <w:color w:val="auto"/>
          <w:highlight w:val="none"/>
        </w:rPr>
      </w:pPr>
      <w:r>
        <w:rPr>
          <w:rFonts w:hint="eastAsia" w:ascii="宋体" w:hAnsi="宋体" w:cs="宋体"/>
          <w:b/>
          <w:color w:val="auto"/>
          <w:szCs w:val="21"/>
          <w:highlight w:val="none"/>
          <w:lang w:val="zh-CN"/>
        </w:rPr>
        <w:t xml:space="preserve">24.1.7</w:t>
      </w:r>
      <w:r>
        <w:rPr>
          <w:rFonts w:hint="eastAsia" w:ascii="宋体" w:hAnsi="宋体" w:cs="宋体"/>
          <w:b/>
          <w:bCs/>
          <w:color w:val="auto"/>
          <w:highlight w:val="none"/>
        </w:rPr>
        <w:t xml:space="preserve">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26.1未按照招标文件的规定提交《投标（响应）保证承诺书》；</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27.3投标人的报价均超过了采购最高限价，采购单位不能支付的；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.2.2评审技术服务的承诺文件是否满足采购单位的要求。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.2.3评委会根据评分标准（除报价）进行独立打分，</w:t>
      </w:r>
      <w:r>
        <w:rPr>
          <w:rFonts w:hint="eastAsia" w:ascii="宋体" w:hAnsi="宋体" w:cs="宋体"/>
          <w:color w:val="auto"/>
          <w:szCs w:val="21"/>
          <w:highlight w:val="none"/>
        </w:rPr>
        <w:t xml:space="preserve">招标代理机构</w:t>
      </w:r>
      <w:r>
        <w:rPr>
          <w:rFonts w:hint="eastAsia" w:ascii="宋体" w:hAnsi="宋体" w:cs="宋体"/>
          <w:color w:val="auto"/>
          <w:szCs w:val="21"/>
          <w:highlight w:val="none"/>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color w:val="auto"/>
          <w:szCs w:val="21"/>
          <w:highlight w:val="none"/>
        </w:rPr>
        <w:t xml:space="preserve">采购人书面授权</w:t>
      </w:r>
      <w:r>
        <w:rPr>
          <w:rFonts w:hint="eastAsia" w:ascii="宋体" w:hAnsi="宋体" w:cs="宋体"/>
          <w:color w:val="auto"/>
          <w:szCs w:val="21"/>
          <w:highlight w:val="none"/>
          <w:lang w:val="zh-CN"/>
        </w:rPr>
        <w:t xml:space="preserve">向招标代理机构推荐中标单位。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33"/>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采购代理机构：苏州市创杰招投标咨询服务有限公司</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质疑联系人：路丽丽 潘莉莉   朱晓芹  </w:t>
      </w:r>
      <w:r>
        <w:rPr>
          <w:rFonts w:hint="eastAsia" w:ascii="宋体" w:hAnsi="宋体" w:eastAsia="宋体" w:cs="宋体"/>
          <w:color w:val="auto"/>
          <w:sz w:val="21"/>
          <w:szCs w:val="21"/>
          <w:highlight w:val="none"/>
        </w:rPr>
        <w:t xml:space="preserve">庄天扬</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邮编：215000</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联系电话：0512-65238816</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现场递交地址:苏州市干将西路399号银海大厦303室</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邮寄收取地址:苏州市干将西路399号银海大厦303室</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34. 履约保证金：无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35.中标服务费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35.1中标单位须按前附表规定支付中标服务费，该费用应在领取中标通知书时付清。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35.2中标单位如果未按规定缴纳中标服务费，招标代理机构保留诉讼的权利。</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36.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36.1政府有关监督部门将对招投标全过程进行监督。</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37. 未尽事宜</w:t>
      </w:r>
      <w:r/>
    </w:p>
    <w:p>
      <w:pPr>
        <w:pStyle w:val="733"/>
        <w:ind w:left="420" w:firstLine="42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第三章 投标文件格式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27"/>
        <w:ind w:firstLine="643"/>
        <w:spacing w:before="0" w:after="0"/>
        <w:rPr>
          <w:rFonts w:ascii="宋体" w:hAnsi="宋体" w:cs="宋体"/>
          <w:color w:val="auto"/>
          <w:highlight w:val="none"/>
          <w:lang w:val="zh-CN"/>
        </w:rPr>
      </w:pPr>
      <w:r>
        <w:rPr>
          <w:rFonts w:ascii="宋体" w:hAnsi="宋体" w:cs="宋体"/>
          <w:color w:val="auto"/>
          <w:highlight w:val="none"/>
          <w:lang w:val="zh-CN"/>
        </w:rPr>
      </w:r>
      <w:r/>
    </w:p>
    <w:p>
      <w:pPr>
        <w:ind w:left="-2"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附件1、（投标方）法人授权委托书</w:t>
      </w:r>
      <w:r/>
    </w:p>
    <w:p>
      <w:pPr>
        <w:ind w:firstLine="562"/>
        <w:jc w:val="center"/>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法</w:t>
      </w:r>
      <w:r>
        <w:rPr>
          <w:rFonts w:hint="eastAsia" w:ascii="宋体" w:hAnsi="宋体" w:cs="宋体"/>
          <w:color w:val="auto"/>
          <w:sz w:val="28"/>
          <w:szCs w:val="28"/>
          <w:highlight w:val="none"/>
          <w:lang w:val="zh-CN"/>
        </w:rPr>
        <w:t xml:space="preserve">人授权委托书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本授权书声明： </w:t>
      </w:r>
      <w:r>
        <w:rPr>
          <w:rFonts w:hint="eastAsia" w:ascii="宋体" w:hAnsi="宋体"/>
          <w:color w:val="auto"/>
          <w:szCs w:val="21"/>
          <w:highlight w:val="none"/>
          <w:u w:val="single"/>
        </w:rPr>
        <w:t xml:space="preserve">（供应商名称） </w:t>
      </w:r>
      <w:r>
        <w:rPr>
          <w:rFonts w:hint="eastAsia" w:ascii="宋体" w:hAnsi="宋体"/>
          <w:color w:val="auto"/>
          <w:szCs w:val="21"/>
          <w:highlight w:val="none"/>
        </w:rPr>
        <w:t xml:space="preserve">授权 </w:t>
      </w:r>
      <w:r>
        <w:rPr>
          <w:rFonts w:hint="eastAsia" w:ascii="宋体" w:hAnsi="宋体"/>
          <w:color w:val="auto"/>
          <w:szCs w:val="21"/>
          <w:highlight w:val="none"/>
          <w:u w:val="single"/>
        </w:rPr>
        <w:t xml:space="preserve">（被授权人的姓名）_</w:t>
      </w:r>
      <w:r>
        <w:rPr>
          <w:rFonts w:hint="eastAsia" w:ascii="宋体" w:hAnsi="宋体"/>
          <w:color w:val="auto"/>
          <w:szCs w:val="21"/>
          <w:highlight w:val="none"/>
        </w:rPr>
        <w:t xml:space="preserve">为我方授权代表（即代理人），参加</w:t>
      </w:r>
      <w:r>
        <w:rPr>
          <w:rFonts w:hint="eastAsia" w:ascii="宋体" w:hAnsi="宋体"/>
          <w:color w:val="auto"/>
          <w:szCs w:val="21"/>
          <w:highlight w:val="none"/>
          <w:u w:val="single"/>
        </w:rPr>
        <w:t xml:space="preserve">苏州市创杰招投标咨询服务有限公司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rPr>
        <w:t xml:space="preserve">   （招标编号）   </w:t>
      </w:r>
      <w:r>
        <w:rPr>
          <w:rFonts w:hint="eastAsia" w:ascii="宋体" w:hAnsi="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被授权人身份证号码： 。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被授权人联系电话：</w:t>
      </w:r>
      <w:r>
        <w:rPr>
          <w:rFonts w:hint="eastAsia" w:ascii="宋体" w:hAnsi="宋体"/>
          <w:color w:val="auto"/>
          <w:szCs w:val="21"/>
          <w:highlight w:val="none"/>
          <w:u w:val="single"/>
        </w:rPr>
        <w:t xml:space="preserve">（手机）                </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olor w:val="auto"/>
          <w:szCs w:val="21"/>
          <w:highlight w:val="none"/>
        </w:rPr>
        <w:t xml:space="preserve">：（签章）                                    </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3"/>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附：法人代表、授权代表的身份证正反面复印件</w:t>
      </w:r>
      <w:r/>
    </w:p>
    <w:tbl>
      <w:tblPr>
        <w:tblStyle w:val="73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54"/>
              <w:ind w:firstLine="422"/>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p>
            <w:pPr>
              <w:pStyle w:val="754"/>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要求：真实、有效、清晰</w:t>
            </w:r>
            <w:r/>
          </w:p>
          <w:p>
            <w:pPr>
              <w:pStyle w:val="754"/>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tc>
      </w:tr>
    </w:tbl>
    <w:p>
      <w:pPr>
        <w:pStyle w:val="733"/>
        <w:spacing w:line="360" w:lineRule="auto"/>
        <w:rPr>
          <w:rFonts w:ascii="宋体"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附件2、投标函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苏州市创杰招投标咨询服务有限公司</w:t>
      </w:r>
      <w:r>
        <w:rPr>
          <w:rFonts w:hint="eastAsia" w:ascii="宋体" w:hAnsi="宋体" w:cs="宋体"/>
          <w:color w:val="auto"/>
          <w:szCs w:val="21"/>
          <w:highlight w:val="none"/>
          <w:lang w:val="zh-CN"/>
        </w:rPr>
        <w:t xml:space="preserve">：</w:t>
      </w:r>
      <w:r/>
    </w:p>
    <w:p>
      <w:pPr>
        <w:pStyle w:val="81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 号招标文件，经仔细阅读和研究，我们决定参加投标。</w:t>
      </w:r>
      <w:r/>
    </w:p>
    <w:p>
      <w:pPr>
        <w:pStyle w:val="81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采购代理服务费、各种税费、劳保、专利技术及维保等完成本次项目所需的一切费用。</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3.我们同意按招标文件中的规定，本投标书的有效期限为开标后</w:t>
      </w:r>
      <w:r>
        <w:rPr>
          <w:rFonts w:hint="eastAsia" w:hAnsi="宋体" w:eastAsia="宋体" w:cs="宋体"/>
          <w:color w:val="auto"/>
          <w:sz w:val="21"/>
          <w:highlight w:val="none"/>
          <w:u w:val="single"/>
        </w:rPr>
        <w:t xml:space="preserve"> 60</w:t>
      </w:r>
      <w:r>
        <w:rPr>
          <w:rFonts w:hint="eastAsia" w:hAnsi="宋体" w:eastAsia="宋体" w:cs="宋体"/>
          <w:color w:val="auto"/>
          <w:sz w:val="21"/>
          <w:highlight w:val="none"/>
        </w:rPr>
        <w:t xml:space="preserve">天。</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7.如果我们中标，我们愿意按前附表的规定支付中标服务费；</w:t>
      </w:r>
      <w:r/>
    </w:p>
    <w:p>
      <w:pPr>
        <w:pStyle w:val="812"/>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8.我们愿意按照贵公司招标文件的要求提供电子投标文件（中标后提供纸质投标文件），并保证全部投标文件内容真实有效，若有虚假，我公司愿意承担与此相关的一切责任；</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9.我们愿意按照《中华人民共和国民法典》履行自己应该承担的全部责任。</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10.综合说明：</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812"/>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812"/>
        <w:ind w:left="3825" w:firstLine="422"/>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812"/>
        <w:ind w:firstLine="3780"/>
        <w:spacing w:line="360" w:lineRule="auto"/>
        <w:rPr>
          <w:rFonts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附件3、开标一览表</w:t>
      </w:r>
      <w:r/>
    </w:p>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821"/>
              <w:ind w:firstLine="42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490" w:type="dxa"/>
            <w:vAlign w:val="center"/>
            <w:textDirection w:val="lrTb"/>
            <w:noWrap w:val="false"/>
          </w:tcPr>
          <w:p>
            <w:pPr>
              <w:pStyle w:val="82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tc>
        <w:tc>
          <w:tcPr>
            <w:tcW w:w="2929" w:type="dxa"/>
            <w:vAlign w:val="center"/>
            <w:textDirection w:val="lrTb"/>
            <w:noWrap w:val="false"/>
          </w:tcPr>
          <w:p>
            <w:pPr>
              <w:pStyle w:val="82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总价（元）</w:t>
            </w:r>
            <w:r/>
          </w:p>
        </w:tc>
        <w:tc>
          <w:tcPr>
            <w:tcW w:w="1855" w:type="dxa"/>
            <w:vAlign w:val="center"/>
            <w:textDirection w:val="lrTb"/>
            <w:noWrap w:val="false"/>
          </w:tcPr>
          <w:p>
            <w:pPr>
              <w:pStyle w:val="82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jc w:val="center"/>
          <w:trHeight w:val="692"/>
        </w:trPr>
        <w:tc>
          <w:tcPr>
            <w:tcW w:w="1355" w:type="dxa"/>
            <w:vAlign w:val="center"/>
            <w:textDirection w:val="lrTb"/>
            <w:noWrap w:val="false"/>
          </w:tcPr>
          <w:p>
            <w:pPr>
              <w:pStyle w:val="821"/>
              <w:ind w:firstLine="42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2490" w:type="dxa"/>
            <w:vAlign w:val="center"/>
            <w:textDirection w:val="lrTb"/>
            <w:noWrap w:val="false"/>
          </w:tcPr>
          <w:p>
            <w:pPr>
              <w:pStyle w:val="82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2929" w:type="dxa"/>
            <w:vAlign w:val="center"/>
            <w:textDirection w:val="lrTb"/>
            <w:noWrap w:val="false"/>
          </w:tcPr>
          <w:p>
            <w:pPr>
              <w:pStyle w:val="82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1855" w:type="dxa"/>
            <w:vAlign w:val="center"/>
            <w:textDirection w:val="lrTb"/>
            <w:noWrap w:val="false"/>
          </w:tcPr>
          <w:p>
            <w:pPr>
              <w:pStyle w:val="821"/>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Height w:val="692"/>
        </w:trPr>
        <w:tc>
          <w:tcPr>
            <w:gridSpan w:val="4"/>
            <w:tcW w:w="8629" w:type="dxa"/>
            <w:vAlign w:val="center"/>
            <w:textDirection w:val="lrTb"/>
            <w:noWrap w:val="false"/>
          </w:tcPr>
          <w:p>
            <w:pPr>
              <w:pStyle w:val="821"/>
              <w:ind w:firstLine="422"/>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投标总报价（人民币大写）：                    ￥：</w:t>
            </w:r>
            <w:r/>
          </w:p>
        </w:tc>
      </w:tr>
    </w:tbl>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color w:val="auto"/>
          <w:highlight w:val="none"/>
        </w:rPr>
      </w:pPr>
      <w:r/>
      <w:bookmarkStart w:id="41" w:name="_Toc2583141"/>
      <w:r>
        <w:rPr>
          <w:rFonts w:hint="eastAsia" w:ascii="宋体" w:hAnsi="宋体" w:cs="宋体"/>
          <w:b/>
          <w:bCs/>
          <w:color w:val="auto"/>
          <w:highlight w:val="none"/>
        </w:rPr>
        <w:t xml:space="preserve">附件4、</w:t>
      </w:r>
      <w:r>
        <w:rPr>
          <w:rFonts w:hint="eastAsia" w:ascii="宋体" w:hAnsi="宋体" w:cs="宋体"/>
          <w:b/>
          <w:bCs/>
          <w:color w:val="auto"/>
          <w:highlight w:val="none"/>
          <w:lang w:val="zh-CN"/>
        </w:rPr>
        <w:t xml:space="preserve">投标报价分析表</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投标报价分析表</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招标编号：号                               </w:t>
      </w:r>
      <w:r/>
    </w:p>
    <w:tbl>
      <w:tblPr>
        <w:tblStyle w:val="732"/>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tcW w:w="1367"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标的物名称</w:t>
            </w:r>
            <w:r/>
          </w:p>
        </w:tc>
        <w:tc>
          <w:tcPr>
            <w:tcW w:w="1373"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val="zh-CN"/>
              </w:rPr>
              <w:t xml:space="preserve">品牌、</w:t>
            </w:r>
            <w:r>
              <w:rPr>
                <w:rFonts w:hint="eastAsia" w:ascii="宋体" w:hAnsi="宋体"/>
                <w:color w:val="auto"/>
                <w:szCs w:val="21"/>
                <w:highlight w:val="none"/>
              </w:rPr>
              <w:t xml:space="preserve">规格、型号</w:t>
            </w:r>
            <w:r/>
          </w:p>
        </w:tc>
        <w:tc>
          <w:tcPr>
            <w:tcW w:w="120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生产厂家</w:t>
            </w:r>
            <w:r/>
          </w:p>
        </w:tc>
        <w:tc>
          <w:tcPr>
            <w:tcW w:w="723"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单位</w:t>
            </w:r>
            <w:r/>
          </w:p>
        </w:tc>
        <w:tc>
          <w:tcPr>
            <w:tcW w:w="847"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数量</w:t>
            </w:r>
            <w:r/>
          </w:p>
        </w:tc>
        <w:tc>
          <w:tcPr>
            <w:tcW w:w="909"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单价</w:t>
            </w:r>
            <w:r/>
          </w:p>
        </w:tc>
        <w:tc>
          <w:tcPr>
            <w:tcW w:w="1121"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总价</w:t>
            </w:r>
            <w:r/>
          </w:p>
        </w:tc>
        <w:tc>
          <w:tcPr>
            <w:tcW w:w="1209" w:type="dxa"/>
            <w:vAlign w:val="center"/>
            <w:textDirection w:val="lrTb"/>
            <w:noWrap w:val="false"/>
          </w:tcPr>
          <w:p>
            <w:pP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备注</w:t>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gridSpan w:val="2"/>
            <w:tcW w:w="2071" w:type="dxa"/>
            <w:vAlign w:val="center"/>
            <w:textDirection w:val="lrTb"/>
            <w:noWrap w:val="false"/>
          </w:tcPr>
          <w:p>
            <w:pPr>
              <w:ind w:firstLine="422"/>
              <w:jc w:val="center"/>
              <w:rPr>
                <w:rFonts w:ascii="宋体" w:hAnsi="宋体"/>
                <w:color w:val="auto"/>
                <w:szCs w:val="21"/>
                <w:highlight w:val="none"/>
                <w:lang w:val="zh-CN"/>
              </w:rPr>
            </w:pPr>
            <w:r>
              <w:rPr>
                <w:rFonts w:hint="eastAsia" w:ascii="宋体" w:hAnsi="宋体"/>
                <w:color w:val="auto"/>
                <w:highlight w:val="none"/>
                <w:lang w:val="zh-CN"/>
              </w:rPr>
              <w:t xml:space="preserve">投标总报价：</w:t>
            </w:r>
            <w:r/>
          </w:p>
        </w:tc>
        <w:tc>
          <w:tcPr>
            <w:gridSpan w:val="7"/>
            <w:tcW w:w="7391" w:type="dxa"/>
            <w:vAlign w:val="center"/>
            <w:textDirection w:val="lrTb"/>
            <w:noWrap w:val="false"/>
          </w:tcPr>
          <w:p>
            <w:pPr>
              <w:ind w:firstLine="422"/>
              <w:jc w:val="center"/>
              <w:rPr>
                <w:rFonts w:ascii="宋体" w:hAnsi="宋体"/>
                <w:color w:val="auto"/>
                <w:highlight w:val="none"/>
              </w:rPr>
            </w:pPr>
            <w:r>
              <w:rPr>
                <w:rFonts w:hint="eastAsia" w:ascii="宋体" w:hAnsi="宋体"/>
                <w:color w:val="auto"/>
                <w:highlight w:val="none"/>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hint="eastAsia" w:ascii="宋体" w:hAnsi="宋体"/>
                <w:color w:val="auto"/>
                <w:highlight w:val="none"/>
                <w:lang w:val="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tc>
      </w:tr>
    </w:tbl>
    <w:p>
      <w:pPr>
        <w:pStyle w:val="809"/>
        <w:ind w:firstLine="420"/>
        <w:spacing w:line="360" w:lineRule="auto"/>
        <w:rPr>
          <w:rFonts w:hAnsi="宋体" w:eastAsia="宋体"/>
          <w:color w:val="auto"/>
          <w:sz w:val="21"/>
          <w:highlight w:val="none"/>
        </w:rPr>
      </w:pPr>
      <w:r>
        <w:rPr>
          <w:rFonts w:hAnsi="宋体" w:eastAsia="宋体"/>
          <w:color w:val="auto"/>
          <w:sz w:val="21"/>
          <w:highlight w:val="none"/>
        </w:rPr>
      </w:r>
      <w:r/>
    </w:p>
    <w:p>
      <w:pPr>
        <w:pStyle w:val="809"/>
        <w:ind w:firstLine="420"/>
        <w:spacing w:line="360" w:lineRule="auto"/>
        <w:rPr>
          <w:rFonts w:hAnsi="宋体" w:eastAsia="宋体"/>
          <w:color w:val="auto"/>
          <w:sz w:val="21"/>
          <w:highlight w:val="none"/>
        </w:rPr>
      </w:pPr>
      <w:r>
        <w:rPr>
          <w:rFonts w:hint="eastAsia" w:hAnsi="宋体" w:eastAsia="宋体"/>
          <w:color w:val="auto"/>
          <w:sz w:val="21"/>
          <w:highlight w:val="none"/>
        </w:rPr>
        <w:t xml:space="preserve">投标单位（签章）：</w:t>
      </w:r>
      <w:r/>
    </w:p>
    <w:p>
      <w:pPr>
        <w:pStyle w:val="809"/>
        <w:ind w:firstLine="420"/>
        <w:spacing w:line="360" w:lineRule="auto"/>
        <w:rPr>
          <w:rFonts w:hAnsi="宋体" w:eastAsia="宋体"/>
          <w:color w:val="auto"/>
          <w:sz w:val="21"/>
          <w:highlight w:val="none"/>
        </w:rPr>
      </w:pPr>
      <w:r>
        <w:rPr>
          <w:rFonts w:hint="eastAsia" w:hAnsi="宋体" w:eastAsia="宋体"/>
          <w:color w:val="auto"/>
          <w:sz w:val="21"/>
          <w:highlight w:val="none"/>
        </w:rPr>
        <w:t xml:space="preserve">日期：年月日</w:t>
      </w:r>
      <w:r/>
    </w:p>
    <w:p>
      <w:pPr>
        <w:ind w:firstLine="420"/>
        <w:jc w:val="center"/>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ind w:firstLine="420"/>
        <w:rPr>
          <w:rFonts w:hAnsi="宋体"/>
          <w:b/>
          <w:bCs/>
          <w:color w:val="auto"/>
          <w:szCs w:val="21"/>
          <w:highlight w:val="none"/>
          <w:lang w:val="zh-CN"/>
        </w:rPr>
      </w:pPr>
      <w:r>
        <w:rPr>
          <w:rFonts w:hAnsi="宋体"/>
          <w:b/>
          <w:bCs/>
          <w:color w:val="auto"/>
          <w:szCs w:val="21"/>
          <w:highlight w:val="none"/>
          <w:lang w:val="zh-CN"/>
        </w:rPr>
      </w:r>
      <w:r/>
    </w:p>
    <w:p>
      <w:pPr>
        <w:pStyle w:val="767"/>
        <w:ind w:firstLine="402"/>
        <w:rPr>
          <w:rFonts w:hAnsi="宋体"/>
          <w:b/>
          <w:bCs/>
          <w:color w:val="auto"/>
          <w:szCs w:val="21"/>
          <w:highlight w:val="none"/>
          <w:lang w:val="zh-CN"/>
        </w:rPr>
      </w:pPr>
      <w:r>
        <w:rPr>
          <w:rFonts w:hAnsi="宋体"/>
          <w:b/>
          <w:bCs/>
          <w:color w:val="auto"/>
          <w:szCs w:val="21"/>
          <w:highlight w:val="none"/>
          <w:lang w:val="zh-CN"/>
        </w:rPr>
      </w:r>
      <w:r/>
    </w:p>
    <w:p>
      <w:pPr>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备注：</w:t>
      </w:r>
      <w:r>
        <w:rPr>
          <w:rFonts w:hint="eastAsia" w:ascii="宋体" w:hAnsi="宋体"/>
          <w:b/>
          <w:bCs/>
          <w:color w:val="auto"/>
          <w:szCs w:val="21"/>
          <w:highlight w:val="none"/>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numPr>
          <w:ilvl w:val="0"/>
          <w:numId w:val="0"/>
        </w:numPr>
        <w:ind w:firstLine="422"/>
        <w:spacing w:line="360" w:lineRule="auto"/>
        <w:rPr>
          <w:rFonts w:hint="eastAsia" w:ascii="宋体" w:hAnsi="宋体" w:eastAsia="方正魏碑_GBK"/>
          <w:b/>
          <w:bCs/>
          <w:color w:val="auto"/>
          <w:szCs w:val="21"/>
          <w:highlight w:val="none"/>
          <w:lang w:val="zh-CN" w:eastAsia="zh-CN"/>
        </w:rPr>
      </w:pPr>
      <w:r>
        <w:rPr>
          <w:rFonts w:hint="eastAsia" w:ascii="宋体" w:hAnsi="宋体"/>
          <w:b/>
          <w:bCs/>
          <w:color w:val="auto"/>
          <w:sz w:val="21"/>
          <w:szCs w:val="21"/>
          <w:highlight w:val="none"/>
          <w:lang w:val="en-US" w:eastAsia="zh-CN"/>
        </w:rPr>
        <w:t xml:space="preserve">3、</w:t>
      </w:r>
      <w:r>
        <w:rPr>
          <w:rFonts w:hint="eastAsia" w:ascii="方正魏碑_GBK" w:hAnsi="方正魏碑_GBK" w:eastAsia="方正魏碑_GBK" w:cs="方正魏碑_GBK"/>
          <w:b/>
          <w:bCs/>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b/>
          <w:bCs/>
          <w:color w:val="auto"/>
          <w:sz w:val="21"/>
          <w:szCs w:val="21"/>
          <w:highlight w:val="none"/>
          <w:lang w:eastAsia="zh-CN"/>
        </w:rPr>
        <w:t xml:space="preserve">。</w:t>
      </w:r>
      <w:bookmarkEnd w:id="41"/>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附件5、</w:t>
      </w:r>
      <w:bookmarkStart w:id="42" w:name="_Toc518926909"/>
      <w:r/>
      <w:bookmarkStart w:id="43" w:name="_Toc7888"/>
      <w:r/>
      <w:bookmarkStart w:id="44" w:name="_Toc532444506"/>
      <w:r/>
      <w:bookmarkStart w:id="45" w:name="_Toc532444344"/>
      <w:r/>
      <w:bookmarkStart w:id="46" w:name="_Toc2583142"/>
      <w:r/>
      <w:bookmarkStart w:id="47" w:name="_Toc532452113"/>
      <w:r>
        <w:rPr>
          <w:rFonts w:hint="eastAsia" w:ascii="宋体" w:hAnsi="宋体" w:cs="宋体"/>
          <w:b/>
          <w:bCs/>
          <w:color w:val="auto"/>
          <w:szCs w:val="21"/>
          <w:highlight w:val="none"/>
        </w:rPr>
        <w:t xml:space="preserve">技术响应对照表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技术响应对照表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3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color w:val="auto"/>
                <w:szCs w:val="21"/>
                <w:highlight w:val="none"/>
              </w:rPr>
            </w:pPr>
            <w:r>
              <w:rPr>
                <w:rFonts w:hint="eastAsia" w:ascii="宋体" w:hAnsi="宋体"/>
                <w:color w:val="auto"/>
                <w:szCs w:val="21"/>
                <w:highlight w:val="none"/>
              </w:rPr>
              <w:t xml:space="preserve">序号</w:t>
            </w:r>
            <w:r/>
          </w:p>
        </w:tc>
        <w:tc>
          <w:tcPr>
            <w:tcW w:w="1828" w:type="dxa"/>
            <w:vAlign w:val="center"/>
            <w:textDirection w:val="lrTb"/>
            <w:noWrap w:val="false"/>
          </w:tcPr>
          <w:p>
            <w:pPr>
              <w:ind w:firstLine="422"/>
              <w:jc w:val="center"/>
              <w:rPr>
                <w:rFonts w:ascii="宋体" w:hAnsi="宋体" w:cs="宋体"/>
                <w:color w:val="auto"/>
                <w:szCs w:val="21"/>
                <w:highlight w:val="none"/>
              </w:rPr>
            </w:pPr>
            <w:r>
              <w:rPr>
                <w:rFonts w:hint="eastAsia" w:ascii="宋体" w:hAnsi="宋体"/>
                <w:color w:val="auto"/>
                <w:szCs w:val="21"/>
                <w:highlight w:val="none"/>
              </w:rPr>
              <w:t xml:space="preserve">货物名称</w:t>
            </w:r>
            <w:r/>
          </w:p>
        </w:tc>
        <w:tc>
          <w:tcPr>
            <w:tcW w:w="1646" w:type="dxa"/>
            <w:vAlign w:val="center"/>
            <w:textDirection w:val="lrTb"/>
            <w:noWrap w:val="false"/>
          </w:tcPr>
          <w:p>
            <w:pPr>
              <w:ind w:firstLine="422"/>
              <w:rPr>
                <w:rFonts w:ascii="宋体" w:hAnsi="宋体" w:cs="宋体"/>
                <w:color w:val="auto"/>
                <w:szCs w:val="21"/>
                <w:highlight w:val="none"/>
              </w:rPr>
            </w:pPr>
            <w:r>
              <w:rPr>
                <w:rFonts w:hint="eastAsia" w:ascii="宋体" w:hAnsi="宋体"/>
                <w:color w:val="auto"/>
                <w:szCs w:val="21"/>
                <w:highlight w:val="none"/>
              </w:rPr>
              <w:t xml:space="preserve">招标要求</w:t>
            </w:r>
            <w:r/>
          </w:p>
        </w:tc>
        <w:tc>
          <w:tcPr>
            <w:tcW w:w="1463" w:type="dxa"/>
            <w:vAlign w:val="center"/>
            <w:textDirection w:val="lrTb"/>
            <w:noWrap w:val="false"/>
          </w:tcPr>
          <w:p>
            <w:pPr>
              <w:ind w:firstLine="0"/>
              <w:rPr>
                <w:rFonts w:ascii="宋体" w:hAnsi="宋体" w:cs="宋体"/>
                <w:color w:val="auto"/>
                <w:szCs w:val="21"/>
                <w:highlight w:val="none"/>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产品指标</w:t>
            </w:r>
            <w:r/>
          </w:p>
        </w:tc>
        <w:tc>
          <w:tcPr>
            <w:tcW w:w="1726" w:type="dxa"/>
            <w:vAlign w:val="center"/>
            <w:textDirection w:val="lrTb"/>
            <w:noWrap w:val="false"/>
          </w:tcPr>
          <w:p>
            <w:pPr>
              <w:ind w:firstLine="0"/>
              <w:jc w:val="both"/>
              <w:rPr>
                <w:rFonts w:ascii="宋体" w:hAnsi="宋体" w:cs="宋体"/>
                <w:color w:val="auto"/>
                <w:szCs w:val="21"/>
                <w:highlight w:val="none"/>
              </w:rPr>
            </w:pPr>
            <w:r>
              <w:rPr>
                <w:rFonts w:hint="eastAsia" w:ascii="宋体" w:hAnsi="宋体"/>
                <w:color w:val="auto"/>
                <w:szCs w:val="21"/>
                <w:highlight w:val="none"/>
                <w:lang w:val="en-US" w:eastAsia="zh-CN"/>
              </w:rPr>
              <w:t xml:space="preserve">正偏离、负偏离或无偏离</w:t>
            </w:r>
            <w:r/>
          </w:p>
        </w:tc>
        <w:tc>
          <w:tcPr>
            <w:tcW w:w="1784" w:type="dxa"/>
            <w:vAlign w:val="center"/>
            <w:textDirection w:val="lrTb"/>
            <w:noWrap w:val="false"/>
          </w:tcPr>
          <w:p>
            <w:pPr>
              <w:ind w:firstLine="0"/>
              <w:jc w:val="both"/>
              <w:rPr>
                <w:rFonts w:ascii="宋体" w:hAnsi="宋体" w:cs="宋体"/>
                <w:color w:val="auto"/>
                <w:szCs w:val="21"/>
                <w:highlight w:val="none"/>
              </w:rPr>
            </w:pPr>
            <w:r>
              <w:rPr>
                <w:rFonts w:hint="eastAsia" w:ascii="宋体" w:hAnsi="宋体"/>
                <w:color w:val="auto"/>
                <w:szCs w:val="21"/>
                <w:highlight w:val="none"/>
                <w:lang w:val="en-US" w:eastAsia="zh-CN"/>
              </w:rPr>
              <w:t xml:space="preserve">偏离</w:t>
            </w:r>
            <w:r>
              <w:rPr>
                <w:rFonts w:hint="eastAsia" w:ascii="宋体" w:hAnsi="宋体"/>
                <w:color w:val="auto"/>
                <w:szCs w:val="21"/>
                <w:highlight w:val="none"/>
              </w:rPr>
              <w:t xml:space="preserve">说明</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color w:val="auto"/>
          <w:szCs w:val="21"/>
          <w:highlight w:val="none"/>
        </w:rPr>
        <w:t xml:space="preserve">日期：         年         月       日</w:t>
      </w:r>
      <w:bookmarkEnd w:id="42"/>
      <w:bookmarkEnd w:id="43"/>
      <w:bookmarkEnd w:id="44"/>
      <w:bookmarkEnd w:id="45"/>
      <w:bookmarkEnd w:id="46"/>
      <w:bookmarkEnd w:id="47"/>
      <w:r/>
    </w:p>
    <w:p>
      <w:pPr>
        <w:spacing w:line="360" w:lineRule="auto"/>
        <w:rPr>
          <w:rFonts w:ascii="宋体" w:hAnsi="宋体"/>
          <w:b/>
          <w:color w:val="auto"/>
          <w:szCs w:val="21"/>
          <w:highlight w:val="none"/>
          <w:lang w:val="zh-CN"/>
        </w:rPr>
      </w:pPr>
      <w:r>
        <w:rPr>
          <w:rFonts w:hint="eastAsia" w:ascii="宋体" w:hAnsi="宋体" w:cs="宋体"/>
          <w:b/>
          <w:bCs/>
          <w:color w:val="auto"/>
          <w:szCs w:val="21"/>
          <w:highlight w:val="none"/>
        </w:rPr>
        <w:t xml:space="preserve">附件6、</w:t>
      </w:r>
      <w:r>
        <w:rPr>
          <w:rFonts w:hint="eastAsia" w:ascii="宋体" w:hAnsi="宋体" w:eastAsia="宋体" w:cs="宋体"/>
          <w:b/>
          <w:color w:val="auto"/>
          <w:sz w:val="21"/>
          <w:highlight w:val="none"/>
        </w:rPr>
        <w:t xml:space="preserve">设备配置清单表</w:t>
      </w:r>
      <w:r/>
    </w:p>
    <w:p>
      <w:pPr>
        <w:ind w:firstLine="480"/>
        <w:jc w:val="left"/>
        <w:rPr>
          <w:rFonts w:ascii="宋体" w:hAnsi="宋体"/>
          <w:b/>
          <w:color w:val="auto"/>
          <w:sz w:val="24"/>
          <w:szCs w:val="20"/>
          <w:highlight w:val="none"/>
        </w:rPr>
      </w:pPr>
      <w:r>
        <w:rPr>
          <w:rFonts w:ascii="宋体" w:hAnsi="宋体"/>
          <w:b/>
          <w:color w:val="auto"/>
          <w:sz w:val="24"/>
          <w:szCs w:val="20"/>
          <w:highlight w:val="none"/>
        </w:rPr>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设备配置清单表</w:t>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p>
    <w:tbl>
      <w:tblPr>
        <w:tblStyle w:val="73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投标方：（签章）</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b/>
          <w:bCs/>
          <w:color w:val="auto"/>
          <w:szCs w:val="21"/>
          <w:highlight w:val="none"/>
        </w:rPr>
      </w:pPr>
      <w:r>
        <w:rPr>
          <w:rFonts w:ascii="宋体" w:hAnsi="宋体" w:cs="宋体"/>
          <w:b/>
          <w:color w:val="auto"/>
          <w:szCs w:val="21"/>
          <w:highlight w:val="none"/>
        </w:rPr>
        <w:br w:type="page" w:clear="all"/>
      </w:r>
      <w:r>
        <w:rPr>
          <w:rFonts w:hint="eastAsia" w:ascii="宋体" w:hAnsi="宋体" w:cs="宋体"/>
          <w:b/>
          <w:color w:val="auto"/>
          <w:szCs w:val="21"/>
          <w:highlight w:val="none"/>
        </w:rPr>
        <w:t xml:space="preserve">附件</w:t>
      </w:r>
      <w:r>
        <w:rPr>
          <w:rFonts w:ascii="宋体" w:hAnsi="宋体"/>
          <w:b/>
          <w:bCs/>
          <w:color w:val="auto"/>
          <w:szCs w:val="21"/>
          <w:highlight w:val="none"/>
        </w:rPr>
        <w:t xml:space="preserve">7</w:t>
      </w:r>
      <w:r>
        <w:rPr>
          <w:rFonts w:hint="eastAsia" w:ascii="宋体" w:hAnsi="宋体"/>
          <w:b/>
          <w:bCs/>
          <w:color w:val="auto"/>
          <w:szCs w:val="21"/>
          <w:highlight w:val="none"/>
        </w:rPr>
        <w:t xml:space="preserve">、</w:t>
      </w:r>
      <w:r>
        <w:rPr>
          <w:rFonts w:hint="eastAsia" w:ascii="宋体" w:hAnsi="宋体" w:cs="宋体"/>
          <w:b/>
          <w:bCs/>
          <w:color w:val="auto"/>
          <w:highlight w:val="none"/>
        </w:rPr>
        <w:t xml:space="preserve">投标货物和服务数量、品牌型号、性能、交货期说明表</w:t>
      </w:r>
      <w:r/>
    </w:p>
    <w:p>
      <w:pPr>
        <w:ind w:firstLine="422"/>
        <w:jc w:val="center"/>
        <w:spacing w:line="360" w:lineRule="auto"/>
        <w:rPr>
          <w:rFonts w:ascii="宋体" w:hAnsi="宋体"/>
          <w:color w:val="auto"/>
          <w:szCs w:val="21"/>
          <w:highlight w:val="none"/>
        </w:rPr>
      </w:pPr>
      <w:r>
        <w:rPr>
          <w:rFonts w:ascii="宋体" w:hAnsi="宋体"/>
          <w:color w:val="auto"/>
          <w:szCs w:val="21"/>
          <w:highlight w:val="none"/>
        </w:rPr>
      </w:r>
      <w:r/>
    </w:p>
    <w:p>
      <w:pPr>
        <w:ind w:firstLine="422"/>
        <w:jc w:val="center"/>
        <w:spacing w:line="360" w:lineRule="auto"/>
        <w:rPr>
          <w:rFonts w:ascii="宋体" w:hAnsi="宋体"/>
          <w:color w:val="auto"/>
          <w:szCs w:val="21"/>
          <w:highlight w:val="none"/>
        </w:rPr>
      </w:pPr>
      <w:r>
        <w:rPr>
          <w:rFonts w:hint="eastAsia" w:ascii="宋体" w:hAnsi="宋体" w:cs="宋体"/>
          <w:color w:val="auto"/>
          <w:highlight w:val="none"/>
        </w:rPr>
        <w:t xml:space="preserve">投标货物和服务数量、品牌型号、性能、交货期说明表</w:t>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p>
    <w:tbl>
      <w:tblPr>
        <w:tblStyle w:val="732"/>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1757"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标的物名称</w:t>
            </w:r>
            <w:r/>
          </w:p>
        </w:tc>
        <w:tc>
          <w:tcPr>
            <w:tcW w:w="1255" w:type="dxa"/>
            <w:vAlign w:val="center"/>
            <w:textDirection w:val="lrTb"/>
            <w:noWrap w:val="false"/>
          </w:tcPr>
          <w:p>
            <w:pP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性能</w:t>
            </w:r>
            <w:r/>
          </w:p>
        </w:tc>
        <w:tc>
          <w:tcPr>
            <w:tcW w:w="1143"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单位</w:t>
            </w:r>
            <w:r/>
          </w:p>
        </w:tc>
        <w:tc>
          <w:tcPr>
            <w:tcW w:w="1137"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W w:w="977" w:type="dxa"/>
            <w:vAlign w:val="center"/>
            <w:textDirection w:val="lrTb"/>
            <w:noWrap w:val="false"/>
          </w:tcPr>
          <w:p>
            <w:pP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r>
        <w:trPr>
          <w:cantSplit/>
          <w:jc w:val="center"/>
        </w:trPr>
        <w:tc>
          <w:tcPr>
            <w:tcW w:w="964" w:type="dxa"/>
            <w:vAlign w:val="center"/>
            <w:textDirection w:val="lrTb"/>
            <w:noWrap w:val="false"/>
          </w:tcPr>
          <w:p>
            <w:pPr>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bl>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投标方：（签章）</w:t>
      </w:r>
      <w:r/>
    </w:p>
    <w:p>
      <w:pPr>
        <w:ind w:firstLine="422"/>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ascii="宋体" w:hAnsi="宋体"/>
          <w:b/>
          <w:color w:val="auto"/>
          <w:szCs w:val="21"/>
          <w:highlight w:val="none"/>
          <w:lang w:val="zh-CN"/>
        </w:rPr>
      </w:pPr>
      <w:r>
        <w:rPr>
          <w:rFonts w:hint="eastAsia" w:ascii="宋体" w:hAnsi="宋体" w:cs="宋体"/>
          <w:b/>
          <w:bCs/>
          <w:color w:val="auto"/>
          <w:szCs w:val="21"/>
          <w:highlight w:val="none"/>
        </w:rPr>
        <w:t xml:space="preserve">附件8：</w:t>
      </w:r>
      <w:r>
        <w:rPr>
          <w:rFonts w:hint="eastAsia" w:ascii="宋体" w:hAnsi="宋体"/>
          <w:b/>
          <w:color w:val="auto"/>
          <w:szCs w:val="21"/>
          <w:highlight w:val="none"/>
          <w:lang w:val="zh-CN"/>
        </w:rPr>
        <w:t xml:space="preserve">质保期满后备品备件、易损件报价表（不含在投标报价中）</w:t>
      </w:r>
      <w:r/>
    </w:p>
    <w:p>
      <w:pPr>
        <w:ind w:firstLine="480"/>
        <w:jc w:val="left"/>
        <w:rPr>
          <w:rFonts w:ascii="宋体" w:hAnsi="宋体"/>
          <w:b/>
          <w:color w:val="auto"/>
          <w:sz w:val="24"/>
          <w:szCs w:val="20"/>
          <w:highlight w:val="none"/>
        </w:rPr>
      </w:pPr>
      <w:r>
        <w:rPr>
          <w:rFonts w:ascii="宋体" w:hAnsi="宋体"/>
          <w:b/>
          <w:color w:val="auto"/>
          <w:sz w:val="24"/>
          <w:szCs w:val="20"/>
          <w:highlight w:val="none"/>
        </w:rPr>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质保期满后备品备件、易损件报价表</w:t>
      </w:r>
      <w:r/>
    </w:p>
    <w:p>
      <w:pPr>
        <w:ind w:firstLine="502"/>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rPr>
          <w:rFonts w:hint="eastAsia" w:ascii="宋体" w:hAnsi="宋体" w:cs="宋体"/>
          <w:color w:val="auto"/>
          <w:szCs w:val="21"/>
          <w:highlight w:val="none"/>
          <w:lang w:val="en-US" w:eastAsia="zh-CN"/>
        </w:rPr>
        <w:t xml:space="preserve">项目名称：</w:t>
      </w:r>
      <w:r/>
    </w:p>
    <w:tbl>
      <w:tblPr>
        <w:tblStyle w:val="732"/>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color w:val="auto"/>
                <w:szCs w:val="21"/>
                <w:highlight w:val="none"/>
              </w:rPr>
            </w:pPr>
            <w:r>
              <w:rPr>
                <w:rFonts w:hint="eastAsia" w:ascii="宋体" w:hAnsi="宋体"/>
                <w:bCs/>
                <w:color w:val="auto"/>
                <w:szCs w:val="21"/>
                <w:highlight w:val="none"/>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ascii="宋体" w:hAnsi="宋体"/>
                <w:b/>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bl>
    <w:p>
      <w:pPr>
        <w:ind w:firstLine="422"/>
        <w:jc w:val="left"/>
        <w:spacing w:line="360" w:lineRule="auto"/>
        <w:rPr>
          <w:rFonts w:ascii="宋体" w:hAnsi="宋体"/>
          <w:color w:val="auto"/>
          <w:szCs w:val="20"/>
          <w:highlight w:val="none"/>
        </w:rPr>
      </w:pPr>
      <w:r>
        <w:rPr>
          <w:rFonts w:hint="eastAsia" w:ascii="宋体" w:hAnsi="宋体"/>
          <w:color w:val="auto"/>
          <w:szCs w:val="20"/>
          <w:highlight w:val="none"/>
        </w:rPr>
        <w:t xml:space="preserve">注：</w:t>
      </w:r>
      <w:r/>
    </w:p>
    <w:p>
      <w:pPr>
        <w:ind w:firstLine="422"/>
        <w:jc w:val="left"/>
        <w:spacing w:line="360" w:lineRule="auto"/>
        <w:rPr>
          <w:rFonts w:ascii="宋体" w:hAnsi="宋体"/>
          <w:color w:val="auto"/>
          <w:szCs w:val="20"/>
          <w:highlight w:val="none"/>
        </w:rPr>
      </w:pPr>
      <w:r>
        <w:rPr>
          <w:rFonts w:ascii="宋体" w:hAnsi="宋体"/>
          <w:color w:val="auto"/>
          <w:szCs w:val="20"/>
          <w:highlight w:val="none"/>
        </w:rPr>
        <w:t xml:space="preserve">1</w:t>
      </w:r>
      <w:r>
        <w:rPr>
          <w:rFonts w:hint="eastAsia" w:ascii="宋体" w:hAnsi="宋体"/>
          <w:color w:val="auto"/>
          <w:szCs w:val="20"/>
          <w:highlight w:val="none"/>
        </w:rPr>
        <w:t xml:space="preserve">、此报价作为最高限价，实际价格在中标后以双方协商为准。</w:t>
      </w:r>
      <w:r/>
    </w:p>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投标单位：（签章）</w:t>
      </w:r>
      <w:r/>
    </w:p>
    <w:p>
      <w:pPr>
        <w:ind w:right="960" w:firstLine="420"/>
        <w:spacing w:line="440" w:lineRule="exact"/>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val="en-US" w:eastAsia="zh-CN"/>
        </w:rPr>
        <w:t xml:space="preserve">附件9：</w:t>
      </w:r>
      <w:r>
        <w:rPr>
          <w:rFonts w:hint="eastAsia" w:ascii="宋体" w:hAnsi="宋体" w:cs="宋体"/>
          <w:b/>
          <w:bCs/>
          <w:color w:val="auto"/>
          <w:szCs w:val="21"/>
          <w:highlight w:val="none"/>
          <w:lang w:val="zh-CN"/>
        </w:rPr>
        <w:t xml:space="preserve">售后服务承诺书</w:t>
      </w:r>
      <w:r/>
    </w:p>
    <w:p>
      <w:pPr>
        <w:pStyle w:val="733"/>
        <w:ind w:firstLine="0"/>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left"/>
        <w:spacing w:line="400" w:lineRule="exact"/>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项目编号：         号</w:t>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2452"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523"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right="960"/>
        <w:spacing w:line="440" w:lineRule="exact"/>
        <w:widowControl/>
        <w:rPr>
          <w:rFonts w:hint="eastAsia" w:ascii="宋体" w:hAnsi="宋体" w:eastAsia="宋体" w:cs="宋体"/>
          <w:b w:val="0"/>
          <w:bCs w:val="0"/>
          <w:color w:val="auto"/>
          <w:highlight w:val="none"/>
        </w:rPr>
      </w:pPr>
      <w:r>
        <w:rPr>
          <w:rFonts w:hint="eastAsia" w:ascii="宋体" w:hAnsi="宋体" w:cs="宋体"/>
          <w:color w:val="auto"/>
          <w:szCs w:val="21"/>
          <w:highlight w:val="none"/>
        </w:rPr>
        <w:t xml:space="preserve">投标人</w:t>
      </w:r>
      <w:r>
        <w:rPr>
          <w:rFonts w:hint="eastAsia" w:ascii="宋体" w:hAnsi="宋体" w:eastAsia="宋体" w:cs="宋体"/>
          <w:b w:val="0"/>
          <w:bCs w:val="0"/>
          <w:color w:val="auto"/>
          <w:highlight w:val="none"/>
        </w:rPr>
        <w:t xml:space="preserve">：（签章）</w:t>
      </w:r>
      <w:r/>
    </w:p>
    <w:p>
      <w:pP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eastAsia="宋体" w:cs="宋体"/>
          <w:b w:val="0"/>
          <w:bCs w:val="0"/>
          <w:color w:val="auto"/>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附件10：</w:t>
      </w:r>
      <w:r>
        <w:rPr>
          <w:rFonts w:hint="eastAsia" w:ascii="宋体" w:hAnsi="宋体" w:cs="宋体"/>
          <w:b/>
          <w:bCs/>
          <w:color w:val="auto"/>
          <w:szCs w:val="21"/>
          <w:highlight w:val="none"/>
        </w:rPr>
        <w:t xml:space="preserve">商务条款偏离表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3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5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243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243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1</w:t>
            </w:r>
            <w:r/>
          </w:p>
        </w:tc>
        <w:tc>
          <w:tcPr>
            <w:tcW w:w="1950" w:type="dxa"/>
            <w:vAlign w:val="center"/>
            <w:textDirection w:val="lrTb"/>
            <w:noWrap w:val="false"/>
          </w:tcPr>
          <w:p>
            <w:pPr>
              <w:rPr>
                <w:rFonts w:ascii="宋体" w:hAnsi="宋体" w:cs="宋体"/>
                <w:color w:val="auto"/>
                <w:szCs w:val="21"/>
                <w:highlight w:val="none"/>
              </w:rPr>
            </w:pPr>
            <w:r>
              <w:rPr>
                <w:rFonts w:hint="eastAsia" w:ascii="宋体" w:hAnsi="宋体" w:cs="宋体"/>
                <w:color w:val="auto"/>
                <w:spacing w:val="0"/>
                <w:szCs w:val="21"/>
                <w:highlight w:val="none"/>
                <w:lang w:val="en-US" w:eastAsia="zh-CN"/>
              </w:rPr>
              <w:t xml:space="preserve">交货</w:t>
            </w:r>
            <w:r>
              <w:rPr>
                <w:rFonts w:hint="eastAsia" w:ascii="宋体" w:hAnsi="宋体" w:eastAsia="宋体" w:cs="宋体"/>
                <w:color w:val="auto"/>
                <w:spacing w:val="0"/>
                <w:szCs w:val="21"/>
                <w:highlight w:val="none"/>
              </w:rPr>
              <w:t xml:space="preserve">期限</w:t>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2</w:t>
            </w:r>
            <w:r/>
          </w:p>
        </w:tc>
        <w:tc>
          <w:tcPr>
            <w:tcW w:w="1950"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付款步骤</w:t>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3</w:t>
            </w:r>
            <w:r/>
          </w:p>
        </w:tc>
        <w:tc>
          <w:tcPr>
            <w:tcW w:w="1950"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合同条款</w:t>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4</w:t>
            </w:r>
            <w:r/>
          </w:p>
        </w:tc>
        <w:tc>
          <w:tcPr>
            <w:tcW w:w="19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eastAsia="宋体" w:cs="宋体"/>
                <w:color w:val="auto"/>
                <w:spacing w:val="0"/>
                <w:szCs w:val="21"/>
                <w:highlight w:val="none"/>
              </w:rPr>
              <w:t xml:space="preserve">...</w:t>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、针对本项目的人员配置表</w:t>
      </w:r>
      <w:r/>
    </w:p>
    <w:p>
      <w:pPr>
        <w:ind w:firstLine="500"/>
        <w:jc w:val="center"/>
        <w:spacing w:line="360" w:lineRule="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ind w:firstLine="502"/>
        <w:jc w:val="center"/>
        <w:spacing w:line="360" w:lineRule="auto"/>
        <w:rPr>
          <w:rFonts w:ascii="宋体" w:hAnsi="宋体" w:cs="宋体"/>
          <w:b/>
          <w:bCs/>
          <w:color w:val="auto"/>
          <w:szCs w:val="21"/>
          <w:highlight w:val="none"/>
        </w:rPr>
      </w:pPr>
      <w:r>
        <w:rPr>
          <w:rFonts w:hint="eastAsia" w:ascii="宋体" w:hAnsi="宋体" w:cs="宋体"/>
          <w:b/>
          <w:bCs/>
          <w:color w:val="auto"/>
          <w:spacing w:val="20"/>
          <w:szCs w:val="21"/>
          <w:highlight w:val="none"/>
        </w:rPr>
        <w:t xml:space="preserve">针对本项目的人员配置表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项目编号：         号                       </w:t>
      </w:r>
      <w:r/>
    </w:p>
    <w:tbl>
      <w:tblPr>
        <w:tblStyle w:val="732"/>
        <w:tblW w:w="475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投标人自行根据项目需要配备相应的人员。</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jc w:val="left"/>
        <w:pageBreakBefore/>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类似业绩一览表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类似业绩一览表</w:t>
      </w:r>
      <w:r/>
    </w:p>
    <w:p>
      <w:pPr>
        <w:ind w:firstLine="422"/>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项目编号：         号                      </w:t>
      </w:r>
      <w:r/>
    </w:p>
    <w:tbl>
      <w:tblPr>
        <w:tblStyle w:val="7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59"/>
        <w:gridCol w:w="2218"/>
        <w:gridCol w:w="2192"/>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、关于资格文件的声明函</w:t>
      </w:r>
      <w:r/>
    </w:p>
    <w:p>
      <w:pPr>
        <w:pStyle w:val="733"/>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33"/>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33"/>
        <w:ind w:firstLine="42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3"/>
        <w:ind w:firstLine="42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33"/>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3"/>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、投标单位情况表</w:t>
      </w:r>
      <w:r/>
    </w:p>
    <w:p>
      <w:pPr>
        <w:pStyle w:val="733"/>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                       </w:t>
      </w:r>
      <w:r/>
    </w:p>
    <w:tbl>
      <w:tblPr>
        <w:tblStyle w:val="732"/>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70"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11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3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96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3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96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319"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319"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jc w:val="center"/>
        <w:spacing w:line="360" w:lineRule="auto"/>
        <w:widowControl/>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、投标（响应）保证承诺书</w:t>
      </w:r>
      <w:r/>
    </w:p>
    <w:p>
      <w:pPr>
        <w:ind w:firstLine="422"/>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3.中标（成交）后不按本招标文件规定向采购单位提交履约保证金（如有）；</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合格投标人资格证明材料</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合格投标人资格证明材料</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             号                      标段号：</w:t>
      </w:r>
      <w:r/>
    </w:p>
    <w:tbl>
      <w:tblPr>
        <w:tblStyle w:val="7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投标单位资格要求</w:t>
            </w:r>
            <w:r/>
          </w:p>
        </w:tc>
        <w:tc>
          <w:tcPr>
            <w:tcW w:w="1600" w:type="dxa"/>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提供最近一期（</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4或2025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度</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经审计的财务报告或</w:t>
            </w:r>
            <w:r>
              <w:rPr>
                <w:rFonts w:hint="eastAsia" w:ascii="宋体" w:hAnsi="宋体" w:cs="宋体"/>
                <w:color w:val="auto"/>
                <w:szCs w:val="21"/>
                <w:highlight w:val="none"/>
                <w:lang w:val="en-US" w:eastAsia="zh-CN"/>
              </w:rPr>
              <w:t xml:space="preserve">最近一期（2026年5月至今任意一期）的</w:t>
            </w:r>
            <w:r>
              <w:rPr>
                <w:rFonts w:hint="eastAsia" w:ascii="宋体" w:hAnsi="宋体" w:cs="宋体"/>
                <w:color w:val="auto"/>
                <w:szCs w:val="21"/>
                <w:highlight w:val="none"/>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25"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合格投标单位其他特定资格要求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按招标公告要求提供相关证明材料</w:t>
            </w:r>
            <w:r/>
          </w:p>
        </w:tc>
      </w:tr>
    </w:tbl>
    <w:p>
      <w:pPr>
        <w:pStyle w:val="754"/>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投标单位：（签章）</w:t>
      </w:r>
      <w:r/>
    </w:p>
    <w:p>
      <w:pPr>
        <w:pStyle w:val="754"/>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p>
    <w:p>
      <w:pPr>
        <w:pageBreakBefore/>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中小企业</w:t>
      </w:r>
      <w:r>
        <w:rPr>
          <w:rFonts w:hint="eastAsia" w:ascii="宋体" w:hAnsi="宋体" w:cs="宋体"/>
          <w:b/>
          <w:bCs/>
          <w:color w:val="auto"/>
          <w:szCs w:val="21"/>
          <w:highlight w:val="none"/>
        </w:rPr>
        <w:t xml:space="preserve">声明函</w:t>
      </w:r>
      <w:r>
        <w:rPr>
          <w:rFonts w:hint="eastAsia" w:ascii="宋体" w:hAnsi="宋体" w:cs="宋体"/>
          <w:b/>
          <w:bCs/>
          <w:color w:val="auto"/>
          <w:szCs w:val="21"/>
          <w:highlight w:val="none"/>
          <w:lang w:val="en-US" w:eastAsia="zh-CN"/>
        </w:rPr>
        <w:t xml:space="preserve">等</w:t>
      </w:r>
      <w:r/>
    </w:p>
    <w:p>
      <w:pPr>
        <w:ind w:firstLine="2741"/>
        <w:rPr>
          <w:rFonts w:ascii="宋体" w:hAnsi="宋体" w:cs="宋体"/>
          <w:b/>
          <w:color w:val="auto"/>
          <w:szCs w:val="21"/>
          <w:highlight w:val="none"/>
        </w:rPr>
      </w:pPr>
      <w:r>
        <w:rPr>
          <w:rFonts w:hint="eastAsia" w:ascii="宋体" w:hAnsi="宋体" w:cs="宋体"/>
          <w:b/>
          <w:color w:val="auto"/>
          <w:szCs w:val="21"/>
          <w:highlight w:val="none"/>
        </w:rPr>
        <w:t xml:space="preserve">（1）</w:t>
      </w:r>
      <w:bookmarkStart w:id="48" w:name="_Toc4028"/>
      <w:r/>
      <w:bookmarkStart w:id="49" w:name="_Toc1077"/>
      <w:r>
        <w:rPr>
          <w:rFonts w:hint="eastAsia" w:ascii="宋体" w:hAnsi="宋体" w:cs="宋体"/>
          <w:color w:val="auto"/>
          <w:szCs w:val="21"/>
          <w:highlight w:val="none"/>
        </w:rPr>
        <w:t xml:space="preserve">中小企业声明函（货物）</w:t>
      </w:r>
      <w:bookmarkEnd w:id="48"/>
      <w:r/>
      <w:bookmarkEnd w:id="49"/>
      <w:r/>
      <w:r/>
    </w:p>
    <w:p>
      <w:pPr>
        <w:pStyle w:val="738"/>
        <w:ind w:firstLine="414"/>
        <w:spacing w:after="0" w:line="360" w:lineRule="auto"/>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5"/>
          <w:sz w:val="21"/>
          <w:szCs w:val="21"/>
          <w:highlight w:val="none"/>
        </w:rPr>
        <w:t xml:space="preserve">）</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w:t>
      </w:r>
      <w:r>
        <w:rPr>
          <w:rFonts w:hint="eastAsia" w:ascii="宋体" w:hAnsi="宋体" w:cs="宋体"/>
          <w:color w:val="auto"/>
          <w:spacing w:val="-2"/>
          <w:sz w:val="21"/>
          <w:szCs w:val="21"/>
          <w:highlight w:val="none"/>
        </w:rPr>
        <w:t xml:space="preserve">加（</w:t>
      </w:r>
      <w:r>
        <w:rPr>
          <w:rFonts w:hint="eastAsia" w:ascii="宋体" w:hAnsi="宋体" w:cs="宋体"/>
          <w:b/>
          <w:bCs/>
          <w:color w:val="auto"/>
          <w:spacing w:val="-2"/>
          <w:sz w:val="21"/>
          <w:szCs w:val="21"/>
          <w:highlight w:val="none"/>
        </w:rPr>
        <w:t xml:space="preserve">单位名称</w:t>
      </w:r>
      <w:r>
        <w:rPr>
          <w:rFonts w:hint="eastAsia" w:ascii="宋体" w:hAnsi="宋体" w:cs="宋体"/>
          <w:color w:val="auto"/>
          <w:spacing w:val="-2"/>
          <w:sz w:val="21"/>
          <w:szCs w:val="21"/>
          <w:highlight w:val="none"/>
        </w:rPr>
        <w:t xml:space="preserve">）的（</w:t>
      </w:r>
      <w:r>
        <w:rPr>
          <w:rFonts w:hint="eastAsia" w:ascii="宋体" w:hAnsi="宋体" w:cs="宋体"/>
          <w:b/>
          <w:bCs/>
          <w:color w:val="auto"/>
          <w:spacing w:val="-2"/>
          <w:sz w:val="21"/>
          <w:szCs w:val="21"/>
          <w:highlight w:val="none"/>
        </w:rPr>
        <w:t xml:space="preserve">项目名称</w:t>
      </w:r>
      <w:r>
        <w:rPr>
          <w:rFonts w:hint="eastAsia" w:ascii="宋体" w:hAnsi="宋体" w:cs="宋体"/>
          <w:color w:val="auto"/>
          <w:spacing w:val="-2"/>
          <w:sz w:val="21"/>
          <w:szCs w:val="21"/>
          <w:highlight w:val="none"/>
        </w:rPr>
        <w:t xml:space="preserve">）采购活</w:t>
      </w:r>
      <w:r>
        <w:rPr>
          <w:rFonts w:hint="eastAsia" w:ascii="宋体" w:hAnsi="宋体" w:cs="宋体"/>
          <w:color w:val="auto"/>
          <w:spacing w:val="-1"/>
          <w:sz w:val="21"/>
          <w:szCs w:val="21"/>
          <w:highlight w:val="none"/>
        </w:rPr>
        <w:t xml:space="preserve">动，</w:t>
      </w:r>
      <w:r>
        <w:rPr>
          <w:rFonts w:hint="eastAsia" w:ascii="宋体" w:hAnsi="宋体" w:cs="宋体"/>
          <w:color w:val="auto"/>
          <w:spacing w:val="-2"/>
          <w:sz w:val="21"/>
          <w:szCs w:val="21"/>
          <w:highlight w:val="none"/>
        </w:rPr>
        <w:t xml:space="preserve">提供的货物全部由符合政策要求的中小企业制造。相关企业（含联合体中的中小企业、签订分包</w:t>
      </w:r>
      <w:r>
        <w:rPr>
          <w:rFonts w:hint="eastAsia" w:ascii="宋体" w:hAnsi="宋体" w:cs="宋体"/>
          <w:color w:val="auto"/>
          <w:sz w:val="21"/>
          <w:szCs w:val="21"/>
          <w:highlight w:val="none"/>
        </w:rPr>
        <w:t xml:space="preserve">意向协议的中小企业） 的具体情况如下：</w:t>
      </w:r>
      <w:r/>
    </w:p>
    <w:p>
      <w:pPr>
        <w:pStyle w:val="808"/>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1、</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808"/>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2、</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738"/>
        <w:ind w:firstLine="414"/>
        <w:spacing w:after="0" w:line="360" w:lineRule="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w:t>
      </w:r>
      <w:r/>
    </w:p>
    <w:p>
      <w:pPr>
        <w:pStyle w:val="738"/>
        <w:ind w:firstLine="410"/>
        <w:spacing w:after="0" w:line="360" w:lineRule="auto"/>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38"/>
        <w:ind w:firstLine="422"/>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zh-CN"/>
        </w:rPr>
        <w:t xml:space="preserve">：</w:t>
      </w:r>
      <w:r/>
    </w:p>
    <w:p>
      <w:pPr>
        <w:pStyle w:val="751"/>
        <w:ind w:firstLine="420"/>
        <w:spacing w:line="240" w:lineRule="auto"/>
        <w:rPr>
          <w:rFonts w:ascii="宋体" w:hAnsi="宋体" w:cs="宋体"/>
          <w:b w:val="0"/>
          <w:bCs w:val="0"/>
          <w:color w:val="auto"/>
          <w:sz w:val="21"/>
          <w:szCs w:val="24"/>
          <w:highlight w:val="none"/>
        </w:rPr>
      </w:pPr>
      <w:r/>
      <w:bookmarkStart w:id="50" w:name="_Toc532444514"/>
      <w:r/>
      <w:bookmarkStart w:id="51" w:name="_Toc532452121"/>
      <w:r/>
      <w:bookmarkStart w:id="52" w:name="_Toc2583149"/>
      <w:r/>
      <w:bookmarkStart w:id="53" w:name="_Toc532444352"/>
      <w:r/>
      <w:r/>
    </w:p>
    <w:p>
      <w:pPr>
        <w:pStyle w:val="751"/>
        <w:ind w:firstLine="42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51"/>
        <w:ind w:firstLine="42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51"/>
        <w:ind w:firstLine="420"/>
        <w:spacing w:line="24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751"/>
        <w:ind w:firstLine="630"/>
        <w:spacing w:line="24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2.在货物采购项目中，货物由中小企业制造，即货物由中小企业生产且使用该中小企业商号或者注册商标。</w:t>
      </w:r>
      <w:r>
        <w:rPr>
          <w:rFonts w:hint="eastAsia" w:ascii="宋体" w:hAnsi="宋体" w:cs="宋体"/>
          <w:color w:val="auto"/>
          <w:sz w:val="21"/>
          <w:szCs w:val="24"/>
          <w:highlight w:val="none"/>
        </w:rPr>
        <w:t xml:space="preserve">供应商提供的货物既有中小企业制造货物，也有大型企业制造货物的，不享受相应扶持政策。</w:t>
      </w:r>
      <w:r/>
    </w:p>
    <w:p>
      <w:pPr>
        <w:pStyle w:val="751"/>
        <w:ind w:firstLine="630"/>
        <w:spacing w:line="24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751"/>
        <w:ind w:firstLine="632"/>
        <w:spacing w:line="240" w:lineRule="auto"/>
        <w:rPr>
          <w:rFonts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4.如未对（中型企业、小型企业、微型企业）进行勾选，视同非中小微企业，不可享受相应扶持政策。</w:t>
      </w:r>
      <w:r/>
    </w:p>
    <w:p>
      <w:pPr>
        <w:pStyle w:val="809"/>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5.中标单位为中小企业的，《中小企业声明函》将随中标结果同时公告</w:t>
      </w:r>
      <w:r>
        <w:rPr>
          <w:rFonts w:hint="eastAsia" w:hAnsi="宋体" w:eastAsia="宋体" w:cs="宋体"/>
          <w:color w:val="auto"/>
          <w:sz w:val="21"/>
          <w:szCs w:val="24"/>
          <w:highlight w:val="none"/>
          <w:lang w:val="zh-CN"/>
        </w:rPr>
        <w:t xml:space="preserve">。</w:t>
      </w:r>
      <w:r/>
    </w:p>
    <w:p>
      <w:pPr>
        <w:pStyle w:val="809"/>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09"/>
        <w:ind w:firstLine="422"/>
        <w:rPr>
          <w:rFonts w:hAnsi="宋体" w:eastAsia="宋体"/>
          <w:color w:val="auto"/>
          <w:sz w:val="21"/>
          <w:szCs w:val="24"/>
          <w:highlight w:val="none"/>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809"/>
        <w:rPr>
          <w:rFonts w:hAnsi="宋体" w:eastAsia="宋体"/>
          <w:b/>
          <w:bCs/>
          <w:color w:val="auto"/>
          <w:sz w:val="21"/>
          <w:szCs w:val="24"/>
          <w:highlight w:val="none"/>
          <w:lang w:val="zh-CN"/>
        </w:rPr>
      </w:pPr>
      <w:r>
        <w:rPr>
          <w:rFonts w:hAnsi="宋体" w:eastAsia="宋体"/>
          <w:b/>
          <w:bCs/>
          <w:color w:val="auto"/>
          <w:sz w:val="21"/>
          <w:szCs w:val="24"/>
          <w:highlight w:val="none"/>
          <w:lang w:val="zh-CN"/>
        </w:rPr>
      </w:r>
      <w:r/>
    </w:p>
    <w:p>
      <w:pPr>
        <w:jc w:val="left"/>
        <w:rPr>
          <w:rFonts w:hint="eastAsia" w:ascii="宋体" w:hAnsi="宋体" w:eastAsia="宋体" w:cs="宋体"/>
          <w:color w:val="auto"/>
          <w:sz w:val="21"/>
          <w:szCs w:val="21"/>
          <w:highlight w:val="none"/>
        </w:rPr>
      </w:pPr>
      <w:r>
        <w:rPr>
          <w:rFonts w:hint="eastAsia" w:hAnsi="宋体" w:eastAsia="宋体"/>
          <w:b/>
          <w:bCs/>
          <w:color w:val="auto"/>
          <w:sz w:val="21"/>
          <w:szCs w:val="24"/>
          <w:highlight w:val="none"/>
          <w:lang w:val="zh-CN"/>
        </w:rPr>
        <w:t xml:space="preserve">附件1</w:t>
      </w:r>
      <w:r>
        <w:rPr>
          <w:rFonts w:hint="eastAsia" w:hAnsi="宋体"/>
          <w:b/>
          <w:bCs/>
          <w:color w:val="auto"/>
          <w:sz w:val="21"/>
          <w:szCs w:val="24"/>
          <w:highlight w:val="none"/>
          <w:lang w:val="en-US" w:eastAsia="zh-CN"/>
        </w:rPr>
        <w:t xml:space="preserve">8</w:t>
      </w:r>
      <w:r>
        <w:rPr>
          <w:rFonts w:hint="eastAsia" w:hAnsi="宋体" w:eastAsia="宋体"/>
          <w:b/>
          <w:bCs/>
          <w:color w:val="auto"/>
          <w:sz w:val="21"/>
          <w:szCs w:val="24"/>
          <w:highlight w:val="none"/>
          <w:lang w:val="zh-CN"/>
        </w:rPr>
        <w:t xml:space="preserve">：</w:t>
      </w: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lang w:val="en-US" w:eastAsia="zh-CN"/>
        </w:rPr>
        <w:t xml:space="preserve">招标编号</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eastAsia="zh-CN"/>
        </w:rPr>
        <w:t xml:space="preserve">JSZC-320000-CJZB-G2026-0086</w:t>
      </w:r>
      <w:r>
        <w:rPr>
          <w:rFonts w:hint="eastAsia" w:ascii="宋体" w:hAnsi="宋体" w:eastAsia="宋体" w:cs="宋体"/>
          <w:b/>
          <w:color w:val="auto"/>
          <w:sz w:val="21"/>
          <w:szCs w:val="21"/>
          <w:highlight w:val="none"/>
          <w:lang w:val="en-US" w:eastAsia="zh-CN"/>
        </w:rPr>
        <w:t xml:space="preserve">号</w:t>
      </w:r>
      <w:r>
        <w:rPr>
          <w:rFonts w:hint="eastAsia" w:ascii="宋体" w:hAnsi="宋体" w:eastAsia="宋体" w:cs="宋体"/>
          <w:b/>
          <w:color w:val="auto"/>
          <w:sz w:val="21"/>
          <w:szCs w:val="21"/>
          <w:highlight w:val="none"/>
        </w:rPr>
        <w:t xml:space="preserve">）</w:t>
      </w:r>
      <w:r/>
    </w:p>
    <w:p>
      <w:pPr>
        <w:pStyle w:val="754"/>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pStyle w:val="754"/>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5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提供的以下产品属于本国产品。具体情况如下：</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w:t>
      </w:r>
      <w:r>
        <w:rPr>
          <w:rStyle w:val="760"/>
          <w:rFonts w:hint="eastAsia" w:ascii="宋体" w:hAnsi="宋体" w:eastAsia="宋体" w:cs="宋体"/>
          <w:i w:val="0"/>
          <w:color w:val="auto"/>
          <w:sz w:val="21"/>
          <w:szCs w:val="21"/>
          <w:highlight w:val="none"/>
          <w:u w:val="single"/>
          <w:shd w:val="clear" w:color="auto" w:fill="ffffff"/>
        </w:rPr>
        <w:t xml:space="preserve">（产品名称1）</w:t>
      </w:r>
      <w:r>
        <w:rPr>
          <w:rStyle w:val="760"/>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760"/>
          <w:rFonts w:hint="eastAsia" w:ascii="宋体" w:hAnsi="宋体" w:eastAsia="宋体" w:cs="宋体"/>
          <w:i w:val="0"/>
          <w:color w:val="auto"/>
          <w:sz w:val="21"/>
          <w:szCs w:val="21"/>
          <w:highlight w:val="none"/>
          <w:u w:val="single"/>
          <w:shd w:val="clear" w:color="auto" w:fill="ffffff"/>
        </w:rPr>
        <w:t xml:space="preserve">（厂名）</w:t>
      </w:r>
      <w:r>
        <w:rPr>
          <w:rStyle w:val="760"/>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76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760"/>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0"/>
          <w:rFonts w:hint="eastAsia" w:ascii="宋体" w:hAnsi="宋体" w:eastAsia="宋体" w:cs="宋体"/>
          <w:i w:val="0"/>
          <w:color w:val="auto"/>
          <w:sz w:val="21"/>
          <w:szCs w:val="21"/>
          <w:highlight w:val="none"/>
          <w:u w:val="single"/>
          <w:shd w:val="clear" w:color="auto" w:fill="ffffff"/>
        </w:rPr>
        <w:t xml:space="preserve">（规定比例）</w:t>
      </w:r>
      <w:r>
        <w:rPr>
          <w:rStyle w:val="760"/>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76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（关键组件）</w:t>
      </w:r>
      <w:r>
        <w:rPr>
          <w:rStyle w:val="760"/>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76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（关键工序）</w:t>
      </w:r>
      <w:r>
        <w:rPr>
          <w:rStyle w:val="760"/>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w:t>
      </w:r>
      <w:r>
        <w:rPr>
          <w:rStyle w:val="76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760"/>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76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76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0"/>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76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76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54"/>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54"/>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09"/>
        <w:rPr>
          <w:rFonts w:hint="eastAsia" w:hAnsi="宋体" w:eastAsia="宋体"/>
          <w:b/>
          <w:bCs/>
          <w:color w:val="auto"/>
          <w:sz w:val="21"/>
          <w:szCs w:val="24"/>
          <w:highlight w:val="none"/>
          <w:lang w:val="zh-CN"/>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Ansi="宋体" w:eastAsia="宋体"/>
          <w:b/>
          <w:bCs/>
          <w:color w:val="auto"/>
          <w:sz w:val="21"/>
          <w:szCs w:val="24"/>
          <w:highlight w:val="none"/>
          <w:lang w:val="zh-CN"/>
        </w:rPr>
      </w:pPr>
      <w:r>
        <w:rPr>
          <w:rFonts w:hint="eastAsia" w:hAnsi="宋体" w:eastAsia="宋体"/>
          <w:b/>
          <w:bCs/>
          <w:color w:val="auto"/>
          <w:sz w:val="21"/>
          <w:szCs w:val="24"/>
          <w:highlight w:val="none"/>
          <w:lang w:val="en-US" w:eastAsia="zh-CN"/>
        </w:rPr>
        <w:t xml:space="preserve">附件19：</w:t>
      </w:r>
      <w:r>
        <w:rPr>
          <w:rFonts w:hint="eastAsia" w:hAnsi="宋体" w:eastAsia="宋体"/>
          <w:b/>
          <w:bCs/>
          <w:color w:val="auto"/>
          <w:sz w:val="21"/>
          <w:szCs w:val="24"/>
          <w:highlight w:val="none"/>
          <w:lang w:val="zh-CN"/>
        </w:rPr>
        <w:t xml:space="preserve">政府采购合同信用融资政策告知函（本附件无需签章放置投标文件中）</w:t>
      </w:r>
      <w:r/>
    </w:p>
    <w:p>
      <w:pPr>
        <w:pStyle w:val="809"/>
        <w:ind w:firstLine="420"/>
        <w:rPr>
          <w:rFonts w:hAnsi="宋体" w:eastAsia="宋体"/>
          <w:color w:val="auto"/>
          <w:sz w:val="21"/>
          <w:szCs w:val="24"/>
          <w:highlight w:val="none"/>
          <w:lang w:val="zh-CN"/>
        </w:rPr>
      </w:pPr>
      <w:r>
        <w:rPr>
          <w:rFonts w:hAnsi="宋体" w:eastAsia="宋体"/>
          <w:color w:val="auto"/>
          <w:sz w:val="21"/>
          <w:szCs w:val="24"/>
          <w:highlight w:val="none"/>
          <w:lang w:val="zh-CN"/>
        </w:rPr>
      </w:r>
      <w:r/>
    </w:p>
    <w:p>
      <w:pPr>
        <w:pStyle w:val="809"/>
        <w:ind w:firstLine="420"/>
        <w:rPr>
          <w:rFonts w:hAnsi="宋体" w:eastAsia="宋体"/>
          <w:color w:val="auto"/>
          <w:sz w:val="21"/>
          <w:szCs w:val="24"/>
          <w:highlight w:val="none"/>
          <w:lang w:val="zh-CN"/>
        </w:rPr>
      </w:pPr>
      <w:r>
        <w:rPr>
          <w:rFonts w:hAnsi="宋体" w:eastAsia="宋体"/>
          <w:color w:val="auto"/>
          <w:sz w:val="21"/>
          <w:szCs w:val="24"/>
          <w:highlight w:val="none"/>
          <w:lang w:val="zh-CN"/>
        </w:rPr>
      </w:r>
      <w:r/>
    </w:p>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政府采购合同信用融资政策告知函</w:t>
      </w:r>
      <w:r/>
    </w:p>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各政府采购供应商：</w:t>
      </w:r>
      <w:r/>
    </w:p>
    <w:p>
      <w:pPr>
        <w:ind w:firstLine="63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欢迎贵公司参加苏州市政府采购活动！</w:t>
      </w:r>
      <w:r/>
    </w:p>
    <w:p>
      <w:pPr>
        <w:ind w:firstLine="315"/>
        <w:spacing w:line="360" w:lineRule="auto"/>
        <w:rPr>
          <w:rFonts w:ascii="宋体" w:hAnsi="宋体" w:cs="宋体"/>
          <w:color w:val="auto"/>
          <w:spacing w:val="6"/>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0"/>
      <w:bookmarkEnd w:id="51"/>
      <w:bookmarkEnd w:id="52"/>
      <w:bookmarkEnd w:id="53"/>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第四章 招标书</w:t>
      </w:r>
      <w:r/>
    </w:p>
    <w:p>
      <w:pPr>
        <w:ind w:firstLine="420"/>
        <w:keepLines w:val="0"/>
        <w:keepNext w:val="0"/>
        <w:pageBreakBefore w:val="0"/>
        <w:spacing w:line="360" w:lineRule="auto"/>
        <w:widowControl w:val="off"/>
        <w:rPr>
          <w:rFonts w:ascii="宋体" w:hAnsi="宋体" w:cs="宋体"/>
          <w:color w:val="auto"/>
          <w:highlight w:val="none"/>
          <w:lang w:val="zh-CN"/>
        </w:rPr>
      </w:pPr>
      <w:r/>
      <w:bookmarkStart w:id="54"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苏州大学附属第一医院</w:t>
      </w:r>
      <w:r>
        <w:rPr>
          <w:rFonts w:hint="eastAsia" w:ascii="宋体" w:hAnsi="宋体" w:cs="宋体"/>
          <w:color w:val="auto"/>
          <w:szCs w:val="21"/>
          <w:highlight w:val="none"/>
          <w:lang w:val="zh-CN"/>
        </w:rPr>
        <w:t xml:space="preserve">的委托，苏州市创杰招投标咨询服务有限公司作为招标代理机构，就其委托的</w:t>
      </w:r>
      <w:r>
        <w:rPr>
          <w:rFonts w:hint="eastAsia" w:ascii="宋体" w:hAnsi="宋体" w:cs="宋体"/>
          <w:color w:val="auto"/>
          <w:highlight w:val="none"/>
          <w:lang w:eastAsia="zh-CN"/>
        </w:rPr>
        <w:t xml:space="preserve">ECMO</w:t>
      </w:r>
      <w:r>
        <w:rPr>
          <w:rFonts w:hint="eastAsia" w:ascii="宋体" w:hAnsi="宋体" w:cs="宋体"/>
          <w:color w:val="auto"/>
          <w:szCs w:val="21"/>
          <w:highlight w:val="none"/>
          <w:lang w:val="zh-CN"/>
        </w:rPr>
        <w:t xml:space="preserve">的政府采购进行国内公开招标。</w:t>
      </w:r>
      <w:r/>
    </w:p>
    <w:p>
      <w:pPr>
        <w:pStyle w:val="727"/>
        <w:numPr>
          <w:ilvl w:val="1"/>
          <w:numId w:val="0"/>
        </w:numPr>
        <w:ind w:firstLine="422"/>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JSZC-320000-CJZB-G2026-0086</w:t>
      </w:r>
      <w:r>
        <w:rPr>
          <w:rFonts w:hint="eastAsia" w:ascii="宋体" w:hAnsi="宋体" w:cs="宋体"/>
          <w:b w:val="0"/>
          <w:bCs w:val="0"/>
          <w:color w:val="auto"/>
          <w:sz w:val="21"/>
          <w:szCs w:val="21"/>
          <w:highlight w:val="none"/>
        </w:rPr>
        <w:t xml:space="preserve">号</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outlineLvl w:val="0"/>
      </w:pP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项目名称：</w:t>
      </w:r>
      <w:r>
        <w:rPr>
          <w:rFonts w:hint="eastAsia" w:ascii="宋体" w:hAnsi="宋体" w:cs="宋体"/>
          <w:b w:val="0"/>
          <w:bCs/>
          <w:color w:val="auto"/>
          <w:szCs w:val="21"/>
          <w:highlight w:val="none"/>
          <w:lang w:eastAsia="zh-CN"/>
        </w:rPr>
        <w:t xml:space="preserve">ECMO</w:t>
      </w:r>
      <w:r/>
    </w:p>
    <w:p>
      <w:pPr>
        <w:numPr>
          <w:ilvl w:val="0"/>
          <w:numId w:val="4"/>
        </w:numPr>
        <w:ind w:firstLine="422"/>
        <w:keepLines w:val="0"/>
        <w:keepNext w:val="0"/>
        <w:pageBreakBefore w:val="0"/>
        <w:spacing w:line="360" w:lineRule="auto"/>
        <w:widowControl w:val="off"/>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预算金额</w:t>
      </w:r>
      <w:r>
        <w:rPr>
          <w:rFonts w:hint="eastAsia" w:ascii="宋体" w:hAnsi="宋体" w:cs="宋体"/>
          <w:b/>
          <w:color w:val="auto"/>
          <w:szCs w:val="21"/>
          <w:highlight w:val="none"/>
          <w:lang w:val="en-US" w:eastAsia="zh-CN"/>
        </w:rPr>
        <w:t xml:space="preserve">及最高限价</w:t>
      </w:r>
      <w:r>
        <w:rPr>
          <w:rFonts w:hint="eastAsia" w:ascii="宋体" w:hAnsi="宋体" w:cs="宋体"/>
          <w:b/>
          <w:color w:val="auto"/>
          <w:szCs w:val="21"/>
          <w:highlight w:val="none"/>
        </w:rPr>
        <w:t xml:space="preserve">：</w:t>
      </w:r>
      <w:r/>
    </w:p>
    <w:p>
      <w:pPr>
        <w:numPr>
          <w:ilvl w:val="0"/>
          <w:numId w:val="0"/>
        </w:numPr>
        <w:ind w:firstLine="840"/>
        <w:spacing w:line="360" w:lineRule="auto"/>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预算金额：人民币贰佰叁拾肆万元整（¥：2340000.00）</w:t>
      </w:r>
      <w:r/>
    </w:p>
    <w:p>
      <w:pPr>
        <w:numPr>
          <w:ilvl w:val="0"/>
          <w:numId w:val="0"/>
        </w:numPr>
        <w:ind w:firstLine="840"/>
        <w:spacing w:line="360" w:lineRule="auto"/>
        <w:rPr>
          <w:rFonts w:hint="eastAsia" w:ascii="宋体" w:hAnsi="宋体" w:cs="宋体"/>
          <w:b w:val="0"/>
          <w:bCs/>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最高限价：人民币壹佰玖拾万元整（¥：1900000.00）</w:t>
      </w:r>
      <w:r/>
    </w:p>
    <w:p>
      <w:pPr>
        <w:ind w:firstLine="422"/>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四、采购清单</w:t>
      </w:r>
      <w:r/>
    </w:p>
    <w:tbl>
      <w:tblPr>
        <w:tblStyle w:val="732"/>
        <w:tblW w:w="8286" w:type="dxa"/>
        <w:jc w:val="center"/>
        <w:tblLayout w:type="fixed"/>
        <w:tblCellMar>
          <w:left w:w="0" w:type="dxa"/>
          <w:top w:w="0" w:type="dxa"/>
          <w:right w:w="0" w:type="dxa"/>
          <w:bottom w:w="0" w:type="dxa"/>
        </w:tblCellMar>
        <w:tblLook w:val="04A0" w:firstRow="1" w:lastRow="0" w:firstColumn="1" w:lastColumn="0" w:noHBand="0" w:noVBand="1"/>
      </w:tblPr>
      <w:tblGrid>
        <w:gridCol w:w="1100"/>
        <w:gridCol w:w="2527"/>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2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100"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27" w:type="dxa"/>
            <w:vAlign w:val="center"/>
            <w:textDirection w:val="lrTb"/>
            <w:noWrap w:val="false"/>
          </w:tcPr>
          <w:p>
            <w:pPr>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ECMO</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接受进口产品投标</w:t>
            </w:r>
            <w:r/>
          </w:p>
        </w:tc>
      </w:tr>
    </w:tbl>
    <w:p>
      <w:pPr>
        <w:ind w:firstLine="211"/>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  五、招标具体技术要求</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（一）适用范围：该产品适用于急性呼吸衰竭或急性心肺功能衰竭，其他治疗方法难以控制并有可预见的病情持续恶化或死亡风险的患者。</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（二）技术参数要求</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一）离心泵系统</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1.要求离心泵底座和显示屏一体化，全中文触摸显示屏，便于临床操作和患者转运</w:t>
      </w:r>
      <w:r>
        <w:rPr>
          <w:rFonts w:hint="eastAsia" w:ascii="宋体" w:hAnsi="宋体" w:cs="宋体"/>
          <w:b w:val="0"/>
          <w:bCs w:val="0"/>
          <w:color w:val="auto"/>
          <w:szCs w:val="21"/>
          <w:highlight w:val="none"/>
          <w:lang w:val="en-US" w:eastAsia="zh-CN"/>
        </w:rPr>
        <w:t xml:space="preserve">。</w:t>
      </w:r>
      <w:r/>
    </w:p>
    <w:p>
      <w:pPr>
        <w:ind w:firstLine="21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▲2.离心泵最大转速：≤5000转/分钟</w:t>
      </w:r>
      <w:r>
        <w:rPr>
          <w:rFonts w:hint="eastAsia" w:ascii="宋体" w:hAnsi="宋体" w:cs="宋体"/>
          <w:b w:val="0"/>
          <w:bCs w:val="0"/>
          <w:color w:val="auto"/>
          <w:szCs w:val="21"/>
          <w:highlight w:val="none"/>
          <w:lang w:val="en-US" w:eastAsia="zh-CN"/>
        </w:rPr>
        <w:t xml:space="preserve">。</w:t>
      </w:r>
      <w:r/>
    </w:p>
    <w:p>
      <w:pPr>
        <w:ind w:firstLine="21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▲3.离心泵最大流量：≥9升/分钟</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4.主机重量：≤7Kg，适用于患者转运</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5.具备紧急模式按钮，在显示屏损坏无法显示时，可启动紧急模式，在机身显示转速，确保安全灌注。  </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6.具有流量监测和气泡监测功能</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7.具备图文并茂的操作向导功能，逐步指导用户完成系统设置、连接、预充和检查</w:t>
      </w:r>
      <w:r>
        <w:rPr>
          <w:rFonts w:hint="eastAsia" w:ascii="宋体" w:hAnsi="宋体" w:cs="宋体"/>
          <w:b w:val="0"/>
          <w:bCs w:val="0"/>
          <w:color w:val="auto"/>
          <w:szCs w:val="21"/>
          <w:highlight w:val="none"/>
          <w:lang w:val="en-US" w:eastAsia="zh-CN"/>
        </w:rPr>
        <w:t xml:space="preserve">。</w:t>
      </w:r>
      <w:r/>
    </w:p>
    <w:p>
      <w:pPr>
        <w:ind w:firstLine="21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▲8.离心泵具备同品牌应急手摇驱动装置，且具备LED转速显示</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9.需内置两块锂电池，断电情况下运转时间≥90分钟</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10.具备报警输出接口，RS232接口以及B型USB接口</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11.设备使用期限</w:t>
      </w: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val="en-US" w:eastAsia="zh-CN"/>
        </w:rPr>
        <w:t xml:space="preserve">年</w:t>
      </w:r>
      <w:r>
        <w:rPr>
          <w:rFonts w:hint="eastAsia" w:ascii="宋体" w:hAnsi="宋体" w:cs="宋体"/>
          <w:b w:val="0"/>
          <w:bCs w:val="0"/>
          <w:color w:val="auto"/>
          <w:szCs w:val="21"/>
          <w:highlight w:val="none"/>
          <w:lang w:val="en-US" w:eastAsia="zh-CN"/>
        </w:rPr>
        <w:t xml:space="preserve">。</w:t>
      </w:r>
      <w:r/>
    </w:p>
    <w:p>
      <w:pPr>
        <w:ind w:firstLine="21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.能够提供完整的肝素涂层套包（含氧合器、离心泵头和管路的预先连接好的整体套包），经过国家药监局（NMPA）批准单个套包可连续使用时间≥</w:t>
      </w:r>
      <w:r>
        <w:rPr>
          <w:rFonts w:hint="eastAsia" w:ascii="宋体" w:hAnsi="宋体" w:cs="宋体"/>
          <w:b w:val="0"/>
          <w:bCs w:val="0"/>
          <w:color w:val="auto"/>
          <w:szCs w:val="21"/>
          <w:highlight w:val="none"/>
          <w:lang w:val="en-US" w:eastAsia="zh-CN"/>
        </w:rPr>
        <w:t xml:space="preserve">8</w:t>
      </w:r>
      <w:bookmarkStart w:id="69" w:name="_GoBack"/>
      <w:r/>
      <w:bookmarkEnd w:id="69"/>
      <w:r>
        <w:rPr>
          <w:rFonts w:hint="eastAsia" w:ascii="宋体" w:hAnsi="宋体" w:eastAsia="宋体" w:cs="宋体"/>
          <w:b w:val="0"/>
          <w:bCs w:val="0"/>
          <w:color w:val="auto"/>
          <w:szCs w:val="21"/>
          <w:highlight w:val="none"/>
          <w:lang w:val="en-US" w:eastAsia="zh-CN"/>
        </w:rPr>
        <w:t xml:space="preserve">天</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.氧合纤维采用PMP（聚甲基戊烯) 材质</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lang w:val="en-US" w:eastAsia="zh-CN"/>
        </w:rPr>
        <w:t xml:space="preserve">.氧合器血流量范围：0.5-7升/分钟</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lang w:val="en-US" w:eastAsia="zh-CN"/>
        </w:rPr>
        <w:t xml:space="preserve">.气体最大流量≥14L/min</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val="en-US" w:eastAsia="zh-CN"/>
        </w:rPr>
        <w:t xml:space="preserve">.氧合器膜面积：≥1.8平方米</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氧合器预充容量：≤220ml</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val="en-US" w:eastAsia="zh-CN"/>
        </w:rPr>
        <w:t xml:space="preserve">.整个套包预充容量≤590ml</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val="en-US" w:eastAsia="zh-CN"/>
        </w:rPr>
        <w:t xml:space="preserve">.离心泵头内无轴杆设计、无金属，预充容量：≤32ml</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离心泵头表面积：≤190平方厘米</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19</w:t>
      </w:r>
      <w:r>
        <w:rPr>
          <w:rFonts w:hint="eastAsia" w:ascii="宋体" w:hAnsi="宋体" w:eastAsia="宋体" w:cs="宋体"/>
          <w:b w:val="0"/>
          <w:bCs w:val="0"/>
          <w:color w:val="auto"/>
          <w:szCs w:val="21"/>
          <w:highlight w:val="none"/>
          <w:lang w:val="en-US" w:eastAsia="zh-CN"/>
        </w:rPr>
        <w:t xml:space="preserve">.氧合器套包、动脉插管、静脉插管及经皮穿刺套包为同一品牌，提供整套解决方案，无须额外组装其他品牌附件，插管经国家药监局（NMPA）批准可连续使用时间≥14天</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二）空氧混合器</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1.能精确调节进入氧合器的空气和氧气的百分比，进行氧气的匹配供给</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2.FiO</w:t>
      </w:r>
      <w:r>
        <w:rPr>
          <w:rFonts w:hint="eastAsia" w:ascii="宋体" w:hAnsi="宋体" w:eastAsia="宋体" w:cs="宋体"/>
          <w:b w:val="0"/>
          <w:bCs w:val="0"/>
          <w:color w:val="auto"/>
          <w:szCs w:val="21"/>
          <w:highlight w:val="none"/>
          <w:vertAlign w:val="subscript"/>
          <w:lang w:val="en-US" w:eastAsia="zh-CN"/>
        </w:rPr>
        <w:t xml:space="preserve">2</w:t>
      </w:r>
      <w:r>
        <w:rPr>
          <w:rFonts w:hint="eastAsia" w:ascii="宋体" w:hAnsi="宋体" w:eastAsia="宋体" w:cs="宋体"/>
          <w:b w:val="0"/>
          <w:bCs w:val="0"/>
          <w:color w:val="auto"/>
          <w:szCs w:val="21"/>
          <w:highlight w:val="none"/>
          <w:lang w:val="en-US" w:eastAsia="zh-CN"/>
        </w:rPr>
        <w:t xml:space="preserve">：21%-100%</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3.带氧气和空气管道</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三）变温水箱</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1.智能输出，微电脑控制自动调整输出功率</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2.不需要外接体温传感器</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3.机内出水温度传感器及温度显示器</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机内回水温度传感器及温度显示器</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lang w:val="en-US" w:eastAsia="zh-CN"/>
        </w:rPr>
        <w:t xml:space="preserve">.对话框显示设置工作及故障信息</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lang w:val="en-US" w:eastAsia="zh-CN"/>
        </w:rPr>
        <w:t xml:space="preserve">.低水位声光报警</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磁联接循环水泵</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lang w:val="en-US" w:eastAsia="zh-CN"/>
        </w:rPr>
        <w:t xml:space="preserve">.工作原理：半导体升降温，单路水循环输出，无氟环保。</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val="en-US" w:eastAsia="zh-CN"/>
        </w:rPr>
        <w:t xml:space="preserve">.输入功率：≤320W</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val="en-US" w:eastAsia="zh-CN"/>
        </w:rPr>
        <w:t xml:space="preserve">.水温设定范围： 15～39℃</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lang w:val="en-US" w:eastAsia="zh-CN"/>
        </w:rPr>
        <w:t xml:space="preserve">.温度设定精度：0.1℃</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温度控制精度：0.5℃</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0</w:t>
      </w:r>
      <w:r>
        <w:rPr>
          <w:rFonts w:hint="eastAsia" w:ascii="宋体" w:hAnsi="宋体" w:eastAsia="宋体" w:cs="宋体"/>
          <w:b w:val="0"/>
          <w:bCs w:val="0"/>
          <w:color w:val="auto"/>
          <w:szCs w:val="21"/>
          <w:highlight w:val="none"/>
          <w:lang w:val="en-US" w:eastAsia="zh-CN"/>
        </w:rPr>
        <w:t xml:space="preserve">.温度传感器：2×NTC 5K 测量精度0.1℃</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lang w:val="en-US" w:eastAsia="zh-CN"/>
        </w:rPr>
        <w:t xml:space="preserve">.升温时间：≤10分钟 (空载，20℃至37℃)</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降温时间：≤10分钟 (空载，20℃至15℃)</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lang w:val="en-US" w:eastAsia="zh-CN"/>
        </w:rPr>
        <w:t xml:space="preserve">.循环水泵：≥5.5L/min</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.工作噪音： ≤50分贝</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1</w:t>
      </w: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lang w:val="en-US" w:eastAsia="zh-CN"/>
        </w:rPr>
        <w:t xml:space="preserve">.使用环境温度：10～30℃</w:t>
      </w:r>
      <w:r>
        <w:rPr>
          <w:rFonts w:hint="eastAsia" w:ascii="宋体" w:hAnsi="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lang w:val="en-US" w:eastAsia="zh-CN"/>
        </w:rPr>
        <w:t xml:space="preserve">使用环境湿度：30～70%</w:t>
      </w:r>
      <w:r>
        <w:rPr>
          <w:rFonts w:hint="eastAsia" w:ascii="宋体" w:hAnsi="宋体" w:cs="宋体"/>
          <w:b w:val="0"/>
          <w:bCs w:val="0"/>
          <w:color w:val="auto"/>
          <w:szCs w:val="21"/>
          <w:highlight w:val="none"/>
          <w:lang w:val="en-US" w:eastAsia="zh-CN"/>
        </w:rPr>
        <w:t xml:space="preserve">。</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四）配置要求</w:t>
      </w:r>
      <w:r/>
    </w:p>
    <w:tbl>
      <w:tblPr>
        <w:tblStyle w:val="826"/>
        <w:tblW w:w="8400" w:type="dxa"/>
        <w:tblInd w:w="17" w:type="dxa"/>
        <w:tblBorders>
          <w:top w:val="single" w:color="000000" w:sz="14" w:space="0"/>
          <w:left w:val="single" w:color="000000" w:sz="14" w:space="0"/>
          <w:bottom w:val="single" w:color="000000" w:sz="14" w:space="0"/>
          <w:right w:val="single" w:color="000000" w:sz="14" w:space="0"/>
          <w:insideH w:val="single" w:color="000000" w:sz="14" w:space="0"/>
          <w:insideV w:val="single" w:color="000000" w:sz="14" w:space="0"/>
        </w:tblBorders>
        <w:tblLayout w:type="fixed"/>
        <w:tblCellMar>
          <w:left w:w="0" w:type="dxa"/>
          <w:top w:w="0" w:type="dxa"/>
          <w:right w:w="0" w:type="dxa"/>
          <w:bottom w:w="0" w:type="dxa"/>
        </w:tblCellMar>
        <w:tblLook w:val="04A0" w:firstRow="1" w:lastRow="0" w:firstColumn="1" w:lastColumn="0" w:noHBand="0" w:noVBand="1"/>
      </w:tblPr>
      <w:tblGrid>
        <w:gridCol w:w="849"/>
        <w:gridCol w:w="7551"/>
      </w:tblGrid>
      <w:tr>
        <w:trPr>
          <w:trHeight w:val="559"/>
        </w:trPr>
        <w:tc>
          <w:tcPr>
            <w:tcW w:w="849" w:type="dxa"/>
            <w:vAlign w:val="top"/>
            <w:textDirection w:val="lrTb"/>
            <w:noWrap w:val="false"/>
          </w:tcPr>
          <w:p>
            <w:pPr>
              <w:pStyle w:val="825"/>
              <w:ind w:left="389"/>
              <w:spacing w:before="191" w:line="241" w:lineRule="auto"/>
              <w:rPr>
                <w:color w:val="auto"/>
                <w:highlight w:val="none"/>
              </w:rPr>
            </w:pPr>
            <w:r>
              <w:rPr>
                <w:color w:val="auto"/>
                <w:highlight w:val="none"/>
              </w:rPr>
              <w:t xml:space="preserve">1</w:t>
            </w:r>
            <w:r/>
          </w:p>
        </w:tc>
        <w:tc>
          <w:tcPr>
            <w:tcW w:w="7551" w:type="dxa"/>
            <w:vAlign w:val="top"/>
            <w:textDirection w:val="lrTb"/>
            <w:noWrap w:val="false"/>
          </w:tcPr>
          <w:p>
            <w:pPr>
              <w:pStyle w:val="825"/>
              <w:ind w:left="25"/>
              <w:spacing w:before="191" w:line="219" w:lineRule="auto"/>
              <w:rPr>
                <w:color w:val="auto"/>
                <w:highlight w:val="none"/>
              </w:rPr>
            </w:pPr>
            <w:r>
              <w:rPr>
                <w:color w:val="auto"/>
                <w:spacing w:val="-8"/>
                <w:highlight w:val="none"/>
              </w:rPr>
              <w:t xml:space="preserve">主机</w:t>
            </w:r>
            <w:r>
              <w:rPr>
                <w:color w:val="auto"/>
                <w:spacing w:val="12"/>
                <w:highlight w:val="none"/>
              </w:rPr>
              <w:t xml:space="preserve">  </w:t>
            </w:r>
            <w:r>
              <w:rPr>
                <w:color w:val="auto"/>
                <w:spacing w:val="-8"/>
                <w:highlight w:val="none"/>
              </w:rPr>
              <w:t xml:space="preserve">1台</w:t>
            </w:r>
            <w:r/>
          </w:p>
        </w:tc>
      </w:tr>
      <w:tr>
        <w:trPr>
          <w:trHeight w:val="541"/>
        </w:trPr>
        <w:tc>
          <w:tcPr>
            <w:tcW w:w="849" w:type="dxa"/>
            <w:vAlign w:val="top"/>
            <w:textDirection w:val="lrTb"/>
            <w:noWrap w:val="false"/>
          </w:tcPr>
          <w:p>
            <w:pPr>
              <w:pStyle w:val="825"/>
              <w:ind w:left="376"/>
              <w:spacing w:before="177" w:line="241" w:lineRule="auto"/>
              <w:rPr>
                <w:color w:val="auto"/>
                <w:highlight w:val="none"/>
              </w:rPr>
            </w:pPr>
            <w:r>
              <w:rPr>
                <w:color w:val="auto"/>
                <w:highlight w:val="none"/>
              </w:rPr>
              <w:t xml:space="preserve">2</w:t>
            </w:r>
            <w:r/>
          </w:p>
        </w:tc>
        <w:tc>
          <w:tcPr>
            <w:tcW w:w="7551" w:type="dxa"/>
            <w:vAlign w:val="top"/>
            <w:textDirection w:val="lrTb"/>
            <w:noWrap w:val="false"/>
          </w:tcPr>
          <w:p>
            <w:pPr>
              <w:pStyle w:val="825"/>
              <w:ind w:left="26"/>
              <w:spacing w:before="176" w:line="220" w:lineRule="auto"/>
              <w:rPr>
                <w:color w:val="auto"/>
                <w:highlight w:val="none"/>
              </w:rPr>
            </w:pPr>
            <w:r>
              <w:rPr>
                <w:color w:val="auto"/>
                <w:spacing w:val="-7"/>
                <w:highlight w:val="none"/>
              </w:rPr>
              <w:t xml:space="preserve">驱动器</w:t>
            </w:r>
            <w:r>
              <w:rPr>
                <w:color w:val="auto"/>
                <w:spacing w:val="13"/>
                <w:highlight w:val="none"/>
              </w:rPr>
              <w:t xml:space="preserve">  </w:t>
            </w:r>
            <w:r>
              <w:rPr>
                <w:color w:val="auto"/>
                <w:spacing w:val="-7"/>
                <w:highlight w:val="none"/>
              </w:rPr>
              <w:t xml:space="preserve">1个</w:t>
            </w:r>
            <w:r/>
          </w:p>
        </w:tc>
      </w:tr>
      <w:tr>
        <w:trPr>
          <w:trHeight w:val="540"/>
        </w:trPr>
        <w:tc>
          <w:tcPr>
            <w:tcW w:w="849" w:type="dxa"/>
            <w:vAlign w:val="top"/>
            <w:textDirection w:val="lrTb"/>
            <w:noWrap w:val="false"/>
          </w:tcPr>
          <w:p>
            <w:pPr>
              <w:pStyle w:val="825"/>
              <w:ind w:left="378"/>
              <w:spacing w:before="179"/>
              <w:rPr>
                <w:color w:val="auto"/>
                <w:highlight w:val="none"/>
              </w:rPr>
            </w:pPr>
            <w:r>
              <w:rPr>
                <w:color w:val="auto"/>
                <w:highlight w:val="none"/>
              </w:rPr>
              <w:t xml:space="preserve">3</w:t>
            </w:r>
            <w:r/>
          </w:p>
        </w:tc>
        <w:tc>
          <w:tcPr>
            <w:tcW w:w="7551" w:type="dxa"/>
            <w:vAlign w:val="top"/>
            <w:textDirection w:val="lrTb"/>
            <w:noWrap w:val="false"/>
          </w:tcPr>
          <w:p>
            <w:pPr>
              <w:pStyle w:val="825"/>
              <w:ind w:left="29"/>
              <w:spacing w:before="178" w:line="220" w:lineRule="auto"/>
              <w:rPr>
                <w:color w:val="auto"/>
                <w:highlight w:val="none"/>
              </w:rPr>
            </w:pPr>
            <w:r>
              <w:rPr>
                <w:color w:val="auto"/>
                <w:spacing w:val="-3"/>
                <w:highlight w:val="none"/>
              </w:rPr>
              <w:t xml:space="preserve">紧急驱动器</w:t>
            </w:r>
            <w:r>
              <w:rPr>
                <w:color w:val="auto"/>
                <w:spacing w:val="24"/>
                <w:highlight w:val="none"/>
              </w:rPr>
              <w:t xml:space="preserve"> </w:t>
            </w:r>
            <w:r>
              <w:rPr>
                <w:color w:val="auto"/>
                <w:spacing w:val="-3"/>
                <w:highlight w:val="none"/>
              </w:rPr>
              <w:t xml:space="preserve">1个</w:t>
            </w:r>
            <w:r/>
          </w:p>
        </w:tc>
      </w:tr>
      <w:tr>
        <w:trPr>
          <w:trHeight w:val="541"/>
        </w:trPr>
        <w:tc>
          <w:tcPr>
            <w:tcW w:w="849" w:type="dxa"/>
            <w:vAlign w:val="top"/>
            <w:textDirection w:val="lrTb"/>
            <w:noWrap w:val="false"/>
          </w:tcPr>
          <w:p>
            <w:pPr>
              <w:pStyle w:val="825"/>
              <w:ind w:left="373"/>
              <w:spacing w:before="184" w:line="241" w:lineRule="auto"/>
              <w:rPr>
                <w:color w:val="auto"/>
                <w:highlight w:val="none"/>
              </w:rPr>
            </w:pPr>
            <w:r>
              <w:rPr>
                <w:color w:val="auto"/>
                <w:highlight w:val="none"/>
              </w:rPr>
              <w:t xml:space="preserve">4</w:t>
            </w:r>
            <w:r/>
          </w:p>
        </w:tc>
        <w:tc>
          <w:tcPr>
            <w:tcW w:w="7551" w:type="dxa"/>
            <w:vAlign w:val="top"/>
            <w:textDirection w:val="lrTb"/>
            <w:noWrap w:val="false"/>
          </w:tcPr>
          <w:p>
            <w:pPr>
              <w:pStyle w:val="825"/>
              <w:ind w:left="21"/>
              <w:spacing w:before="183" w:line="220" w:lineRule="auto"/>
              <w:rPr>
                <w:color w:val="auto"/>
                <w:highlight w:val="none"/>
              </w:rPr>
            </w:pPr>
            <w:r>
              <w:rPr>
                <w:color w:val="auto"/>
                <w:spacing w:val="-4"/>
                <w:highlight w:val="none"/>
              </w:rPr>
              <w:t xml:space="preserve">ECMO台车</w:t>
            </w:r>
            <w:r>
              <w:rPr>
                <w:color w:val="auto"/>
                <w:spacing w:val="15"/>
                <w:highlight w:val="none"/>
              </w:rPr>
              <w:t xml:space="preserve">  </w:t>
            </w:r>
            <w:r>
              <w:rPr>
                <w:color w:val="auto"/>
                <w:spacing w:val="-4"/>
                <w:highlight w:val="none"/>
              </w:rPr>
              <w:t xml:space="preserve">1台</w:t>
            </w:r>
            <w:r/>
          </w:p>
        </w:tc>
      </w:tr>
      <w:tr>
        <w:trPr>
          <w:trHeight w:val="540"/>
        </w:trPr>
        <w:tc>
          <w:tcPr>
            <w:tcW w:w="849" w:type="dxa"/>
            <w:vAlign w:val="top"/>
            <w:textDirection w:val="lrTb"/>
            <w:noWrap w:val="false"/>
          </w:tcPr>
          <w:p>
            <w:pPr>
              <w:pStyle w:val="825"/>
              <w:ind w:left="378"/>
              <w:spacing w:before="184"/>
              <w:rPr>
                <w:color w:val="auto"/>
                <w:highlight w:val="none"/>
              </w:rPr>
            </w:pPr>
            <w:r>
              <w:rPr>
                <w:color w:val="auto"/>
                <w:highlight w:val="none"/>
              </w:rPr>
              <w:t xml:space="preserve">5</w:t>
            </w:r>
            <w:r/>
          </w:p>
        </w:tc>
        <w:tc>
          <w:tcPr>
            <w:tcW w:w="7551" w:type="dxa"/>
            <w:vAlign w:val="top"/>
            <w:textDirection w:val="lrTb"/>
            <w:noWrap w:val="false"/>
          </w:tcPr>
          <w:p>
            <w:pPr>
              <w:pStyle w:val="825"/>
              <w:ind w:left="30"/>
              <w:spacing w:before="184" w:line="220" w:lineRule="auto"/>
              <w:rPr>
                <w:color w:val="auto"/>
                <w:highlight w:val="none"/>
              </w:rPr>
            </w:pPr>
            <w:r>
              <w:rPr>
                <w:color w:val="auto"/>
                <w:spacing w:val="-4"/>
                <w:highlight w:val="none"/>
              </w:rPr>
              <w:t xml:space="preserve">空气单接头管道组件</w:t>
            </w:r>
            <w:r>
              <w:rPr>
                <w:color w:val="auto"/>
                <w:spacing w:val="15"/>
                <w:highlight w:val="none"/>
              </w:rPr>
              <w:t xml:space="preserve">  </w:t>
            </w:r>
            <w:r>
              <w:rPr>
                <w:color w:val="auto"/>
                <w:spacing w:val="-4"/>
                <w:highlight w:val="none"/>
              </w:rPr>
              <w:t xml:space="preserve">1个</w:t>
            </w:r>
            <w:r/>
          </w:p>
        </w:tc>
      </w:tr>
      <w:tr>
        <w:trPr>
          <w:trHeight w:val="540"/>
        </w:trPr>
        <w:tc>
          <w:tcPr>
            <w:tcW w:w="849" w:type="dxa"/>
            <w:vAlign w:val="top"/>
            <w:textDirection w:val="lrTb"/>
            <w:noWrap w:val="false"/>
          </w:tcPr>
          <w:p>
            <w:pPr>
              <w:pStyle w:val="825"/>
              <w:ind w:left="375"/>
              <w:spacing w:before="189"/>
              <w:rPr>
                <w:color w:val="auto"/>
                <w:highlight w:val="none"/>
              </w:rPr>
            </w:pPr>
            <w:r>
              <w:rPr>
                <w:color w:val="auto"/>
                <w:highlight w:val="none"/>
              </w:rPr>
              <w:t xml:space="preserve">6</w:t>
            </w:r>
            <w:r/>
          </w:p>
        </w:tc>
        <w:tc>
          <w:tcPr>
            <w:tcW w:w="7551" w:type="dxa"/>
            <w:vAlign w:val="top"/>
            <w:textDirection w:val="lrTb"/>
            <w:noWrap w:val="false"/>
          </w:tcPr>
          <w:p>
            <w:pPr>
              <w:pStyle w:val="825"/>
              <w:ind w:left="25"/>
              <w:spacing w:before="189" w:line="219" w:lineRule="auto"/>
              <w:rPr>
                <w:color w:val="auto"/>
                <w:highlight w:val="none"/>
              </w:rPr>
            </w:pPr>
            <w:r>
              <w:rPr>
                <w:color w:val="auto"/>
                <w:spacing w:val="-3"/>
                <w:highlight w:val="none"/>
              </w:rPr>
              <w:t xml:space="preserve">氧气单接头管道组件</w:t>
            </w:r>
            <w:r>
              <w:rPr>
                <w:color w:val="auto"/>
                <w:spacing w:val="13"/>
                <w:highlight w:val="none"/>
              </w:rPr>
              <w:t xml:space="preserve">  </w:t>
            </w:r>
            <w:r>
              <w:rPr>
                <w:color w:val="auto"/>
                <w:spacing w:val="-3"/>
                <w:highlight w:val="none"/>
              </w:rPr>
              <w:t xml:space="preserve">1个</w:t>
            </w:r>
            <w:r/>
          </w:p>
        </w:tc>
      </w:tr>
      <w:tr>
        <w:trPr>
          <w:trHeight w:val="541"/>
        </w:trPr>
        <w:tc>
          <w:tcPr>
            <w:tcW w:w="849" w:type="dxa"/>
            <w:vAlign w:val="top"/>
            <w:textDirection w:val="lrTb"/>
            <w:noWrap w:val="false"/>
          </w:tcPr>
          <w:p>
            <w:pPr>
              <w:pStyle w:val="825"/>
              <w:ind w:left="379"/>
              <w:spacing w:before="192"/>
              <w:rPr>
                <w:color w:val="auto"/>
                <w:highlight w:val="none"/>
              </w:rPr>
            </w:pPr>
            <w:r>
              <w:rPr>
                <w:color w:val="auto"/>
                <w:highlight w:val="none"/>
              </w:rPr>
              <w:t xml:space="preserve">7</w:t>
            </w:r>
            <w:r/>
          </w:p>
        </w:tc>
        <w:tc>
          <w:tcPr>
            <w:tcW w:w="7551" w:type="dxa"/>
            <w:vAlign w:val="top"/>
            <w:textDirection w:val="lrTb"/>
            <w:noWrap w:val="false"/>
          </w:tcPr>
          <w:p>
            <w:pPr>
              <w:pStyle w:val="825"/>
              <w:ind w:left="30"/>
              <w:spacing w:before="192" w:line="219" w:lineRule="auto"/>
              <w:rPr>
                <w:color w:val="auto"/>
                <w:highlight w:val="none"/>
              </w:rPr>
            </w:pPr>
            <w:r>
              <w:rPr>
                <w:color w:val="auto"/>
                <w:spacing w:val="-4"/>
                <w:highlight w:val="none"/>
              </w:rPr>
              <w:t xml:space="preserve">空氧混合器</w:t>
            </w:r>
            <w:r>
              <w:rPr>
                <w:color w:val="auto"/>
                <w:spacing w:val="10"/>
                <w:highlight w:val="none"/>
              </w:rPr>
              <w:t xml:space="preserve">   </w:t>
            </w:r>
            <w:r>
              <w:rPr>
                <w:color w:val="auto"/>
                <w:spacing w:val="-4"/>
                <w:highlight w:val="none"/>
              </w:rPr>
              <w:t xml:space="preserve">1个</w:t>
            </w:r>
            <w:r/>
          </w:p>
        </w:tc>
      </w:tr>
      <w:tr>
        <w:trPr>
          <w:trHeight w:val="540"/>
        </w:trPr>
        <w:tc>
          <w:tcPr>
            <w:tcW w:w="849" w:type="dxa"/>
            <w:vAlign w:val="top"/>
            <w:textDirection w:val="lrTb"/>
            <w:noWrap w:val="false"/>
          </w:tcPr>
          <w:p>
            <w:pPr>
              <w:pStyle w:val="825"/>
              <w:ind w:left="374"/>
              <w:spacing w:before="195"/>
              <w:rPr>
                <w:color w:val="auto"/>
                <w:highlight w:val="none"/>
              </w:rPr>
            </w:pPr>
            <w:r>
              <w:rPr>
                <w:color w:val="auto"/>
                <w:highlight w:val="none"/>
              </w:rPr>
              <w:t xml:space="preserve">8</w:t>
            </w:r>
            <w:r/>
          </w:p>
        </w:tc>
        <w:tc>
          <w:tcPr>
            <w:tcW w:w="7551" w:type="dxa"/>
            <w:vAlign w:val="top"/>
            <w:textDirection w:val="lrTb"/>
            <w:noWrap w:val="false"/>
          </w:tcPr>
          <w:p>
            <w:pPr>
              <w:pStyle w:val="825"/>
              <w:ind w:left="26"/>
              <w:spacing w:before="195" w:line="220" w:lineRule="auto"/>
              <w:rPr>
                <w:color w:val="auto"/>
                <w:highlight w:val="none"/>
              </w:rPr>
            </w:pPr>
            <w:r>
              <w:rPr>
                <w:color w:val="auto"/>
                <w:spacing w:val="-5"/>
                <w:highlight w:val="none"/>
              </w:rPr>
              <w:t xml:space="preserve">水箱</w:t>
            </w:r>
            <w:r>
              <w:rPr>
                <w:color w:val="auto"/>
                <w:spacing w:val="9"/>
                <w:highlight w:val="none"/>
              </w:rPr>
              <w:t xml:space="preserve">   </w:t>
            </w:r>
            <w:r>
              <w:rPr>
                <w:color w:val="auto"/>
                <w:spacing w:val="-5"/>
                <w:highlight w:val="none"/>
              </w:rPr>
              <w:t xml:space="preserve">1个</w:t>
            </w:r>
            <w:r/>
          </w:p>
        </w:tc>
      </w:tr>
      <w:tr>
        <w:trPr>
          <w:trHeight w:val="540"/>
        </w:trPr>
        <w:tc>
          <w:tcPr>
            <w:tcW w:w="849" w:type="dxa"/>
            <w:vAlign w:val="top"/>
            <w:textDirection w:val="lrTb"/>
            <w:noWrap w:val="false"/>
          </w:tcPr>
          <w:p>
            <w:pPr>
              <w:pStyle w:val="825"/>
              <w:ind w:left="374"/>
              <w:spacing w:before="199"/>
              <w:rPr>
                <w:color w:val="auto"/>
                <w:highlight w:val="none"/>
              </w:rPr>
            </w:pPr>
            <w:r>
              <w:rPr>
                <w:color w:val="auto"/>
                <w:highlight w:val="none"/>
              </w:rPr>
              <w:t xml:space="preserve">9</w:t>
            </w:r>
            <w:r/>
          </w:p>
        </w:tc>
        <w:tc>
          <w:tcPr>
            <w:tcW w:w="7551" w:type="dxa"/>
            <w:vAlign w:val="top"/>
            <w:textDirection w:val="lrTb"/>
            <w:noWrap w:val="false"/>
          </w:tcPr>
          <w:p>
            <w:pPr>
              <w:pStyle w:val="825"/>
              <w:ind w:left="23"/>
              <w:spacing w:before="199" w:line="220" w:lineRule="auto"/>
              <w:rPr>
                <w:color w:val="auto"/>
                <w:highlight w:val="none"/>
              </w:rPr>
            </w:pPr>
            <w:r>
              <w:rPr>
                <w:color w:val="auto"/>
                <w:spacing w:val="-5"/>
                <w:highlight w:val="none"/>
              </w:rPr>
              <w:t xml:space="preserve">凝血分析仪</w:t>
            </w:r>
            <w:r>
              <w:rPr>
                <w:color w:val="auto"/>
                <w:spacing w:val="15"/>
                <w:highlight w:val="none"/>
              </w:rPr>
              <w:t xml:space="preserve">  </w:t>
            </w:r>
            <w:r>
              <w:rPr>
                <w:color w:val="auto"/>
                <w:spacing w:val="-5"/>
                <w:highlight w:val="none"/>
              </w:rPr>
              <w:t xml:space="preserve">1个</w:t>
            </w:r>
            <w:r/>
          </w:p>
        </w:tc>
      </w:tr>
      <w:tr>
        <w:trPr>
          <w:trHeight w:val="560"/>
        </w:trPr>
        <w:tc>
          <w:tcPr>
            <w:tcW w:w="849" w:type="dxa"/>
            <w:vAlign w:val="top"/>
            <w:textDirection w:val="lrTb"/>
            <w:noWrap w:val="false"/>
          </w:tcPr>
          <w:p>
            <w:pPr>
              <w:pStyle w:val="825"/>
              <w:ind w:left="336"/>
              <w:spacing w:before="203"/>
              <w:rPr>
                <w:color w:val="auto"/>
                <w:highlight w:val="none"/>
              </w:rPr>
            </w:pPr>
            <w:r>
              <w:rPr>
                <w:color w:val="auto"/>
                <w:spacing w:val="-6"/>
                <w:highlight w:val="none"/>
              </w:rPr>
              <w:t xml:space="preserve">10</w:t>
            </w:r>
            <w:r/>
          </w:p>
        </w:tc>
        <w:tc>
          <w:tcPr>
            <w:tcW w:w="7551" w:type="dxa"/>
            <w:vAlign w:val="top"/>
            <w:textDirection w:val="lrTb"/>
            <w:noWrap w:val="false"/>
          </w:tcPr>
          <w:p>
            <w:pPr>
              <w:pStyle w:val="825"/>
              <w:ind w:left="23"/>
              <w:spacing w:before="203" w:line="220" w:lineRule="auto"/>
              <w:rPr>
                <w:rFonts w:hint="eastAsia" w:eastAsia="宋体"/>
                <w:color w:val="auto"/>
                <w:highlight w:val="none"/>
                <w:lang w:eastAsia="zh-CN"/>
              </w:rPr>
            </w:pPr>
            <w:r>
              <w:rPr>
                <w:color w:val="auto"/>
                <w:spacing w:val="-4"/>
                <w:highlight w:val="none"/>
              </w:rPr>
              <w:t xml:space="preserve">配套使用套包</w:t>
            </w:r>
            <w:r>
              <w:rPr>
                <w:color w:val="auto"/>
                <w:spacing w:val="13"/>
                <w:highlight w:val="none"/>
              </w:rPr>
              <w:t xml:space="preserve">  </w:t>
            </w:r>
            <w:r>
              <w:rPr>
                <w:color w:val="auto"/>
                <w:spacing w:val="-4"/>
                <w:highlight w:val="none"/>
              </w:rPr>
              <w:t xml:space="preserve">1</w:t>
            </w:r>
            <w:r>
              <w:rPr>
                <w:rFonts w:hint="eastAsia"/>
                <w:color w:val="auto"/>
                <w:spacing w:val="-4"/>
                <w:highlight w:val="none"/>
                <w:lang w:val="en-US" w:eastAsia="zh-CN"/>
              </w:rPr>
              <w:t xml:space="preserve">套</w:t>
            </w:r>
            <w:r/>
          </w:p>
        </w:tc>
      </w:tr>
    </w:tbl>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注：以上加</w:t>
      </w: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项为必须满足项，否则为无效投标。</w:t>
      </w:r>
      <w:r/>
    </w:p>
    <w:p>
      <w:p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、设备质量要求：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1.所有产品各项技术应当符合国家（强制性）标准及各项规范要求；国家没有相应标准、规范的，可使用行业标准、规定；非标准设备按招标约定的技术要求和规范。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2.所有设备在到达安装现场时须经采购单位技术人员记录验收后方可进行设备安装，验货时须提交该产品的原厂质量合格证明及服务质保证明文件。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3.所有设备、附（配）件应具备该类产品的功能要求，无瑕疵和缺陷，质量为合格产品，同时有明确的生产厂商或制造厂商。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5.如果是超出投标人的责任范围的疏忽、误操作等情况而导致的更换修正，应由投标人进行修理，其额外费用由双方协商承担。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、售后服务要求：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1.中标方应配备专门的项目团队人员，保证货物的运输、交付、安装、调试等定时定期进行。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2.中标方提供原厂免费维保≥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年，质保期自采购单位验收合格之日起计算；合同期间若发生退回、维修或设备替换等情形，质保期自发生之日起，至标的物恢复正常使用之日止，停止计算。</w:t>
      </w:r>
      <w:r>
        <w:rPr>
          <w:rFonts w:hint="eastAsia" w:ascii="宋体" w:hAnsi="宋体" w:eastAsia="宋体" w:cs="宋体"/>
          <w:bCs/>
          <w:color w:val="auto"/>
          <w:szCs w:val="21"/>
          <w:highlight w:val="none"/>
          <w:lang w:val="en-US" w:eastAsia="zh-CN"/>
        </w:rPr>
        <w:t xml:space="preserve">质保期内免费提供保养服务</w:t>
      </w:r>
      <w:r>
        <w:rPr>
          <w:rFonts w:hint="eastAsia" w:ascii="宋体" w:hAnsi="宋体" w:eastAsia="宋体" w:cs="宋体"/>
          <w:color w:val="auto"/>
          <w:szCs w:val="21"/>
          <w:highlight w:val="none"/>
        </w:rPr>
        <w:t xml:space="preserve">（维修保养要求每年维护保养≥</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次）</w:t>
      </w:r>
      <w:r>
        <w:rPr>
          <w:rFonts w:hint="eastAsia" w:ascii="宋体" w:hAnsi="宋体" w:eastAsia="宋体" w:cs="宋体"/>
          <w:bCs/>
          <w:color w:val="auto"/>
          <w:szCs w:val="21"/>
          <w:highlight w:val="none"/>
          <w:lang w:val="en-US" w:eastAsia="zh-CN"/>
        </w:rPr>
        <w:t xml:space="preserve">，</w:t>
      </w:r>
      <w:r>
        <w:rPr>
          <w:rFonts w:hint="eastAsia" w:ascii="宋体" w:hAnsi="宋体" w:cs="宋体"/>
          <w:bCs/>
          <w:color w:val="auto"/>
          <w:szCs w:val="21"/>
          <w:highlight w:val="none"/>
        </w:rPr>
        <w:t xml:space="preserve">质保期后</w:t>
      </w:r>
      <w:r>
        <w:rPr>
          <w:rFonts w:hint="eastAsia" w:ascii="宋体" w:hAnsi="宋体" w:cs="宋体"/>
          <w:bCs/>
          <w:color w:val="auto"/>
          <w:szCs w:val="21"/>
          <w:highlight w:val="none"/>
          <w:lang w:val="en-US" w:eastAsia="zh-CN"/>
        </w:rPr>
        <w:t xml:space="preserve">中标单位</w:t>
      </w:r>
      <w:r>
        <w:rPr>
          <w:rFonts w:hint="eastAsia" w:ascii="宋体" w:hAnsi="宋体" w:cs="宋体"/>
          <w:bCs/>
          <w:color w:val="auto"/>
          <w:szCs w:val="21"/>
          <w:highlight w:val="none"/>
        </w:rPr>
        <w:t xml:space="preserve">提供终身维修和维护服务，且只收取配件费用，不收取人工费及其他费用</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免费维护期内，中标单位应成立专门的技术支持和售后服务小组，提供完善周到的本地化服务，提供7*24小时免费维修服务热线，设备(含软件、电脑系统&lt;如有&gt;)一旦发生故障，保证2小时响应，8小时内需完成维修，72小时内无法排除故障的，须允诺提供备用设备，具体赔偿条件：72小时内设备未能修复、不能正常运行时，每超过1天免费质保期延长1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4.提供专业的技术培训(操作、维修),保证采购单位操作人员正常使用设备的各项功能。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设备如涉及配件、易损件等，投标单位在投标文件中详细提供设备涉及的所有配件、易损件名称、价格。中标后如出现未在投标文件所列的配件、易损件等，均视为中标单位免费使用或更换等，此报价5年内不得提高；配件的供给，保障8年以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6.质保期后维保价格按照不超过合同价格的8%续保；免费质保期后，采购单位可以在任意年度或时间段购买、投保，没有连续续签的要求，中标单位对此予以认可及接受并承担设备更新迭代的相关费用。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8.如有其他项目需乙方配合完成，乙方须无条件派相关工程师现场配合，直至该项目完成，对此采购单位无须承担任何费用。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9.中标单位应提供软件版本免费升级服务(在不涉及硬件情况下)。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中标单位不得以“密码”制约用户。如用户工作和维修需要，应无条件免费开放密码。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中标单位产品对采购单位以后设备、系统永久无偿开放。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如发生中标单位怠于提供上述义务而导致采购单位损失等，采购单位有权要求中标单位予以赔偿。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11.所投设备如属于法定或强检设备的，中标方需提供首次计量报告，计量检测费用由中标方承担。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12.机器在使用中，因机器质量问题或技术参数突变(非人为)而引起医疗事故(含医疗纠纷)，责任由中标方负责，并赔偿由此引起的一切费用。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、综合说明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4、投标总报价一次报定，包括产品供货、辅助材料、备品备件、运输、仓储、发货、送货、安装、医院平台各系统（如HIS系统、LIS系统等）的接口费用、调试、人工、机械、装卸、培训、保险、运费、</w:t>
      </w:r>
      <w:r>
        <w:rPr>
          <w:rFonts w:hint="eastAsia" w:ascii="宋体" w:hAnsi="宋体" w:eastAsia="宋体" w:cs="宋体"/>
          <w:color w:val="auto"/>
          <w:szCs w:val="21"/>
          <w:highlight w:val="none"/>
          <w:lang w:val="en-US" w:eastAsia="zh-CN"/>
        </w:rPr>
        <w:t xml:space="preserve">采购代理服务费、</w:t>
      </w:r>
      <w:r>
        <w:rPr>
          <w:rFonts w:hint="eastAsia" w:ascii="宋体" w:hAnsi="宋体" w:eastAsia="宋体" w:cs="宋体"/>
          <w:color w:val="auto"/>
          <w:szCs w:val="21"/>
          <w:highlight w:val="none"/>
        </w:rPr>
        <w:t xml:space="preserve">各种税费、劳保、专利技术及维保等完成本次项目所需的一切费用。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5、交货期限：合同签订后60天内所有产品安装调试完毕并交付使用（具体按照采购单位要求）。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6、交货地点：苏州大学附属第一医院（具体按照采购单位要求）。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7.1验收标准：按政府采购合同要求、招标文件要求、投标文件、承诺及有关行业规定进行验收。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7.4设备验收时应提供以下文件的纸质版+电子版文件：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（1）中文说明书（纸质版+电子版）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（2）简易操作说明（卡片/塑封文件+电子版）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eastAsia="宋体" w:cs="宋体"/>
          <w:color w:val="auto"/>
          <w:szCs w:val="21"/>
          <w:highlight w:val="none"/>
          <w:lang w:eastAsia="zh-CN"/>
        </w:rPr>
        <w:t xml:space="preserve">。</w:t>
      </w:r>
      <w:r/>
    </w:p>
    <w:p>
      <w:pPr>
        <w:ind w:firstLine="211"/>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政策执行（如涉及）</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rPr>
          <w:rFonts w:hint="eastAsia"/>
          <w:b/>
          <w:bCs/>
          <w:color w:val="auto"/>
          <w:szCs w:val="21"/>
          <w:highlight w:val="none"/>
        </w:rPr>
        <w:t xml:space="preserve">本次招标接受进口产品投标。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w:t>
      </w:r>
      <w:r>
        <w:rPr>
          <w:rFonts w:hint="eastAsia" w:ascii="宋体" w:hAnsi="宋体"/>
          <w:color w:val="auto"/>
          <w:szCs w:val="21"/>
          <w:highlight w:val="none"/>
        </w:rPr>
        <w:t xml:space="preserve">办公厅关于政府采购进口产品管理有关问题的通知的规定。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中、小、微企业</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小型企业和微型企业的投标报价扣除20%后参与评审。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hint="default" w:ascii="宋体" w:hAnsi="宋体" w:cs="宋体"/>
          <w:b/>
          <w:bCs/>
          <w:color w:val="auto"/>
          <w:highlight w:val="none"/>
          <w:lang w:val="en-US" w:eastAsia="zh-CN"/>
        </w:rPr>
      </w:pPr>
      <w:r>
        <w:rPr>
          <w:rFonts w:hint="eastAsia" w:ascii="宋体" w:hAnsi="宋体" w:cs="宋体"/>
          <w:color w:val="auto"/>
          <w:highlight w:val="none"/>
        </w:rPr>
        <w:t xml:space="preserve">7、</w:t>
      </w:r>
      <w:r>
        <w:rPr>
          <w:rFonts w:hint="eastAsia" w:ascii="宋体" w:hAnsi="宋体" w:cs="宋体"/>
          <w:b/>
          <w:bCs/>
          <w:color w:val="auto"/>
          <w:highlight w:val="none"/>
          <w:lang w:val="en-US" w:eastAsia="zh-CN"/>
        </w:rPr>
        <w:t xml:space="preserve">异常低价审查</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）按照财政部发布的《关于推动解决政府采购异常低价问题的通知》（ 财库〔2026〕2号）</w:t>
      </w:r>
      <w:r>
        <w:rPr>
          <w:rFonts w:hint="eastAsia" w:ascii="宋体" w:hAnsi="宋体" w:cs="宋体"/>
          <w:color w:val="auto"/>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%的，即投标（响应）报价&lt;采购项目最高限价×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rPr>
        <w:t xml:space="preserve">8、政府采购中实施本国产品标准及相关政策</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8.1.本项目对采购本国产品给予政策支持：</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auto"/>
          <w:highlight w:val="none"/>
          <w:lang w:val="en-US" w:eastAsia="zh-CN"/>
        </w:rPr>
        <w:t xml:space="preserve">。</w:t>
      </w:r>
      <w:bookmarkEnd w:id="54"/>
      <w:r/>
    </w:p>
    <w:p>
      <w:pPr>
        <w:ind w:firstLine="883"/>
        <w:jc w:val="center"/>
        <w:pageBreakBefore/>
        <w:rPr>
          <w:rFonts w:ascii="宋体" w:hAnsi="宋体"/>
          <w:b/>
          <w:color w:val="auto"/>
          <w:sz w:val="44"/>
          <w:highlight w:val="none"/>
        </w:rPr>
      </w:pPr>
      <w:r>
        <w:rPr>
          <w:rFonts w:hint="eastAsia" w:ascii="宋体" w:hAnsi="宋体"/>
          <w:b/>
          <w:color w:val="auto"/>
          <w:sz w:val="44"/>
          <w:highlight w:val="none"/>
        </w:rPr>
        <w:t xml:space="preserve">第五章合同一般条款</w:t>
      </w:r>
      <w:bookmarkStart w:id="55" w:name="_Toc13543213"/>
      <w:r/>
      <w:bookmarkEnd w:id="55"/>
      <w:r/>
    </w:p>
    <w:p>
      <w:pPr>
        <w:spacing w:line="360" w:lineRule="auto"/>
        <w:rPr>
          <w:rFonts w:hint="eastAsia" w:ascii="宋体" w:hAnsi="宋体" w:cs="宋体"/>
          <w:b/>
          <w:color w:val="auto"/>
          <w:highlight w:val="none"/>
        </w:rPr>
      </w:pPr>
      <w:r/>
      <w:bookmarkStart w:id="56" w:name="_Toc13642117"/>
      <w:r/>
      <w:bookmarkStart w:id="57" w:name="_Toc13889377"/>
      <w:r>
        <w:rPr>
          <w:rFonts w:hint="eastAsia" w:ascii="宋体" w:hAnsi="宋体" w:cs="宋体"/>
          <w:b/>
          <w:color w:val="auto"/>
          <w:highlight w:val="none"/>
        </w:rPr>
        <w:t xml:space="preserve">一、合同文件</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1.合同文件适用法律</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1.1  适用于合同文件的法律是中华人民共和国现行法律、法规及甲方所在地的地方性法规。</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2.合同文件组成和解释顺序</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2.1  合同文件的组成和解释顺序如下：</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2.1.1 合同特殊性条款</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2.1.2 合同一般性条款</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2.1.3 洽商、变更等明确双方权利义务的纪要、协议</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2.1.4 中标通知书、投标书和招标文件</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2.1.5 有关图纸</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2.1.6 标准、规范和其它有关技术资料、技术要求</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t xml:space="preserve">2.2 合同的特殊性条款的效力优于合同的一般性条款的效力</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3.合同文件使用文字</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  合同文件使用中文书写、解释和说明</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hint="eastAsia" w:ascii="宋体" w:hAnsi="宋体" w:cs="宋体"/>
          <w:b/>
          <w:color w:val="auto"/>
          <w:highlight w:val="none"/>
        </w:rPr>
      </w:pPr>
      <w:r/>
      <w:bookmarkStart w:id="58" w:name="_Toc13543214"/>
      <w:r>
        <w:rPr>
          <w:rFonts w:hint="eastAsia" w:ascii="宋体" w:hAnsi="宋体" w:cs="宋体"/>
          <w:b/>
          <w:color w:val="auto"/>
          <w:highlight w:val="none"/>
        </w:rPr>
        <w:t xml:space="preserve">二、标的物的一般条款</w:t>
      </w:r>
      <w:bookmarkEnd w:id="58"/>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4.完整物权</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rPr>
        <w:tab/>
      </w:r>
      <w:r>
        <w:rPr>
          <w:rFonts w:hint="eastAsia" w:ascii="宋体" w:hAnsi="宋体" w:cs="宋体"/>
          <w:color w:val="auto"/>
          <w:highlight w:val="none"/>
        </w:rPr>
        <w:t xml:space="preserve">对于出卖的标的物，乙方应当拥有完整物权，并且乙方负有保证第三人不得向甲方主张任何权利（包括知识产权）的义务。</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5.质量保证</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乙方应保证所供标的物是全新的，未使用过的，并且是非长期积压的库存商品，完全符合合同规定的质</w:t>
      </w:r>
      <w:r>
        <w:rPr>
          <w:rFonts w:hint="eastAsia" w:ascii="宋体" w:hAnsi="宋体" w:eastAsia="宋体" w:cs="宋体"/>
          <w:color w:val="auto"/>
          <w:sz w:val="21"/>
          <w:highlight w:val="none"/>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5.2根据甲方按检验标准自己检验的结果或当地技监部门的检验结果，或者在质量保证期内，如果标的物的数量、质量或规格与合同不符或证实标的物是有缺陷的，包括潜在缺陷或使用不符合要求的材料等，甲方有权根据本合同第(六)条“违约责任”向乙方主张各 项权利。</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5.4乙方应严格按照招招投标文件及本合同等文件所记载内容提供服务内容，包 括且不限于整体要求、各类功能要求等。</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6.包装</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7.伴随服务</w:t>
      </w:r>
      <w:r>
        <w:rPr>
          <w:rFonts w:hint="eastAsia" w:ascii="宋体" w:hAnsi="宋体" w:cs="宋体"/>
          <w:bCs/>
          <w:color w:val="auto"/>
          <w:highlight w:val="none"/>
        </w:rPr>
        <w:t xml:space="preserve">(乙方对甲方待使用设施的周边配套实施等均已现场确认并认可，确保甲方无须另行添置设备或设施；且该部分费用已包括在合同总价内，甲方无须支付任何费用)</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  乙方除应履行按期按量交付合格标的物的义务之外，还应提供下列服务。</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7.1.1  标的物的现场安装、启动、调试、监督（如果必须安装、调试的话）；</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7.1.2  提供标的物组装和一般维修所必须的工具；</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7.1.3  在合同规定的期限内对所提供标的物实行运行监督、维修服务的前提条件是该服务并不能免除乙方在质量保证期内所承担的义务；</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7.1.4  按甲方要求，对甲方技术人员进行技术指导或培训；提供系统完整专业的培训计 划；提供厂家免费培训、并提供维修资料及中文的用户操作手册。</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除合同另有规定之外，伴随服务的费用均已含在合同价款中，甲方不再另行进行支付。</w:t>
      </w:r>
      <w:r/>
    </w:p>
    <w:p>
      <w:pPr>
        <w:spacing w:line="360" w:lineRule="auto"/>
        <w:rPr>
          <w:rFonts w:hint="eastAsia" w:ascii="宋体" w:hAnsi="宋体" w:cs="宋体"/>
          <w:b/>
          <w:color w:val="auto"/>
          <w:highlight w:val="none"/>
        </w:rPr>
      </w:pPr>
      <w:r/>
      <w:bookmarkStart w:id="59" w:name="_Toc13543215"/>
      <w:r>
        <w:rPr>
          <w:rFonts w:hint="eastAsia" w:ascii="宋体" w:hAnsi="宋体" w:cs="宋体"/>
          <w:b/>
          <w:color w:val="auto"/>
          <w:highlight w:val="none"/>
        </w:rPr>
        <w:t xml:space="preserve">三、标的物的交付、检验和验收</w:t>
      </w:r>
      <w:bookmarkEnd w:id="59"/>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8.标的物的交付</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标的物的所有权自标的物交付时转移。</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8.2  乙方应当按照约定的期限和约定的地点交付标的物。</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8.3  乙方应当按照约定或者交易习惯向甲方交付提取标的物单证以外的有关单证和资料。</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9.检验和验收</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9.2  交货后，甲方根据合同约定及相关验收标准，对标的物进行验收。甲方经验收无 误后，向乙方出具验收合格证明。若验收证明不合格，甲方有权根据合同约定向乙方主张权 利。该验收证明作为最终付款所需文件的组成部分。</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9.3  验收期限自标的物交付之日起三十天内。特殊情况需延长的，双方应在合同的特 殊条款中约定。</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9.4  如双方对验收结果有分歧，则以国家权威部门的检验结果为准，检验费用由有过失的一方支付。</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9.5货物交货时，包装须完整无破损，乙方还必须提供以下材料： </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（1）货物装箱清单</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（2）合格证(国产设备必须提供)</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（3）中英文技术资料</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（4）使用维修保养中文说明书  </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（5）其它必备材料和必备工具等 </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（6）保修单等其它必须材料。</w:t>
      </w:r>
      <w:r/>
    </w:p>
    <w:p>
      <w:pPr>
        <w:jc w:val="left"/>
        <w:spacing w:line="360" w:lineRule="auto"/>
        <w:rPr>
          <w:rFonts w:hint="eastAsia" w:ascii="宋体" w:hAnsi="宋体" w:cs="宋体"/>
          <w:b/>
          <w:color w:val="auto"/>
          <w:highlight w:val="none"/>
        </w:rPr>
      </w:pPr>
      <w:r/>
      <w:bookmarkStart w:id="60" w:name="_Toc13543216"/>
      <w:r>
        <w:rPr>
          <w:rFonts w:hint="eastAsia" w:ascii="宋体" w:hAnsi="宋体" w:cs="宋体"/>
          <w:b/>
          <w:color w:val="auto"/>
          <w:highlight w:val="none"/>
        </w:rPr>
        <w:t xml:space="preserve">四、对标的物提出异议的时间和办法</w:t>
      </w:r>
      <w:bookmarkEnd w:id="60"/>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10.对标的物提出异议的时间和办法 </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10.1 甲方在验收过程中，应当于双方约定的检验期间内将标的物的数量或质量不符合 约定的情形及处理方式以书面形式通知乙方。</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10.2 如甲方在验收期满后既不出具验收合格证明又未提出书面异议的视为乙方所交标 的物符合合同规定。</w:t>
      </w:r>
      <w:r/>
    </w:p>
    <w:p>
      <w:pPr>
        <w:pStyle w:val="733"/>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10.3 乙方应在收到甲方书面异议后七天内负责处理问题，否则将视为默认甲方提出的 异议和处理意见。</w:t>
      </w:r>
      <w:r/>
    </w:p>
    <w:p>
      <w:pPr>
        <w:spacing w:line="360" w:lineRule="auto"/>
        <w:rPr>
          <w:rFonts w:hint="eastAsia" w:ascii="宋体" w:hAnsi="宋体" w:cs="宋体"/>
          <w:b/>
          <w:color w:val="auto"/>
          <w:highlight w:val="none"/>
        </w:rPr>
      </w:pPr>
      <w:r/>
      <w:bookmarkStart w:id="61" w:name="_Toc13543217"/>
      <w:r>
        <w:rPr>
          <w:rFonts w:hint="eastAsia" w:ascii="宋体" w:hAnsi="宋体" w:cs="宋体"/>
          <w:b/>
          <w:color w:val="auto"/>
          <w:highlight w:val="none"/>
        </w:rPr>
        <w:t xml:space="preserve">五、合同价款和支付</w:t>
      </w:r>
      <w:bookmarkEnd w:id="61"/>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11.合同价款和支付</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 本合同的结算货币为人民币，单位元。</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11.2 乙方应按照双方签订的合同规定交货并在合同特殊条款规定的期限内持下列单据结算货款。</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11.2.1 合格的发票。</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11.2.2 甲方盖章签收后的送货回单和验收合格证明。</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11.3 甲方应按合同特殊条款规定的期限和方式付款。</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11.4 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
          <w:color w:val="auto"/>
          <w:highlight w:val="none"/>
        </w:rPr>
      </w:pPr>
      <w:r/>
      <w:bookmarkStart w:id="62" w:name="_Toc13543218"/>
      <w:r>
        <w:rPr>
          <w:rFonts w:hint="eastAsia" w:ascii="宋体" w:hAnsi="宋体" w:cs="宋体"/>
          <w:b/>
          <w:color w:val="auto"/>
          <w:highlight w:val="none"/>
        </w:rPr>
        <w:t xml:space="preserve">六、违约责任</w:t>
      </w:r>
      <w:bookmarkEnd w:id="62"/>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12.违约责任</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合同一方不履行合同任一义务或者履行合同义务不完全符合任一约定的，应当主动承担继续履行、采取补救措施及赔偿损失等违约责任，但守约方有权要求违约方承担违约金。</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若实际损失超过违约金的应按照实际损失承担赔偿责任，损失赔偿范围包括但不限于守约方的直接损失、间接损失及维权支出的各项费用(诉讼费、律师费、鉴定费、保全费等)。</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13.甲方违约责任</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在合同生效后，甲方无正当理由要求退货的，应向乙方偿付合同总价款5%的违约金，违约金不足以补偿损失的，乙方有权要求甲方补足。</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13.2甲方无故逾期付款的应按照逾期付款金额的每天万分之四支付逾期付款违约金。</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13.3甲方违反合同规定，拒绝接收乙方交付的合格标的物，应当承担乙方由此造成的损失。</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14.乙方违约责任</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乙方有下列行为之一的，甲方有权解除合同，要求乙方返还甲方所支付的任何款项并支付合同总价款20%的违约金，违约金不足以补偿实际损失的，甲方有权要求乙方补足：</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1)不能交货。乙方交货、安装、检验逾期超过15日(自然日)的，视为不能交货；</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2)交付的标的物不符合投标文件及合同约定；</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3)因可归责于乙方的情形导致标的物不能正常使用，致使甲方合同目的无法实现；</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4)其他合同约定的违约行为，致使甲方合同目的无法实现。</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15.不可抗力</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因不可抗力不能履行合同的，根据不可抗力的影响，部分或者全部免除责任。但合 同一方迟延履行后发生不可抗力的，不能免除责任。</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15.2合同一方因不可抗力不能履行合同的，应当及时通知对方，以减轻可能给对方造成的损失，并应当在合理期限内提供证明。</w:t>
      </w:r>
      <w:r/>
    </w:p>
    <w:p>
      <w:pPr>
        <w:spacing w:line="360" w:lineRule="auto"/>
        <w:rPr>
          <w:rFonts w:hint="eastAsia" w:ascii="宋体" w:hAnsi="宋体" w:cs="宋体"/>
          <w:b/>
          <w:color w:val="auto"/>
          <w:highlight w:val="none"/>
        </w:rPr>
      </w:pPr>
      <w:r/>
      <w:bookmarkStart w:id="63" w:name="_Toc13543219"/>
      <w:r>
        <w:rPr>
          <w:rFonts w:hint="eastAsia" w:ascii="宋体" w:hAnsi="宋体" w:cs="宋体"/>
          <w:b/>
          <w:color w:val="auto"/>
          <w:highlight w:val="none"/>
        </w:rPr>
        <w:t xml:space="preserve">七、索赔</w:t>
      </w:r>
      <w:bookmarkEnd w:id="63"/>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16.索赔</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甲方有权根据甲方所出具的验收证明、第三方质量检验机构或其他专业机构、组织、 部门出具的检验证书向乙方提出索赔。</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16.2在本合同规定的检验期和质量保证期内，乙方同意甲方有权按下列一种或多种方式 合并解决索赔事宜：</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16.2.2根据标的物的低劣程度、损坏程度以及甲方遭受损失的数额，经双方协商确定降 低标的物的价格。</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hint="eastAsia" w:ascii="宋体" w:hAnsi="宋体" w:cs="宋体"/>
          <w:b/>
          <w:color w:val="auto"/>
          <w:highlight w:val="none"/>
        </w:rPr>
      </w:pPr>
      <w:r/>
      <w:bookmarkStart w:id="64" w:name="_Toc13543220"/>
      <w:r>
        <w:rPr>
          <w:rFonts w:hint="eastAsia" w:ascii="宋体" w:hAnsi="宋体" w:cs="宋体"/>
          <w:b/>
          <w:color w:val="auto"/>
          <w:highlight w:val="none"/>
        </w:rPr>
        <w:t xml:space="preserve">八、履约保证金</w:t>
      </w:r>
      <w:bookmarkEnd w:id="64"/>
      <w:r/>
      <w:r/>
    </w:p>
    <w:p>
      <w:pPr>
        <w:spacing w:line="360" w:lineRule="auto"/>
        <w:rPr>
          <w:rFonts w:hint="default" w:ascii="宋体" w:hAnsi="宋体" w:eastAsia="宋体" w:cs="宋体"/>
          <w:b/>
          <w:color w:val="auto"/>
          <w:highlight w:val="none"/>
          <w:lang w:val="en-US" w:eastAsia="zh-CN"/>
        </w:rPr>
      </w:pPr>
      <w:r/>
      <w:bookmarkStart w:id="65" w:name="_Toc13543221"/>
      <w:r>
        <w:rPr>
          <w:rFonts w:hint="eastAsia" w:ascii="宋体" w:hAnsi="宋体" w:cs="宋体"/>
          <w:b/>
          <w:color w:val="auto"/>
          <w:highlight w:val="none"/>
          <w:lang w:val="en-US" w:eastAsia="zh-CN"/>
        </w:rPr>
        <w:t xml:space="preserve">17.</w:t>
      </w:r>
      <w:r>
        <w:rPr>
          <w:rFonts w:hint="eastAsia" w:ascii="宋体" w:hAnsi="宋体" w:cs="宋体"/>
          <w:b/>
          <w:color w:val="auto"/>
          <w:highlight w:val="none"/>
        </w:rPr>
        <w:t xml:space="preserve">履约保证金</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无</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九、合同的解除和转让</w:t>
      </w:r>
      <w:bookmarkEnd w:id="65"/>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18.合同的解除</w:t>
      </w:r>
      <w:r/>
    </w:p>
    <w:p>
      <w:pPr>
        <w:pStyle w:val="733"/>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18.1 有下列情形之一，合同一方可以解除合同：</w:t>
      </w:r>
      <w:r/>
    </w:p>
    <w:p>
      <w:pPr>
        <w:pStyle w:val="733"/>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18.1.1因不可抗力致使不能实现合同目的，未受不可抗力影响的一方有权解除合同；</w:t>
      </w:r>
      <w:r/>
    </w:p>
    <w:p>
      <w:pPr>
        <w:pStyle w:val="733"/>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18.1.2合同期间，因合同一方违约并无法获得守约方认可，守约方有权解除合同、违约 方则退回已收款项并需承担本合同总价款30%作为违约金，并按本合同第六条承担各项违约 责任；</w:t>
      </w:r>
      <w:r/>
    </w:p>
    <w:p>
      <w:pPr>
        <w:pStyle w:val="733"/>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18.2有权解除合同的一方，可在违约事实或不可抗力发生之后三天内书面通知对方以主 张解除合同，合同在书面通知寄往对方时即告解除。</w:t>
      </w:r>
      <w:r/>
    </w:p>
    <w:p>
      <w:pPr>
        <w:pStyle w:val="733"/>
        <w:jc w:val="both"/>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18.3本合同当事人联系信息以国家企业信用信息公示系统等查询备注地址为准，适用于 双方往来联系、书面文件送达及争议解决时法律文书(含裁判文书)送达。</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19.合同的转让</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合同的部分和全部都不得转让。</w:t>
      </w:r>
      <w:r/>
    </w:p>
    <w:p>
      <w:pPr>
        <w:spacing w:line="360" w:lineRule="auto"/>
        <w:rPr>
          <w:rFonts w:hint="eastAsia" w:ascii="宋体" w:hAnsi="宋体" w:cs="宋体"/>
          <w:b/>
          <w:color w:val="auto"/>
          <w:highlight w:val="none"/>
        </w:rPr>
      </w:pPr>
      <w:r/>
      <w:bookmarkStart w:id="66" w:name="_Toc13543222"/>
      <w:r>
        <w:rPr>
          <w:rFonts w:hint="eastAsia" w:ascii="宋体" w:hAnsi="宋体" w:cs="宋体"/>
          <w:b/>
          <w:color w:val="auto"/>
          <w:highlight w:val="none"/>
        </w:rPr>
        <w:t xml:space="preserve">十、合同的生效</w:t>
      </w:r>
      <w:bookmarkEnd w:id="66"/>
      <w:r/>
      <w:r/>
    </w:p>
    <w:p>
      <w:pPr>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20</w:t>
      </w:r>
      <w:r>
        <w:rPr>
          <w:rFonts w:hint="eastAsia" w:ascii="宋体" w:hAnsi="宋体" w:cs="宋体"/>
          <w:b/>
          <w:color w:val="auto"/>
          <w:highlight w:val="none"/>
        </w:rPr>
        <w:t xml:space="preserve">.合同的生效</w:t>
      </w:r>
      <w:r/>
    </w:p>
    <w:p>
      <w:pPr>
        <w:ind w:firstLine="420"/>
        <w:spacing w:line="360" w:lineRule="auto"/>
        <w:rPr>
          <w:rFonts w:hint="eastAsia" w:ascii="宋体" w:hAnsi="宋体" w:cs="宋体"/>
          <w:color w:val="auto"/>
          <w:highlight w:val="none"/>
        </w:rPr>
      </w:pPr>
      <w:r/>
      <w:bookmarkStart w:id="67" w:name="_Toc13543223"/>
      <w:r>
        <w:rPr>
          <w:rFonts w:hint="eastAsia" w:ascii="宋体" w:hAnsi="宋体" w:cs="宋体"/>
          <w:color w:val="auto"/>
          <w:highlight w:val="none"/>
          <w:lang w:val="zh-CN"/>
        </w:rPr>
        <w:t xml:space="preserve">本合同经甲乙双方法定代表人或其委托代理人签字并加盖公章（或合同章）后生效</w:t>
      </w:r>
      <w:r>
        <w:rPr>
          <w:rFonts w:hint="eastAsia" w:ascii="宋体" w:hAnsi="宋体" w:cs="宋体"/>
          <w:color w:val="auto"/>
          <w:highlight w:val="none"/>
        </w:rPr>
        <w:t xml:space="preserve">。</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十一、争议解决</w:t>
      </w:r>
      <w:bookmarkEnd w:id="67"/>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21.争议解决</w:t>
      </w:r>
      <w:r/>
    </w:p>
    <w:p>
      <w:pPr>
        <w:pStyle w:val="73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甲乙双方因合同发生争议，应在招标代理机构的主持下进行调解，协商不成，任何一方可以向甲方所在地人民法院起诉。</w:t>
      </w:r>
      <w:r/>
    </w:p>
    <w:p>
      <w:pPr>
        <w:spacing w:line="360" w:lineRule="auto"/>
        <w:rPr>
          <w:rFonts w:hint="eastAsia" w:ascii="宋体" w:hAnsi="宋体" w:cs="宋体"/>
          <w:b/>
          <w:color w:val="auto"/>
          <w:highlight w:val="none"/>
        </w:rPr>
      </w:pPr>
      <w:r/>
      <w:bookmarkStart w:id="68" w:name="_Toc13543224"/>
      <w:r>
        <w:rPr>
          <w:rFonts w:hint="eastAsia" w:ascii="宋体" w:hAnsi="宋体" w:cs="宋体"/>
          <w:b/>
          <w:color w:val="auto"/>
          <w:highlight w:val="none"/>
        </w:rPr>
        <w:t xml:space="preserve">十二、附则</w:t>
      </w:r>
      <w:bookmarkEnd w:id="68"/>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22.合同份数</w:t>
      </w:r>
      <w:r/>
    </w:p>
    <w:p>
      <w:pPr>
        <w:spacing w:line="360" w:lineRule="auto"/>
        <w:rPr>
          <w:rFonts w:hint="eastAsia" w:ascii="宋体" w:hAnsi="宋体" w:cs="宋体"/>
          <w:b/>
          <w:color w:val="auto"/>
          <w:sz w:val="44"/>
          <w:highlight w:val="none"/>
        </w:rPr>
      </w:pPr>
      <w:r>
        <w:rPr>
          <w:rFonts w:hint="eastAsia" w:ascii="宋体" w:hAnsi="宋体" w:cs="宋体"/>
          <w:color w:val="auto"/>
          <w:highlight w:val="none"/>
        </w:rPr>
        <w:t xml:space="preserve"> </w:t>
      </w:r>
      <w:r>
        <w:rPr>
          <w:rFonts w:hint="eastAsia" w:ascii="宋体" w:hAnsi="宋体" w:cs="宋体"/>
          <w:color w:val="auto"/>
          <w:highlight w:val="none"/>
        </w:rPr>
        <w:tab/>
      </w:r>
      <w:r>
        <w:rPr>
          <w:rFonts w:hint="eastAsia" w:ascii="宋体" w:hAnsi="宋体" w:cs="宋体"/>
          <w:color w:val="auto"/>
          <w:szCs w:val="21"/>
          <w:highlight w:val="none"/>
        </w:rPr>
        <w:t xml:space="preserve">本合同一式伍份，甲方叁份、乙方及招标代理机构各执壹份，具备同等法律效力</w:t>
      </w:r>
      <w:r>
        <w:rPr>
          <w:rFonts w:hint="eastAsia" w:ascii="宋体" w:hAnsi="宋体" w:cs="宋体"/>
          <w:color w:val="auto"/>
          <w:highlight w:val="none"/>
        </w:rPr>
        <w:t xml:space="preserve">。</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23.未尽事宜</w:t>
      </w:r>
      <w:r/>
    </w:p>
    <w:p>
      <w:pPr>
        <w:pStyle w:val="739"/>
        <w:rPr>
          <w:rFonts w:hint="eastAsia" w:ascii="宋体" w:hAnsi="宋体" w:eastAsia="宋体"/>
          <w:b/>
          <w:bCs/>
          <w:color w:val="auto"/>
          <w:sz w:val="21"/>
          <w:szCs w:val="21"/>
          <w:highlight w:val="none"/>
          <w:lang w:eastAsia="zh-CN"/>
        </w:rPr>
      </w:pPr>
      <w:r>
        <w:rPr>
          <w:rFonts w:hint="eastAsia" w:ascii="宋体" w:hAnsi="宋体" w:cs="宋体"/>
          <w:color w:val="auto"/>
          <w:sz w:val="21"/>
          <w:highlight w:val="none"/>
        </w:rPr>
        <w:t xml:space="preserve">本合同未尽事宜应按《中华人民共和国</w:t>
      </w:r>
      <w:r>
        <w:rPr>
          <w:rFonts w:hint="eastAsia" w:ascii="宋体" w:hAnsi="宋体" w:cs="宋体"/>
          <w:color w:val="auto"/>
          <w:sz w:val="21"/>
          <w:highlight w:val="none"/>
          <w:lang w:val="en-US" w:eastAsia="zh-CN"/>
        </w:rPr>
        <w:t xml:space="preserve">民法典</w:t>
      </w:r>
      <w:r>
        <w:rPr>
          <w:rFonts w:hint="eastAsia" w:ascii="宋体" w:hAnsi="宋体" w:cs="宋体"/>
          <w:color w:val="auto"/>
          <w:sz w:val="21"/>
          <w:highlight w:val="none"/>
        </w:rPr>
        <w:t xml:space="preserve">》、《中华人民共和国产品质量法》、《中华人民共和国政府采</w:t>
      </w:r>
      <w:r>
        <w:rPr>
          <w:rFonts w:hint="eastAsia" w:ascii="宋体" w:hAnsi="宋体" w:cs="宋体"/>
          <w:color w:val="auto"/>
          <w:sz w:val="21"/>
          <w:szCs w:val="21"/>
          <w:highlight w:val="none"/>
        </w:rPr>
        <w:t xml:space="preserve">购法》及其他有关政府采购的法律法规之规定解释</w:t>
      </w:r>
      <w:r>
        <w:rPr>
          <w:rFonts w:hint="eastAsia" w:ascii="宋体" w:hAnsi="宋体" w:cs="宋体"/>
          <w:color w:val="auto"/>
          <w:sz w:val="21"/>
          <w:szCs w:val="21"/>
          <w:highlight w:val="none"/>
          <w:lang w:eastAsia="zh-CN"/>
        </w:rPr>
        <w:t xml:space="preserve">。</w:t>
      </w:r>
      <w:r/>
    </w:p>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880"/>
        <w:jc w:val="center"/>
        <w:spacing w:line="360" w:lineRule="auto"/>
        <w:rPr>
          <w:rFonts w:ascii="宋体" w:hAnsi="宋体"/>
          <w:b/>
          <w:color w:val="auto"/>
          <w:sz w:val="44"/>
          <w:highlight w:val="none"/>
        </w:rPr>
      </w:pPr>
      <w:r>
        <w:rPr>
          <w:rFonts w:ascii="宋体" w:hAnsi="宋体"/>
          <w:b/>
          <w:color w:val="auto"/>
          <w:sz w:val="44"/>
          <w:highlight w:val="none"/>
        </w:rPr>
      </w:r>
      <w:r/>
    </w:p>
    <w:p>
      <w:pPr>
        <w:ind w:firstLine="883"/>
        <w:jc w:val="center"/>
        <w:spacing w:line="360" w:lineRule="auto"/>
        <w:rPr>
          <w:rFonts w:ascii="宋体" w:hAnsi="宋体"/>
          <w:color w:val="auto"/>
          <w:sz w:val="44"/>
          <w:highlight w:val="none"/>
        </w:rPr>
      </w:pPr>
      <w:r>
        <w:rPr>
          <w:rFonts w:hint="eastAsia" w:ascii="宋体" w:hAnsi="宋体"/>
          <w:b/>
          <w:color w:val="auto"/>
          <w:sz w:val="44"/>
          <w:highlight w:val="none"/>
        </w:rPr>
        <w:t xml:space="preserve">第六章合同特殊条款</w:t>
      </w:r>
      <w:bookmarkEnd w:id="56"/>
      <w:r/>
      <w:bookmarkEnd w:id="57"/>
      <w:r/>
      <w:r/>
    </w:p>
    <w:p>
      <w:pPr>
        <w:spacing w:line="360" w:lineRule="auto"/>
        <w:tabs>
          <w:tab w:val="left" w:pos="517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  方（采购单位）：</w:t>
      </w:r>
      <w:r>
        <w:rPr>
          <w:rFonts w:hint="eastAsia" w:ascii="宋体" w:hAnsi="宋体" w:cs="宋体"/>
          <w:color w:val="auto"/>
          <w:szCs w:val="21"/>
          <w:highlight w:val="none"/>
        </w:rPr>
        <w:tab/>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              联系电话：</w:t>
      </w:r>
      <w:r/>
    </w:p>
    <w:p>
      <w:pPr>
        <w:spacing w:line="360" w:lineRule="auto"/>
        <w:tabs>
          <w:tab w:val="left" w:pos="517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  方（中标单位）： </w:t>
      </w:r>
      <w:r/>
    </w:p>
    <w:p>
      <w:pPr>
        <w:ind w:firstLine="2310"/>
        <w:spacing w:line="360" w:lineRule="auto"/>
        <w:tabs>
          <w:tab w:val="left" w:pos="5175"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联系人：              联系电话：</w:t>
      </w:r>
      <w:r/>
    </w:p>
    <w:p>
      <w:pPr>
        <w:ind w:right="31" w:firstLine="420"/>
        <w:jc w:val="left"/>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根据《中华人民共和国政府采购法》、《中华人民共和国民法典》等相关法律法规的规定、苏州市创杰招投标咨询服务有限公司采购编号</w:t>
      </w:r>
      <w:r>
        <w:rPr>
          <w:rFonts w:hint="eastAsia" w:ascii="宋体" w:hAnsi="宋体" w:cs="宋体"/>
          <w:b/>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号公开招标文件及乙方的投标文件和中标通知书,甲乙双方就此次中标的</w:t>
      </w:r>
      <w:r>
        <w:rPr>
          <w:rFonts w:hint="eastAsia" w:ascii="宋体" w:hAnsi="宋体" w:cs="宋体"/>
          <w:bCs/>
          <w:color w:val="auto"/>
          <w:szCs w:val="21"/>
          <w:highlight w:val="none"/>
          <w:u w:val="single"/>
        </w:rPr>
        <w:t xml:space="preserve">    项目</w:t>
      </w:r>
      <w:r>
        <w:rPr>
          <w:rFonts w:hint="eastAsia" w:ascii="宋体" w:hAnsi="宋体" w:cs="宋体"/>
          <w:color w:val="auto"/>
          <w:szCs w:val="21"/>
          <w:highlight w:val="none"/>
        </w:rPr>
        <w:t xml:space="preserve">的购销事宜</w:t>
      </w:r>
      <w:r>
        <w:rPr>
          <w:rFonts w:hint="eastAsia" w:ascii="宋体" w:hAnsi="宋体" w:cs="宋体"/>
          <w:color w:val="auto"/>
          <w:spacing w:val="-20"/>
          <w:szCs w:val="21"/>
          <w:highlight w:val="none"/>
        </w:rPr>
        <w:t xml:space="preserve">，</w:t>
      </w:r>
      <w:r>
        <w:rPr>
          <w:rFonts w:hint="eastAsia" w:ascii="宋体" w:hAnsi="宋体" w:cs="宋体"/>
          <w:color w:val="auto"/>
          <w:szCs w:val="21"/>
          <w:highlight w:val="none"/>
        </w:rPr>
        <w:t xml:space="preserve">签订本合同书</w:t>
      </w:r>
      <w:r>
        <w:rPr>
          <w:rFonts w:hint="eastAsia" w:ascii="宋体" w:hAnsi="宋体" w:cs="宋体"/>
          <w:color w:val="auto"/>
          <w:spacing w:val="-20"/>
          <w:szCs w:val="21"/>
          <w:highlight w:val="none"/>
        </w:rPr>
        <w:t xml:space="preserve">。</w:t>
      </w:r>
      <w:r/>
    </w:p>
    <w:p>
      <w:pPr>
        <w:numPr>
          <w:ilvl w:val="0"/>
          <w:numId w:val="6"/>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合同内容：</w:t>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规格、型号</w:t>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1111"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单价</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（元）</w:t>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总价</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（元）</w:t>
            </w:r>
            <w:r/>
          </w:p>
        </w:tc>
      </w:tr>
      <w:tr>
        <w:trP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26"/>
        </w:trPr>
        <w:tc>
          <w:tcPr>
            <w:gridSpan w:val="8"/>
            <w:tcW w:w="8600" w:type="dxa"/>
            <w:vAlign w:val="center"/>
            <w:textDirection w:val="lrTb"/>
            <w:noWrap w:val="false"/>
          </w:tcPr>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合计金额（含税）：</w:t>
            </w:r>
            <w:r/>
          </w:p>
        </w:tc>
      </w:tr>
    </w:tbl>
    <w:p>
      <w:pPr>
        <w:pStyle w:val="767"/>
        <w:ind w:firstLine="420"/>
        <w:rPr>
          <w:rFonts w:hint="eastAsia" w:hAnsi="宋体" w:cs="宋体"/>
          <w:color w:val="auto"/>
          <w:highlight w:val="none"/>
        </w:rPr>
      </w:pPr>
      <w:r>
        <w:rPr>
          <w:rFonts w:hint="eastAsia" w:hAnsi="宋体" w:cs="宋体"/>
          <w:color w:val="auto"/>
          <w:highlight w:val="none"/>
        </w:rPr>
      </w:r>
      <w:r/>
    </w:p>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742"/>
        <w:ind w:firstLine="502"/>
        <w:keepLines w:val="0"/>
        <w:keepNext w:val="0"/>
        <w:pageBreakBefore w:val="0"/>
        <w:spacing w:line="360" w:lineRule="auto"/>
        <w:widowControl w:val="off"/>
        <w:rPr>
          <w:rFonts w:hint="eastAsia" w:eastAsia="宋体" w:cs="宋体"/>
          <w:bCs/>
          <w:color w:val="auto"/>
          <w:sz w:val="21"/>
          <w:szCs w:val="24"/>
          <w:highlight w:val="none"/>
        </w:rPr>
      </w:pPr>
      <w:r>
        <w:rPr>
          <w:rFonts w:hint="eastAsia" w:eastAsia="宋体" w:cs="宋体"/>
          <w:bCs/>
          <w:color w:val="auto"/>
          <w:sz w:val="21"/>
          <w:szCs w:val="24"/>
          <w:highlight w:val="none"/>
        </w:rPr>
        <w:t xml:space="preserve">①招投标文件及中标通知书；</w:t>
      </w:r>
      <w:r/>
    </w:p>
    <w:p>
      <w:pPr>
        <w:pStyle w:val="742"/>
        <w:ind w:firstLine="502"/>
        <w:keepLines w:val="0"/>
        <w:keepNext w:val="0"/>
        <w:pageBreakBefore w:val="0"/>
        <w:spacing w:line="360" w:lineRule="auto"/>
        <w:widowControl w:val="off"/>
        <w:rPr>
          <w:rFonts w:hint="eastAsia" w:eastAsia="宋体" w:cs="宋体"/>
          <w:bCs/>
          <w:color w:val="auto"/>
          <w:sz w:val="21"/>
          <w:szCs w:val="24"/>
          <w:highlight w:val="none"/>
        </w:rPr>
      </w:pPr>
      <w:r>
        <w:rPr>
          <w:rFonts w:hint="eastAsia" w:eastAsia="宋体" w:cs="宋体"/>
          <w:bCs/>
          <w:color w:val="auto"/>
          <w:sz w:val="21"/>
          <w:szCs w:val="24"/>
          <w:highlight w:val="none"/>
        </w:rPr>
        <w:t xml:space="preserve">②产品清单；</w:t>
      </w:r>
      <w:r/>
    </w:p>
    <w:p>
      <w:pPr>
        <w:pStyle w:val="742"/>
        <w:ind w:firstLine="502"/>
        <w:keepLines w:val="0"/>
        <w:keepNext w:val="0"/>
        <w:pageBreakBefore w:val="0"/>
        <w:spacing w:line="360" w:lineRule="auto"/>
        <w:widowControl w:val="off"/>
        <w:rPr>
          <w:rFonts w:hint="eastAsia" w:eastAsia="宋体" w:cs="宋体"/>
          <w:bCs/>
          <w:color w:val="auto"/>
          <w:sz w:val="21"/>
          <w:szCs w:val="24"/>
          <w:highlight w:val="none"/>
        </w:rPr>
      </w:pPr>
      <w:r>
        <w:rPr>
          <w:rFonts w:hint="eastAsia" w:eastAsia="宋体" w:cs="宋体"/>
          <w:bCs/>
          <w:color w:val="auto"/>
          <w:sz w:val="21"/>
          <w:szCs w:val="24"/>
          <w:highlight w:val="none"/>
        </w:rPr>
        <w:t xml:space="preserve">③合同其他附件。</w:t>
      </w:r>
      <w:r/>
    </w:p>
    <w:p>
      <w:pPr>
        <w:pStyle w:val="742"/>
        <w:keepLines w:val="0"/>
        <w:keepNext w:val="0"/>
        <w:pageBreakBefore w:val="0"/>
        <w:spacing w:line="360" w:lineRule="auto"/>
        <w:widowControl w:val="off"/>
        <w:rPr>
          <w:rFonts w:hint="eastAsia" w:eastAsia="宋体" w:cs="宋体"/>
          <w:b/>
          <w:color w:val="auto"/>
          <w:sz w:val="21"/>
          <w:szCs w:val="24"/>
          <w:highlight w:val="none"/>
        </w:rPr>
      </w:pPr>
      <w:r>
        <w:rPr>
          <w:rFonts w:hint="eastAsia" w:eastAsia="宋体" w:cs="宋体"/>
          <w:bCs/>
          <w:color w:val="auto"/>
          <w:sz w:val="21"/>
          <w:szCs w:val="24"/>
          <w:highlight w:val="none"/>
        </w:rPr>
        <w:t xml:space="preserve">三、</w:t>
      </w:r>
      <w:r>
        <w:rPr>
          <w:rFonts w:hint="eastAsia" w:eastAsia="宋体" w:cs="宋体"/>
          <w:b/>
          <w:color w:val="auto"/>
          <w:sz w:val="21"/>
          <w:szCs w:val="24"/>
          <w:highlight w:val="none"/>
        </w:rPr>
        <w:t xml:space="preserve">合同价格与支付：  </w:t>
      </w:r>
      <w:r/>
    </w:p>
    <w:p>
      <w:pPr>
        <w:ind w:firstLine="420"/>
        <w:keepLines w:val="0"/>
        <w:keepNext w:val="0"/>
        <w:pageBreakBefore w:val="0"/>
        <w:spacing w:line="360" w:lineRule="auto"/>
        <w:widowControl w:val="off"/>
        <w:tabs>
          <w:tab w:val="left" w:pos="630" w:leader="none"/>
        </w:tabs>
        <w:rPr>
          <w:rFonts w:hint="eastAsia" w:ascii="宋体" w:hAnsi="宋体" w:cs="宋体"/>
          <w:color w:val="auto"/>
          <w:highlight w:val="none"/>
        </w:rPr>
      </w:pPr>
      <w:r>
        <w:rPr>
          <w:rFonts w:hint="eastAsia" w:ascii="宋体" w:hAnsi="宋体" w:cs="宋体"/>
          <w:color w:val="auto"/>
          <w:highlight w:val="none"/>
        </w:rPr>
        <w:t xml:space="preserve">1.本合同价格为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2.本合同总价为（含税）：</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，合同总价</w:t>
      </w:r>
      <w:r>
        <w:rPr>
          <w:rFonts w:hint="eastAsia" w:ascii="宋体" w:hAnsi="宋体" w:cs="宋体"/>
          <w:color w:val="auto"/>
          <w:szCs w:val="21"/>
          <w:highlight w:val="none"/>
        </w:rPr>
        <w:t xml:space="preserve">包括全部</w:t>
      </w:r>
      <w:r>
        <w:rPr>
          <w:rFonts w:hint="eastAsia" w:ascii="宋体" w:hAnsi="宋体" w:cs="宋体"/>
          <w:color w:val="auto"/>
          <w:highlight w:val="none"/>
        </w:rPr>
        <w:t xml:space="preserve">产品供货、辅助材料、备品备件、运输、仓储、发货、送货、安装、</w:t>
      </w:r>
      <w:r>
        <w:rPr>
          <w:rFonts w:hint="eastAsia" w:ascii="宋体" w:hAnsi="宋体" w:cs="宋体"/>
          <w:color w:val="auto"/>
          <w:szCs w:val="21"/>
          <w:highlight w:val="none"/>
        </w:rPr>
        <w:t xml:space="preserve">医院平台各系统（如HIS系统、LIS系统等）的接口费用</w:t>
      </w:r>
      <w:r>
        <w:rPr>
          <w:rFonts w:hint="eastAsia" w:ascii="宋体" w:hAnsi="宋体" w:cs="宋体"/>
          <w:color w:val="auto"/>
          <w:highlight w:val="none"/>
        </w:rPr>
        <w:t xml:space="preserve">、调试、人工、机械、装卸、培训、保险、运费、</w:t>
      </w:r>
      <w:r>
        <w:rPr>
          <w:rFonts w:hint="eastAsia" w:ascii="宋体" w:hAnsi="宋体" w:cs="宋体"/>
          <w:color w:val="auto"/>
          <w:highlight w:val="none"/>
          <w:lang w:val="en-US" w:eastAsia="zh-CN"/>
        </w:rPr>
        <w:t xml:space="preserve">采购代理服务费、</w:t>
      </w:r>
      <w:r>
        <w:rPr>
          <w:rFonts w:hint="eastAsia" w:ascii="宋体" w:hAnsi="宋体" w:cs="宋体"/>
          <w:color w:val="auto"/>
          <w:highlight w:val="none"/>
        </w:rPr>
        <w:t xml:space="preserve">各种税费、劳保、专利技术及维保等完成本次项目所需的一切费用。 </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3.付款步骤：</w:t>
      </w:r>
      <w:r/>
    </w:p>
    <w:p>
      <w:pPr>
        <w:ind w:firstLine="420"/>
        <w:keepLines w:val="0"/>
        <w:keepNext w:val="0"/>
        <w:pageBreakBefore w:val="0"/>
        <w:spacing w:line="400" w:lineRule="exact"/>
        <w:widowControl w:val="off"/>
        <w:rPr>
          <w:rFonts w:hint="eastAsia"/>
          <w:color w:val="auto"/>
          <w:highlight w:val="none"/>
        </w:rPr>
      </w:pPr>
      <w:r>
        <w:rPr>
          <w:rFonts w:hint="eastAsia" w:hAnsi="宋体"/>
          <w:color w:val="auto"/>
          <w:szCs w:val="21"/>
          <w:highlight w:val="none"/>
        </w:rPr>
        <w:t xml:space="preserve">在采购合同签订生效后，待全部货物到达甲方指定地点，经验收合格，并向甲方提供下列单据后30个工作日内，由甲方向乙方按合同总价支付90%的货款，余款10%在验收合格满一年，无质量问题，由甲方在30个工作日内向乙方一次性付清。</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A、合格的发票</w:t>
      </w:r>
      <w:r/>
    </w:p>
    <w:p>
      <w:pPr>
        <w:ind w:firstLine="420"/>
        <w:keepLines w:val="0"/>
        <w:keepNext w:val="0"/>
        <w:pageBreakBefore w:val="0"/>
        <w:spacing w:line="360" w:lineRule="auto"/>
        <w:widowControl w:val="off"/>
        <w:tabs>
          <w:tab w:val="left" w:pos="630" w:leader="none"/>
        </w:tabs>
        <w:rPr>
          <w:rFonts w:hint="eastAsia" w:ascii="宋体" w:hAnsi="宋体" w:cs="宋体"/>
          <w:color w:val="auto"/>
          <w:highlight w:val="none"/>
        </w:rPr>
      </w:pPr>
      <w:r>
        <w:rPr>
          <w:rFonts w:hint="eastAsia" w:ascii="宋体" w:hAnsi="宋体" w:cs="宋体"/>
          <w:color w:val="auto"/>
          <w:highlight w:val="none"/>
        </w:rPr>
        <w:t xml:space="preserve">B、甲方签收后的送货回单</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C、由甲乙双方签章的《政府采购合同履行验收报告》</w:t>
      </w:r>
      <w:r/>
    </w:p>
    <w:p>
      <w:pPr>
        <w:ind w:right="-161"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4.付款方式：银行转账或其他甲方认可的方式。</w:t>
      </w:r>
      <w:r/>
    </w:p>
    <w:p>
      <w:pPr>
        <w:jc w:val="left"/>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四、交付时间、地点： </w:t>
      </w:r>
      <w:r/>
    </w:p>
    <w:p>
      <w:pPr>
        <w:ind w:left="99"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交货时间：合同签订后60日内送货到位并完成安装调试。</w:t>
      </w:r>
      <w:r/>
    </w:p>
    <w:p>
      <w:pPr>
        <w:ind w:left="99"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交货地点：甲方指定地点。</w:t>
      </w:r>
      <w:r/>
    </w:p>
    <w:p>
      <w:pPr>
        <w:ind w:left="99"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乙方须在交货时向甲方出具满足质保期要求的原厂质保证明文件，否则甲方有权终止合同并由乙方承担因此带来的一切损失。</w:t>
      </w:r>
      <w:r/>
    </w:p>
    <w:p>
      <w:pPr>
        <w:jc w:val="left"/>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五、质量及验收</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highlight w:val="none"/>
        </w:rPr>
        <w:t xml:space="preserve"> </w:t>
      </w: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乙方应按照招标文件的有关规定提供合格标的物；</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产品质量出现问题或使用过程中出现故障等，乙方负责及时包修、包退、包换或全新替代设备、确保甲方正常运营，费用均由乙方承担；</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产品的验收包括：数量、外观、质量、性能、质保单、品牌标志、包装和乙方承诺 的其它指标；验收后使用阶段，甲方仍有权按本合同(一)合同一般条款中第二条及第四条等约定主张各项权利；</w:t>
      </w:r>
      <w:r/>
    </w:p>
    <w:p>
      <w:pPr>
        <w:ind w:firstLine="420"/>
        <w:jc w:val="left"/>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验收标准：</w:t>
      </w:r>
      <w:r>
        <w:rPr>
          <w:rFonts w:hint="eastAsia" w:ascii="宋体" w:hAnsi="宋体" w:cs="宋体"/>
          <w:color w:val="auto"/>
          <w:szCs w:val="21"/>
          <w:highlight w:val="none"/>
        </w:rPr>
        <w:t xml:space="preserve">根据政府采购合同要求、招标文件要求、投标文件、承诺及有关行业规定</w:t>
      </w:r>
      <w:r>
        <w:rPr>
          <w:rFonts w:hint="eastAsia" w:ascii="宋体" w:hAnsi="宋体" w:cs="宋体"/>
          <w:bCs/>
          <w:color w:val="auto"/>
          <w:szCs w:val="21"/>
          <w:highlight w:val="none"/>
        </w:rPr>
        <w:t xml:space="preserve">并按国家最新行业标准确保甲方验收通过，具体按照《江苏省政府采购履约验收管理办法》执行。</w:t>
      </w:r>
      <w:r/>
    </w:p>
    <w:p>
      <w:pPr>
        <w:ind w:firstLine="420"/>
        <w:keepLines w:val="0"/>
        <w:keepNext w:val="0"/>
        <w:pageBreakBefore w:val="0"/>
        <w:spacing w:line="360" w:lineRule="auto"/>
        <w:widowControl w:val="off"/>
        <w:rPr>
          <w:rFonts w:ascii="宋体" w:hAnsi="宋体" w:cs="宋体"/>
          <w:bCs/>
          <w:color w:val="auto"/>
          <w:highlight w:val="non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val="en-US" w:eastAsia="zh-CN"/>
        </w:rPr>
        <w:t xml:space="preserve">.</w:t>
      </w:r>
      <w:r>
        <w:rPr>
          <w:rFonts w:hint="eastAsia" w:ascii="宋体" w:hAnsi="宋体" w:cs="宋体"/>
          <w:bCs/>
          <w:color w:val="auto"/>
          <w:szCs w:val="21"/>
          <w:highlight w:val="none"/>
        </w:rPr>
        <w:t xml:space="preserve">乙方交付验收时应先用书面方式通告甲方</w:t>
      </w:r>
      <w:r>
        <w:rPr>
          <w:rFonts w:hint="eastAsia" w:ascii="宋体" w:hAnsi="宋体" w:cs="宋体"/>
          <w:bCs/>
          <w:color w:val="auto"/>
          <w:highlight w:val="none"/>
        </w:rPr>
        <w:t xml:space="preserve">。</w:t>
      </w:r>
      <w:r/>
    </w:p>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六、售后服务及其他要求：</w:t>
      </w:r>
      <w:r/>
    </w:p>
    <w:p>
      <w:pPr>
        <w:ind w:firstLine="420"/>
        <w:keepLines w:val="0"/>
        <w:keepNext w:val="0"/>
        <w:pageBreakBefore w:val="0"/>
        <w:spacing w:line="360" w:lineRule="auto"/>
        <w:widowControl w:val="off"/>
        <w:tabs>
          <w:tab w:val="left" w:pos="630" w:leader="none"/>
        </w:tabs>
        <w:rPr>
          <w:rFonts w:hint="eastAsia" w:ascii="宋体" w:hAnsi="宋体" w:cs="宋体"/>
          <w:color w:val="auto"/>
          <w:highlight w:val="none"/>
        </w:rPr>
      </w:pPr>
      <w:r>
        <w:rPr>
          <w:rFonts w:hint="eastAsia" w:ascii="宋体" w:hAnsi="宋体" w:cs="宋体"/>
          <w:color w:val="auto"/>
          <w:szCs w:val="21"/>
          <w:highlight w:val="none"/>
        </w:rPr>
        <w:t xml:space="preserve">（一）具体按招标文件售后服务条款。</w:t>
      </w:r>
      <w:r/>
    </w:p>
    <w:p>
      <w:pPr>
        <w:ind w:firstLine="420"/>
        <w:keepLines w:val="0"/>
        <w:keepNext w:val="0"/>
        <w:pageBreakBefore w:val="0"/>
        <w:spacing w:line="360" w:lineRule="auto"/>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（二）其他要求按乙方投标文件承诺的条款执行。</w:t>
      </w:r>
      <w:r/>
    </w:p>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七、违约责任：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合同一方不履行合同任一义务或者履行合同义务不完全符合任一约定的，应当主动承担继续履行、采取补救措施及赔偿损失等违约责任，但守约方有权要求违约方承担违约金。</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若实际损失超过违约金的应按照实际损失承担赔偿责任，损失赔偿范围包括但不限于守约方的直接损失、间接损失及维权支出的各项费用(诉讼费、律师费、鉴定费、保全费等)。</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w:t>
      </w:r>
      <w:r>
        <w:rPr>
          <w:rFonts w:hint="eastAsia" w:ascii="宋体" w:hAnsi="宋体" w:eastAsia="宋体" w:cs="宋体"/>
          <w:color w:val="auto"/>
          <w:sz w:val="21"/>
          <w:highlight w:val="none"/>
        </w:rPr>
        <w:t xml:space="preserve">甲方违约责任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在合同生效后，甲方无正当理由要求退货的，应向乙方偿付合同总价款5%的违约金，违约金不足以补偿损失的，乙方有权要求甲方补足。</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甲方无故逾期付款的应按照逾期付款金额的每天万分之四支付逾期付款违约金。</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甲方违反合同规定，拒绝接收乙方交付的合格标的物，应当承担乙方由此造成的损失。</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（二）乙方违约责任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w:t>
      </w:r>
      <w:r>
        <w:rPr>
          <w:rFonts w:hint="eastAsia" w:ascii="宋体" w:hAnsi="宋体" w:eastAsia="宋体" w:cs="宋体"/>
          <w:color w:val="auto"/>
          <w:sz w:val="21"/>
          <w:highlight w:val="none"/>
        </w:rPr>
        <w:t xml:space="preserve">乙方有下列行为之一的，甲方有权解除合同，要求乙方返还甲方所支付的任何款项并支付合同总价款20%的违约金，违约金不足以补偿实际损失的，甲方有权要求乙方补足：</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1)不能交货。乙方交货、安装、检验逾期超过15日(自然日)的，视为不能交货；</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2)交付的标的物不符合投标文件及合同约定；</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3)因可归责于乙方的情形导致标的物不能正常使用，致使甲方合同目的无法实现；</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4)其他合同约定的违约行为，致使甲方合同目的无法实现。</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w:t>
      </w:r>
      <w:r>
        <w:rPr>
          <w:rFonts w:hint="eastAsia" w:ascii="宋体" w:hAnsi="宋体" w:eastAsia="宋体" w:cs="宋体"/>
          <w:color w:val="auto"/>
          <w:sz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八、不可抗力</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1.因不可抗力不能履行合同的，根据不可抗力的影响，部分或者全部免除责任。但合同一方迟延履行后发生不可抗力的，不能免除责任。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2.合同一方因不可抗力不能履行合同的，应当及时通知对方，以减轻可能给对方造成的损失，并应当在合理期限内提供证明。</w:t>
      </w:r>
      <w:r/>
    </w:p>
    <w:p>
      <w:pPr>
        <w:jc w:val="left"/>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九、合同的解除和转让</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w:t>
      </w:r>
      <w:r>
        <w:rPr>
          <w:rFonts w:hint="eastAsia" w:ascii="宋体" w:hAnsi="宋体" w:eastAsia="宋体" w:cs="宋体"/>
          <w:color w:val="auto"/>
          <w:sz w:val="21"/>
          <w:highlight w:val="none"/>
        </w:rPr>
        <w:t xml:space="preserve">合同的解除</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1.1有下列情形之一，合同一方可以解除合同：</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1.1.1因不可抗力致使不能实现合同目的，未受不可抗力影响的一方有权解除合同；</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1.1.2合同期间，因合同一方违约并无法获得守约方认可，守约方有权解除合同、违约方则退回已收款项并需承担本合同总价款30%作为违约金，并按本合同第六条承担各项违约 责任；</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1.2有权解除合同的一方，可在违约事实或不可抗力发生之后三天内书面通知对方以主张解除合同，合同在书面通知寄往对方时即告解除。</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1.3本合同当事人联系信息以国家企业信用信息公示系统等查询备注地址为准，适用于双方往来联系、书面文件送达及争议解决时法律文书(含裁判文书)送达。</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w:t>
      </w:r>
      <w:r>
        <w:rPr>
          <w:rFonts w:hint="eastAsia" w:ascii="宋体" w:hAnsi="宋体" w:eastAsia="宋体" w:cs="宋体"/>
          <w:color w:val="auto"/>
          <w:sz w:val="21"/>
          <w:highlight w:val="none"/>
        </w:rPr>
        <w:t xml:space="preserve">合同的转让</w:t>
      </w:r>
      <w:r/>
    </w:p>
    <w:p>
      <w:pPr>
        <w:pStyle w:val="733"/>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合同的部分和全部都不得转让。</w:t>
      </w:r>
      <w:r/>
    </w:p>
    <w:p>
      <w:pPr>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十、索赔：</w:t>
      </w:r>
      <w:r/>
    </w:p>
    <w:p>
      <w:pPr>
        <w:ind w:firstLine="420"/>
        <w:keepLines w:val="0"/>
        <w:keepNext w:val="0"/>
        <w:pageBreakBefore w:val="0"/>
        <w:spacing w:line="360" w:lineRule="auto"/>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甲方有权根据甲方所出具的验收证明、第三方质量检验机构或其他专业机构、组织、部门出具的检验证书向乙方提出索赔。</w:t>
      </w:r>
      <w:r/>
    </w:p>
    <w:p>
      <w:pPr>
        <w:ind w:firstLine="420"/>
        <w:keepLines w:val="0"/>
        <w:keepNext w:val="0"/>
        <w:pageBreakBefore w:val="0"/>
        <w:spacing w:line="360" w:lineRule="auto"/>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在本合同规定的检验期和质量保证期内，乙方同意甲方有权按下列一种或多种方式合并解决索赔事宜：</w:t>
      </w:r>
      <w:r/>
    </w:p>
    <w:p>
      <w:pPr>
        <w:ind w:firstLine="420"/>
        <w:keepLines w:val="0"/>
        <w:keepNext w:val="0"/>
        <w:pageBreakBefore w:val="0"/>
        <w:spacing w:line="360" w:lineRule="auto"/>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20"/>
        <w:keepLines w:val="0"/>
        <w:keepNext w:val="0"/>
        <w:pageBreakBefore w:val="0"/>
        <w:spacing w:line="360" w:lineRule="auto"/>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2.2根据标的物的低劣程度、损坏程度以及甲方遭受损失的数额，经双方协商确定降低标的物的价格。</w:t>
      </w:r>
      <w:r/>
    </w:p>
    <w:p>
      <w:pPr>
        <w:ind w:firstLine="420"/>
        <w:keepLines w:val="0"/>
        <w:keepNext w:val="0"/>
        <w:pageBreakBefore w:val="0"/>
        <w:spacing w:line="360" w:lineRule="auto"/>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keepLines w:val="0"/>
        <w:keepNext w:val="0"/>
        <w:pageBreakBefore w:val="0"/>
        <w:spacing w:line="360" w:lineRule="auto"/>
        <w:widowControl w:val="off"/>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bCs/>
          <w:color w:val="auto"/>
          <w:szCs w:val="28"/>
          <w:highlight w:val="none"/>
        </w:rPr>
        <w:t xml:space="preserve">一</w:t>
      </w:r>
      <w:r>
        <w:rPr>
          <w:rFonts w:hint="eastAsia" w:ascii="宋体" w:hAnsi="宋体" w:cs="宋体"/>
          <w:b/>
          <w:bCs/>
          <w:color w:val="auto"/>
          <w:szCs w:val="28"/>
          <w:highlight w:val="none"/>
          <w:lang w:val="zh-CN"/>
        </w:rPr>
        <w:t xml:space="preserve">、</w:t>
      </w:r>
      <w:r>
        <w:rPr>
          <w:rFonts w:hint="eastAsia" w:ascii="宋体" w:hAnsi="宋体" w:cs="宋体"/>
          <w:b/>
          <w:color w:val="auto"/>
          <w:highlight w:val="none"/>
        </w:rPr>
        <w:t xml:space="preserve">合同生效及其它</w:t>
      </w:r>
      <w:r/>
    </w:p>
    <w:p>
      <w:pPr>
        <w:ind w:firstLine="420"/>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 1</w:t>
      </w:r>
      <w:r>
        <w:rPr>
          <w:rFonts w:hint="eastAsia" w:ascii="宋体" w:hAnsi="宋体" w:cs="宋体"/>
          <w:color w:val="auto"/>
          <w:highlight w:val="none"/>
          <w:lang w:val="en-US" w:eastAsia="zh-CN"/>
        </w:rPr>
        <w:t xml:space="preserve">.</w:t>
      </w:r>
      <w:r>
        <w:rPr>
          <w:rFonts w:hint="eastAsia" w:ascii="宋体" w:hAnsi="宋体" w:cs="宋体"/>
          <w:color w:val="auto"/>
          <w:highlight w:val="none"/>
          <w:lang w:val="zh-CN"/>
        </w:rPr>
        <w:t xml:space="preserve">本合同经甲乙双方法定代表人或其委托代理人签字并加盖公章（或合同章）后生效。</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2</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numPr>
          <w:ilvl w:val="0"/>
          <w:numId w:val="0"/>
        </w:num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未尽事宜：本合同未尽事宜应按《中华人民共和国民法典》、《中华人民共和国政府采购法》以及其同相关法律、法规之规定解释。</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本合同一式伍份，甲方叁份、乙方及招标代理机构各执壹份，具备同等法律效力</w:t>
      </w:r>
      <w:r>
        <w:rPr>
          <w:rFonts w:hint="eastAsia" w:ascii="宋体" w:hAnsi="宋体" w:cs="宋体"/>
          <w:color w:val="auto"/>
          <w:highlight w:val="none"/>
        </w:rPr>
        <w:t xml:space="preserve">。</w:t>
      </w:r>
      <w:r/>
    </w:p>
    <w:p>
      <w:pPr>
        <w:spacing w:line="52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甲方（签章）：                                     乙方（签章）：                    </w:t>
      </w:r>
      <w:r/>
    </w:p>
    <w:p>
      <w:pP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甲方法定(授权)代表人签字：                          </w:t>
      </w:r>
      <w:r>
        <w:rPr>
          <w:color w:val="auto"/>
          <w:spacing w:val="-7"/>
          <w:szCs w:val="21"/>
          <w:highlight w:val="none"/>
        </w:rPr>
        <w:t xml:space="preserve">乙方法定代表人签字</w:t>
      </w:r>
      <w:r>
        <w:rPr>
          <w:rFonts w:hint="eastAsia" w:ascii="宋体" w:hAnsi="宋体" w:cs="宋体"/>
          <w:color w:val="auto"/>
          <w:szCs w:val="21"/>
          <w:highlight w:val="none"/>
        </w:rPr>
        <w:t xml:space="preserve">：   </w:t>
      </w:r>
      <w:r/>
    </w:p>
    <w:p>
      <w:pPr>
        <w:ind w:firstLine="5600"/>
        <w:spacing w:line="520" w:lineRule="exact"/>
        <w:rPr>
          <w:rFonts w:hint="eastAsia" w:ascii="宋体" w:hAnsi="宋体" w:cs="宋体"/>
          <w:color w:val="auto"/>
          <w:szCs w:val="21"/>
          <w:highlight w:val="none"/>
        </w:rPr>
      </w:pPr>
      <w:r>
        <w:rPr>
          <w:color w:val="auto"/>
          <w:spacing w:val="-5"/>
          <w:szCs w:val="21"/>
          <w:highlight w:val="none"/>
        </w:rPr>
        <w:t xml:space="preserve">乙方授权代表人签字</w:t>
      </w:r>
      <w:r>
        <w:rPr>
          <w:rFonts w:hint="eastAsia"/>
          <w:color w:val="auto"/>
          <w:spacing w:val="-5"/>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签约日期：   年   月    日                             签约日期：   年   月    日</w:t>
      </w:r>
      <w:r/>
    </w:p>
    <w:p>
      <w:pPr>
        <w:pStyle w:val="746"/>
        <w:ind w:firstLine="522"/>
        <w:spacing w:line="360" w:lineRule="auto"/>
        <w:rPr>
          <w:color w:val="auto"/>
          <w:highlight w:val="none"/>
        </w:rPr>
      </w:pPr>
      <w:r>
        <w:rPr>
          <w:color w:val="auto"/>
          <w:highlight w:val="none"/>
        </w:rPr>
      </w:r>
      <w:r/>
    </w:p>
    <w:p>
      <w:pPr>
        <w:pStyle w:val="748"/>
        <w:ind w:firstLine="640"/>
        <w:jc w:val="center"/>
        <w:pageBreakBefore/>
        <w:spacing w:line="360" w:lineRule="auto"/>
        <w:tabs>
          <w:tab w:val="right" w:pos="8302" w:leader="dot"/>
        </w:tabs>
        <w:rPr>
          <w:rFonts w:ascii="宋体" w:hAnsi="宋体" w:eastAsia="宋体" w:cs="宋体"/>
          <w:b/>
          <w:color w:val="auto"/>
          <w:sz w:val="32"/>
          <w:szCs w:val="32"/>
          <w:highlight w:val="none"/>
        </w:rPr>
      </w:pPr>
      <w:r>
        <w:rPr>
          <w:rStyle w:val="758"/>
          <w:rFonts w:hint="eastAsia" w:ascii="宋体" w:hAnsi="宋体" w:cs="宋体"/>
          <w:color w:val="auto"/>
          <w:sz w:val="32"/>
          <w:szCs w:val="32"/>
          <w:highlight w:val="none"/>
        </w:rPr>
        <w:t xml:space="preserve">第七章  评标办法及评分标准</w:t>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color w:val="auto"/>
          <w:highlight w:val="none"/>
        </w:rPr>
      </w:pPr>
      <w:r>
        <w:rPr>
          <w:rFonts w:hint="eastAsia" w:ascii="宋体" w:hAnsi="宋体" w:cs="宋体"/>
          <w:color w:val="auto"/>
          <w:szCs w:val="21"/>
          <w:highlight w:val="none"/>
        </w:rPr>
        <w:t xml:space="preserve">5.</w:t>
      </w:r>
      <w:r>
        <w:rPr>
          <w:rFonts w:hint="eastAsia" w:ascii="宋体" w:hAnsi="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b/>
          <w:color w:val="auto"/>
          <w:szCs w:val="21"/>
          <w:highlight w:val="none"/>
          <w:lang w:val="zh-CN"/>
        </w:rPr>
        <w:t xml:space="preserve">二、评分标准：</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lang w:val="zh-CN"/>
        </w:rPr>
        <w:t xml:space="preserve">（一）价格分：最高为30分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第一步：投标总报价低于或等于采购</w:t>
      </w:r>
      <w:r>
        <w:rPr>
          <w:rFonts w:hint="eastAsia" w:ascii="宋体" w:hAnsi="宋体" w:cs="宋体"/>
          <w:color w:val="auto"/>
          <w:szCs w:val="21"/>
          <w:highlight w:val="none"/>
          <w:lang w:val="en-US" w:eastAsia="zh-CN"/>
        </w:rPr>
        <w:t xml:space="preserve">限价</w:t>
      </w:r>
      <w:r>
        <w:rPr>
          <w:rFonts w:hint="eastAsia" w:ascii="宋体" w:hAnsi="宋体" w:cs="宋体"/>
          <w:color w:val="auto"/>
          <w:szCs w:val="21"/>
          <w:highlight w:val="none"/>
          <w:lang w:val="zh-CN"/>
        </w:rPr>
        <w:t xml:space="preserve">价格的，为有效投标报价。超采购</w:t>
      </w:r>
      <w:r>
        <w:rPr>
          <w:rFonts w:hint="eastAsia" w:ascii="宋体" w:hAnsi="宋体" w:cs="宋体"/>
          <w:color w:val="auto"/>
          <w:szCs w:val="21"/>
          <w:highlight w:val="none"/>
          <w:lang w:val="en-US" w:eastAsia="zh-CN"/>
        </w:rPr>
        <w:t xml:space="preserve">限价</w:t>
      </w:r>
      <w:r>
        <w:rPr>
          <w:rFonts w:hint="eastAsia" w:ascii="宋体" w:hAnsi="宋体" w:cs="宋体"/>
          <w:color w:val="auto"/>
          <w:szCs w:val="21"/>
          <w:highlight w:val="none"/>
          <w:lang w:val="zh-CN"/>
        </w:rPr>
        <w:t xml:space="preserve">的投标报价为无效投标报价。无效投标报价的投标文件不得中标。</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投标报价得分=（评标基准价/投标报价）*价格权值*100，小数点后保留两位（价格权值为30%）</w:t>
      </w:r>
      <w:r/>
    </w:p>
    <w:p>
      <w:pPr>
        <w:ind w:firstLine="422"/>
        <w:jc w:val="left"/>
        <w:spacing w:line="360" w:lineRule="auto"/>
        <w:rPr>
          <w:rFonts w:hint="eastAsia" w:ascii="宋体" w:hAnsi="宋体" w:cs="宋体"/>
          <w:bCs/>
          <w:color w:val="auto"/>
          <w:szCs w:val="21"/>
          <w:highlight w:val="none"/>
          <w:lang w:val="zh-CN"/>
        </w:rPr>
      </w:pPr>
      <w:r>
        <w:rPr>
          <w:rFonts w:hint="eastAsia" w:ascii="宋体" w:hAnsi="宋体" w:cs="宋体"/>
          <w:b/>
          <w:bCs/>
          <w:color w:val="auto"/>
          <w:szCs w:val="21"/>
          <w:highlight w:val="none"/>
          <w:lang w:val="zh-CN"/>
        </w:rPr>
        <w:t xml:space="preserve">（二）</w:t>
      </w:r>
      <w:r>
        <w:rPr>
          <w:rFonts w:hint="eastAsia" w:ascii="宋体" w:hAnsi="宋体" w:cs="宋体"/>
          <w:b/>
          <w:color w:val="auto"/>
          <w:szCs w:val="21"/>
          <w:highlight w:val="none"/>
          <w:lang w:val="zh-CN"/>
        </w:rPr>
        <w:t xml:space="preserve">投标</w:t>
      </w:r>
      <w:r>
        <w:rPr>
          <w:rFonts w:hint="eastAsia" w:ascii="宋体" w:hAnsi="宋体" w:cs="宋体"/>
          <w:b/>
          <w:color w:val="auto"/>
          <w:szCs w:val="21"/>
          <w:highlight w:val="none"/>
          <w:lang w:val="en-US" w:eastAsia="zh-CN"/>
        </w:rPr>
        <w:t xml:space="preserve">产品</w:t>
      </w:r>
      <w:r>
        <w:rPr>
          <w:rFonts w:hint="eastAsia" w:ascii="宋体" w:hAnsi="宋体" w:cs="宋体"/>
          <w:b/>
          <w:color w:val="auto"/>
          <w:szCs w:val="21"/>
          <w:highlight w:val="none"/>
          <w:lang w:val="zh-CN"/>
        </w:rPr>
        <w:t xml:space="preserve">的技术</w:t>
      </w:r>
      <w:r>
        <w:rPr>
          <w:rFonts w:hint="eastAsia" w:ascii="宋体" w:hAnsi="宋体" w:cs="宋体"/>
          <w:b/>
          <w:color w:val="auto"/>
          <w:szCs w:val="21"/>
          <w:highlight w:val="none"/>
          <w:lang w:val="en-US" w:eastAsia="zh-CN"/>
        </w:rPr>
        <w:t xml:space="preserve">响应情况</w:t>
      </w:r>
      <w:r>
        <w:rPr>
          <w:rFonts w:hint="eastAsia" w:ascii="宋体" w:hAnsi="宋体" w:cs="宋体"/>
          <w:b/>
          <w:color w:val="auto"/>
          <w:szCs w:val="21"/>
          <w:highlight w:val="none"/>
          <w:lang w:val="zh-CN"/>
        </w:rPr>
        <w:t xml:space="preserve">（最高为</w:t>
      </w:r>
      <w:r>
        <w:rPr>
          <w:rFonts w:hint="eastAsia" w:ascii="宋体" w:hAnsi="宋体" w:cs="宋体"/>
          <w:b/>
          <w:color w:val="auto"/>
          <w:szCs w:val="21"/>
          <w:highlight w:val="none"/>
          <w:lang w:val="en-US" w:eastAsia="zh-CN"/>
        </w:rPr>
        <w:t xml:space="preserve">40</w:t>
      </w:r>
      <w:r>
        <w:rPr>
          <w:rFonts w:hint="eastAsia" w:ascii="宋体" w:hAnsi="宋体" w:cs="宋体"/>
          <w:b/>
          <w:color w:val="auto"/>
          <w:szCs w:val="21"/>
          <w:highlight w:val="none"/>
          <w:lang w:val="zh-CN"/>
        </w:rPr>
        <w:t xml:space="preserve">分）</w:t>
      </w:r>
      <w:r/>
    </w:p>
    <w:p>
      <w:pPr>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所投产品技术参数满足或高于招标文件要求的得 40 分；标 “▲” 重要技术条款出现一项负偏离扣 2 分；其余普通技术条款出现一项负偏离扣 1 分，本项分值扣至 0 分为止。</w:t>
      </w:r>
      <w:r/>
    </w:p>
    <w:p>
      <w:pPr>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标 “▲” 技术条款投标人须提供有效佐证材料予以支撑；投标人可提供产品注册证、公开发行产品彩页、产品说明书、厂家正式技术说明函、第三方检测报告等有效证明材料。若无法提供有效佐证材料证明参数响应，评标委员会有权认定该项为负偏离。</w:t>
      </w:r>
      <w:r/>
    </w:p>
    <w:p>
      <w:pPr>
        <w:ind w:firstLine="422"/>
        <w:spacing w:line="360" w:lineRule="auto"/>
        <w:rPr>
          <w:rFonts w:hint="eastAsia" w:ascii="宋体" w:hAnsi="宋体"/>
          <w:b/>
          <w:bCs/>
          <w:color w:val="auto"/>
          <w:szCs w:val="21"/>
          <w:highlight w:val="none"/>
        </w:rPr>
      </w:pPr>
      <w:r>
        <w:rPr>
          <w:rFonts w:hint="eastAsia"/>
          <w:b/>
          <w:bCs/>
          <w:color w:val="auto"/>
          <w:szCs w:val="21"/>
          <w:highlight w:val="none"/>
        </w:rPr>
        <w:t xml:space="preserve">（三）</w:t>
      </w:r>
      <w:r>
        <w:rPr>
          <w:rFonts w:hint="eastAsia" w:ascii="宋体" w:hAnsi="宋体"/>
          <w:b/>
          <w:bCs/>
          <w:color w:val="auto"/>
          <w:szCs w:val="21"/>
          <w:highlight w:val="none"/>
        </w:rPr>
        <w:t xml:space="preserve">技术服务及售后服务方案（</w:t>
      </w:r>
      <w:r>
        <w:rPr>
          <w:rFonts w:hint="eastAsia" w:hAnsi="宋体" w:cs="宋体"/>
          <w:b/>
          <w:color w:val="auto"/>
          <w:szCs w:val="21"/>
          <w:highlight w:val="none"/>
        </w:rPr>
        <w:t xml:space="preserve">最高为</w:t>
      </w:r>
      <w:r>
        <w:rPr>
          <w:rFonts w:hint="eastAsia" w:ascii="宋体" w:hAnsi="宋体"/>
          <w:b/>
          <w:bCs/>
          <w:color w:val="auto"/>
          <w:szCs w:val="21"/>
          <w:highlight w:val="none"/>
        </w:rPr>
        <w:t xml:space="preserve">28分）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针对本项目的项目实施方案（包括项目团队情况及岗位分工职责、货源组织、交货期工序安排、产品质量控制等）（最高为4分）：项目实施方案内容完整不漏项、有针对性说明、切实可行、能保证项目质量的得4分；方案各项内容阐述片面有缺漏项、针对性说明简单、可行性一般、基本能保证项目质量的得2分；方案各项内容粗略缺漏、缺针对性说明、不能保证项目质量的得1分；未提供相关说明或存在逻辑错误、前后矛盾的不得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2、针对本项目的售后服务内容（包括</w:t>
      </w:r>
      <w:r>
        <w:rPr>
          <w:rFonts w:hint="eastAsia"/>
          <w:color w:val="auto"/>
          <w:szCs w:val="21"/>
          <w:highlight w:val="none"/>
        </w:rPr>
        <w:t xml:space="preserve">售后服务范围、售后服务点设置、售后服务人员配备、响应时间、售后服务承诺与保证书等情况）</w:t>
      </w:r>
      <w:r>
        <w:rPr>
          <w:rFonts w:hint="eastAsia" w:ascii="宋体" w:hAnsi="宋体"/>
          <w:color w:val="auto"/>
          <w:szCs w:val="21"/>
          <w:highlight w:val="none"/>
        </w:rPr>
        <w:t xml:space="preserve">（最高为5分）：售后服务内容详实具体科学可行合理性高的得5分；售后服务内容不够详细合理性可行性一般的得3分；售后服务内容不够详细合理性可行性较差的得1分；未提供相关说明或存在逻辑错误、前后矛盾的不得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3、投标单位质保期满后维保收费及内容情况（最高为4分）</w:t>
      </w:r>
      <w:r/>
    </w:p>
    <w:p>
      <w:pPr>
        <w:ind w:firstLine="420"/>
        <w:spacing w:line="360" w:lineRule="auto"/>
        <w:rPr>
          <w:rFonts w:hint="eastAsia" w:ascii="宋体" w:hAnsi="宋体"/>
          <w:color w:val="auto"/>
          <w:szCs w:val="21"/>
          <w:highlight w:val="none"/>
        </w:rPr>
      </w:pPr>
      <w:r>
        <w:rPr>
          <w:rFonts w:hint="eastAsia" w:ascii="宋体" w:hAnsi="宋体" w:cs="宋体"/>
          <w:color w:val="auto"/>
          <w:highlight w:val="none"/>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hint="eastAsia" w:ascii="宋体" w:hAnsi="宋体"/>
          <w:color w:val="auto"/>
          <w:szCs w:val="21"/>
          <w:highlight w:val="none"/>
        </w:rPr>
        <w:t xml:space="preserve">未提供相关说明或存在逻辑错误、前后矛盾的不得分。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4、针对本项目的应急和重大故障解决方案（包括应急和重大故障预防措施，以及出现问题的响应时间、补救措施等）（最高为</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分）：方案考虑详实具体全面周到、应对措施科学合理可行的得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分；方案考虑不够详细合理性可行性一般的得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分；方案考虑不够全面合理性可行性较差的得1分；未提供相关说明或存在逻辑错误、前后矛盾的不得分。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5、针对本项目使用方人员的技术培训方案（最高为4分）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针对本项目交货进度计划及安装调试验收方案（最高为5分）：投标单位提供针对本项目的交货进度计划及安装调试验收方案：交货进度计划及安装调试验收方案详实具体，有相关保障措施，科学合理可行性高为5分；交货进度计划及安装调试验收方案不够详细，合理性和可行性一般为3分；交货进度计划及安装调试验收方案内容简单，合理性可行性较差为1分；未提供相关说明或存在逻辑错误、前后矛盾的不得分。</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7、设备预期使用年限，2分</w:t>
      </w:r>
      <w:r/>
    </w:p>
    <w:p>
      <w:pPr>
        <w:ind w:firstLine="420"/>
        <w:spacing w:line="360" w:lineRule="auto"/>
        <w:rPr>
          <w:rFonts w:hint="default" w:eastAsia="宋体"/>
          <w:b w:val="0"/>
          <w:bCs w:val="0"/>
          <w:color w:val="auto"/>
          <w:szCs w:val="21"/>
          <w:highlight w:val="none"/>
          <w:lang w:val="en-US" w:eastAsia="zh-CN"/>
        </w:rPr>
      </w:pPr>
      <w:r>
        <w:rPr>
          <w:rFonts w:hint="eastAsia"/>
          <w:b w:val="0"/>
          <w:bCs w:val="0"/>
          <w:color w:val="auto"/>
          <w:szCs w:val="21"/>
          <w:highlight w:val="none"/>
          <w:lang w:val="en-US" w:eastAsia="zh-CN"/>
        </w:rPr>
        <w:t xml:space="preserve">在满足招标文件设备使用年限的基础上，每增加一年得1分，最高为2分。投标人须提供产品铭牌、产品说明书、注册产品技术要求、制造商加盖公章的使用寿命专项说明、官方寿命验证报告任一材料清晰体现整机使用年限；未提供有效佐证材料的，本项不得分。</w:t>
      </w:r>
      <w:r/>
    </w:p>
    <w:p>
      <w:pPr>
        <w:ind w:firstLine="422"/>
        <w:spacing w:line="360" w:lineRule="auto"/>
        <w:rPr>
          <w:rFonts w:hint="eastAsia"/>
          <w:b/>
          <w:bCs/>
          <w:color w:val="auto"/>
          <w:szCs w:val="21"/>
          <w:highlight w:val="none"/>
        </w:rPr>
      </w:pPr>
      <w:r>
        <w:rPr>
          <w:rFonts w:hint="eastAsia"/>
          <w:b/>
          <w:bCs/>
          <w:color w:val="auto"/>
          <w:szCs w:val="21"/>
          <w:highlight w:val="none"/>
        </w:rPr>
        <w:t xml:space="preserve">（四）</w:t>
      </w:r>
      <w:r>
        <w:rPr>
          <w:rFonts w:hint="eastAsia"/>
          <w:b/>
          <w:bCs/>
          <w:color w:val="auto"/>
          <w:szCs w:val="21"/>
          <w:highlight w:val="none"/>
          <w:lang w:val="en-US" w:eastAsia="zh-CN"/>
        </w:rPr>
        <w:t xml:space="preserve">产品</w:t>
      </w:r>
      <w:r>
        <w:rPr>
          <w:rFonts w:hint="eastAsia"/>
          <w:b/>
          <w:bCs/>
          <w:color w:val="auto"/>
          <w:szCs w:val="21"/>
          <w:highlight w:val="none"/>
        </w:rPr>
        <w:t xml:space="preserve">业绩情况（最高为</w:t>
      </w:r>
      <w:r>
        <w:rPr>
          <w:rFonts w:hint="eastAsia"/>
          <w:b/>
          <w:bCs/>
          <w:color w:val="auto"/>
          <w:szCs w:val="21"/>
          <w:highlight w:val="none"/>
          <w:lang w:val="en-US" w:eastAsia="zh-CN"/>
        </w:rPr>
        <w:t xml:space="preserve">2</w:t>
      </w:r>
      <w:r>
        <w:rPr>
          <w:rFonts w:hint="eastAsia"/>
          <w:b/>
          <w:bCs/>
          <w:color w:val="auto"/>
          <w:szCs w:val="21"/>
          <w:highlight w:val="none"/>
        </w:rPr>
        <w:t xml:space="preserve">分）</w:t>
      </w:r>
      <w:r/>
    </w:p>
    <w:p>
      <w:pPr>
        <w:ind w:firstLine="420"/>
        <w:spacing w:line="360" w:lineRule="auto"/>
        <w:rPr>
          <w:rFonts w:hint="eastAsia"/>
          <w:color w:val="auto"/>
          <w:szCs w:val="21"/>
          <w:highlight w:val="none"/>
        </w:rPr>
      </w:pPr>
      <w:r>
        <w:rPr>
          <w:rFonts w:hint="eastAsia"/>
          <w:color w:val="auto"/>
          <w:szCs w:val="21"/>
          <w:highlight w:val="none"/>
        </w:rPr>
        <w:t xml:space="preserve">1、</w:t>
      </w:r>
      <w:r>
        <w:rPr>
          <w:rFonts w:ascii="宋体" w:hAnsi="宋体"/>
          <w:color w:val="auto"/>
          <w:highlight w:val="none"/>
        </w:rPr>
        <w:t xml:space="preserve">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年1月1日（以合同签订日期为准）至今，所投产品销售</w:t>
      </w:r>
      <w:r>
        <w:rPr>
          <w:rFonts w:hint="eastAsia" w:ascii="宋体" w:hAnsi="宋体"/>
          <w:color w:val="auto"/>
          <w:highlight w:val="none"/>
          <w:lang w:val="en-US" w:eastAsia="zh-CN"/>
        </w:rPr>
        <w:t xml:space="preserve">业绩</w:t>
      </w:r>
      <w:r>
        <w:rPr>
          <w:rFonts w:hint="eastAsia" w:ascii="宋体" w:hAnsi="宋体"/>
          <w:color w:val="auto"/>
          <w:highlight w:val="none"/>
        </w:rPr>
        <w:t xml:space="preserve">情况，每提供一份</w:t>
      </w:r>
      <w:r>
        <w:rPr>
          <w:rFonts w:hint="eastAsia" w:ascii="宋体" w:hAnsi="宋体"/>
          <w:color w:val="auto"/>
          <w:highlight w:val="none"/>
          <w:lang w:val="en-US" w:eastAsia="zh-CN"/>
        </w:rPr>
        <w:t xml:space="preserve">业绩合同</w:t>
      </w:r>
      <w:r>
        <w:rPr>
          <w:rFonts w:hint="eastAsia" w:ascii="宋体" w:hAnsi="宋体"/>
          <w:color w:val="auto"/>
          <w:highlight w:val="none"/>
        </w:rPr>
        <w:t xml:space="preserve">得</w:t>
      </w:r>
      <w:r>
        <w:rPr>
          <w:rFonts w:hint="eastAsia" w:ascii="宋体" w:hAnsi="宋体"/>
          <w:color w:val="auto"/>
          <w:highlight w:val="none"/>
          <w:lang w:val="en-US" w:eastAsia="zh-CN"/>
        </w:rPr>
        <w:t xml:space="preserve">1</w:t>
      </w:r>
      <w:r>
        <w:rPr>
          <w:rFonts w:hint="eastAsia" w:ascii="宋体" w:hAnsi="宋体"/>
          <w:color w:val="auto"/>
          <w:highlight w:val="none"/>
        </w:rPr>
        <w:t xml:space="preserve">分,最高</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rPr>
          <w:rFonts w:hint="eastAsia" w:ascii="宋体" w:hAnsi="宋体"/>
          <w:b/>
          <w:color w:val="auto"/>
          <w:highlight w:val="none"/>
        </w:rPr>
        <w:t xml:space="preserve">（注：每份业绩需提供完整合同文件复印件等材料作为佐证材料；如买方名称、供货品牌/型号、合同金额、数量、签订时间等信息缺失，则视作无效业绩。）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tabs>
          <w:tab w:val="left" w:pos="567" w:leader="none"/>
        </w:tabs>
        <w:rPr>
          <w:rFonts w:ascii="宋体" w:hAnsi="宋体" w:cs="宋体"/>
          <w:color w:val="auto"/>
          <w:szCs w:val="21"/>
          <w:highlight w:val="none"/>
        </w:rPr>
      </w:pPr>
      <w:r>
        <w:rPr>
          <w:rFonts w:hint="eastAsia" w:ascii="宋体" w:hAnsi="宋体" w:cs="宋体"/>
          <w:b/>
          <w:color w:val="auto"/>
          <w:szCs w:val="21"/>
          <w:highlight w:val="none"/>
        </w:rPr>
        <w:t xml:space="preserve">备注：</w:t>
      </w:r>
      <w:r>
        <w:rPr>
          <w:rFonts w:hint="eastAsia" w:ascii="宋体" w:hAnsi="宋体" w:cs="宋体"/>
          <w:color w:val="auto"/>
          <w:szCs w:val="21"/>
          <w:highlight w:val="none"/>
        </w:rPr>
        <w:t xml:space="preserve">1.付款步骤、交货期限如有负偏离的不得中标。</w:t>
      </w:r>
      <w:r/>
    </w:p>
    <w:p>
      <w:pPr>
        <w:ind w:firstLine="63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3.要求加盖公章的，电子投标文件中可用电子签章（除特别说明外）。</w:t>
      </w:r>
      <w:r/>
    </w:p>
    <w:p>
      <w:pPr>
        <w:ind w:firstLine="63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33"/>
        <w:ind w:firstLine="422"/>
        <w:jc w:val="right"/>
        <w:spacing w:line="360" w:lineRule="auto"/>
        <w:rPr>
          <w:color w:val="auto"/>
          <w:highlight w:val="none"/>
        </w:rPr>
      </w:pPr>
      <w:r>
        <w:rPr>
          <w:rFonts w:hint="eastAsia" w:ascii="宋体" w:hAnsi="宋体" w:eastAsia="宋体" w:cs="宋体"/>
          <w:b/>
          <w:bCs/>
          <w:color w:val="auto"/>
          <w:sz w:val="21"/>
          <w:szCs w:val="21"/>
          <w:highlight w:val="none"/>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rPr>
        <w:rFonts w:hint="eastAsia" w:ascii="宋体" w:hAnsi="宋体" w:eastAsia="宋体" w:cs="宋体"/>
        <w:lang w:eastAsia="zh-CN"/>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JSZC-320000-CJZB-G2026-0086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JSZC-320000-CJZB-G2026-0086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2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3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1"/>
    <w:link w:val="726"/>
    <w:uiPriority w:val="9"/>
    <w:rPr>
      <w:rFonts w:ascii="Arial" w:hAnsi="Arial" w:eastAsia="Arial" w:cs="Arial"/>
      <w:sz w:val="40"/>
      <w:szCs w:val="40"/>
    </w:rPr>
  </w:style>
  <w:style w:type="character" w:styleId="15">
    <w:name w:val="Heading 2 Char"/>
    <w:basedOn w:val="731"/>
    <w:link w:val="727"/>
    <w:uiPriority w:val="9"/>
    <w:rPr>
      <w:rFonts w:ascii="Arial" w:hAnsi="Arial" w:eastAsia="Arial" w:cs="Arial"/>
      <w:sz w:val="34"/>
    </w:rPr>
  </w:style>
  <w:style w:type="character" w:styleId="17">
    <w:name w:val="Heading 3 Char"/>
    <w:basedOn w:val="731"/>
    <w:link w:val="728"/>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1"/>
    <w:link w:val="18"/>
    <w:uiPriority w:val="9"/>
    <w:rPr>
      <w:rFonts w:ascii="Arial" w:hAnsi="Arial" w:eastAsia="Arial" w:cs="Arial"/>
      <w:b/>
      <w:bCs/>
      <w:sz w:val="26"/>
      <w:szCs w:val="26"/>
    </w:rPr>
  </w:style>
  <w:style w:type="character" w:styleId="21">
    <w:name w:val="Heading 5 Char"/>
    <w:basedOn w:val="731"/>
    <w:link w:val="729"/>
    <w:uiPriority w:val="9"/>
    <w:rPr>
      <w:rFonts w:ascii="Arial" w:hAnsi="Arial" w:eastAsia="Arial" w:cs="Arial"/>
      <w:b/>
      <w:bCs/>
      <w:sz w:val="24"/>
      <w:szCs w:val="24"/>
    </w:rPr>
  </w:style>
  <w:style w:type="character" w:styleId="23">
    <w:name w:val="Heading 6 Char"/>
    <w:basedOn w:val="731"/>
    <w:link w:val="730"/>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1"/>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1"/>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31"/>
    <w:link w:val="33"/>
    <w:uiPriority w:val="10"/>
    <w:rPr>
      <w:sz w:val="48"/>
      <w:szCs w:val="48"/>
    </w:rPr>
  </w:style>
  <w:style w:type="character" w:styleId="36">
    <w:name w:val="Subtitle Char"/>
    <w:basedOn w:val="731"/>
    <w:link w:val="750"/>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1"/>
    <w:link w:val="747"/>
    <w:uiPriority w:val="99"/>
  </w:style>
  <w:style w:type="character" w:styleId="44">
    <w:name w:val="Footer Char"/>
    <w:basedOn w:val="731"/>
    <w:link w:val="745"/>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1"/>
    <w:uiPriority w:val="99"/>
    <w:rPr>
      <w:sz w:val="18"/>
    </w:rPr>
  </w:style>
  <w:style w:type="character" w:styleId="176">
    <w:name w:val="footnote reference"/>
    <w:basedOn w:val="731"/>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1"/>
    <w:uiPriority w:val="99"/>
    <w:semiHidden/>
    <w:unhideWhenUsed/>
    <w:rPr>
      <w:vertAlign w:val="superscript"/>
    </w:rPr>
  </w:style>
  <w:style w:type="paragraph" w:styleId="182">
    <w:name w:val="toc 3"/>
    <w:basedOn w:val="725"/>
    <w:next w:val="725"/>
    <w:uiPriority w:val="39"/>
    <w:unhideWhenUsed/>
    <w:pPr>
      <w:ind w:left="567"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link w:val="770"/>
    <w:uiPriority w:val="0"/>
    <w:qFormat/>
    <w:pPr>
      <w:keepLines/>
      <w:keepNext/>
      <w:spacing w:before="340" w:after="330" w:line="578" w:lineRule="auto"/>
      <w:outlineLvl w:val="0"/>
    </w:pPr>
    <w:rPr>
      <w:b/>
      <w:bCs/>
      <w:sz w:val="44"/>
      <w:szCs w:val="44"/>
    </w:rPr>
  </w:style>
  <w:style w:type="paragraph" w:styleId="727">
    <w:name w:val="Heading 2"/>
    <w:basedOn w:val="725"/>
    <w:next w:val="725"/>
    <w:link w:val="771"/>
    <w:uiPriority w:val="0"/>
    <w:qFormat/>
    <w:pPr>
      <w:numPr>
        <w:ilvl w:val="1"/>
        <w:numId w:val="1"/>
      </w:numPr>
      <w:spacing w:before="156" w:after="156" w:line="360" w:lineRule="auto"/>
      <w:outlineLvl w:val="1"/>
    </w:pPr>
    <w:rPr>
      <w:rFonts w:ascii="Cambria" w:hAnsi="Cambria"/>
      <w:b/>
      <w:bCs/>
      <w:sz w:val="32"/>
      <w:szCs w:val="32"/>
    </w:rPr>
  </w:style>
  <w:style w:type="paragraph" w:styleId="728">
    <w:name w:val="Heading 3"/>
    <w:basedOn w:val="725"/>
    <w:next w:val="733"/>
    <w:link w:val="773"/>
    <w:uiPriority w:val="0"/>
    <w:qFormat/>
    <w:pPr>
      <w:keepLines/>
      <w:keepNext/>
      <w:spacing w:before="260" w:after="260" w:line="416" w:lineRule="auto"/>
      <w:outlineLvl w:val="2"/>
    </w:pPr>
    <w:rPr>
      <w:b/>
      <w:sz w:val="32"/>
      <w:szCs w:val="20"/>
    </w:rPr>
  </w:style>
  <w:style w:type="paragraph" w:styleId="729">
    <w:name w:val="Heading 5"/>
    <w:basedOn w:val="725"/>
    <w:next w:val="725"/>
    <w:link w:val="774"/>
    <w:uiPriority w:val="0"/>
    <w:qFormat/>
    <w:pPr>
      <w:jc w:val="left"/>
      <w:keepLines/>
      <w:keepNext/>
      <w:spacing w:before="280" w:after="290" w:line="376" w:lineRule="auto"/>
      <w:widowControl/>
      <w:outlineLvl w:val="4"/>
    </w:pPr>
    <w:rPr>
      <w:b/>
      <w:bCs/>
      <w:sz w:val="28"/>
      <w:szCs w:val="28"/>
    </w:rPr>
  </w:style>
  <w:style w:type="paragraph" w:styleId="730">
    <w:name w:val="Heading 6"/>
    <w:basedOn w:val="725"/>
    <w:next w:val="725"/>
    <w:link w:val="775"/>
    <w:uiPriority w:val="9"/>
    <w:qFormat/>
    <w:pPr>
      <w:numPr>
        <w:ilvl w:val="5"/>
        <w:numId w:val="1"/>
      </w:numPr>
      <w:keepLines/>
      <w:keepNext/>
      <w:spacing w:before="120" w:after="64" w:line="300" w:lineRule="auto"/>
      <w:outlineLvl w:val="5"/>
    </w:pPr>
    <w:rPr>
      <w:rFonts w:ascii="Arial" w:hAnsi="Arial"/>
      <w:bCs/>
      <w:sz w:val="24"/>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5"/>
    <w:link w:val="772"/>
    <w:uiPriority w:val="0"/>
    <w:qFormat/>
    <w:pPr>
      <w:ind w:firstLine="420"/>
    </w:pPr>
    <w:rPr>
      <w:rFonts w:eastAsia="楷体_GB2312"/>
      <w:sz w:val="24"/>
      <w:szCs w:val="20"/>
    </w:rPr>
  </w:style>
  <w:style w:type="paragraph" w:styleId="734">
    <w:name w:val="table of authorities"/>
    <w:basedOn w:val="725"/>
    <w:next w:val="725"/>
    <w:uiPriority w:val="99"/>
    <w:unhideWhenUsed/>
    <w:qFormat/>
    <w:pPr>
      <w:ind w:left="420"/>
    </w:pPr>
  </w:style>
  <w:style w:type="paragraph" w:styleId="735">
    <w:name w:val="Document Map"/>
    <w:basedOn w:val="725"/>
    <w:next w:val="736"/>
    <w:uiPriority w:val="0"/>
    <w:qFormat/>
    <w:rPr>
      <w:rFonts w:ascii="宋体"/>
      <w:sz w:val="18"/>
      <w:szCs w:val="18"/>
    </w:rPr>
  </w:style>
  <w:style w:type="paragraph" w:styleId="736">
    <w:name w:val="annotation subject"/>
    <w:basedOn w:val="737"/>
    <w:next w:val="725"/>
    <w:link w:val="785"/>
    <w:uiPriority w:val="0"/>
    <w:qFormat/>
  </w:style>
  <w:style w:type="paragraph" w:styleId="737">
    <w:name w:val="annotation text"/>
    <w:basedOn w:val="725"/>
    <w:link w:val="776"/>
    <w:uiPriority w:val="0"/>
    <w:qFormat/>
    <w:pPr>
      <w:jc w:val="left"/>
    </w:pPr>
  </w:style>
  <w:style w:type="paragraph" w:styleId="738">
    <w:name w:val="Body Text"/>
    <w:basedOn w:val="725"/>
    <w:next w:val="725"/>
    <w:link w:val="777"/>
    <w:uiPriority w:val="99"/>
    <w:unhideWhenUsed/>
    <w:qFormat/>
    <w:pPr>
      <w:spacing w:after="120"/>
    </w:pPr>
    <w:rPr>
      <w:sz w:val="20"/>
    </w:rPr>
  </w:style>
  <w:style w:type="paragraph" w:styleId="739">
    <w:name w:val="Body Text Indent"/>
    <w:basedOn w:val="725"/>
    <w:link w:val="769"/>
    <w:uiPriority w:val="0"/>
    <w:qFormat/>
    <w:pPr>
      <w:ind w:firstLine="425"/>
      <w:spacing w:line="360" w:lineRule="auto"/>
    </w:pPr>
    <w:rPr>
      <w:sz w:val="24"/>
    </w:rPr>
  </w:style>
  <w:style w:type="paragraph" w:styleId="740">
    <w:name w:val="Block Text"/>
    <w:basedOn w:val="726"/>
    <w:next w:val="725"/>
    <w:uiPriority w:val="0"/>
    <w:qFormat/>
    <w:pPr>
      <w:ind w:left="630" w:right="-609" w:firstLine="420"/>
      <w:spacing w:line="360" w:lineRule="auto"/>
    </w:pPr>
    <w:rPr>
      <w:rFonts w:hint="eastAsia" w:ascii="仿宋_GB2312" w:eastAsia="仿宋_GB2312"/>
      <w:szCs w:val="20"/>
    </w:rPr>
  </w:style>
  <w:style w:type="paragraph" w:styleId="741">
    <w:name w:val="Plain Text"/>
    <w:basedOn w:val="725"/>
    <w:link w:val="778"/>
    <w:uiPriority w:val="0"/>
    <w:qFormat/>
    <w:rPr>
      <w:rFonts w:ascii="宋体" w:hAnsi="Courier New" w:eastAsia="楷体_GB2312"/>
      <w:sz w:val="26"/>
    </w:rPr>
  </w:style>
  <w:style w:type="paragraph" w:styleId="742">
    <w:name w:val="Date"/>
    <w:basedOn w:val="725"/>
    <w:next w:val="725"/>
    <w:link w:val="779"/>
    <w:uiPriority w:val="0"/>
    <w:qFormat/>
    <w:rPr>
      <w:b/>
      <w:bCs/>
      <w:spacing w:val="20"/>
      <w:sz w:val="20"/>
    </w:rPr>
  </w:style>
  <w:style w:type="paragraph" w:styleId="743">
    <w:name w:val="Body Text Indent 2"/>
    <w:basedOn w:val="725"/>
    <w:uiPriority w:val="0"/>
    <w:qFormat/>
    <w:pPr>
      <w:ind w:firstLine="540"/>
      <w:spacing w:line="360" w:lineRule="auto"/>
    </w:pPr>
    <w:rPr>
      <w:rFonts w:ascii="宋体" w:hAnsi="宋体"/>
      <w:sz w:val="24"/>
    </w:rPr>
  </w:style>
  <w:style w:type="paragraph" w:styleId="744">
    <w:name w:val="Balloon Text"/>
    <w:basedOn w:val="725"/>
    <w:link w:val="780"/>
    <w:uiPriority w:val="0"/>
    <w:qFormat/>
    <w:rPr>
      <w:sz w:val="18"/>
      <w:szCs w:val="18"/>
    </w:rPr>
  </w:style>
  <w:style w:type="paragraph" w:styleId="745">
    <w:name w:val="Footer"/>
    <w:basedOn w:val="725"/>
    <w:link w:val="781"/>
    <w:uiPriority w:val="99"/>
    <w:qFormat/>
    <w:pPr>
      <w:jc w:val="left"/>
      <w:tabs>
        <w:tab w:val="center" w:pos="4153" w:leader="none"/>
        <w:tab w:val="right" w:pos="8306" w:leader="none"/>
      </w:tabs>
    </w:pPr>
    <w:rPr>
      <w:sz w:val="18"/>
      <w:szCs w:val="18"/>
    </w:rPr>
  </w:style>
  <w:style w:type="paragraph" w:styleId="746">
    <w:name w:val="envelope return"/>
    <w:basedOn w:val="725"/>
    <w:uiPriority w:val="0"/>
    <w:qFormat/>
    <w:rPr>
      <w:rFonts w:ascii="Arial" w:hAnsi="Arial" w:eastAsia="楷体_GB2312"/>
      <w:sz w:val="26"/>
    </w:rPr>
  </w:style>
  <w:style w:type="paragraph" w:styleId="747">
    <w:name w:val="Header"/>
    <w:basedOn w:val="725"/>
    <w:link w:val="782"/>
    <w:uiPriority w:val="0"/>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25"/>
    <w:next w:val="725"/>
    <w:uiPriority w:val="0"/>
    <w:qFormat/>
    <w:pPr>
      <w:jc w:val="left"/>
    </w:pPr>
    <w:rPr>
      <w:rFonts w:eastAsia="楷体_GB2312"/>
      <w:sz w:val="24"/>
      <w:szCs w:val="20"/>
    </w:rPr>
  </w:style>
  <w:style w:type="paragraph" w:styleId="749">
    <w:name w:val="toc 4"/>
    <w:basedOn w:val="725"/>
    <w:next w:val="725"/>
    <w:uiPriority w:val="0"/>
    <w:qFormat/>
    <w:pPr>
      <w:ind w:left="1260"/>
    </w:pPr>
  </w:style>
  <w:style w:type="paragraph" w:styleId="750">
    <w:name w:val="Subtitle"/>
    <w:basedOn w:val="725"/>
    <w:next w:val="725"/>
    <w:link w:val="783"/>
    <w:uiPriority w:val="0"/>
    <w:qFormat/>
    <w:pPr>
      <w:jc w:val="center"/>
      <w:spacing w:before="240" w:after="60" w:line="312" w:lineRule="auto"/>
      <w:outlineLvl w:val="1"/>
    </w:pPr>
    <w:rPr>
      <w:rFonts w:ascii="宋体" w:hAnsi="Courier New" w:eastAsia="楷体_GB2312"/>
      <w:sz w:val="26"/>
      <w:szCs w:val="20"/>
    </w:rPr>
  </w:style>
  <w:style w:type="paragraph" w:styleId="751">
    <w:name w:val="footnote text"/>
    <w:basedOn w:val="726"/>
    <w:next w:val="740"/>
    <w:uiPriority w:val="0"/>
    <w:qFormat/>
    <w:pPr>
      <w:ind w:firstLine="3584"/>
      <w:spacing w:before="0" w:after="0" w:line="360" w:lineRule="auto"/>
    </w:pPr>
  </w:style>
  <w:style w:type="paragraph" w:styleId="752">
    <w:name w:val="Body Text Indent 3"/>
    <w:basedOn w:val="725"/>
    <w:link w:val="784"/>
    <w:uiPriority w:val="0"/>
    <w:qFormat/>
    <w:pPr>
      <w:ind w:firstLine="480"/>
      <w:jc w:val="left"/>
      <w:spacing w:line="440" w:lineRule="atLeast"/>
    </w:pPr>
    <w:rPr>
      <w:sz w:val="24"/>
    </w:rPr>
  </w:style>
  <w:style w:type="paragraph" w:styleId="753">
    <w:name w:val="toc 2"/>
    <w:basedOn w:val="725"/>
    <w:next w:val="725"/>
    <w:uiPriority w:val="39"/>
    <w:unhideWhenUsed/>
    <w:qFormat/>
    <w:pPr>
      <w:ind w:left="420"/>
    </w:pPr>
    <w:rPr>
      <w:sz w:val="28"/>
    </w:rPr>
  </w:style>
  <w:style w:type="paragraph" w:styleId="754">
    <w:name w:val="Normal (Web)"/>
    <w:basedOn w:val="725"/>
    <w:uiPriority w:val="99"/>
    <w:qFormat/>
    <w:pPr>
      <w:jc w:val="left"/>
      <w:spacing w:beforeAutospacing="1" w:afterAutospacing="1"/>
    </w:pPr>
    <w:rPr>
      <w:sz w:val="24"/>
    </w:rPr>
  </w:style>
  <w:style w:type="paragraph" w:styleId="755">
    <w:name w:val="Body Text First Indent"/>
    <w:basedOn w:val="738"/>
    <w:next w:val="725"/>
    <w:uiPriority w:val="0"/>
    <w:qFormat/>
    <w:pPr>
      <w:ind w:firstLine="420"/>
    </w:pPr>
  </w:style>
  <w:style w:type="paragraph" w:styleId="756">
    <w:name w:val="Body Text First Indent 2"/>
    <w:basedOn w:val="739"/>
    <w:uiPriority w:val="0"/>
    <w:qFormat/>
    <w:pPr>
      <w:ind w:left="420" w:firstLine="210"/>
      <w:spacing w:after="120" w:line="240" w:lineRule="auto"/>
    </w:pPr>
    <w:rPr>
      <w:rFonts w:eastAsia="仿宋_GB2312"/>
      <w:sz w:val="30"/>
    </w:rPr>
  </w:style>
  <w:style w:type="table" w:styleId="757">
    <w:name w:val="Table Grid"/>
    <w:basedOn w:val="7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uiPriority w:val="0"/>
    <w:qFormat/>
    <w:rPr>
      <w:rFonts w:ascii="Calibri" w:hAnsi="Calibri" w:eastAsia="宋体" w:cs="Times New Roman"/>
      <w:b/>
    </w:rPr>
  </w:style>
  <w:style w:type="character" w:styleId="759">
    <w:name w:val="FollowedHyperlink"/>
    <w:uiPriority w:val="0"/>
    <w:qFormat/>
    <w:rPr>
      <w:color w:val="337ab7"/>
      <w:u w:val="none"/>
    </w:rPr>
  </w:style>
  <w:style w:type="character" w:styleId="760">
    <w:name w:val="Emphasis"/>
    <w:uiPriority w:val="0"/>
    <w:qFormat/>
    <w:rPr>
      <w:i/>
    </w:rPr>
  </w:style>
  <w:style w:type="character" w:styleId="761">
    <w:name w:val="HTML Definition"/>
    <w:uiPriority w:val="0"/>
    <w:qFormat/>
    <w:rPr>
      <w:i/>
    </w:rPr>
  </w:style>
  <w:style w:type="character" w:styleId="762">
    <w:name w:val="Hyperlink"/>
    <w:uiPriority w:val="0"/>
    <w:qFormat/>
    <w:rPr>
      <w:color w:val="337ab7"/>
      <w:u w:val="none"/>
    </w:rPr>
  </w:style>
  <w:style w:type="character" w:styleId="763">
    <w:name w:val="HTML Code"/>
    <w:uiPriority w:val="0"/>
    <w:qFormat/>
    <w:rPr>
      <w:rFonts w:hint="default" w:ascii="Consolas" w:hAnsi="Consolas" w:eastAsia="Consolas" w:cs="Consolas"/>
      <w:color w:val="c7254e"/>
      <w:sz w:val="21"/>
      <w:szCs w:val="21"/>
      <w:shd w:val="clear" w:color="auto" w:fill="f9f2f4"/>
    </w:rPr>
  </w:style>
  <w:style w:type="character" w:styleId="764">
    <w:name w:val="annotation reference"/>
    <w:uiPriority w:val="0"/>
    <w:qFormat/>
    <w:rPr>
      <w:rFonts w:ascii="Calibri" w:hAnsi="Calibri" w:eastAsia="宋体" w:cs="Times New Roman"/>
      <w:sz w:val="21"/>
      <w:szCs w:val="21"/>
    </w:rPr>
  </w:style>
  <w:style w:type="character" w:styleId="765">
    <w:name w:val="HTML Keyboard"/>
    <w:uiPriority w:val="0"/>
    <w:qFormat/>
    <w:rPr>
      <w:rFonts w:ascii="Consolas" w:hAnsi="Consolas" w:eastAsia="Consolas" w:cs="Consolas"/>
      <w:color w:val="ffffff"/>
      <w:sz w:val="21"/>
      <w:szCs w:val="21"/>
      <w:shd w:val="clear" w:color="auto" w:fill="333333"/>
    </w:rPr>
  </w:style>
  <w:style w:type="character" w:styleId="766">
    <w:name w:val="HTML Sample"/>
    <w:uiPriority w:val="0"/>
    <w:qFormat/>
    <w:rPr>
      <w:rFonts w:hint="default" w:ascii="Consolas" w:hAnsi="Consolas" w:eastAsia="Consolas" w:cs="Consolas"/>
      <w:sz w:val="21"/>
      <w:szCs w:val="21"/>
    </w:rPr>
  </w:style>
  <w:style w:type="paragraph" w:styleId="767" w:customStyle="1">
    <w:name w:val="段"/>
    <w:next w:val="725"/>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768" w:customStyle="1">
    <w:name w:val="首行缩进"/>
    <w:basedOn w:val="725"/>
    <w:uiPriority w:val="99"/>
    <w:qFormat/>
    <w:pPr>
      <w:ind w:firstLine="480"/>
    </w:pPr>
    <w:rPr>
      <w:szCs w:val="20"/>
      <w:lang w:val="zh-CN"/>
    </w:rPr>
  </w:style>
  <w:style w:type="character" w:styleId="769" w:customStyle="1">
    <w:name w:val="正文文本缩进 Char"/>
    <w:basedOn w:val="731"/>
    <w:link w:val="739"/>
    <w:uiPriority w:val="0"/>
    <w:qFormat/>
    <w:rPr>
      <w:rFonts w:ascii="Times New Roman" w:hAnsi="Times New Roman" w:eastAsia="宋体" w:cs="Times New Roman"/>
      <w:sz w:val="24"/>
      <w:szCs w:val="24"/>
    </w:rPr>
  </w:style>
  <w:style w:type="character" w:styleId="770" w:customStyle="1">
    <w:name w:val="标题 1 Char"/>
    <w:basedOn w:val="731"/>
    <w:link w:val="726"/>
    <w:uiPriority w:val="0"/>
    <w:qFormat/>
    <w:rPr>
      <w:rFonts w:ascii="Times New Roman" w:hAnsi="Times New Roman" w:eastAsia="宋体" w:cs="Times New Roman"/>
      <w:b/>
      <w:bCs/>
      <w:sz w:val="44"/>
      <w:szCs w:val="44"/>
    </w:rPr>
  </w:style>
  <w:style w:type="character" w:styleId="771" w:customStyle="1">
    <w:name w:val="标题 2 Char"/>
    <w:basedOn w:val="731"/>
    <w:link w:val="727"/>
    <w:uiPriority w:val="0"/>
    <w:qFormat/>
    <w:rPr>
      <w:rFonts w:ascii="Cambria" w:hAnsi="Cambria" w:eastAsia="宋体" w:cs="Times New Roman"/>
      <w:b/>
      <w:bCs/>
      <w:sz w:val="32"/>
      <w:szCs w:val="32"/>
    </w:rPr>
  </w:style>
  <w:style w:type="character" w:styleId="772" w:customStyle="1">
    <w:name w:val="正文缩进 Char"/>
    <w:link w:val="733"/>
    <w:uiPriority w:val="0"/>
    <w:qFormat/>
    <w:rPr>
      <w:rFonts w:ascii="Times New Roman" w:hAnsi="Times New Roman" w:eastAsia="楷体_GB2312" w:cs="Times New Roman"/>
      <w:sz w:val="24"/>
      <w:szCs w:val="20"/>
    </w:rPr>
  </w:style>
  <w:style w:type="character" w:styleId="773" w:customStyle="1">
    <w:name w:val="标题 3 Char"/>
    <w:basedOn w:val="731"/>
    <w:link w:val="728"/>
    <w:uiPriority w:val="0"/>
    <w:qFormat/>
    <w:rPr>
      <w:rFonts w:ascii="Times New Roman" w:hAnsi="Times New Roman" w:eastAsia="宋体" w:cs="Times New Roman"/>
      <w:b/>
      <w:sz w:val="32"/>
      <w:szCs w:val="20"/>
    </w:rPr>
  </w:style>
  <w:style w:type="character" w:styleId="774" w:customStyle="1">
    <w:name w:val="标题 5 Char"/>
    <w:basedOn w:val="731"/>
    <w:link w:val="729"/>
    <w:uiPriority w:val="0"/>
    <w:qFormat/>
    <w:rPr>
      <w:rFonts w:ascii="Times New Roman" w:hAnsi="Times New Roman" w:eastAsia="宋体" w:cs="Times New Roman"/>
      <w:b/>
      <w:bCs/>
      <w:sz w:val="28"/>
      <w:szCs w:val="28"/>
    </w:rPr>
  </w:style>
  <w:style w:type="character" w:styleId="775" w:customStyle="1">
    <w:name w:val="标题 6 Char"/>
    <w:basedOn w:val="731"/>
    <w:link w:val="730"/>
    <w:uiPriority w:val="9"/>
    <w:qFormat/>
    <w:rPr>
      <w:rFonts w:ascii="Arial" w:hAnsi="Arial" w:eastAsia="宋体" w:cs="Times New Roman"/>
      <w:bCs/>
      <w:sz w:val="24"/>
      <w:szCs w:val="24"/>
    </w:rPr>
  </w:style>
  <w:style w:type="character" w:styleId="776" w:customStyle="1">
    <w:name w:val="批注文字 Char"/>
    <w:basedOn w:val="731"/>
    <w:link w:val="737"/>
    <w:uiPriority w:val="0"/>
    <w:qFormat/>
    <w:rPr>
      <w:rFonts w:ascii="Times New Roman" w:hAnsi="Times New Roman" w:eastAsia="宋体" w:cs="Times New Roman"/>
      <w:szCs w:val="24"/>
    </w:rPr>
  </w:style>
  <w:style w:type="character" w:styleId="777" w:customStyle="1">
    <w:name w:val="正文文本 Char1"/>
    <w:basedOn w:val="731"/>
    <w:link w:val="738"/>
    <w:uiPriority w:val="99"/>
    <w:qFormat/>
    <w:rPr>
      <w:rFonts w:ascii="Times New Roman" w:hAnsi="Times New Roman" w:eastAsia="宋体" w:cs="Times New Roman"/>
      <w:sz w:val="20"/>
      <w:szCs w:val="24"/>
    </w:rPr>
  </w:style>
  <w:style w:type="character" w:styleId="778" w:customStyle="1">
    <w:name w:val="纯文本 Char1"/>
    <w:basedOn w:val="731"/>
    <w:link w:val="741"/>
    <w:uiPriority w:val="0"/>
    <w:qFormat/>
    <w:rPr>
      <w:rFonts w:ascii="宋体" w:hAnsi="Courier New" w:eastAsia="楷体_GB2312" w:cs="Times New Roman"/>
      <w:sz w:val="26"/>
      <w:szCs w:val="24"/>
    </w:rPr>
  </w:style>
  <w:style w:type="character" w:styleId="779" w:customStyle="1">
    <w:name w:val="日期 Char"/>
    <w:basedOn w:val="731"/>
    <w:link w:val="742"/>
    <w:uiPriority w:val="0"/>
    <w:qFormat/>
    <w:rPr>
      <w:rFonts w:ascii="Times New Roman" w:hAnsi="Times New Roman" w:eastAsia="宋体" w:cs="Times New Roman"/>
      <w:b/>
      <w:bCs/>
      <w:spacing w:val="20"/>
      <w:sz w:val="20"/>
      <w:szCs w:val="24"/>
    </w:rPr>
  </w:style>
  <w:style w:type="character" w:styleId="780" w:customStyle="1">
    <w:name w:val="批注框文本 Char"/>
    <w:basedOn w:val="731"/>
    <w:link w:val="744"/>
    <w:uiPriority w:val="0"/>
    <w:qFormat/>
    <w:rPr>
      <w:rFonts w:ascii="Times New Roman" w:hAnsi="Times New Roman" w:eastAsia="宋体" w:cs="Times New Roman"/>
      <w:sz w:val="18"/>
      <w:szCs w:val="18"/>
    </w:rPr>
  </w:style>
  <w:style w:type="character" w:styleId="781" w:customStyle="1">
    <w:name w:val="页脚 Char"/>
    <w:basedOn w:val="731"/>
    <w:link w:val="745"/>
    <w:uiPriority w:val="99"/>
    <w:qFormat/>
    <w:rPr>
      <w:rFonts w:ascii="Times New Roman" w:hAnsi="Times New Roman" w:eastAsia="宋体" w:cs="Times New Roman"/>
      <w:sz w:val="18"/>
      <w:szCs w:val="18"/>
    </w:rPr>
  </w:style>
  <w:style w:type="character" w:styleId="782" w:customStyle="1">
    <w:name w:val="页眉 Char"/>
    <w:basedOn w:val="731"/>
    <w:link w:val="747"/>
    <w:uiPriority w:val="0"/>
    <w:qFormat/>
    <w:rPr>
      <w:rFonts w:ascii="Times New Roman" w:hAnsi="Times New Roman" w:eastAsia="宋体" w:cs="Times New Roman"/>
      <w:sz w:val="18"/>
      <w:szCs w:val="18"/>
    </w:rPr>
  </w:style>
  <w:style w:type="character" w:styleId="783" w:customStyle="1">
    <w:name w:val="副标题 Char"/>
    <w:basedOn w:val="731"/>
    <w:link w:val="750"/>
    <w:uiPriority w:val="0"/>
    <w:qFormat/>
    <w:rPr>
      <w:rFonts w:ascii="宋体" w:hAnsi="Courier New" w:eastAsia="楷体_GB2312" w:cs="Times New Roman"/>
      <w:sz w:val="26"/>
      <w:szCs w:val="20"/>
    </w:rPr>
  </w:style>
  <w:style w:type="character" w:styleId="784" w:customStyle="1">
    <w:name w:val="正文文本缩进 3 Char"/>
    <w:basedOn w:val="731"/>
    <w:link w:val="752"/>
    <w:uiPriority w:val="0"/>
    <w:qFormat/>
    <w:rPr>
      <w:rFonts w:ascii="Times New Roman" w:hAnsi="Times New Roman" w:eastAsia="宋体" w:cs="Times New Roman"/>
      <w:sz w:val="24"/>
      <w:szCs w:val="24"/>
    </w:rPr>
  </w:style>
  <w:style w:type="character" w:styleId="785" w:customStyle="1">
    <w:name w:val="批注主题 Char"/>
    <w:basedOn w:val="776"/>
    <w:link w:val="736"/>
    <w:uiPriority w:val="0"/>
    <w:qFormat/>
    <w:rPr>
      <w:rFonts w:ascii="Times New Roman" w:hAnsi="Times New Roman" w:eastAsia="宋体" w:cs="Times New Roman"/>
      <w:b/>
      <w:bCs/>
      <w:szCs w:val="24"/>
    </w:rPr>
  </w:style>
  <w:style w:type="character" w:styleId="786" w:customStyle="1">
    <w:name w:val="hover14"/>
    <w:uiPriority w:val="0"/>
    <w:qFormat/>
    <w:rPr>
      <w:shd w:val="clear" w:color="auto" w:fill="eeeeee"/>
    </w:rPr>
  </w:style>
  <w:style w:type="character" w:styleId="787" w:customStyle="1">
    <w:name w:val="hour_pm"/>
    <w:uiPriority w:val="0"/>
    <w:qFormat/>
  </w:style>
  <w:style w:type="character" w:styleId="788" w:customStyle="1">
    <w:name w:val="first-child"/>
    <w:uiPriority w:val="0"/>
    <w:qFormat/>
  </w:style>
  <w:style w:type="character" w:styleId="789" w:customStyle="1">
    <w:name w:val="正文文本 Char"/>
    <w:uiPriority w:val="99"/>
    <w:qFormat/>
    <w:rPr>
      <w:rFonts w:ascii="Calibri" w:hAnsi="Calibri" w:eastAsia="宋体" w:cs="Times New Roman"/>
      <w:szCs w:val="24"/>
    </w:rPr>
  </w:style>
  <w:style w:type="character" w:styleId="790" w:customStyle="1">
    <w:name w:val="font81"/>
    <w:uiPriority w:val="0"/>
    <w:qFormat/>
    <w:rPr>
      <w:rFonts w:hint="eastAsia" w:ascii="宋体" w:hAnsi="宋体" w:eastAsia="宋体" w:cs="宋体"/>
      <w:b/>
      <w:color w:val="000000"/>
      <w:sz w:val="22"/>
      <w:szCs w:val="22"/>
      <w:u w:val="none"/>
    </w:rPr>
  </w:style>
  <w:style w:type="character" w:styleId="791" w:customStyle="1">
    <w:name w:val="日期 Char1"/>
    <w:uiPriority w:val="0"/>
    <w:qFormat/>
    <w:rPr>
      <w:rFonts w:ascii="Calibri" w:hAnsi="Calibri" w:eastAsia="宋体" w:cs="Times New Roman"/>
      <w:szCs w:val="24"/>
    </w:rPr>
  </w:style>
  <w:style w:type="character" w:styleId="792" w:customStyle="1">
    <w:name w:val="hover13"/>
    <w:uiPriority w:val="0"/>
    <w:qFormat/>
    <w:rPr>
      <w:shd w:val="clear" w:color="auto" w:fill="eeeeee"/>
    </w:rPr>
  </w:style>
  <w:style w:type="character" w:styleId="793" w:customStyle="1">
    <w:name w:val="font71"/>
    <w:uiPriority w:val="0"/>
    <w:qFormat/>
    <w:rPr>
      <w:rFonts w:hint="eastAsia" w:ascii="宋体" w:hAnsi="宋体" w:eastAsia="宋体" w:cs="宋体"/>
      <w:b/>
      <w:color w:val="000000"/>
      <w:sz w:val="22"/>
      <w:szCs w:val="22"/>
      <w:u w:val="none"/>
      <w:vertAlign w:val="superscript"/>
    </w:rPr>
  </w:style>
  <w:style w:type="character" w:styleId="794" w:customStyle="1">
    <w:name w:val="纯文本 Char"/>
    <w:uiPriority w:val="0"/>
    <w:qFormat/>
    <w:rPr>
      <w:rFonts w:ascii="宋体" w:hAnsi="Courier New" w:eastAsia="宋体" w:cs="Courier New"/>
      <w:szCs w:val="21"/>
    </w:rPr>
  </w:style>
  <w:style w:type="character" w:styleId="795" w:customStyle="1">
    <w:name w:val="select2-selection__rendered"/>
    <w:uiPriority w:val="0"/>
    <w:qFormat/>
    <w:rPr>
      <w:sz w:val="18"/>
      <w:szCs w:val="18"/>
    </w:rPr>
  </w:style>
  <w:style w:type="character" w:styleId="796" w:customStyle="1">
    <w:name w:val="first-child1"/>
    <w:uiPriority w:val="0"/>
    <w:qFormat/>
  </w:style>
  <w:style w:type="character" w:styleId="797" w:customStyle="1">
    <w:name w:val="old"/>
    <w:uiPriority w:val="0"/>
    <w:qFormat/>
    <w:rPr>
      <w:color w:val="999999"/>
    </w:rPr>
  </w:style>
  <w:style w:type="character" w:styleId="798" w:customStyle="1">
    <w:name w:val="time"/>
    <w:uiPriority w:val="0"/>
    <w:qFormat/>
    <w:rPr>
      <w:rFonts w:ascii="Arial" w:hAnsi="Arial" w:cs="Arial"/>
    </w:rPr>
  </w:style>
  <w:style w:type="character" w:styleId="799" w:customStyle="1">
    <w:name w:val="Plain Text Char"/>
    <w:link w:val="800"/>
    <w:uiPriority w:val="0"/>
    <w:qFormat/>
    <w:rPr>
      <w:rFonts w:ascii="宋体" w:hAnsi="Courier New" w:eastAsia="楷体_GB2312" w:cs="Times New Roman"/>
      <w:sz w:val="26"/>
    </w:rPr>
  </w:style>
  <w:style w:type="paragraph" w:styleId="800" w:customStyle="1">
    <w:name w:val="纯文本3"/>
    <w:basedOn w:val="725"/>
    <w:link w:val="799"/>
    <w:uiPriority w:val="0"/>
    <w:qFormat/>
    <w:rPr>
      <w:rFonts w:ascii="宋体" w:hAnsi="Courier New" w:eastAsia="楷体_GB2312"/>
      <w:sz w:val="26"/>
      <w:szCs w:val="22"/>
    </w:rPr>
  </w:style>
  <w:style w:type="character" w:styleId="801" w:customStyle="1">
    <w:name w:val="hour_am"/>
    <w:uiPriority w:val="0"/>
    <w:qFormat/>
  </w:style>
  <w:style w:type="character" w:styleId="802" w:customStyle="1">
    <w:name w:val="NormalCharacter"/>
    <w:uiPriority w:val="0"/>
    <w:semiHidden/>
    <w:qFormat/>
    <w:rPr>
      <w:rFonts w:ascii="Times New Roman" w:hAnsi="Times New Roman" w:eastAsia="宋体" w:cs="Times New Roman"/>
    </w:rPr>
  </w:style>
  <w:style w:type="paragraph" w:styleId="803" w:customStyle="1">
    <w:name w:val="纯文本2"/>
    <w:basedOn w:val="725"/>
    <w:uiPriority w:val="0"/>
    <w:qFormat/>
    <w:rPr>
      <w:rFonts w:ascii="宋体" w:hAnsi="Courier New"/>
    </w:rPr>
  </w:style>
  <w:style w:type="paragraph" w:styleId="804" w:customStyle="1">
    <w:name w:val="文本正文"/>
    <w:basedOn w:val="725"/>
    <w:uiPriority w:val="0"/>
    <w:qFormat/>
    <w:pPr>
      <w:ind w:firstLine="560"/>
      <w:jc w:val="left"/>
      <w:spacing w:line="360" w:lineRule="auto"/>
    </w:pPr>
    <w:rPr>
      <w:sz w:val="28"/>
      <w:szCs w:val="28"/>
    </w:rPr>
  </w:style>
  <w:style w:type="paragraph" w:styleId="805" w:customStyle="1">
    <w:name w:val="Plain Text1"/>
    <w:basedOn w:val="725"/>
    <w:uiPriority w:val="0"/>
    <w:qFormat/>
    <w:pPr>
      <w:jc w:val="left"/>
      <w:widowControl/>
    </w:pPr>
    <w:rPr>
      <w:rFonts w:ascii="宋体" w:hAnsi="Courier New" w:eastAsia="楷体_GB2312"/>
      <w:sz w:val="26"/>
      <w:szCs w:val="20"/>
    </w:rPr>
  </w:style>
  <w:style w:type="paragraph" w:styleId="806" w:customStyle="1">
    <w:name w:val="纯文本4"/>
    <w:basedOn w:val="725"/>
    <w:uiPriority w:val="0"/>
    <w:qFormat/>
    <w:rPr>
      <w:rFonts w:ascii="宋体" w:hAnsi="Courier New" w:eastAsia="楷体_GB2312"/>
      <w:sz w:val="26"/>
      <w:szCs w:val="20"/>
    </w:rPr>
  </w:style>
  <w:style w:type="paragraph" w:styleId="80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808">
    <w:name w:val="List Paragraph"/>
    <w:basedOn w:val="725"/>
    <w:uiPriority w:val="99"/>
    <w:qFormat/>
    <w:pPr>
      <w:ind w:firstLine="420"/>
    </w:pPr>
  </w:style>
  <w:style w:type="paragraph" w:styleId="809" w:customStyle="1">
    <w:name w:val="纯文本1"/>
    <w:basedOn w:val="725"/>
    <w:uiPriority w:val="0"/>
    <w:qFormat/>
    <w:rPr>
      <w:rFonts w:ascii="宋体" w:hAnsi="Courier New" w:eastAsia="楷体_GB2312"/>
      <w:sz w:val="28"/>
      <w:szCs w:val="20"/>
    </w:rPr>
  </w:style>
  <w:style w:type="paragraph" w:styleId="810" w:customStyle="1">
    <w:name w:val="修订1"/>
    <w:uiPriority w:val="99"/>
    <w:unhideWhenUsed/>
    <w:qFormat/>
    <w:rPr>
      <w:rFonts w:ascii="Times New Roman" w:hAnsi="Times New Roman" w:eastAsia="宋体" w:cs="Times New Roman"/>
      <w:sz w:val="21"/>
      <w:szCs w:val="24"/>
      <w:lang w:val="en-US" w:eastAsia="zh-CN" w:bidi="ar-SA"/>
    </w:rPr>
  </w:style>
  <w:style w:type="paragraph" w:styleId="811" w:customStyle="1">
    <w:name w:val="纯文本5"/>
    <w:basedOn w:val="725"/>
    <w:uiPriority w:val="0"/>
    <w:qFormat/>
    <w:rPr>
      <w:rFonts w:ascii="宋体" w:hAnsi="Courier New" w:eastAsia="楷体_GB2312"/>
      <w:sz w:val="26"/>
      <w:szCs w:val="20"/>
    </w:rPr>
  </w:style>
  <w:style w:type="paragraph" w:styleId="812" w:customStyle="1">
    <w:name w:val="纯文本6"/>
    <w:basedOn w:val="725"/>
    <w:uiPriority w:val="0"/>
    <w:qFormat/>
    <w:rPr>
      <w:rFonts w:ascii="宋体" w:hAnsi="Courier New" w:eastAsia="楷体_GB2312"/>
      <w:sz w:val="26"/>
      <w:szCs w:val="20"/>
    </w:rPr>
  </w:style>
  <w:style w:type="character" w:styleId="813" w:customStyle="1">
    <w:name w:val="font21"/>
    <w:basedOn w:val="731"/>
    <w:uiPriority w:val="0"/>
    <w:qFormat/>
    <w:rPr>
      <w:rFonts w:hint="eastAsia" w:ascii="宋体" w:hAnsi="宋体" w:eastAsia="宋体" w:cs="宋体"/>
      <w:color w:val="000000"/>
      <w:sz w:val="22"/>
      <w:szCs w:val="22"/>
      <w:u w:val="none"/>
    </w:rPr>
  </w:style>
  <w:style w:type="paragraph" w:styleId="814" w:customStyle="1">
    <w:name w:val="正文1"/>
    <w:basedOn w:val="725"/>
    <w:uiPriority w:val="0"/>
    <w:qFormat/>
    <w:rPr>
      <w:rFonts w:ascii="宋体" w:hAnsi="宋体" w:cs="宋体"/>
      <w:sz w:val="24"/>
      <w:szCs w:val="20"/>
      <w:lang w:eastAsia="en-US"/>
    </w:rPr>
  </w:style>
  <w:style w:type="paragraph" w:styleId="815" w:customStyle="1">
    <w:name w:val="Table Paragraph"/>
    <w:basedOn w:val="725"/>
    <w:uiPriority w:val="1"/>
    <w:qFormat/>
    <w:rPr>
      <w:rFonts w:ascii="宋体" w:hAnsi="宋体" w:cs="宋体"/>
      <w:lang w:val="zh-CN" w:bidi="zh-CN"/>
    </w:rPr>
  </w:style>
  <w:style w:type="paragraph" w:styleId="816" w:customStyle="1">
    <w:name w:val="Andy_3级"/>
    <w:basedOn w:val="725"/>
    <w:uiPriority w:val="0"/>
    <w:qFormat/>
    <w:pPr>
      <w:ind w:firstLine="510"/>
      <w:spacing w:line="360" w:lineRule="auto"/>
    </w:pPr>
    <w:rPr>
      <w:rFonts w:ascii="Calibri" w:hAnsi="Calibri"/>
      <w:sz w:val="24"/>
    </w:rPr>
  </w:style>
  <w:style w:type="character" w:styleId="817" w:customStyle="1">
    <w:name w:val="font51"/>
    <w:basedOn w:val="731"/>
    <w:uiPriority w:val="0"/>
    <w:qFormat/>
    <w:rPr>
      <w:rFonts w:hint="eastAsia" w:ascii="宋体" w:hAnsi="宋体" w:eastAsia="宋体" w:cs="宋体"/>
      <w:color w:val="000000"/>
      <w:sz w:val="22"/>
      <w:szCs w:val="22"/>
      <w:u w:val="none"/>
    </w:rPr>
  </w:style>
  <w:style w:type="character" w:styleId="818" w:customStyle="1">
    <w:name w:val="font31"/>
    <w:basedOn w:val="731"/>
    <w:uiPriority w:val="0"/>
    <w:qFormat/>
    <w:rPr>
      <w:rFonts w:hint="default" w:ascii="Times New Roman" w:hAnsi="Times New Roman" w:cs="Times New Roman"/>
      <w:color w:val="000000"/>
      <w:sz w:val="22"/>
      <w:szCs w:val="22"/>
      <w:u w:val="none"/>
    </w:rPr>
  </w:style>
  <w:style w:type="character" w:styleId="819" w:customStyle="1">
    <w:name w:val="font11"/>
    <w:basedOn w:val="731"/>
    <w:uiPriority w:val="0"/>
    <w:qFormat/>
    <w:rPr>
      <w:rFonts w:hint="eastAsia" w:ascii="宋体" w:hAnsi="宋体" w:eastAsia="宋体" w:cs="宋体"/>
      <w:color w:val="000000"/>
      <w:sz w:val="22"/>
      <w:szCs w:val="22"/>
      <w:u w:val="none"/>
    </w:rPr>
  </w:style>
  <w:style w:type="paragraph" w:styleId="820" w:customStyle="1">
    <w:name w:val="文档结构图1"/>
    <w:basedOn w:val="725"/>
    <w:uiPriority w:val="99"/>
    <w:qFormat/>
    <w:pPr>
      <w:shd w:val="clear" w:color="auto" w:fill="000080"/>
    </w:pPr>
  </w:style>
  <w:style w:type="paragraph" w:styleId="821" w:customStyle="1">
    <w:name w:val="纯文本7"/>
    <w:basedOn w:val="725"/>
    <w:uiPriority w:val="0"/>
    <w:qFormat/>
    <w:rPr>
      <w:rFonts w:ascii="宋体" w:hAnsi="Courier New" w:eastAsia="楷体_GB2312"/>
      <w:sz w:val="26"/>
      <w:szCs w:val="20"/>
    </w:rPr>
  </w:style>
  <w:style w:type="paragraph" w:styleId="822" w:customStyle="1">
    <w:name w:val="表"/>
    <w:basedOn w:val="725"/>
    <w:uiPriority w:val="0"/>
    <w:qFormat/>
    <w:pPr>
      <w:jc w:val="center"/>
    </w:pPr>
    <w:rPr>
      <w:rFonts w:ascii="Calibri" w:hAnsi="Calibri"/>
      <w:sz w:val="22"/>
    </w:rPr>
  </w:style>
  <w:style w:type="paragraph" w:styleId="823" w:customStyle="1">
    <w:name w:val="列表段落1"/>
    <w:basedOn w:val="725"/>
    <w:uiPriority w:val="34"/>
    <w:qFormat/>
    <w:pPr>
      <w:ind w:firstLine="420"/>
    </w:pPr>
    <w:rPr>
      <w:rFonts w:ascii="等线" w:hAnsi="等线" w:eastAsia="等线"/>
    </w:rPr>
  </w:style>
  <w:style w:type="paragraph" w:styleId="824" w:customStyle="1">
    <w:name w:val="List Paragraph1"/>
    <w:basedOn w:val="725"/>
    <w:uiPriority w:val="0"/>
    <w:qFormat/>
    <w:pPr>
      <w:ind w:firstLine="420"/>
    </w:pPr>
  </w:style>
  <w:style w:type="paragraph" w:styleId="825" w:customStyle="1">
    <w:name w:val="Table Text"/>
    <w:basedOn w:val="725"/>
    <w:uiPriority w:val="0"/>
    <w:semiHidden/>
    <w:qFormat/>
    <w:rPr>
      <w:rFonts w:ascii="宋体" w:hAnsi="宋体" w:eastAsia="宋体" w:cs="宋体"/>
      <w:sz w:val="21"/>
      <w:szCs w:val="21"/>
      <w:lang w:val="en-US" w:eastAsia="en-US" w:bidi="ar-SA"/>
    </w:rPr>
  </w:style>
  <w:style w:type="table" w:styleId="826" w:customStyle="1">
    <w:name w:val="Table Normal"/>
    <w:uiPriority w:val="0"/>
    <w:semiHidden/>
    <w:unhideWhenUsed/>
    <w:qFormat/>
    <w:tblPr>
      <w:tblCellMar>
        <w:left w:w="0" w:type="dxa"/>
        <w:top w:w="0" w:type="dxa"/>
        <w:right w:w="0" w:type="dxa"/>
        <w:bottom w:w="0" w:type="dxa"/>
      </w:tblCellMar>
    </w:tblPr>
  </w:style>
  <w:style w:type="numbering" w:styleId="14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30</cp:revision>
  <dcterms:created xsi:type="dcterms:W3CDTF">2024-05-06T08:40:00Z</dcterms:created>
  <dcterms:modified xsi:type="dcterms:W3CDTF">2026-08-24T03:06:34Z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