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ind w:firstLine="0"/>
        <w:rPr>
          <w:rFonts w:eastAsia="黑体"/>
          <w:b/>
          <w:bCs/>
          <w:color w:val="000000" w:themeColor="text1"/>
          <w:sz w:val="84"/>
          <w14:textFill>
            <w14:solidFill>
              <w14:schemeClr w14:val="tx1"/>
            </w14:solidFill>
          </w14:textFill>
        </w:rPr>
      </w:pPr>
      <w:r/>
      <w:bookmarkStart w:id="188" w:name="_GoBack"/>
      <w:r/>
      <w:bookmarkEnd w:id="188"/>
      <w:r/>
      <w:r/>
    </w:p>
    <w:p>
      <w:pPr>
        <w:pStyle w:val="860"/>
        <w:ind w:firstLine="0"/>
        <w:jc w:val="center"/>
        <w:rPr>
          <w:rFonts w:ascii="方正小标宋_GBK" w:hAnsi="方正小标宋_GBK" w:eastAsia="方正小标宋_GBK" w:cs="方正小标宋_GBK"/>
          <w:color w:val="000000" w:themeColor="text1"/>
          <w:sz w:val="52"/>
          <w:szCs w:val="52"/>
          <w14:textFill>
            <w14:solidFill>
              <w14:schemeClr w14:val="tx1"/>
            </w14:solidFill>
          </w14:textFill>
        </w:rPr>
      </w:pPr>
      <w:r>
        <w:rPr>
          <w:rFonts w:hint="eastAsia" w:ascii="方正小标宋_GBK" w:hAnsi="方正小标宋_GBK" w:eastAsia="方正小标宋_GBK" w:cs="方正小标宋_GBK"/>
          <w:color w:val="000000" w:themeColor="text1"/>
          <w:sz w:val="52"/>
          <w:szCs w:val="52"/>
          <w14:textFill>
            <w14:solidFill>
              <w14:schemeClr w14:val="tx1"/>
            </w14:solidFill>
          </w14:textFill>
        </w:rPr>
        <w:t xml:space="preserve">招　标　文　件</w:t>
      </w:r>
      <w:r/>
    </w:p>
    <w:p>
      <w:pPr>
        <w:pStyle w:val="860"/>
        <w:ind w:firstLine="1968"/>
        <w:spacing w:line="400" w:lineRule="exact"/>
        <w:rPr>
          <w:b/>
          <w:bCs/>
          <w:color w:val="000000" w:themeColor="text1"/>
          <w:sz w:val="28"/>
          <w:szCs w:val="28"/>
          <w14:textFill>
            <w14:solidFill>
              <w14:schemeClr w14:val="tx1"/>
            </w14:solidFill>
          </w14:textFill>
        </w:rPr>
      </w:pPr>
      <w:r>
        <w:rPr>
          <w:b/>
          <w:bCs/>
          <w:color w:val="000000" w:themeColor="text1"/>
          <w:sz w:val="28"/>
          <w:szCs w:val="28"/>
          <w14:textFill>
            <w14:solidFill>
              <w14:schemeClr w14:val="tx1"/>
            </w14:solidFill>
          </w14:textFill>
        </w:rPr>
      </w:r>
      <w:r/>
    </w:p>
    <w:p>
      <w:pPr>
        <w:jc w:val="center"/>
        <w:spacing w:before="120" w:after="120"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项目名称：</w:t>
      </w:r>
      <w:r>
        <w:rPr>
          <w:rFonts w:ascii="方正黑体_GBK" w:hAnsi="方正黑体_GBK" w:eastAsia="方正黑体_GBK" w:cs="方正黑体_GBK"/>
          <w:color w:val="000000" w:themeColor="text1"/>
          <w:sz w:val="28"/>
          <w:szCs w:val="28"/>
          <w14:textFill>
            <w14:solidFill>
              <w14:schemeClr w14:val="tx1"/>
            </w14:solidFill>
          </w14:textFill>
        </w:rPr>
        <w:t xml:space="preserve">江苏信息职业技术学院物业托管服务</w:t>
      </w:r>
      <w:r/>
    </w:p>
    <w:p>
      <w:pPr>
        <w:jc w:val="center"/>
        <w:spacing w:before="120" w:after="120"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采购编号：</w:t>
      </w:r>
      <w:r>
        <w:rPr>
          <w:rFonts w:ascii="方正黑体_GBK" w:hAnsi="方正黑体_GBK" w:eastAsia="方正黑体_GBK" w:cs="方正黑体_GBK"/>
          <w:color w:val="000000" w:themeColor="text1"/>
          <w:sz w:val="28"/>
          <w:szCs w:val="28"/>
          <w14:textFill>
            <w14:solidFill>
              <w14:schemeClr w14:val="tx1"/>
            </w14:solidFill>
          </w14:textFill>
        </w:rPr>
        <w:t xml:space="preserve">JSZC-320000-SCZX-G2026-0338</w:t>
      </w:r>
      <w:r/>
    </w:p>
    <w:p>
      <w:pPr>
        <w:ind w:firstLine="560"/>
        <w:jc w:val="left"/>
        <w:spacing w:before="120" w:after="120"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ascii="方正黑体_GBK" w:hAnsi="方正黑体_GBK" w:eastAsia="方正黑体_GBK" w:cs="方正黑体_GBK"/>
          <w:color w:val="000000" w:themeColor="text1"/>
          <w:sz w:val="28"/>
          <w:szCs w:val="28"/>
          <w14:textFill>
            <w14:solidFill>
              <w14:schemeClr w14:val="tx1"/>
            </w14:solidFill>
          </w14:textFill>
        </w:rPr>
      </w:r>
      <w:r/>
    </w:p>
    <w:p>
      <w:pPr>
        <w:jc w:val="cente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pStyle w:val="860"/>
        <w:ind w:firstLine="0"/>
        <w:spacing w:before="0" w:after="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firstLine="0"/>
        <w:spacing w:before="0" w:after="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firstLine="0"/>
        <w:spacing w:before="0" w:after="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firstLine="0"/>
        <w:spacing w:before="0" w:after="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firstLine="0"/>
        <w:spacing w:before="0" w:after="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firstLine="0"/>
        <w:spacing w:before="0" w:after="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firstLine="0"/>
        <w:spacing w:before="0" w:after="0"/>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jc w:val="center"/>
        <w:spacing w:before="120" w:after="120"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江苏省政府采购中心</w:t>
      </w:r>
      <w:r/>
    </w:p>
    <w:p>
      <w:pPr>
        <w:jc w:val="center"/>
        <w:spacing w:before="120" w:after="120"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2026年8月</w:t>
      </w:r>
      <w:r/>
    </w:p>
    <w:p>
      <w:pPr>
        <w:pStyle w:val="860"/>
        <w:ind w:firstLine="0"/>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                        </w:t>
      </w:r>
      <w:r/>
    </w:p>
    <w:p>
      <w:pPr>
        <w:pStyle w:val="860"/>
        <w:ind w:firstLine="0"/>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00" w:lineRule="exact"/>
        <w:rPr>
          <w:rFonts w:ascii="黑体" w:hAnsi="Arial" w:eastAsia="黑体"/>
          <w:b/>
          <w:color w:val="000000" w:themeColor="text1"/>
          <w:sz w:val="28"/>
          <w:szCs w:val="28"/>
          <w14:textFill>
            <w14:solidFill>
              <w14:schemeClr w14:val="tx1"/>
            </w14:solidFill>
          </w14:textFill>
        </w:rPr>
        <w:outlineLvl w:val="0"/>
      </w:pPr>
      <w:r>
        <w:rPr>
          <w:color w:val="000000" w:themeColor="text1"/>
          <w14:textFill>
            <w14:solidFill>
              <w14:schemeClr w14:val="tx1"/>
            </w14:solidFill>
          </w14:textFill>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方正黑体_GBK" w:hAnsi="方正黑体_GBK" w:eastAsia="方正黑体_GBK" w:cs="方正黑体_GBK"/>
          <w:b/>
          <w:color w:val="000000" w:themeColor="text1"/>
          <w:sz w:val="28"/>
          <w:szCs w:val="28"/>
          <w14:textFill>
            <w14:solidFill>
              <w14:schemeClr w14:val="tx1"/>
            </w14:solidFill>
          </w14:textFill>
        </w:rPr>
        <w:t xml:space="preserve"> </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总  目  录</w:t>
      </w:r>
      <w:r/>
    </w:p>
    <w:p>
      <w:pPr>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ascii="方正黑体_GBK" w:hAnsi="方正黑体_GBK" w:eastAsia="方正黑体_GBK" w:cs="方正黑体_GBK"/>
          <w:color w:val="000000" w:themeColor="text1"/>
          <w:sz w:val="28"/>
          <w:szCs w:val="28"/>
          <w14:textFill>
            <w14:solidFill>
              <w14:schemeClr w14:val="tx1"/>
            </w14:solidFill>
          </w14:textFill>
        </w:rPr>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第一章 投标邀请……………………………………3</w:t>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第二章 投标人须知…………………………………6</w:t>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第三章 合同文本……………………………………16</w:t>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第四章 采购需求……………………………………21</w:t>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第五章 评标方法与评标标准………………………68</w:t>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第六章 投标文件格式………………………………81</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6" w:name="OLE_LINK2"/>
      <w:r/>
      <w:bookmarkStart w:id="7" w:name="OLE_LINK1"/>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第一章  </w:t>
      </w:r>
      <w:bookmarkEnd w:id="0"/>
      <w:r>
        <w:rPr>
          <w:rFonts w:hint="eastAsia" w:ascii="方正黑体_GBK" w:hAnsi="方正黑体_GBK" w:eastAsia="方正黑体_GBK" w:cs="方正黑体_GBK"/>
          <w:color w:val="000000" w:themeColor="text1"/>
          <w:sz w:val="28"/>
          <w:szCs w:val="28"/>
          <w14:textFill>
            <w14:solidFill>
              <w14:schemeClr w14:val="tx1"/>
            </w14:solidFill>
          </w14:textFill>
        </w:rPr>
        <w:t xml:space="preserve">投标邀请</w:t>
      </w:r>
      <w:bookmarkEnd w:id="6"/>
      <w:bookmarkEnd w:id="7"/>
      <w:r/>
    </w:p>
    <w:p>
      <w:pPr>
        <w:ind w:firstLine="560"/>
        <w:spacing w:line="400" w:lineRule="exact"/>
        <w:rPr>
          <w:rFonts w:hint="eastAsia" w:ascii="方正仿宋_GBK" w:hAnsi="方正仿宋_GBK" w:eastAsia="方正仿宋_GBK" w:cs="方正仿宋_GBK"/>
          <w:color w:val="000000" w:themeColor="text1"/>
          <w:sz w:val="28"/>
          <w:szCs w:val="28"/>
          <w14:textFill>
            <w14:solidFill>
              <w14:schemeClr w14:val="tx1"/>
            </w14:solidFill>
          </w14:textFill>
        </w:rPr>
      </w:pPr>
      <w:r/>
      <w:bookmarkStart w:id="8" w:name="OLE_LINK5"/>
      <w:r/>
      <w:bookmarkStart w:id="9" w:name="OLE_LINK3"/>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受江苏信息职业技术学院的委托，江苏省政府采购中心就江苏信息职业技术学院物业托管服务（JSZC-320000-SCZX-G2026-0338）项目进行公开招标采购，欢迎符合条件的供应商投标。</w:t>
      </w:r>
      <w:bookmarkEnd w:id="8"/>
      <w:bookmarkEnd w:id="9"/>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项目概况</w:t>
      </w:r>
      <w:r/>
    </w:p>
    <w:p>
      <w:pPr>
        <w:ind w:firstLine="560"/>
        <w:spacing w:line="400" w:lineRule="exact"/>
        <w:rPr>
          <w:rFonts w:ascii="宋体" w:hAnsi="宋体"/>
          <w:color w:val="000000" w:themeColor="text1"/>
          <w:sz w:val="28"/>
          <w:szCs w:val="28"/>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ascii="方正仿宋_GBK" w:hAnsi="方正仿宋_GBK" w:eastAsia="方正仿宋_GBK" w:cs="方正仿宋_GBK"/>
          <w:color w:val="000000" w:themeColor="text1"/>
          <w:sz w:val="28"/>
          <w:szCs w:val="28"/>
          <w:u w:val="single"/>
          <w14:textFill>
            <w14:solidFill>
              <w14:schemeClr w14:val="tx1"/>
            </w14:solidFill>
          </w14:textFill>
        </w:rPr>
        <w:t xml:space="preserve">江苏信息职业技术学院物业托管服务</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招标项目的潜在投标人可在</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“江苏政府采购网”自行免费下载</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招标文件，</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并于2026年9月</w:t>
      </w:r>
      <w:r>
        <w:rPr>
          <w:rFonts w:hint="eastAsia" w:ascii="方正仿宋_GBK" w:hAnsi="方正仿宋_GBK" w:eastAsia="方正仿宋_GBK" w:cs="方正仿宋_GBK"/>
          <w:color w:val="000000" w:themeColor="text1"/>
          <w:sz w:val="28"/>
          <w:szCs w:val="28"/>
          <w:u w:val="single"/>
          <w:lang w:val="en-US" w:eastAsia="zh-CN"/>
          <w14:textFill>
            <w14:solidFill>
              <w14:schemeClr w14:val="tx1"/>
            </w14:solidFill>
          </w14:textFill>
        </w:rPr>
        <w:t xml:space="preserve">10</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日09时30分（北京时间）前递交投标文件。</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10" w:name="_Toc28359079"/>
      <w:r/>
      <w:bookmarkStart w:id="11" w:name="_Toc35393621"/>
      <w:r/>
      <w:bookmarkStart w:id="12" w:name="_Toc38985263"/>
      <w:r/>
      <w:bookmarkStart w:id="13" w:name="_Toc28359002"/>
      <w:r/>
      <w:bookmarkStart w:id="14" w:name="_Toc35393790"/>
      <w:r/>
      <w:bookmarkStart w:id="15" w:name="_Hlk24379207"/>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一、项目基本情况</w:t>
      </w:r>
      <w:bookmarkEnd w:id="10"/>
      <w:r/>
      <w:bookmarkEnd w:id="11"/>
      <w:r/>
      <w:bookmarkEnd w:id="12"/>
      <w:r/>
      <w:bookmarkEnd w:id="13"/>
      <w:r/>
      <w:bookmarkEnd w:id="14"/>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1.采购编号</w:t>
      </w:r>
      <w:r>
        <w:rPr>
          <w:rFonts w:hint="eastAsia" w:eastAsia="方正仿宋_GBK"/>
          <w:color w:val="000000" w:themeColor="text1"/>
          <w:sz w:val="28"/>
          <w:szCs w:val="28"/>
          <w14:textFill>
            <w14:solidFill>
              <w14:schemeClr w14:val="tx1"/>
            </w14:solidFill>
          </w14:textFill>
        </w:rPr>
        <w:t xml:space="preserve">：</w:t>
      </w:r>
      <w:r>
        <w:rPr>
          <w:rFonts w:ascii="方正仿宋_GBK" w:hAnsi="方正仿宋_GBK" w:eastAsia="方正仿宋_GBK" w:cs="方正仿宋_GBK"/>
          <w:color w:val="000000" w:themeColor="text1"/>
          <w:sz w:val="28"/>
          <w:szCs w:val="28"/>
          <w14:textFill>
            <w14:solidFill>
              <w14:schemeClr w14:val="tx1"/>
            </w14:solidFill>
          </w14:textFill>
        </w:rPr>
        <w:t xml:space="preserve">JSZC-320000-SCZX-G2026-0338</w:t>
      </w:r>
      <w:r>
        <w:rPr>
          <w:rFonts w:hint="eastAsia" w:eastAsia="方正仿宋_GBK"/>
          <w:color w:val="000000" w:themeColor="text1"/>
          <w:sz w:val="28"/>
          <w:szCs w:val="28"/>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6" w:name="OLE_LINK7"/>
      <w:r/>
      <w:bookmarkStart w:id="17" w:name="OLE_LINK6"/>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2.项目名称：</w:t>
      </w:r>
      <w:bookmarkEnd w:id="15"/>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 xml:space="preserve">江苏信息职业技术学院物业托管服务</w:t>
      </w:r>
      <w:bookmarkEnd w:id="16"/>
      <w:bookmarkEnd w:id="17"/>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3.预算金额</w:t>
      </w:r>
      <w:r/>
    </w:p>
    <w:tbl>
      <w:tblPr>
        <w:tblStyle w:val="739"/>
        <w:tblW w:w="5208"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4110"/>
      </w:tblGrid>
      <w:tr>
        <w:trPr/>
        <w:tc>
          <w:tcPr>
            <w:tcW w:w="109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w:t>
            </w:r>
            <w:r/>
          </w:p>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包号</w:t>
            </w:r>
            <w:r/>
          </w:p>
        </w:tc>
        <w:tc>
          <w:tcPr>
            <w:tcW w:w="411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预算金额</w:t>
            </w:r>
            <w:r/>
          </w:p>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（人民币：万元）</w:t>
            </w:r>
            <w:r/>
          </w:p>
        </w:tc>
      </w:tr>
      <w:tr>
        <w:trPr/>
        <w:tc>
          <w:tcPr>
            <w:tcW w:w="1098" w:type="dxa"/>
            <w:textDirection w:val="lrTb"/>
            <w:noWrap w:val="false"/>
          </w:tcPr>
          <w:p>
            <w:pPr>
              <w:ind w:firstLine="28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8" w:name="_Hlk233119537"/>
            <w:r/>
            <w:bookmarkStart w:id="19" w:name="OLE_LINK185"/>
            <w:r/>
            <w:bookmarkStart w:id="20" w:name="OLE_LINK186"/>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4110" w:type="dxa"/>
            <w:textDirection w:val="lrTb"/>
            <w:noWrap w:val="false"/>
          </w:tcPr>
          <w:p>
            <w:pPr>
              <w:ind w:firstLine="112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942</w:t>
            </w:r>
            <w:r>
              <w:rPr>
                <w:rFonts w:ascii="方正仿宋_GBK" w:hAnsi="方正仿宋_GBK" w:eastAsia="方正仿宋_GBK" w:cs="方正仿宋_GBK"/>
                <w:color w:val="000000" w:themeColor="text1"/>
                <w:sz w:val="28"/>
                <w:szCs w:val="28"/>
                <w14:textFill>
                  <w14:solidFill>
                    <w14:schemeClr w14:val="tx1"/>
                  </w14:solidFill>
                </w14:textFill>
              </w:rPr>
              <w:t xml:space="preserve">（三年）</w:t>
            </w:r>
            <w:bookmarkEnd w:id="18"/>
            <w:r/>
            <w:bookmarkEnd w:id="19"/>
            <w:r/>
            <w:bookmarkEnd w:id="20"/>
            <w:r/>
            <w:r/>
          </w:p>
        </w:tc>
      </w:tr>
    </w:tbl>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4.最高限价</w:t>
      </w:r>
      <w:r/>
    </w:p>
    <w:tbl>
      <w:tblPr>
        <w:tblStyle w:val="739"/>
        <w:tblW w:w="5208"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w:t>
            </w:r>
            <w:r/>
          </w:p>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包号</w:t>
            </w:r>
            <w:r/>
          </w:p>
        </w:tc>
        <w:tc>
          <w:tcPr>
            <w:tcW w:w="406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最高限价</w:t>
            </w:r>
            <w:r/>
          </w:p>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4060" w:type="dxa"/>
            <w:textDirection w:val="lrTb"/>
            <w:noWrap w:val="false"/>
          </w:tcPr>
          <w:p>
            <w:pPr>
              <w:ind w:firstLine="1120"/>
              <w:spacing w:line="400" w:lineRule="exact"/>
              <w:rPr>
                <w:color w:val="000000" w:themeColor="text1"/>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942</w:t>
            </w:r>
            <w:r>
              <w:rPr>
                <w:rFonts w:ascii="方正仿宋_GBK" w:hAnsi="方正仿宋_GBK" w:eastAsia="方正仿宋_GBK" w:cs="方正仿宋_GBK"/>
                <w:color w:val="000000" w:themeColor="text1"/>
                <w:sz w:val="28"/>
                <w:szCs w:val="28"/>
                <w14:textFill>
                  <w14:solidFill>
                    <w14:schemeClr w14:val="tx1"/>
                  </w14:solidFill>
                </w14:textFill>
              </w:rPr>
              <w:t xml:space="preserve">（三年）</w:t>
            </w:r>
            <w:r/>
          </w:p>
        </w:tc>
      </w:tr>
    </w:tbl>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bookmarkStart w:id="21" w:name="_Toc35393622"/>
      <w:r/>
      <w:bookmarkStart w:id="22" w:name="_Toc28359003"/>
      <w:r/>
      <w:bookmarkStart w:id="23" w:name="_Toc35393791"/>
      <w:r/>
      <w:bookmarkStart w:id="24" w:name="_Toc28359080"/>
      <w:r/>
      <w:bookmarkStart w:id="25" w:name="_Toc38985264"/>
      <w:r>
        <w:rPr>
          <w:rFonts w:hint="eastAsia" w:ascii="方正仿宋_GBK" w:hAnsi="方正仿宋_GBK" w:eastAsia="方正仿宋_GBK" w:cs="方正仿宋_GBK"/>
          <w:color w:val="000000" w:themeColor="text1"/>
          <w:sz w:val="28"/>
          <w:szCs w:val="28"/>
          <w14:textFill>
            <w14:solidFill>
              <w14:schemeClr w14:val="tx1"/>
            </w14:solidFill>
          </w14:textFill>
        </w:rPr>
        <w:t xml:space="preserve">5.采购需求(简介)：</w:t>
      </w:r>
      <w:r>
        <w:rPr>
          <w:rFonts w:hint="eastAsia" w:eastAsia="方正仿宋_GBK"/>
          <w:color w:val="000000" w:themeColor="text1"/>
          <w:sz w:val="28"/>
          <w:szCs w:val="28"/>
          <w14:textFill>
            <w14:solidFill>
              <w14:schemeClr w14:val="tx1"/>
            </w14:solidFill>
          </w14:textFill>
        </w:rPr>
        <w:t xml:space="preserve">江苏信息职业技术学院位于无锡市钱藕路1号，学院占地近1000亩，建筑面积25万余平方米。本项目采购该校物业管理服务主要包括学生公寓门厅管理、环境保洁及宿舍卫生检查等。</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（详细内容见本招标文件第四章）</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6.合同履行期限：</w:t>
      </w:r>
      <w:r>
        <w:rPr>
          <w:rFonts w:hint="eastAsia" w:eastAsia="方正仿宋_GBK"/>
          <w:color w:val="000000" w:themeColor="text1"/>
          <w:sz w:val="28"/>
          <w:szCs w:val="28"/>
          <w14:textFill>
            <w14:solidFill>
              <w14:schemeClr w14:val="tx1"/>
            </w14:solidFill>
          </w14:textFill>
        </w:rPr>
        <w:t xml:space="preserve">服务期限为叁年,合同期内采购人进行年度考核，经年度考核合格后履行下一年度合同。</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二、申请人的资格要求</w:t>
      </w:r>
      <w:bookmarkEnd w:id="21"/>
      <w:r/>
      <w:bookmarkEnd w:id="22"/>
      <w:r/>
      <w:bookmarkEnd w:id="23"/>
      <w:r/>
      <w:bookmarkEnd w:id="24"/>
      <w:r/>
      <w:bookmarkEnd w:id="25"/>
      <w:r/>
      <w:r/>
    </w:p>
    <w:p>
      <w:pPr>
        <w:ind w:firstLine="560"/>
        <w:spacing w:line="400" w:lineRule="exact"/>
        <w:rPr>
          <w:rFonts w:ascii="方正楷体_GBK" w:hAnsi="方正楷体_GBK" w:eastAsia="方正楷体_GBK" w:cs="方正楷体_GBK"/>
          <w:color w:val="000000" w:themeColor="text1"/>
          <w:sz w:val="28"/>
          <w:szCs w:val="28"/>
          <w14:textFill>
            <w14:solidFill>
              <w14:schemeClr w14:val="tx1"/>
            </w14:solidFill>
          </w14:textFill>
        </w:rPr>
      </w:pPr>
      <w:r/>
      <w:bookmarkStart w:id="26" w:name="_Toc28359004"/>
      <w:r/>
      <w:bookmarkStart w:id="27" w:name="_Toc35393623"/>
      <w:r/>
      <w:bookmarkStart w:id="28" w:name="_Toc35393792"/>
      <w:r/>
      <w:bookmarkStart w:id="29" w:name="_Toc28359081"/>
      <w:r/>
      <w:bookmarkStart w:id="30" w:name="_Toc38985265"/>
      <w:r>
        <w:rPr>
          <w:rFonts w:hint="eastAsia" w:ascii="方正楷体_GBK" w:hAnsi="方正楷体_GBK" w:eastAsia="方正楷体_GBK" w:cs="方正楷体_GBK"/>
          <w:color w:val="000000" w:themeColor="text1"/>
          <w:sz w:val="28"/>
          <w:szCs w:val="28"/>
          <w14:textFill>
            <w14:solidFill>
              <w14:schemeClr w14:val="tx1"/>
            </w14:solidFill>
          </w14:textFill>
        </w:rPr>
        <w:t xml:space="preserve">（一）通用资格要求</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3.落实政府采购政策需满足的资格要求：无。</w:t>
      </w:r>
      <w:r/>
    </w:p>
    <w:p>
      <w:pPr>
        <w:ind w:firstLine="560"/>
        <w:spacing w:line="400" w:lineRule="exact"/>
        <w:rPr>
          <w:rFonts w:ascii="方正仿宋_GBK" w:hAnsi="方正仿宋_GBK" w:eastAsia="方正仿宋_GBK" w:cs="方正仿宋_GBK"/>
          <w:color w:val="000000" w:themeColor="text1"/>
          <w:sz w:val="28"/>
          <w:szCs w:val="28"/>
          <w:highlight w:val="yellow"/>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4.本项目不接受联合体投标。</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楷体_GBK" w:hAnsi="方正楷体_GBK" w:eastAsia="方正楷体_GBK" w:cs="方正楷体_GBK"/>
          <w:color w:val="000000" w:themeColor="text1"/>
          <w:sz w:val="28"/>
          <w:szCs w:val="28"/>
          <w14:textFill>
            <w14:solidFill>
              <w14:schemeClr w14:val="tx1"/>
            </w14:solidFill>
          </w14:textFill>
        </w:rPr>
        <w:t xml:space="preserve">（二）本项目的特定资格要求：无</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三、获取招标文件</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1.时间：自招标文件公告发布之日起5个工作日。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2.方式：在“江苏政府采购网”自行免费下载招标文件。</w:t>
      </w:r>
      <w:bookmarkEnd w:id="26"/>
      <w:bookmarkEnd w:id="27"/>
      <w:bookmarkEnd w:id="28"/>
      <w:bookmarkEnd w:id="29"/>
      <w:bookmarkEnd w:id="30"/>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31" w:name="_Toc28359005"/>
      <w:r/>
      <w:bookmarkStart w:id="32" w:name="_Toc28359082"/>
      <w:r/>
      <w:bookmarkStart w:id="33" w:name="_Toc38985266"/>
      <w:r/>
      <w:bookmarkStart w:id="34" w:name="_Toc35393793"/>
      <w:r/>
      <w:bookmarkStart w:id="35" w:name="_Toc35393624"/>
      <w:r/>
      <w:bookmarkStart w:id="36" w:name="_Toc35393625"/>
      <w:r/>
      <w:bookmarkStart w:id="37" w:name="_Toc38985267"/>
      <w:r/>
      <w:bookmarkStart w:id="38" w:name="_Toc35393794"/>
      <w:r/>
      <w:bookmarkStart w:id="39" w:name="_Toc28359084"/>
      <w:r/>
      <w:bookmarkStart w:id="40" w:name="_Toc28359007"/>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四、提交投标文件</w:t>
      </w:r>
      <w:bookmarkEnd w:id="31"/>
      <w:r/>
      <w:bookmarkEnd w:id="32"/>
      <w:r>
        <w:rPr>
          <w:rFonts w:hint="eastAsia" w:ascii="方正黑体_GBK" w:hAnsi="方正黑体_GBK" w:eastAsia="方正黑体_GBK" w:cs="方正黑体_GBK"/>
          <w:color w:val="000000" w:themeColor="text1"/>
          <w:sz w:val="28"/>
          <w:szCs w:val="28"/>
          <w14:textFill>
            <w14:solidFill>
              <w14:schemeClr w14:val="tx1"/>
            </w14:solidFill>
          </w14:textFill>
        </w:rPr>
        <w:t xml:space="preserve">截止时间、开标时间和地点</w:t>
      </w:r>
      <w:bookmarkEnd w:id="33"/>
      <w:r/>
      <w:bookmarkEnd w:id="34"/>
      <w:r/>
      <w:bookmarkEnd w:id="35"/>
      <w:r/>
      <w:r/>
    </w:p>
    <w:p>
      <w:pPr>
        <w:ind w:firstLine="560"/>
        <w:spacing w:line="400" w:lineRule="exact"/>
        <w:rPr>
          <w:rFonts w:ascii="宋体" w:hAnsi="宋体"/>
          <w:bCs/>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rPr>
          <w:rFonts w:hint="eastAsia" w:eastAsia="方正仿宋_GBK"/>
          <w:color w:val="000000" w:themeColor="text1"/>
          <w:sz w:val="28"/>
          <w:szCs w:val="28"/>
          <w14:textFill>
            <w14:solidFill>
              <w14:schemeClr w14:val="tx1"/>
            </w14:solidFill>
          </w14:textFill>
        </w:rPr>
        <w:t xml:space="preserve">2026</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年9月</w:t>
      </w:r>
      <w:r>
        <w:rPr>
          <w:rFonts w:hint="eastAsia" w:ascii="方正仿宋_GBK" w:hAnsi="方正仿宋_GBK" w:eastAsia="方正仿宋_GBK" w:cs="方正仿宋_GBK"/>
          <w:bCs/>
          <w:color w:val="000000" w:themeColor="text1"/>
          <w:sz w:val="28"/>
          <w:szCs w:val="28"/>
          <w:lang w:val="en-US" w:eastAsia="zh-CN"/>
          <w14:textFill>
            <w14:solidFill>
              <w14:schemeClr w14:val="tx1"/>
            </w14:solidFill>
          </w14:textFill>
        </w:rPr>
        <w:t xml:space="preserve">10</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日09</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时</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30分（北京时间）</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2.地点：“苏采云”政府采购交易系统。</w:t>
      </w:r>
      <w:bookmarkEnd w:id="36"/>
      <w:bookmarkEnd w:id="37"/>
      <w:bookmarkEnd w:id="38"/>
      <w:bookmarkEnd w:id="39"/>
      <w:bookmarkEnd w:id="40"/>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41" w:name="_Toc38985268"/>
      <w:r/>
      <w:bookmarkStart w:id="42" w:name="_Toc35393626"/>
      <w:r/>
      <w:bookmarkStart w:id="43" w:name="_Toc35393795"/>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五、公告期限</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招标公告及招标文件公告期限为自本公告发布之日起5个工作日。</w:t>
      </w:r>
      <w:bookmarkEnd w:id="41"/>
      <w:bookmarkEnd w:id="42"/>
      <w:bookmarkEnd w:id="43"/>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44" w:name="_Toc28359085"/>
      <w:r/>
      <w:bookmarkStart w:id="45" w:name="_Toc35393796"/>
      <w:r/>
      <w:bookmarkStart w:id="46" w:name="_Toc28359008"/>
      <w:r/>
      <w:bookmarkStart w:id="47" w:name="_Toc38985269"/>
      <w:r/>
      <w:bookmarkStart w:id="48" w:name="_Toc35393627"/>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六、其他补充事宜</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无</w:t>
      </w:r>
      <w:bookmarkEnd w:id="44"/>
      <w:r/>
      <w:bookmarkEnd w:id="45"/>
      <w:r/>
      <w:bookmarkEnd w:id="46"/>
      <w:r/>
      <w:bookmarkEnd w:id="47"/>
      <w:r/>
      <w:bookmarkEnd w:id="48"/>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49" w:name="OLE_LINK8"/>
      <w:r/>
      <w:bookmarkStart w:id="50" w:name="OLE_LINK11"/>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七、本次招标联系方式</w:t>
      </w:r>
      <w:r/>
    </w:p>
    <w:p>
      <w:pPr>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1.采购人信息</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名 称：</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江苏信息职业技术学院</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地 址：</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江苏省无锡市惠山区钱藕路1号</w:t>
      </w:r>
      <w:r/>
    </w:p>
    <w:p>
      <w:pPr>
        <w:ind w:firstLine="560"/>
        <w:jc w:val="left"/>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联系方式：</w:t>
      </w:r>
      <w:bookmarkStart w:id="51" w:name="_Toc28359086"/>
      <w:r/>
      <w:bookmarkStart w:id="52" w:name="_Toc28359009"/>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黄继超15951565651</w:t>
      </w:r>
      <w:bookmarkEnd w:id="49"/>
      <w:bookmarkEnd w:id="50"/>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2.江苏省政府采购中心信息</w:t>
      </w:r>
      <w:bookmarkEnd w:id="51"/>
      <w:r/>
      <w:bookmarkEnd w:id="52"/>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地　址：</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南京市汉中门大街145号省政务中心二期3楼南区</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联系人：张倩、许滢</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联系方式：</w:t>
      </w:r>
      <w:bookmarkStart w:id="53" w:name="_Toc28359087"/>
      <w:r/>
      <w:bookmarkStart w:id="54" w:name="_Toc28359010"/>
      <w:r>
        <w:rPr>
          <w:rFonts w:hint="eastAsia" w:ascii="方正仿宋_GBK" w:hAnsi="方正仿宋_GBK" w:eastAsia="方正仿宋_GBK" w:cs="方正仿宋_GBK"/>
          <w:color w:val="000000" w:themeColor="text1"/>
          <w:sz w:val="28"/>
          <w:szCs w:val="28"/>
          <w14:textFill>
            <w14:solidFill>
              <w14:schemeClr w14:val="tx1"/>
            </w14:solidFill>
          </w14:textFill>
        </w:rPr>
        <w:t xml:space="preserve">83668527、83668515</w:t>
      </w:r>
      <w:bookmarkEnd w:id="53"/>
      <w:r/>
      <w:bookmarkEnd w:id="54"/>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八、其他</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“苏采云”政府采购交易系统（以下简称苏采云系统）</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themeColor="text1"/>
          <w:sz w:val="28"/>
          <w:szCs w:val="28"/>
          <w14:textFill>
            <w14:solidFill>
              <w14:schemeClr w14:val="tx1"/>
            </w14:solidFill>
          </w14:textFill>
        </w:rPr>
        <w:t xml:space="preserve">http://www.ccgp-jiangsu.gov.cn/jiangsu/zlxz/ee/ee3a4bc5a3454aa2b0d9312230633ce9.html。</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3.本次招标不收取投标保证金。</w:t>
      </w:r>
      <w:r/>
    </w:p>
    <w:p>
      <w:pPr>
        <w:ind w:right="839"/>
        <w:jc w:val="cente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bookmarkStart w:id="55" w:name="_Toc120614211"/>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第二章  </w:t>
      </w:r>
      <w:bookmarkEnd w:id="1"/>
      <w:r/>
      <w:bookmarkEnd w:id="2"/>
      <w:r/>
      <w:bookmarkEnd w:id="3"/>
      <w:r/>
      <w:bookmarkEnd w:id="4"/>
      <w:r/>
      <w:bookmarkEnd w:id="5"/>
      <w:r/>
      <w:bookmarkEnd w:id="55"/>
      <w:r/>
      <w:bookmarkStart w:id="56" w:name="_Toc120614213"/>
      <w:r/>
      <w:bookmarkStart w:id="57" w:name="_Toc16938518"/>
      <w:r/>
      <w:bookmarkStart w:id="58" w:name="_Toc513029202"/>
      <w:r/>
      <w:bookmarkStart w:id="59" w:name="_Toc20823274"/>
      <w:r>
        <w:rPr>
          <w:rFonts w:hint="eastAsia" w:ascii="方正黑体_GBK" w:hAnsi="方正黑体_GBK" w:eastAsia="方正黑体_GBK" w:cs="方正黑体_GBK"/>
          <w:color w:val="000000" w:themeColor="text1"/>
          <w:sz w:val="28"/>
          <w:szCs w:val="28"/>
          <w14:textFill>
            <w14:solidFill>
              <w14:schemeClr w14:val="tx1"/>
            </w14:solidFill>
          </w14:textFill>
        </w:rPr>
        <w:t xml:space="preserve">投标人须知</w:t>
      </w:r>
      <w:bookmarkEnd w:id="56"/>
      <w:r/>
      <w:bookmarkEnd w:id="57"/>
      <w:r/>
      <w:bookmarkEnd w:id="58"/>
      <w:r/>
      <w:bookmarkEnd w:id="59"/>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一、总则</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1.招标方式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2.合格的投标人</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3.适用法律和标准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4.投标费用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5.招标文件的约束力</w:t>
      </w:r>
      <w:r/>
    </w:p>
    <w:p>
      <w:pPr>
        <w:ind w:firstLine="560"/>
        <w:spacing w:line="400" w:lineRule="exact"/>
        <w:tabs>
          <w:tab w:val="left" w:pos="900" w:leader="none"/>
        </w:tabs>
        <w:rPr>
          <w:rFonts w:ascii="宋体" w:hAnsi="宋体"/>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二、招标文件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6.招标文件构成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（1）投标邀请</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（2）投标人须知</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（3）合同文本</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（4）采购需求</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（6）投标文件格式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7.招标文件的修改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60" w:name="_Toc20823285"/>
      <w:r/>
      <w:bookmarkStart w:id="61" w:name="_Toc462564072"/>
      <w:r/>
      <w:bookmarkStart w:id="62" w:name="_Toc16938529"/>
      <w:r/>
      <w:bookmarkStart w:id="63" w:name="_Toc513029213"/>
      <w:r/>
      <w:bookmarkStart w:id="64" w:name="_Toc120614216"/>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三、投标文件的编制</w:t>
      </w:r>
      <w:bookmarkEnd w:id="60"/>
      <w:r/>
      <w:bookmarkEnd w:id="61"/>
      <w:r/>
      <w:bookmarkEnd w:id="62"/>
      <w:r/>
      <w:bookmarkEnd w:id="63"/>
      <w:r/>
      <w:bookmarkEnd w:id="64"/>
      <w:r/>
      <w:r/>
    </w:p>
    <w:p>
      <w:pPr>
        <w:pStyle w:val="788"/>
        <w:ind w:firstLine="560"/>
        <w:spacing w:before="0" w:after="0" w:line="400" w:lineRule="exact"/>
        <w:rPr>
          <w:rFonts w:ascii="方正仿宋_GBK" w:hAnsi="方正仿宋_GBK" w:eastAsia="方正仿宋_GBK" w:cs="方正仿宋_GBK"/>
          <w:bCs w:val="0"/>
          <w:color w:val="000000" w:themeColor="text1"/>
          <w14:textFill>
            <w14:solidFill>
              <w14:schemeClr w14:val="tx1"/>
            </w14:solidFill>
          </w14:textFill>
        </w:rPr>
      </w:pPr>
      <w:r/>
      <w:bookmarkStart w:id="65" w:name="_Toc16938530"/>
      <w:r/>
      <w:bookmarkStart w:id="66" w:name="_Toc462564073"/>
      <w:r/>
      <w:bookmarkStart w:id="67" w:name="_Toc20823286"/>
      <w:r/>
      <w:bookmarkStart w:id="68" w:name="_Toc513029214"/>
      <w:r>
        <w:rPr>
          <w:rFonts w:hint="eastAsia" w:ascii="方正仿宋_GBK" w:hAnsi="方正仿宋_GBK" w:eastAsia="方正仿宋_GBK" w:cs="方正仿宋_GBK"/>
          <w:b w:val="0"/>
          <w:bCs w:val="0"/>
          <w:color w:val="000000" w:themeColor="text1"/>
          <w14:textFill>
            <w14:solidFill>
              <w14:schemeClr w14:val="tx1"/>
            </w14:solidFill>
          </w14:textFill>
        </w:rPr>
        <w:t xml:space="preserve">8.投标文件的语言及度量衡单位</w:t>
      </w:r>
      <w:bookmarkEnd w:id="65"/>
      <w:r/>
      <w:bookmarkEnd w:id="66"/>
      <w:r/>
      <w:bookmarkEnd w:id="67"/>
      <w:r/>
      <w:bookmarkEnd w:id="68"/>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8.1</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简体中文</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8.2</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除技术性能另有规定外，投标文件所使用的度量衡单位，均须采用国家法定计量单位。</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bookmarkStart w:id="69" w:name="_Toc20823287"/>
      <w:r/>
      <w:bookmarkStart w:id="70" w:name="_Toc16938531"/>
      <w:r/>
      <w:bookmarkStart w:id="71" w:name="_Toc513029215"/>
      <w:r/>
      <w:bookmarkStart w:id="72" w:name="_Toc462564074"/>
      <w:r>
        <w:rPr>
          <w:rFonts w:hint="eastAsia" w:ascii="方正仿宋_GBK" w:hAnsi="方正仿宋_GBK" w:eastAsia="方正仿宋_GBK" w:cs="方正仿宋_GBK"/>
          <w:b w:val="0"/>
          <w:bCs w:val="0"/>
          <w:color w:val="000000" w:themeColor="text1"/>
          <w14:textFill>
            <w14:solidFill>
              <w14:schemeClr w14:val="tx1"/>
            </w14:solidFill>
          </w14:textFill>
        </w:rPr>
        <w:t xml:space="preserve">9.投标文件构成</w:t>
      </w:r>
      <w:bookmarkEnd w:id="69"/>
      <w:r/>
      <w:bookmarkEnd w:id="70"/>
      <w:r/>
      <w:bookmarkEnd w:id="71"/>
      <w:r/>
      <w:bookmarkEnd w:id="72"/>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9.1</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9.2 如标书制作工具中格式和内容与“江苏政府采购网”发布的招标文件不一致，请以“江苏政府采购网”发布的招标文件为准。</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bookmarkStart w:id="73" w:name="_Hlt26954838"/>
      <w:r/>
      <w:bookmarkEnd w:id="73"/>
      <w:r/>
      <w:bookmarkStart w:id="74" w:name="_Hlt26670360"/>
      <w:r/>
      <w:bookmarkEnd w:id="74"/>
      <w:r/>
      <w:bookmarkStart w:id="75" w:name="_Hlt26668975"/>
      <w:r/>
      <w:bookmarkEnd w:id="75"/>
      <w:r/>
      <w:bookmarkStart w:id="76" w:name="_Toc14577357"/>
      <w:r/>
      <w:bookmarkStart w:id="77" w:name="_Toc513029219"/>
      <w:r/>
      <w:bookmarkStart w:id="78" w:name="_Toc49090509"/>
      <w:r/>
      <w:bookmarkStart w:id="79" w:name="_Toc14577354"/>
      <w:r/>
      <w:bookmarkStart w:id="80" w:name="_Toc513029216"/>
      <w:r/>
      <w:bookmarkStart w:id="81" w:name="_Toc49090507"/>
      <w:r>
        <w:rPr>
          <w:rFonts w:hint="eastAsia" w:ascii="方正仿宋_GBK" w:hAnsi="方正仿宋_GBK" w:eastAsia="方正仿宋_GBK" w:cs="方正仿宋_GBK"/>
          <w:b w:val="0"/>
          <w:bCs w:val="0"/>
          <w:color w:val="000000" w:themeColor="text1"/>
          <w14:textFill>
            <w14:solidFill>
              <w14:schemeClr w14:val="tx1"/>
            </w14:solidFill>
          </w14:textFill>
        </w:rPr>
        <w:t xml:space="preserve">10.证明投标人及投标标的符合招标文件规定的文件</w:t>
      </w:r>
      <w:bookmarkEnd w:id="76"/>
      <w:r/>
      <w:bookmarkEnd w:id="77"/>
      <w:r/>
      <w:bookmarkEnd w:id="78"/>
      <w:r/>
      <w:bookmarkEnd w:id="79"/>
      <w:bookmarkEnd w:id="80"/>
      <w:bookmarkEnd w:id="81"/>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82" w:name="_Toc14577355"/>
      <w:r/>
      <w:bookmarkStart w:id="83" w:name="_Toc49090508"/>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10.2招标文件对证明文件无明确形式要求的，证明文件可以以文字资料、图纸和数据等形式提交。</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rPr>
          <w:rFonts w:hint="eastAsia" w:ascii="方正仿宋_GBK" w:hAnsi="方正仿宋_GBK" w:eastAsia="方正仿宋_GBK" w:cs="方正仿宋_GBK"/>
          <w:b w:val="0"/>
          <w:bCs w:val="0"/>
          <w:color w:val="000000" w:themeColor="text1"/>
          <w14:textFill>
            <w14:solidFill>
              <w14:schemeClr w14:val="tx1"/>
            </w14:solidFill>
          </w14:textFill>
        </w:rPr>
        <w:t xml:space="preserve">11.投标分项报价</w:t>
      </w:r>
      <w:bookmarkEnd w:id="82"/>
      <w:r/>
      <w:bookmarkStart w:id="84" w:name="_Hlt26670373"/>
      <w:r/>
      <w:bookmarkEnd w:id="84"/>
      <w:r>
        <w:rPr>
          <w:rFonts w:hint="eastAsia" w:ascii="方正仿宋_GBK" w:hAnsi="方正仿宋_GBK" w:eastAsia="方正仿宋_GBK" w:cs="方正仿宋_GBK"/>
          <w:b w:val="0"/>
          <w:bCs w:val="0"/>
          <w:color w:val="000000" w:themeColor="text1"/>
          <w14:textFill>
            <w14:solidFill>
              <w14:schemeClr w14:val="tx1"/>
            </w14:solidFill>
          </w14:textFill>
        </w:rPr>
        <w:t xml:space="preserve">表</w:t>
      </w:r>
      <w:bookmarkEnd w:id="83"/>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11.1</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投</w:t>
      </w:r>
      <w:bookmarkStart w:id="85" w:name="_Hlt26954840"/>
      <w:r/>
      <w:bookmarkEnd w:id="85"/>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标人按照招标文件规定格式填报投标分项报价表</w:t>
      </w:r>
      <w:bookmarkStart w:id="86" w:name="_Hlt26670399"/>
      <w:r/>
      <w:bookmarkEnd w:id="86"/>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11.2</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投标货币。投标文件中的单价和总价无特殊规定的采用人民币报价，以元为单位标注。</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招标文件中另有规定的按规定执行。</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bookmarkStart w:id="87" w:name="_Hlt26954842"/>
      <w:r/>
      <w:bookmarkEnd w:id="87"/>
      <w:r/>
      <w:bookmarkStart w:id="88" w:name="_Hlt26954731"/>
      <w:r/>
      <w:bookmarkEnd w:id="88"/>
      <w:r/>
      <w:bookmarkStart w:id="89" w:name="_Hlt26670486"/>
      <w:r/>
      <w:bookmarkEnd w:id="89"/>
      <w:r/>
      <w:bookmarkStart w:id="90" w:name="_Hlt26670425"/>
      <w:r/>
      <w:bookmarkEnd w:id="90"/>
      <w:r/>
      <w:bookmarkStart w:id="91" w:name="_Hlt26954846"/>
      <w:r/>
      <w:bookmarkEnd w:id="91"/>
      <w:r/>
      <w:bookmarkStart w:id="92" w:name="_Hlt26954844"/>
      <w:r/>
      <w:bookmarkEnd w:id="92"/>
      <w:r/>
      <w:bookmarkStart w:id="93" w:name="_Hlt26670482"/>
      <w:r/>
      <w:bookmarkEnd w:id="93"/>
      <w:r/>
      <w:bookmarkStart w:id="94" w:name="_Hlt26954848"/>
      <w:r/>
      <w:bookmarkEnd w:id="94"/>
      <w:r/>
      <w:bookmarkStart w:id="95" w:name="_Hlt26668983"/>
      <w:r/>
      <w:bookmarkEnd w:id="95"/>
      <w:r/>
      <w:bookmarkStart w:id="96" w:name="_Hlt26670403"/>
      <w:r/>
      <w:bookmarkEnd w:id="96"/>
      <w:r>
        <w:rPr>
          <w:rFonts w:hint="eastAsia" w:ascii="方正仿宋_GBK" w:hAnsi="方正仿宋_GBK" w:eastAsia="方正仿宋_GBK" w:cs="方正仿宋_GBK"/>
          <w:b w:val="0"/>
          <w:bCs w:val="0"/>
          <w:color w:val="000000" w:themeColor="text1"/>
          <w14:textFill>
            <w14:solidFill>
              <w14:schemeClr w14:val="tx1"/>
            </w14:solidFill>
          </w14:textFill>
        </w:rPr>
        <w:t xml:space="preserve">12.技术要求响应及偏离表、商务要求响应及偏离表</w:t>
      </w:r>
      <w:r/>
    </w:p>
    <w:p>
      <w:pPr>
        <w:ind w:firstLine="560"/>
        <w:spacing w:line="400" w:lineRule="exact"/>
        <w:rPr>
          <w:rFonts w:ascii="方正仿宋_GBK" w:hAnsi="方正仿宋_GBK" w:eastAsia="方正仿宋_GBK" w:cs="方正仿宋_GBK"/>
          <w:color w:val="000000" w:themeColor="text1"/>
          <w:sz w:val="28"/>
          <w:szCs w:val="28"/>
          <w:lang w:val="zh-CN"/>
          <w14:textFill>
            <w14:solidFill>
              <w14:schemeClr w14:val="tx1"/>
            </w14:solidFill>
          </w14:textFill>
        </w:rPr>
      </w:pPr>
      <w:r>
        <w:rPr>
          <w:rFonts w:hint="eastAsia" w:ascii="方正仿宋_GBK" w:hAnsi="方正仿宋_GBK" w:eastAsia="方正仿宋_GBK" w:cs="方正仿宋_GBK"/>
          <w:bCs/>
          <w:color w:val="000000" w:themeColor="text1"/>
          <w:sz w:val="28"/>
          <w:szCs w:val="28"/>
          <w:lang w:val="zh-CN"/>
          <w14:textFill>
            <w14:solidFill>
              <w14:schemeClr w14:val="tx1"/>
            </w14:solidFill>
          </w14:textFill>
        </w:rPr>
        <w:t xml:space="preserve">12.1</w:t>
      </w:r>
      <w:r>
        <w:rPr>
          <w:rFonts w:hint="eastAsia" w:ascii="方正仿宋_GBK" w:hAnsi="方正仿宋_GBK" w:eastAsia="方正仿宋_GBK" w:cs="方正仿宋_GBK"/>
          <w:color w:val="000000" w:themeColor="text1"/>
          <w:sz w:val="28"/>
          <w:szCs w:val="28"/>
          <w:lang w:val="zh-CN"/>
          <w14:textFill>
            <w14:solidFill>
              <w14:schemeClr w14:val="tx1"/>
            </w14:solidFill>
          </w14:textFill>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color w:val="000000" w:themeColor="text1"/>
          <w:sz w:val="28"/>
          <w:szCs w:val="28"/>
          <w:lang w:val="zh-CN"/>
          <w14:textFill>
            <w14:solidFill>
              <w14:schemeClr w14:val="tx1"/>
            </w14:solidFill>
          </w14:textFill>
        </w:rPr>
      </w:pPr>
      <w:r/>
      <w:bookmarkStart w:id="97" w:name="_Toc14577359"/>
      <w:r/>
      <w:bookmarkStart w:id="98" w:name="_Toc49090510"/>
      <w:r>
        <w:rPr>
          <w:rFonts w:hint="eastAsia" w:ascii="方正仿宋_GBK" w:hAnsi="方正仿宋_GBK" w:eastAsia="方正仿宋_GBK" w:cs="方正仿宋_GBK"/>
          <w:color w:val="000000" w:themeColor="text1"/>
          <w:sz w:val="28"/>
          <w:szCs w:val="28"/>
          <w:lang w:val="zh-CN"/>
          <w14:textFill>
            <w14:solidFill>
              <w14:schemeClr w14:val="tx1"/>
            </w14:solidFill>
          </w14:textFill>
        </w:rPr>
        <w:t xml:space="preserve">12.2 投标人需按照招标文件要求，在投标文件中提供与技术要求和商务要求相关的证明材料。</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rPr>
          <w:rFonts w:hint="eastAsia" w:ascii="方正仿宋_GBK" w:hAnsi="方正仿宋_GBK" w:eastAsia="方正仿宋_GBK" w:cs="方正仿宋_GBK"/>
          <w:b w:val="0"/>
          <w:bCs w:val="0"/>
          <w:color w:val="000000" w:themeColor="text1"/>
          <w14:textFill>
            <w14:solidFill>
              <w14:schemeClr w14:val="tx1"/>
            </w14:solidFill>
          </w14:textFill>
        </w:rPr>
        <w:t xml:space="preserve">13.投标函和开标一览表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13.1</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投标人应按照招标文件中提供的格式完整、正确填写投标函、开标一览表。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13.2</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对于采用货币报价的项目，</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开标一览表中的投标总报价应与投标分项报价表中的投标总报价一致，如不一致，</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不作为无效投标处理</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，但评标时按开标一览表中价格为准</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w:t>
      </w:r>
      <w:bookmarkEnd w:id="97"/>
      <w:bookmarkEnd w:id="98"/>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bookmarkStart w:id="99" w:name="_Hlt26670489"/>
      <w:r/>
      <w:bookmarkEnd w:id="99"/>
      <w:r/>
      <w:bookmarkStart w:id="100" w:name="_Hlt26954850"/>
      <w:r/>
      <w:bookmarkEnd w:id="100"/>
      <w:r/>
      <w:bookmarkStart w:id="101" w:name="_Hlt26954734"/>
      <w:r/>
      <w:bookmarkEnd w:id="101"/>
      <w:r/>
      <w:bookmarkStart w:id="102" w:name="_Toc14577360"/>
      <w:r/>
      <w:bookmarkStart w:id="103" w:name="_Toc49090511"/>
      <w:r>
        <w:rPr>
          <w:rFonts w:hint="eastAsia" w:ascii="方正仿宋_GBK" w:hAnsi="方正仿宋_GBK" w:eastAsia="方正仿宋_GBK" w:cs="方正仿宋_GBK"/>
          <w:b w:val="0"/>
          <w:bCs w:val="0"/>
          <w:color w:val="000000" w:themeColor="text1"/>
          <w14:textFill>
            <w14:solidFill>
              <w14:schemeClr w14:val="tx1"/>
            </w14:solidFill>
          </w14:textFill>
        </w:rPr>
        <w:t xml:space="preserve">14.投标有效期</w:t>
      </w:r>
      <w:bookmarkEnd w:id="102"/>
      <w:r/>
      <w:bookmarkEnd w:id="103"/>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14.1</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 投标有效期为采购中心规定的开标之日后</w:t>
      </w:r>
      <w:r>
        <w:rPr>
          <w:rFonts w:hint="eastAsia" w:ascii="方正仿宋_GBK" w:hAnsi="方正仿宋_GBK" w:eastAsia="方正仿宋_GBK" w:cs="方正仿宋_GBK"/>
          <w:b/>
          <w:color w:val="000000" w:themeColor="text1"/>
          <w:sz w:val="28"/>
          <w:szCs w:val="28"/>
          <w:u w:val="single"/>
          <w14:textFill>
            <w14:solidFill>
              <w14:schemeClr w14:val="tx1"/>
            </w14:solidFill>
          </w14:textFill>
        </w:rPr>
        <w:t xml:space="preserve">六十（60）天</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。投标有效期比规定短的将被视为未实质性响应招标文件而予以拒绝。</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rPr>
          <w:rFonts w:hint="eastAsia" w:ascii="方正仿宋_GBK" w:hAnsi="方正仿宋_GBK" w:eastAsia="方正仿宋_GBK" w:cs="方正仿宋_GBK"/>
          <w:b w:val="0"/>
          <w:bCs w:val="0"/>
          <w:color w:val="000000" w:themeColor="text1"/>
          <w14:textFill>
            <w14:solidFill>
              <w14:schemeClr w14:val="tx1"/>
            </w14:solidFill>
          </w14:textFill>
        </w:rPr>
        <w:t xml:space="preserve">15.投标有效期的延长</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15.1</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同意延长投标有效期的投标人既不能要求也不允许修改其投标文件</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，同时受投标有效期约束的所有权利与义务均延长至新的有效期</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104" w:name="_Hlt26954852"/>
      <w:r/>
      <w:bookmarkEnd w:id="104"/>
      <w:r/>
      <w:bookmarkStart w:id="105" w:name="_Hlt26954739"/>
      <w:r/>
      <w:bookmarkEnd w:id="105"/>
      <w:r/>
      <w:bookmarkStart w:id="106" w:name="_Toc513029224"/>
      <w:r/>
      <w:bookmarkStart w:id="107" w:name="_Toc120614217"/>
      <w:r/>
      <w:bookmarkStart w:id="108" w:name="_Toc20823296"/>
      <w:r/>
      <w:bookmarkStart w:id="109" w:name="_Toc16938540"/>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四、投标文件的递交</w:t>
      </w:r>
      <w:bookmarkEnd w:id="106"/>
      <w:r/>
      <w:bookmarkEnd w:id="107"/>
      <w:r/>
      <w:bookmarkEnd w:id="108"/>
      <w:r/>
      <w:bookmarkEnd w:id="109"/>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bookmarkStart w:id="110" w:name="_Toc513029225"/>
      <w:r/>
      <w:bookmarkStart w:id="111" w:name="_Toc16938541"/>
      <w:r/>
      <w:bookmarkStart w:id="112" w:name="_Toc20823297"/>
      <w:r/>
      <w:bookmarkStart w:id="113" w:name="_Toc462564084"/>
      <w:r>
        <w:rPr>
          <w:rFonts w:hint="eastAsia" w:ascii="方正仿宋_GBK" w:hAnsi="方正仿宋_GBK" w:eastAsia="方正仿宋_GBK" w:cs="方正仿宋_GBK"/>
          <w:b w:val="0"/>
          <w:bCs w:val="0"/>
          <w:color w:val="000000" w:themeColor="text1"/>
          <w14:textFill>
            <w14:solidFill>
              <w14:schemeClr w14:val="tx1"/>
            </w14:solidFill>
          </w14:textFill>
        </w:rPr>
        <w:t xml:space="preserve">16.投标文件</w:t>
      </w:r>
      <w:bookmarkEnd w:id="110"/>
      <w:r/>
      <w:bookmarkEnd w:id="111"/>
      <w:r/>
      <w:bookmarkEnd w:id="112"/>
      <w:r/>
      <w:bookmarkEnd w:id="113"/>
      <w:r>
        <w:rPr>
          <w:rFonts w:hint="eastAsia" w:ascii="方正仿宋_GBK" w:hAnsi="方正仿宋_GBK" w:eastAsia="方正仿宋_GBK" w:cs="方正仿宋_GBK"/>
          <w:b w:val="0"/>
          <w:bCs w:val="0"/>
          <w:color w:val="000000" w:themeColor="text1"/>
          <w14:textFill>
            <w14:solidFill>
              <w14:schemeClr w14:val="tx1"/>
            </w14:solidFill>
          </w14:textFill>
        </w:rPr>
        <w:t xml:space="preserve">的递交</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16.1</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 电子投标文件的递交</w:t>
      </w:r>
      <w:r/>
    </w:p>
    <w:p>
      <w:pPr>
        <w:pStyle w:val="807"/>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投标人应当按照《操作手册》规定，在投标截止时间前制作并上传电子投标文件。</w:t>
      </w:r>
      <w:bookmarkStart w:id="114" w:name="_Toc513029226"/>
      <w:r/>
      <w:bookmarkStart w:id="115" w:name="_Toc20823298"/>
      <w:r/>
      <w:bookmarkStart w:id="116" w:name="_Toc16938542"/>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17.投标截止</w:t>
      </w:r>
      <w:bookmarkEnd w:id="114"/>
      <w:r/>
      <w:bookmarkEnd w:id="115"/>
      <w:r/>
      <w:bookmarkEnd w:id="116"/>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时间</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17.1</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17.2</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 采购中心可以按照规定，通过修改招标文件酌情延长投标截止时间，在此情况下，投标人的所有权利和义务以及投标人受制的截止时间均应以延长后新的截止时间为准。</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bookmarkStart w:id="117" w:name="_Toc16938543"/>
      <w:r/>
      <w:bookmarkStart w:id="118" w:name="_Toc513029227"/>
      <w:r/>
      <w:bookmarkStart w:id="119" w:name="_Toc20823299"/>
      <w:r>
        <w:rPr>
          <w:rFonts w:hint="eastAsia" w:ascii="方正仿宋_GBK" w:hAnsi="方正仿宋_GBK" w:eastAsia="方正仿宋_GBK" w:cs="方正仿宋_GBK"/>
          <w:b w:val="0"/>
          <w:bCs w:val="0"/>
          <w:color w:val="000000" w:themeColor="text1"/>
          <w14:textFill>
            <w14:solidFill>
              <w14:schemeClr w14:val="tx1"/>
            </w14:solidFill>
          </w14:textFill>
        </w:rPr>
        <w:t xml:space="preserve">18.投标文件</w:t>
      </w:r>
      <w:bookmarkEnd w:id="117"/>
      <w:r/>
      <w:bookmarkEnd w:id="118"/>
      <w:r/>
      <w:bookmarkEnd w:id="119"/>
      <w:r>
        <w:rPr>
          <w:rFonts w:hint="eastAsia" w:ascii="方正仿宋_GBK" w:hAnsi="方正仿宋_GBK" w:eastAsia="方正仿宋_GBK" w:cs="方正仿宋_GBK"/>
          <w:b w:val="0"/>
          <w:bCs w:val="0"/>
          <w:color w:val="000000" w:themeColor="text1"/>
          <w14:textFill>
            <w14:solidFill>
              <w14:schemeClr w14:val="tx1"/>
            </w14:solidFill>
          </w14:textFill>
        </w:rPr>
        <w:t xml:space="preserve">的拒收</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18.1</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采购中心拒绝接收在其规定的投标截止时间后上传的任何投标文件。</w:t>
      </w:r>
      <w:r/>
    </w:p>
    <w:p>
      <w:pPr>
        <w:pStyle w:val="788"/>
        <w:ind w:firstLine="560"/>
        <w:spacing w:before="0" w:after="0" w:line="400" w:lineRule="exact"/>
        <w:rPr>
          <w:rFonts w:ascii="方正仿宋_GBK" w:hAnsi="方正仿宋_GBK" w:eastAsia="方正仿宋_GBK" w:cs="方正仿宋_GBK"/>
          <w:b w:val="0"/>
          <w:bCs w:val="0"/>
          <w:color w:val="000000" w:themeColor="text1"/>
          <w14:textFill>
            <w14:solidFill>
              <w14:schemeClr w14:val="tx1"/>
            </w14:solidFill>
          </w14:textFill>
        </w:rPr>
      </w:pPr>
      <w:r/>
      <w:bookmarkStart w:id="120" w:name="_Toc513029228"/>
      <w:r/>
      <w:bookmarkStart w:id="121" w:name="_Toc20823300"/>
      <w:r/>
      <w:bookmarkStart w:id="122" w:name="_Toc16938544"/>
      <w:r>
        <w:rPr>
          <w:rFonts w:hint="eastAsia" w:ascii="方正仿宋_GBK" w:hAnsi="方正仿宋_GBK" w:eastAsia="方正仿宋_GBK" w:cs="方正仿宋_GBK"/>
          <w:b w:val="0"/>
          <w:bCs w:val="0"/>
          <w:color w:val="000000" w:themeColor="text1"/>
          <w14:textFill>
            <w14:solidFill>
              <w14:schemeClr w14:val="tx1"/>
            </w14:solidFill>
          </w14:textFill>
        </w:rPr>
        <w:t xml:space="preserve">19.投标文件的撤回和修改</w:t>
      </w:r>
      <w:bookmarkEnd w:id="120"/>
      <w:r/>
      <w:bookmarkEnd w:id="121"/>
      <w:r/>
      <w:bookmarkEnd w:id="122"/>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19.1 投标文件的撤回</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19.1.1 电子投标文件的撤回</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19.1.2 投标人撤回电子投标文件，则认为其不再参与本项目投标活动。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19.2 投标文件的修改</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19.2.2</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19.3</w:t>
      </w: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123" w:name="_Toc16938545"/>
      <w:r/>
      <w:bookmarkStart w:id="124" w:name="_Toc120614218"/>
      <w:r/>
      <w:bookmarkStart w:id="125" w:name="_Toc20823301"/>
      <w:r/>
      <w:bookmarkStart w:id="126" w:name="_Toc513029229"/>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五、开标与评标</w:t>
      </w:r>
      <w:bookmarkEnd w:id="123"/>
      <w:r/>
      <w:bookmarkEnd w:id="124"/>
      <w:r/>
      <w:bookmarkEnd w:id="125"/>
      <w:r/>
      <w:bookmarkEnd w:id="126"/>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27" w:name="_Toc20823302"/>
      <w:r/>
      <w:bookmarkStart w:id="128" w:name="_Toc513029230"/>
      <w:r/>
      <w:bookmarkStart w:id="129" w:name="_Toc16938546"/>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20.开标</w:t>
      </w:r>
      <w:bookmarkEnd w:id="127"/>
      <w:r/>
      <w:bookmarkEnd w:id="128"/>
      <w:r/>
      <w:bookmarkEnd w:id="129"/>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30" w:name="_Toc513029231"/>
      <w:r/>
      <w:bookmarkStart w:id="131" w:name="_Toc16938547"/>
      <w:r/>
      <w:bookmarkStart w:id="132" w:name="_Toc20823303"/>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21.评标委员会</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21.1 开标后，采购中心将立即组织评标委员会进行评标。</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22.评标过程的保密与公正</w:t>
      </w:r>
      <w:bookmarkEnd w:id="130"/>
      <w:r/>
      <w:bookmarkEnd w:id="131"/>
      <w:r/>
      <w:bookmarkEnd w:id="132"/>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22.4 采用综合评分法的项目，未中标的投标人可于中标结果公告期限届满之日起通过苏采云系统查看自己的评审得分及排序情况。</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33" w:name="_Toc513029232"/>
      <w:r/>
      <w:bookmarkStart w:id="134" w:name="_Toc16938548"/>
      <w:r/>
      <w:bookmarkStart w:id="135" w:name="_Toc20823304"/>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23.投标文件的澄清</w:t>
      </w:r>
      <w:bookmarkEnd w:id="133"/>
      <w:r/>
      <w:bookmarkEnd w:id="134"/>
      <w:r/>
      <w:bookmarkEnd w:id="135"/>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评标委员会并非对每个投标人都做澄清要求。</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36" w:name="_Toc513029233"/>
      <w:r/>
      <w:bookmarkStart w:id="137" w:name="_Toc16938549"/>
      <w:r/>
      <w:bookmarkStart w:id="138" w:name="_Toc20823305"/>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24.对投标文件的初审</w:t>
      </w:r>
      <w:bookmarkEnd w:id="136"/>
      <w:r/>
      <w:bookmarkEnd w:id="137"/>
      <w:r/>
      <w:bookmarkEnd w:id="138"/>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24.1投标文件初审分为资格审查和符合性审查。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采购人在进行资格性审查的同时，将在“信用中国”网站（</w:t>
      </w:r>
      <w:r>
        <w:rPr>
          <w:rFonts w:hint="eastAsia" w:eastAsia="方正仿宋_GBK"/>
          <w:color w:val="000000" w:themeColor="text1"/>
          <w:sz w:val="28"/>
          <w:szCs w:val="28"/>
          <w14:textFill>
            <w14:solidFill>
              <w14:schemeClr w14:val="tx1"/>
            </w14:solidFill>
          </w14:textFill>
        </w:rPr>
        <w:t xml:space="preserve">www.creditchina.gov.cn</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）查询投标人的信用记录，以确定投标人是否具备投标资格,查询结果留存并归档。</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（2）大写金额和小写金额不一致的，以大写金额为准。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同时出现两种以上错误的，按照前款规定的顺序修正。</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39" w:name="_Toc16938550"/>
      <w:r/>
      <w:bookmarkStart w:id="140" w:name="_Toc20823306"/>
      <w:r/>
      <w:bookmarkStart w:id="141" w:name="_Toc513029234"/>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24.7 异常低价投标审查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（3）投标报价低于采购项目最高限价45%的，即投标报价&lt;采购项目最高限价×45%；</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w:t>
      </w:r>
      <w:bookmarkEnd w:id="139"/>
      <w:r/>
      <w:bookmarkEnd w:id="140"/>
      <w:r/>
      <w:bookmarkEnd w:id="141"/>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.无效投标条款和废标条款</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42" w:name="_Toc513029235"/>
      <w:r/>
      <w:bookmarkStart w:id="143" w:name="_Toc20823307"/>
      <w:r/>
      <w:bookmarkStart w:id="144" w:name="_Toc16938551"/>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25.1无效投标条款</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25.1.2 投标人未按照招标文件要求上传电子投标文件的。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25.1.4投标人不具备招标文件中规定资格要求的。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25.1.5投标人的报价超过了采购预算或最高限价的。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25.1.6未通过符合性审查的。</w:t>
      </w:r>
      <w:r/>
    </w:p>
    <w:p>
      <w:pPr>
        <w:ind w:firstLine="560"/>
        <w:spacing w:line="400" w:lineRule="exact"/>
        <w:rPr>
          <w:rFonts w:ascii="方正仿宋_GBK" w:hAnsi="方正仿宋_GBK" w:eastAsia="方正仿宋_GBK" w:cs="方正仿宋_GBK"/>
          <w:bCs/>
          <w:i/>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25.1.7不符合招标文件中规定的实质性要求的</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（本招标文件中</w:t>
      </w:r>
      <w:r>
        <w:rPr>
          <w:rFonts w:hint="eastAsia" w:ascii="方正仿宋_GBK" w:hAnsi="方正仿宋_GBK" w:eastAsia="方正仿宋_GBK" w:cs="方正仿宋_GBK"/>
          <w:b/>
          <w:bCs/>
          <w:i/>
          <w:color w:val="000000" w:themeColor="text1"/>
          <w:sz w:val="28"/>
          <w:szCs w:val="28"/>
          <w:u w:val="single"/>
          <w14:textFill>
            <w14:solidFill>
              <w14:schemeClr w14:val="tx1"/>
            </w14:solidFill>
          </w14:textFill>
        </w:rPr>
        <w:t xml:space="preserve">斜体且有下划线部分</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或加*号条款为实质性要求）</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25.1.8 投标人被 “信用中国”网站（</w:t>
      </w:r>
      <w:r>
        <w:rPr>
          <w:rFonts w:hint="eastAsia" w:eastAsia="方正仿宋_GBK"/>
          <w:color w:val="000000" w:themeColor="text1"/>
          <w:sz w:val="28"/>
          <w:szCs w:val="28"/>
          <w14:textFill>
            <w14:solidFill>
              <w14:schemeClr w14:val="tx1"/>
            </w14:solidFill>
          </w14:textFill>
        </w:rPr>
        <w:t xml:space="preserve">www.creditchina.gov.cn</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25.1.9 投标文件含有采购人不能接受的附加条件的。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25.1.11 投标文件未按照招标文件要求加盖CA电子公章的。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25.1.13其他法律、法规及本招标文件规定的属无效投标的情形。</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25.2废标条款</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25.2.2出现影响采购公正的违法、违规行为的。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25.2.3因重大变故，采购任务取消的。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25.2.5 因苏采云系统故障原因造成开标不成功的。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25.3 投标截止时间结束后参加投标的供应商不足三家的处理：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145" w:name="_Toc120614219"/>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六、</w:t>
      </w:r>
      <w:bookmarkEnd w:id="142"/>
      <w:r/>
      <w:bookmarkEnd w:id="143"/>
      <w:r/>
      <w:bookmarkEnd w:id="144"/>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定标</w:t>
      </w:r>
      <w:bookmarkEnd w:id="145"/>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46" w:name="_Toc513029238"/>
      <w:r/>
      <w:bookmarkStart w:id="147" w:name="_Toc20823310"/>
      <w:r/>
      <w:bookmarkStart w:id="148" w:name="_Toc16938554"/>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w:t>
      </w:r>
      <w:bookmarkEnd w:id="146"/>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.确定</w:t>
      </w:r>
      <w:bookmarkEnd w:id="147"/>
      <w:r/>
      <w:bookmarkEnd w:id="148"/>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中标单位</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26.1中标候选人的选取原则和数量见招标文件第五章规定。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26.4.1提供虚假材料谋取中标的。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26.4.2向采购人、采购中心行贿或者提供其他不正当利益的。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26.4.4与采购人或者其他供应商恶意串通的。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26.4.5采取不正当手段诋毁、排挤其他供应商的。</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49" w:name="_Toc200451960"/>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26.5有下列情形之一的，视为投标人串通投标，投标无效：</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26.5.1不同投标人的投标文件由同一单位或者个人编制。</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26.5.2不同投标人委托同一单位或者个人办理投标事宜。</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27.质疑处理</w:t>
      </w:r>
      <w:bookmarkEnd w:id="149"/>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27.2.2对采购过程提出质疑的，为各采购程序环节结束之日；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27.5 以下情形的质疑不予受理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27.5.2 超出政府采购法定期限的质疑。</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27.5.3 以传真、电子邮件等方式递交的非原件形式的质疑。</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27.5.5供应商组成联合体参加投标，联合体中任何一方或多方未按要求签字、盖章、加盖公章的质疑。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28.中标通知书</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themeColor="text1"/>
          <w:sz w:val="28"/>
          <w:szCs w:val="28"/>
          <w14:textFill>
            <w14:solidFill>
              <w14:schemeClr w14:val="tx1"/>
            </w14:solidFill>
          </w14:textFill>
        </w:rPr>
        <w:outlineLvl w:val="0"/>
      </w:pPr>
      <w:r/>
      <w:bookmarkStart w:id="150" w:name="_Toc120614220"/>
      <w:r/>
      <w:bookmarkStart w:id="151" w:name="_Toc16938552"/>
      <w:r/>
      <w:bookmarkStart w:id="152" w:name="_Toc513029236"/>
      <w:r/>
      <w:bookmarkStart w:id="153" w:name="_Toc20823308"/>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七、授予合同</w:t>
      </w:r>
      <w:bookmarkEnd w:id="150"/>
      <w:r/>
      <w:bookmarkEnd w:id="151"/>
      <w:bookmarkEnd w:id="152"/>
      <w:bookmarkEnd w:id="153"/>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54" w:name="_Toc513029237"/>
      <w:r/>
      <w:bookmarkStart w:id="155" w:name="_Toc16938553"/>
      <w:r/>
      <w:bookmarkStart w:id="156" w:name="_Toc20823309"/>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29.签订合同</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30.服务（包含与服务相关的货物）的追加</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54"/>
      <w:bookmarkEnd w:id="155"/>
      <w:bookmarkEnd w:id="156"/>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bookmarkStart w:id="157" w:name="_Toc16938558"/>
      <w:r/>
      <w:bookmarkStart w:id="158" w:name="_Toc120614221"/>
      <w:r/>
      <w:bookmarkStart w:id="159" w:name="_Toc20823314"/>
      <w:r/>
      <w:bookmarkStart w:id="160" w:name="_Toc513029242"/>
      <w:r/>
      <w:bookmarkStart w:id="161" w:name="_Toc479757207"/>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31.政府采购履约资金扶持政策</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中标供应商可凭政府采购合同办理融资贷款，详情请见江苏政府采购网“政采贷”专栏。</w:t>
      </w:r>
      <w:r/>
    </w:p>
    <w:p>
      <w:pPr>
        <w:pStyle w:val="742"/>
        <w:ind w:firstLine="0"/>
        <w:spacing w:line="4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right="839"/>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第三章  合同</w:t>
      </w:r>
      <w:bookmarkEnd w:id="157"/>
      <w:r/>
      <w:bookmarkEnd w:id="158"/>
      <w:r/>
      <w:bookmarkEnd w:id="159"/>
      <w:r/>
      <w:bookmarkEnd w:id="160"/>
      <w:r/>
      <w:bookmarkEnd w:id="161"/>
      <w:r>
        <w:rPr>
          <w:rFonts w:hint="eastAsia" w:ascii="方正黑体_GBK" w:hAnsi="方正黑体_GBK" w:eastAsia="方正黑体_GBK" w:cs="方正黑体_GBK"/>
          <w:color w:val="000000" w:themeColor="text1"/>
          <w:sz w:val="28"/>
          <w:szCs w:val="28"/>
          <w14:textFill>
            <w14:solidFill>
              <w14:schemeClr w14:val="tx1"/>
            </w14:solidFill>
          </w14:textFill>
        </w:rPr>
        <w:t xml:space="preserve">文本</w:t>
      </w:r>
      <w:r/>
    </w:p>
    <w:p>
      <w:pPr>
        <w:ind w:firstLine="560"/>
        <w:spacing w:line="400" w:lineRule="exact"/>
        <w:rPr>
          <w:rFonts w:ascii="方正仿宋_GBK" w:hAnsi="方正仿宋_GBK" w:eastAsia="方正仿宋_GBK" w:cs="方正仿宋_GBK"/>
          <w:bCs/>
          <w:color w:val="000000" w:themeColor="text1"/>
          <w:sz w:val="28"/>
          <w:szCs w:val="28"/>
          <w:highlight w:val="yellow"/>
          <w14:textFill>
            <w14:solidFill>
              <w14:schemeClr w14:val="tx1"/>
            </w14:solidFill>
          </w14:textFill>
        </w:rPr>
      </w:pPr>
      <w:r/>
      <w:bookmarkStart w:id="162" w:name="_Toc513029243"/>
      <w:r/>
      <w:bookmarkStart w:id="163" w:name="_Toc20823315"/>
      <w:r/>
      <w:bookmarkStart w:id="164" w:name="_Toc16938559"/>
      <w:r/>
      <w:r/>
    </w:p>
    <w:p>
      <w:pPr>
        <w:pStyle w:val="746"/>
        <w:jc w:val="center"/>
        <w:spacing w:line="400" w:lineRule="exact"/>
        <w:rPr>
          <w:rFonts w:ascii="方正黑体_GBK" w:hAnsi="方正黑体_GBK" w:eastAsia="方正黑体_GBK" w:cs="方正黑体_GBK"/>
          <w:color w:val="000000" w:themeColor="text1"/>
          <w:spacing w:val="-20"/>
          <w14:textFill>
            <w14:solidFill>
              <w14:schemeClr w14:val="tx1"/>
            </w14:solidFill>
          </w14:textFill>
        </w:rPr>
      </w:pPr>
      <w:r>
        <w:rPr>
          <w:rFonts w:ascii="方正黑体_GBK" w:hAnsi="方正黑体_GBK" w:eastAsia="方正黑体_GBK" w:cs="方正黑体_GBK"/>
          <w:color w:val="000000" w:themeColor="text1"/>
          <w:spacing w:val="-20"/>
          <w14:textFill>
            <w14:solidFill>
              <w14:schemeClr w14:val="tx1"/>
            </w14:solidFill>
          </w14:textFill>
        </w:rPr>
      </w:r>
      <w:r/>
    </w:p>
    <w:p>
      <w:pPr>
        <w:pStyle w:val="746"/>
        <w:jc w:val="center"/>
        <w:spacing w:line="400" w:lineRule="exact"/>
        <w:rPr>
          <w:rFonts w:ascii="方正黑体_GBK" w:hAnsi="方正黑体_GBK" w:eastAsia="方正黑体_GBK" w:cs="方正黑体_GBK"/>
          <w:color w:val="000000" w:themeColor="text1"/>
          <w:spacing w:val="-20"/>
          <w14:textFill>
            <w14:solidFill>
              <w14:schemeClr w14:val="tx1"/>
            </w14:solidFill>
          </w14:textFill>
        </w:rPr>
      </w:pPr>
      <w:r>
        <w:rPr>
          <w:rFonts w:hint="eastAsia" w:ascii="方正黑体_GBK" w:hAnsi="方正黑体_GBK" w:eastAsia="方正黑体_GBK" w:cs="方正黑体_GBK"/>
          <w:color w:val="000000" w:themeColor="text1"/>
          <w:spacing w:val="-20"/>
          <w14:textFill>
            <w14:solidFill>
              <w14:schemeClr w14:val="tx1"/>
            </w14:solidFill>
          </w14:textFill>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项目名称：</w:t>
      </w:r>
      <w:r>
        <w:rPr>
          <w:rFonts w:eastAsia="方正仿宋_GBK"/>
          <w:color w:val="000000" w:themeColor="text1"/>
          <w:sz w:val="28"/>
          <w:szCs w:val="28"/>
          <w14:textFill>
            <w14:solidFill>
              <w14:schemeClr w14:val="tx1"/>
            </w14:solidFill>
          </w14:textFill>
        </w:rPr>
        <w:t xml:space="preserve">XXXX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采购编号：</w:t>
      </w:r>
      <w:r>
        <w:rPr>
          <w:rFonts w:hint="eastAsia" w:eastAsia="方正仿宋_GBK"/>
          <w:color w:val="000000" w:themeColor="text1"/>
          <w:sz w:val="28"/>
          <w:szCs w:val="28"/>
          <w14:textFill>
            <w14:solidFill>
              <w14:schemeClr w14:val="tx1"/>
            </w14:solidFill>
          </w14:textFill>
        </w:rPr>
        <w:t xml:space="preserve">JSZC-320000-SCZX-G20XX-XXXX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采购包号：</w:t>
      </w:r>
      <w:r>
        <w:rPr>
          <w:rFonts w:hint="eastAsia" w:eastAsia="方正仿宋_GBK"/>
          <w:color w:val="000000" w:themeColor="text1"/>
          <w:sz w:val="28"/>
          <w:szCs w:val="28"/>
          <w14:textFill>
            <w14:solidFill>
              <w14:schemeClr w14:val="tx1"/>
            </w14:solidFill>
          </w14:textFill>
        </w:rPr>
        <w:t xml:space="preserve">XX</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甲方：（买方/采购人）_________</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乙方：（卖方/中标供应商）_________</w:t>
      </w:r>
      <w:r/>
    </w:p>
    <w:p>
      <w:pPr>
        <w:pStyle w:val="752"/>
        <w:ind w:firstLine="560"/>
        <w:spacing w:before="120" w:after="120"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甲、乙双方根据江苏省政府采购中心</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项目公开招标的结果，签署本合同。</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一、合同内容</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 标的名称：</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1.2标的质量：</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1.3 标的数量（规模）：</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1.4 履行时间（期限）：</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1.5 履行地点：</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1.6 履行方式：</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二、合同金额</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2.1 本合同金额为（大写）：________圆（________元）人民币或其他币种。</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三、技术资料</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3.1乙方应按招标文件规定的时间向甲方提供服务（包含与服务相关的货物）的有关技术资料。</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四、知识产权</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五、产权担保</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5.1 乙方保证所交付的服务（包含与服务相关的货物）的所有权完全属于乙方且无任何抵押、查封等产权瑕疵。</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六、履约保证金</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6.1 乙方交纳人民币</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20万元</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作为本合同的履约保证金。（不得超过合同金额的10%）履约保证金应当以支票、汇票、本票或者金融机构出具的保函等非现金形式提交。</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6.2合同履行结束后，甲方应及时退还交纳的履约保证金。</w:t>
      </w:r>
      <w:r/>
    </w:p>
    <w:p>
      <w:pPr>
        <w:ind w:firstLine="840"/>
        <w:spacing w:line="400" w:lineRule="exact"/>
        <w:rPr>
          <w:rFonts w:ascii="方正仿宋_GBK" w:hAnsi="宋体" w:eastAsia="方正仿宋_GBK" w:cs="宋体"/>
          <w:color w:val="000000" w:themeColor="text1"/>
          <w:sz w:val="28"/>
          <w:szCs w:val="28"/>
          <w14:textFill>
            <w14:solidFill>
              <w14:schemeClr w14:val="tx1"/>
            </w14:solidFill>
          </w14:textFill>
        </w:rPr>
      </w:pPr>
      <w:r>
        <w:rPr>
          <w:rFonts w:hint="eastAsia" w:ascii="方正仿宋_GBK" w:hAnsi="宋体" w:eastAsia="方正仿宋_GBK" w:cs="宋体"/>
          <w:color w:val="000000" w:themeColor="text1"/>
          <w:sz w:val="28"/>
          <w:szCs w:val="28"/>
          <w14:textFill>
            <w14:solidFill>
              <w14:schemeClr w14:val="tx1"/>
            </w14:solidFill>
          </w14:textFill>
        </w:rPr>
        <w:t xml:space="preserve">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84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宋体" w:eastAsia="方正仿宋_GBK" w:cs="宋体"/>
          <w:color w:val="000000" w:themeColor="text1"/>
          <w:sz w:val="28"/>
          <w:szCs w:val="28"/>
          <w14:textFill>
            <w14:solidFill>
              <w14:schemeClr w14:val="tx1"/>
            </w14:solidFill>
          </w14:textFill>
        </w:rPr>
        <w:t xml:space="preserve">由于中标人原因，在签订合同后出现不按合同履行的情况，采购人有权将履约保证金作为违约金，全额不予退还，同时采购人亦有权终止合同，中标人还须承担相应的法律赔偿责任。</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七、合同转包或分包</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7.1乙方不得将合同标的转包给他人履行。</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7.2乙方不得将合同标的分包给他人履行。</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7.3乙方如有转包或未经甲方同意的分包行为，甲方有权解除合同。</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八、合同款项支付</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8.1合同款项的支付方式及进度安排</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仿宋_GBK" w:hAnsi="宋体" w:eastAsia="方正仿宋_GBK" w:cs="宋体"/>
          <w:color w:val="000000" w:themeColor="text1"/>
          <w:sz w:val="28"/>
          <w:szCs w:val="28"/>
          <w14:textFill>
            <w14:solidFill>
              <w14:schemeClr w14:val="tx1"/>
            </w14:solidFill>
          </w14:textFill>
        </w:rPr>
        <w:t xml:space="preserve">采购人根据对中标人的考核情况，每两个月向中标人支付合同费用。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九、税费</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9.1本合同执行中相关的一切税费均由乙方负担。</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十、项目验收</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10.1 甲方依法组织履约验收工作。</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10.3 对于实际使用人和甲方分离的项目，甲方邀请实际使用人参与验收。</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十一、违约责任</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11.1 甲方无正当理由拒绝接受乙方提供服务的，甲方向乙方偿付拒绝接受服务合同价款总值</w:t>
      </w:r>
      <w:r>
        <w:rPr>
          <w:rFonts w:hint="eastAsia" w:ascii="Times New Roman" w:hAnsi="Times New Roman"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的违约金。</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11.2 甲方无故逾期验收和办理合同款项支付手续的,甲方应按逾期付款总额</w:t>
      </w:r>
      <w:r>
        <w:rPr>
          <w:rFonts w:hint="eastAsia" w:ascii="Times New Roman" w:hAnsi="Times New Roman"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每日向乙方支付违约金。</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的违约金，如造成甲方损失超过违约金的，超出部分由乙方继续承担赔偿责任。 </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11.4 乙方所提供服务的标准不符合合同规定及招标文件规定标准的，甲方有权拒绝接受服务，并可单方面解除合同。</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十二、不可抗力事件处理</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12.1 在合同有效期内，任何一方因不可抗力事件导致不能履行合同，则合同履行期可延长，其延长期与不可抗力影响 期相同。</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12.2 不可抗力事件发生后，应立即通知对方，并寄送有关权威机构出具的证明。</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12.3 不可抗力事件延续120天以上，双方应通过友好协商，确定是否继续履行合同。</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十三、解决争议的方法</w:t>
      </w:r>
      <w:r/>
    </w:p>
    <w:p>
      <w:pPr>
        <w:pStyle w:val="752"/>
        <w:ind w:firstLine="560"/>
        <w:spacing w:before="120" w:after="120" w:line="400" w:lineRule="exact"/>
        <w:rPr>
          <w:rFonts w:hAnsi="宋体"/>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13.1双方在签订、履行合同中所发生的一切争议，应通过友好协商解决。如协商不成，由甲方住所地人民法院管辖。</w:t>
      </w:r>
      <w:r/>
    </w:p>
    <w:p>
      <w:pPr>
        <w:pStyle w:val="752"/>
        <w:ind w:firstLine="560"/>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十四、合同生效及其它</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14.1 合同经双方法定代表人或授权委托代表人签字并加盖单位公章后生效。</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14.2本合同未尽事宜，遵照中华人民共和国现行法律法规有关条文执行。</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14.3 本合同正本一式两份，具有同等法律效力，甲方、乙方各执一份。</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甲方：                        乙方： </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地址：                        地址： </w:t>
      </w:r>
      <w:r/>
    </w:p>
    <w:p>
      <w:pPr>
        <w:pStyle w:val="752"/>
        <w:ind w:firstLine="560"/>
        <w:spacing w:before="120" w:after="12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法定代表人或授权代表：        法定代表人或授权代表：</w:t>
      </w:r>
      <w:r/>
    </w:p>
    <w:p>
      <w:pPr>
        <w:pStyle w:val="752"/>
        <w:ind w:firstLine="560"/>
        <w:spacing w:before="120" w:after="120" w:line="400" w:lineRule="exact"/>
        <w:rPr>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联系电话：                    联系电话：    </w:t>
      </w:r>
      <w:r>
        <w:rPr>
          <w:rFonts w:hint="eastAsia" w:hAnsi="宋体"/>
          <w:color w:val="000000" w:themeColor="text1"/>
          <w:sz w:val="28"/>
          <w:szCs w:val="28"/>
          <w14:textFill>
            <w14:solidFill>
              <w14:schemeClr w14:val="tx1"/>
            </w14:solidFill>
          </w14:textFill>
        </w:rPr>
        <w:t xml:space="preserve">      </w:t>
      </w:r>
      <w:r/>
    </w:p>
    <w:p>
      <w:pPr>
        <w:pStyle w:val="752"/>
        <w:jc w:val="center"/>
        <w:spacing w:before="120" w:after="120" w:line="400" w:lineRule="exac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r/>
    </w:p>
    <w:p>
      <w:pPr>
        <w:pStyle w:val="752"/>
        <w:jc w:val="center"/>
        <w:spacing w:before="120" w:after="120" w:line="400" w:lineRule="exact"/>
        <w:rPr>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签订日期：</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年</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月</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日</w:t>
      </w:r>
      <w:bookmarkEnd w:id="162"/>
      <w:r/>
      <w:bookmarkEnd w:id="163"/>
      <w:r/>
      <w:bookmarkEnd w:id="164"/>
      <w:r/>
      <w:bookmarkStart w:id="165" w:name="_Hlt16619369"/>
      <w:r/>
      <w:bookmarkEnd w:id="165"/>
      <w:r/>
      <w:bookmarkStart w:id="166" w:name="_Hlt16619350"/>
      <w:r/>
      <w:bookmarkStart w:id="167" w:name="_Toc120614244"/>
      <w:r/>
      <w:bookmarkStart w:id="168" w:name="_Toc20823346"/>
      <w:r/>
      <w:bookmarkStart w:id="169" w:name="_Toc16938590"/>
      <w:r/>
      <w:bookmarkStart w:id="170" w:name="_Toc462564139"/>
      <w:r/>
      <w:bookmarkStart w:id="171" w:name="_Toc479757211"/>
      <w:r>
        <w:rPr>
          <w:rFonts w:ascii="黑体" w:eastAsia="黑体"/>
          <w:bCs/>
          <w:color w:val="000000" w:themeColor="text1"/>
          <w:sz w:val="28"/>
          <w:szCs w:val="28"/>
          <w14:textFill>
            <w14:solidFill>
              <w14:schemeClr w14:val="tx1"/>
            </w14:solidFill>
          </w14:textFill>
        </w:rPr>
        <w:br w:type="page" w:clear="all"/>
      </w: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w:t>
      </w:r>
      <w:bookmarkEnd w:id="166"/>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四章 采购需求</w:t>
      </w:r>
      <w:bookmarkEnd w:id="167"/>
      <w:r/>
      <w:bookmarkEnd w:id="168"/>
      <w:r/>
      <w:bookmarkEnd w:id="169"/>
      <w:r/>
      <w:r/>
    </w:p>
    <w:p>
      <w:pPr>
        <w:ind w:firstLine="562"/>
        <w:jc w:val="left"/>
        <w:spacing w:line="440" w:lineRule="exact"/>
        <w:rPr>
          <w:rFonts w:ascii="宋体" w:hAnsi="宋体"/>
          <w:b/>
          <w:bCs/>
          <w:color w:val="000000" w:themeColor="text1"/>
          <w:sz w:val="28"/>
          <w:szCs w:val="28"/>
          <w14:textFill>
            <w14:solidFill>
              <w14:schemeClr w14:val="tx1"/>
            </w14:solidFill>
          </w14:textFill>
        </w:rPr>
      </w:pPr>
      <w:r/>
      <w:bookmarkStart w:id="172" w:name="_Toc49090575"/>
      <w:r/>
      <w:bookmarkStart w:id="173" w:name="_Toc26554093"/>
      <w:r>
        <w:rPr>
          <w:rFonts w:hint="eastAsia" w:ascii="宋体" w:hAnsi="宋体" w:cs="宋体"/>
          <w:b/>
          <w:bCs/>
          <w:color w:val="000000" w:themeColor="text1"/>
          <w:sz w:val="28"/>
          <w:szCs w:val="28"/>
          <w14:textFill>
            <w14:solidFill>
              <w14:schemeClr w14:val="tx1"/>
            </w14:solidFill>
          </w14:textFill>
        </w:rPr>
        <w:t xml:space="preserve">一、采购项目概况</w:t>
      </w:r>
      <w:r/>
    </w:p>
    <w:p>
      <w:pPr>
        <w:ind w:firstLine="562"/>
        <w:jc w:val="left"/>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（一）项目范围</w:t>
      </w:r>
      <w:r/>
    </w:p>
    <w:p>
      <w:pPr>
        <w:ind w:firstLine="560"/>
        <w:jc w:val="left"/>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江苏信息职业技术学院位于无锡市惠山区钱藕路1号，学院占地近</w:t>
      </w:r>
      <w:r>
        <w:rPr>
          <w:rFonts w:ascii="宋体" w:hAnsi="宋体" w:cs="宋体"/>
          <w:color w:val="000000" w:themeColor="text1"/>
          <w:sz w:val="28"/>
          <w:szCs w:val="28"/>
          <w14:textFill>
            <w14:solidFill>
              <w14:schemeClr w14:val="tx1"/>
            </w14:solidFill>
          </w14:textFill>
        </w:rPr>
        <w:t xml:space="preserve">1000</w:t>
      </w:r>
      <w:r>
        <w:rPr>
          <w:rFonts w:hint="eastAsia" w:ascii="宋体" w:hAnsi="宋体" w:cs="宋体"/>
          <w:color w:val="000000" w:themeColor="text1"/>
          <w:sz w:val="28"/>
          <w:szCs w:val="28"/>
          <w14:textFill>
            <w14:solidFill>
              <w14:schemeClr w14:val="tx1"/>
            </w14:solidFill>
          </w14:textFill>
        </w:rPr>
        <w:t xml:space="preserve">亩，建筑面积25万余平方米。</w:t>
      </w:r>
      <w:r/>
    </w:p>
    <w:p>
      <w:pPr>
        <w:ind w:firstLine="562"/>
        <w:jc w:val="left"/>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（二）项目简介：</w:t>
      </w:r>
      <w:r>
        <w:rPr>
          <w:rFonts w:hint="eastAsia" w:ascii="宋体" w:hAnsi="宋体" w:cs="宋体"/>
          <w:bCs/>
          <w:color w:val="000000" w:themeColor="text1"/>
          <w:sz w:val="28"/>
          <w:szCs w:val="28"/>
          <w14:textFill>
            <w14:solidFill>
              <w14:schemeClr w14:val="tx1"/>
            </w14:solidFill>
          </w14:textFill>
        </w:rPr>
        <w:t xml:space="preserve"> </w:t>
      </w:r>
      <w:r/>
    </w:p>
    <w:p>
      <w:pPr>
        <w:ind w:firstLine="560"/>
        <w:jc w:val="left"/>
        <w:spacing w:line="440" w:lineRule="exact"/>
        <w:rPr>
          <w:rFonts w:ascii="宋体" w:hAnsi="宋体" w:cs="黑体"/>
          <w:color w:val="000000" w:themeColor="text1"/>
          <w:sz w:val="28"/>
          <w:szCs w:val="28"/>
          <w:lang w:val="zh-CN"/>
          <w14:textFill>
            <w14:solidFill>
              <w14:schemeClr w14:val="tx1"/>
            </w14:solidFill>
          </w14:textFill>
        </w:rPr>
      </w:pPr>
      <w:r>
        <w:rPr>
          <w:rFonts w:hint="eastAsia" w:ascii="宋体" w:hAnsi="宋体" w:cs="黑体"/>
          <w:color w:val="000000" w:themeColor="text1"/>
          <w:sz w:val="28"/>
          <w:szCs w:val="28"/>
          <w:lang w:val="zh-CN"/>
          <w14:textFill>
            <w14:solidFill>
              <w14:schemeClr w14:val="tx1"/>
            </w14:solidFill>
          </w14:textFill>
        </w:rPr>
        <w:t xml:space="preserve">学生公寓物业项目，主要包括学生公寓门厅管理、环境保洁及宿舍卫生检查等。</w:t>
      </w:r>
      <w:r/>
    </w:p>
    <w:p>
      <w:pPr>
        <w:pStyle w:val="752"/>
        <w:ind w:firstLine="562"/>
        <w:spacing w:before="120" w:after="120"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hAnsi="宋体" w:cs="宋体"/>
          <w:b/>
          <w:bCs/>
          <w:color w:val="000000" w:themeColor="text1"/>
          <w:sz w:val="28"/>
          <w:szCs w:val="28"/>
          <w14:textFill>
            <w14:solidFill>
              <w14:schemeClr w14:val="tx1"/>
            </w14:solidFill>
          </w14:textFill>
        </w:rPr>
        <w:t xml:space="preserve">（三）</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采购标的清单</w:t>
      </w:r>
      <w:r/>
    </w:p>
    <w:tbl>
      <w:tblPr>
        <w:tblStyle w:val="739"/>
        <w:tblW w:w="81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4156"/>
        <w:gridCol w:w="2977"/>
      </w:tblGrid>
      <w:tr>
        <w:trPr>
          <w:cantSplit/>
          <w:jc w:val="center"/>
          <w:trHeight w:val="701"/>
        </w:trPr>
        <w:tc>
          <w:tcPr>
            <w:tcW w:w="101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采购包号</w:t>
            </w:r>
            <w:r/>
          </w:p>
        </w:tc>
        <w:tc>
          <w:tcPr>
            <w:tcW w:w="415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采购标的</w:t>
            </w:r>
            <w:r/>
          </w:p>
        </w:tc>
        <w:tc>
          <w:tcPr>
            <w:tcW w:w="297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对应中小企业划分标准所属行业</w:t>
            </w:r>
            <w:r/>
          </w:p>
        </w:tc>
      </w:tr>
      <w:tr>
        <w:trPr>
          <w:cantSplit/>
          <w:jc w:val="center"/>
          <w:trHeight w:val="235"/>
        </w:trPr>
        <w:tc>
          <w:tcPr>
            <w:tcW w:w="101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4156" w:type="dxa"/>
            <w:textDirection w:val="lrTb"/>
            <w:noWrap w:val="false"/>
          </w:tcPr>
          <w:p>
            <w:pPr>
              <w:jc w:val="center"/>
              <w:spacing w:line="400" w:lineRule="exact"/>
              <w:tabs>
                <w:tab w:val="left" w:pos="2020" w:leader="none"/>
              </w:tabs>
              <w:rPr>
                <w:rFonts w:ascii="方正仿宋_GBK" w:hAnsi="方正仿宋_GBK" w:eastAsia="方正仿宋_GBK" w:cs="方正仿宋_GBK"/>
                <w:color w:val="000000" w:themeColor="text1"/>
                <w:sz w:val="28"/>
                <w:szCs w:val="28"/>
                <w14:textFill>
                  <w14:solidFill>
                    <w14:schemeClr w14:val="tx1"/>
                  </w14:solidFill>
                </w14:textFill>
              </w:rPr>
            </w:pPr>
            <w:r>
              <w:rPr>
                <w:rFonts w:hint="eastAsia" w:eastAsia="方正仿宋_GBK"/>
                <w:color w:val="000000" w:themeColor="text1"/>
                <w:sz w:val="28"/>
                <w:szCs w:val="28"/>
                <w14:textFill>
                  <w14:solidFill>
                    <w14:schemeClr w14:val="tx1"/>
                  </w14:solidFill>
                </w14:textFill>
              </w:rPr>
              <w:t xml:space="preserve">江苏信息职业技术学院物业托管服务</w:t>
            </w:r>
            <w:r/>
          </w:p>
        </w:tc>
        <w:tc>
          <w:tcPr>
            <w:tcW w:w="2977" w:type="dxa"/>
            <w:textDirection w:val="lrTb"/>
            <w:noWrap w:val="false"/>
          </w:tcPr>
          <w:p>
            <w:pPr>
              <w:jc w:val="center"/>
              <w:spacing w:line="400" w:lineRule="exact"/>
              <w:tabs>
                <w:tab w:val="left" w:pos="2020" w:leader="none"/>
              </w:tabs>
              <w:rPr>
                <w:rFonts w:eastAsia="方正仿宋_GBK"/>
                <w:color w:val="000000" w:themeColor="text1"/>
                <w:sz w:val="28"/>
                <w:szCs w:val="28"/>
                <w14:textFill>
                  <w14:solidFill>
                    <w14:schemeClr w14:val="tx1"/>
                  </w14:solidFill>
                </w14:textFill>
              </w:rPr>
            </w:pPr>
            <w:r>
              <w:rPr>
                <w:rFonts w:hint="eastAsia" w:eastAsia="方正仿宋_GBK"/>
                <w:color w:val="000000" w:themeColor="text1"/>
                <w:sz w:val="28"/>
                <w:szCs w:val="28"/>
                <w14:textFill>
                  <w14:solidFill>
                    <w14:schemeClr w14:val="tx1"/>
                  </w14:solidFill>
                </w14:textFill>
              </w:rPr>
              <w:t xml:space="preserve">物业管理</w:t>
            </w:r>
            <w:r/>
          </w:p>
        </w:tc>
      </w:tr>
    </w:tbl>
    <w:p>
      <w:pPr>
        <w:pStyle w:val="752"/>
        <w:ind w:firstLine="560"/>
        <w:spacing w:line="44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项目属性：服务类项目</w:t>
      </w:r>
      <w:r/>
    </w:p>
    <w:p>
      <w:pPr>
        <w:pStyle w:val="752"/>
        <w:ind w:firstLine="560"/>
        <w:spacing w:line="440" w:lineRule="exact"/>
        <w:rPr>
          <w:rFonts w:hAnsi="宋体" w:cs="宋体"/>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本项目不接受进口产品投标。</w:t>
      </w:r>
      <w:r/>
    </w:p>
    <w:p>
      <w:pPr>
        <w:ind w:firstLine="562"/>
        <w:jc w:val="left"/>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（四）项目服务期限</w:t>
      </w:r>
      <w:r/>
    </w:p>
    <w:p>
      <w:pPr>
        <w:ind w:firstLine="560"/>
        <w:jc w:val="left"/>
        <w:spacing w:line="44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服务期限为叁年</w:t>
      </w:r>
      <w:r>
        <w:rPr>
          <w:rFonts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合同期内采购人进行年度考核，经年度考核合格后履行下一年度合同，年度考核不合格，采购人有权终止合同；若中标人服务范围内发生重大责任事故的，采购人有权立即终止合同。</w:t>
      </w:r>
      <w:r/>
    </w:p>
    <w:p>
      <w:pPr>
        <w:ind w:firstLine="562"/>
        <w:jc w:val="left"/>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（五）结算时间及方式</w:t>
      </w:r>
      <w:r/>
    </w:p>
    <w:p>
      <w:pPr>
        <w:ind w:firstLine="560"/>
        <w:spacing w:line="440" w:lineRule="exact"/>
        <w:rPr>
          <w:rFonts w:ascii="宋体" w:hAnsi="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结算时间：每两个月结算一次。</w:t>
      </w:r>
      <w:r/>
    </w:p>
    <w:p>
      <w:pPr>
        <w:ind w:firstLine="560"/>
        <w:jc w:val="left"/>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结算方式：采购人根据对中标人的考核情况，</w:t>
      </w:r>
      <w:bookmarkStart w:id="174" w:name="OLE_LINK53"/>
      <w:r>
        <w:rPr>
          <w:rFonts w:hint="eastAsia" w:ascii="宋体" w:hAnsi="宋体" w:cs="宋体"/>
          <w:color w:val="000000" w:themeColor="text1"/>
          <w:sz w:val="28"/>
          <w:szCs w:val="28"/>
          <w14:textFill>
            <w14:solidFill>
              <w14:schemeClr w14:val="tx1"/>
            </w14:solidFill>
          </w14:textFill>
        </w:rPr>
        <w:t xml:space="preserve">每两个月向中标人支付合同费用。</w:t>
      </w:r>
      <w:bookmarkEnd w:id="174"/>
      <w:r>
        <w:rPr>
          <w:rFonts w:hint="eastAsia" w:ascii="宋体" w:hAnsi="宋体" w:cs="宋体"/>
          <w:color w:val="000000" w:themeColor="text1"/>
          <w:sz w:val="28"/>
          <w:szCs w:val="28"/>
          <w14:textFill>
            <w14:solidFill>
              <w14:schemeClr w14:val="tx1"/>
            </w14:solidFill>
          </w14:textFill>
        </w:rPr>
        <w:t xml:space="preserve">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p>
    <w:p>
      <w:pPr>
        <w:numPr>
          <w:ilvl w:val="0"/>
          <w:numId w:val="4"/>
        </w:numPr>
        <w:ind w:firstLine="48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履约保证金</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1.本项目中标后履约保证金为200000元</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2.中标人的履约保证金须在中标通知书发出5个工作日内办理完成，并将相关票具交学校财务，中标人凭中标通知书30日内与采购人签订合同。</w:t>
      </w:r>
      <w:r/>
    </w:p>
    <w:p>
      <w:pPr>
        <w:ind w:firstLine="560"/>
        <w:spacing w:line="440" w:lineRule="exact"/>
        <w:rPr>
          <w:rFonts w:ascii="宋体" w:hAnsi="宋体" w:eastAsia="仿宋"/>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t xml:space="preserve">3.</w:t>
      </w:r>
      <w:r>
        <w:rPr>
          <w:rFonts w:hint="eastAsia" w:ascii="宋体" w:hAnsi="宋体" w:cs="宋体"/>
          <w:color w:val="000000" w:themeColor="text1"/>
          <w:sz w:val="28"/>
          <w:szCs w:val="28"/>
          <w14:textFill>
            <w14:solidFill>
              <w14:schemeClr w14:val="tx1"/>
            </w14:solidFill>
          </w14:textFill>
        </w:rPr>
        <w:t xml:space="preserve">履约保证金应当以支票、汇票、本票或者金融机构出具的保函等非现金形式提交。</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5.由于中标人原因，在签订合同后出现不按合同履行的情况，采购人有权将履约保证金作为违约金，全额不予退还，同时采购人亦有权终止合同，中标人还须承担相应的法律赔偿责任。</w:t>
      </w:r>
      <w:r/>
    </w:p>
    <w:p>
      <w:pPr>
        <w:ind w:firstLine="562"/>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（七）进退场交接要求</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做好物业服务开始及合同到期时的交接工作，保证交接工作的平稳过渡，确保校园秩序正常。</w:t>
      </w:r>
      <w:r/>
    </w:p>
    <w:p>
      <w:pPr>
        <w:ind w:firstLine="562"/>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（八）退出机制</w:t>
      </w:r>
      <w:r/>
    </w:p>
    <w:p>
      <w:pPr>
        <w:ind w:firstLine="560"/>
        <w:spacing w:line="440" w:lineRule="exact"/>
        <w:tabs>
          <w:tab w:val="left" w:pos="105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中标人在服务合同履行期间，出现包括但不限于以下情形之一，中标人在校方要求的期限内未整改到位，采购人有权中止合同。</w:t>
      </w:r>
      <w:r/>
    </w:p>
    <w:p>
      <w:pPr>
        <w:ind w:firstLine="560"/>
        <w:spacing w:line="440" w:lineRule="exact"/>
        <w:tabs>
          <w:tab w:val="left" w:pos="105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1、连续两次双月度考核未达到合格等级的；</w:t>
      </w:r>
      <w:r/>
    </w:p>
    <w:p>
      <w:pPr>
        <w:ind w:firstLine="560"/>
        <w:spacing w:line="440" w:lineRule="exact"/>
        <w:tabs>
          <w:tab w:val="left" w:pos="105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2、中标人在服务期间发生劳资纠纷、员工意外伤害事故等未及时处理，给学校正常教育教学秩序产生严重影响；</w:t>
      </w:r>
      <w:r/>
    </w:p>
    <w:p>
      <w:pPr>
        <w:ind w:firstLine="560"/>
        <w:spacing w:line="440" w:lineRule="exact"/>
        <w:tabs>
          <w:tab w:val="left" w:pos="105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3、中标人在服务期间发生安全生产事故，造成严重后果，未妥善处理；</w:t>
      </w:r>
      <w:r/>
    </w:p>
    <w:p>
      <w:pPr>
        <w:ind w:firstLine="560"/>
        <w:spacing w:line="440" w:lineRule="exact"/>
        <w:tabs>
          <w:tab w:val="left" w:pos="105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4、无不可抗力情况下，人员数量不足承诺人数的80%；</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5、法律法规规定的其他情形。</w:t>
      </w:r>
      <w:r/>
    </w:p>
    <w:p>
      <w:pPr>
        <w:ind w:firstLine="562"/>
        <w:jc w:val="left"/>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（九）报价说明及原则</w:t>
      </w:r>
      <w:r/>
    </w:p>
    <w:p>
      <w:pPr>
        <w:ind w:firstLine="48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投标人应充分考虑项目承包期间劳务、相应的人身安全保险、赔偿及所需的全部费用的市场风险系数，并计入总报价。除非合同中另有规定，投标人的投标报价包括在承包期内服务需要的人员工资、社保、公积金、人员加班工资、高温费、春节慰问金、意外伤害保险费、人员体检费、劳保用品、工具费、人员服装费、考核以及在服务过程中发生的一切费用。报价中还包括</w:t>
      </w:r>
      <w:r>
        <w:rPr>
          <w:rFonts w:hint="eastAsia" w:cs="宋体"/>
          <w:color w:val="000000" w:themeColor="text1"/>
          <w:sz w:val="28"/>
          <w:szCs w:val="28"/>
          <w14:textFill>
            <w14:solidFill>
              <w14:schemeClr w14:val="tx1"/>
            </w14:solidFill>
          </w14:textFill>
        </w:rPr>
        <w:t xml:space="preserve">耗材</w:t>
      </w:r>
      <w:r>
        <w:rPr>
          <w:rFonts w:hint="eastAsia" w:ascii="宋体" w:hAnsi="宋体" w:cs="宋体"/>
          <w:color w:val="000000" w:themeColor="text1"/>
          <w:sz w:val="28"/>
          <w:szCs w:val="28"/>
          <w14:textFill>
            <w14:solidFill>
              <w14:schemeClr w14:val="tx1"/>
            </w14:solidFill>
          </w14:textFill>
        </w:rPr>
        <w:t xml:space="preserve">、管理费、各种税费及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投标人报价时应充分考虑服务期内所有可能影响到报价的因素（包括发包人所在地最低工资标准和社保基数的政策性调整），一旦投标结束最终中标，总价将包定，不予调整。如发生漏、缺、少项，都将被认为是中标人的报价让利行为，损失自负。</w:t>
      </w:r>
      <w:r/>
    </w:p>
    <w:p>
      <w:pPr>
        <w:spacing w:line="440" w:lineRule="exact"/>
        <w:rPr>
          <w:rFonts w:ascii="宋体" w:hAnsi="宋体" w:cs="宋体"/>
          <w:color w:val="000000" w:themeColor="text1"/>
          <w:sz w:val="28"/>
          <w:szCs w:val="28"/>
          <w:highlight w:val="yellow"/>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3、投标人必须为所有人员购买保额充足的雇主责任险或人身意外伤害险。</w:t>
      </w:r>
      <w:r/>
    </w:p>
    <w:p>
      <w:pPr>
        <w:ind w:firstLine="562"/>
        <w:jc w:val="left"/>
        <w:spacing w:line="44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（十）政府采购中实施本国产品标准及相关政策</w:t>
      </w:r>
      <w:r/>
    </w:p>
    <w:p>
      <w:pPr>
        <w:ind w:firstLine="560"/>
        <w:jc w:val="left"/>
        <w:spacing w:line="400" w:lineRule="exact"/>
        <w:rPr>
          <w:rFonts w:ascii="宋体" w:hAnsi="宋体" w:cs="方正仿宋_GBK"/>
          <w:color w:val="000000" w:themeColor="text1"/>
          <w:sz w:val="28"/>
          <w:szCs w:val="28"/>
          <w14:textFill>
            <w14:solidFill>
              <w14:schemeClr w14:val="tx1"/>
            </w14:solidFill>
          </w14:textFill>
        </w:rPr>
      </w:pPr>
      <w:r>
        <w:rPr>
          <w:rFonts w:hint="eastAsia" w:ascii="宋体" w:hAnsi="宋体" w:cs="方正仿宋_GBK"/>
          <w:color w:val="000000" w:themeColor="text1"/>
          <w:sz w:val="28"/>
          <w:szCs w:val="28"/>
          <w14:textFill>
            <w14:solidFill>
              <w14:schemeClr w14:val="tx1"/>
            </w14:solidFill>
          </w14:textFill>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宋体" w:hAnsi="宋体" w:cs="方正仿宋_GBK"/>
          <w:color w:val="000000" w:themeColor="text1"/>
          <w:sz w:val="28"/>
          <w:szCs w:val="28"/>
          <w14:textFill>
            <w14:solidFill>
              <w14:schemeClr w14:val="tx1"/>
            </w14:solidFill>
          </w14:textFill>
        </w:rPr>
      </w:pPr>
      <w:r>
        <w:rPr>
          <w:rFonts w:hint="eastAsia" w:ascii="宋体" w:hAnsi="宋体" w:cs="方正仿宋_GBK"/>
          <w:color w:val="000000" w:themeColor="text1"/>
          <w:sz w:val="28"/>
          <w:szCs w:val="28"/>
          <w14:textFill>
            <w14:solidFill>
              <w14:schemeClr w14:val="tx1"/>
            </w14:solidFill>
          </w14:textFill>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宋体" w:hAnsi="宋体" w:cs="方正仿宋_GBK"/>
          <w:color w:val="000000" w:themeColor="text1"/>
          <w:sz w:val="28"/>
          <w:szCs w:val="28"/>
          <w14:textFill>
            <w14:solidFill>
              <w14:schemeClr w14:val="tx1"/>
            </w14:solidFill>
          </w14:textFill>
        </w:rPr>
      </w:pPr>
      <w:r>
        <w:rPr>
          <w:rFonts w:hint="eastAsia" w:ascii="宋体" w:hAnsi="宋体" w:cs="方正仿宋_GBK"/>
          <w:color w:val="000000" w:themeColor="text1"/>
          <w:sz w:val="28"/>
          <w:szCs w:val="28"/>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line="400" w:lineRule="exact"/>
        <w:rPr>
          <w:rFonts w:ascii="宋体" w:hAnsi="宋体" w:cs="方正仿宋_GBK"/>
          <w:b/>
          <w:color w:val="000000" w:themeColor="text1"/>
          <w:sz w:val="28"/>
          <w:szCs w:val="28"/>
          <w14:textFill>
            <w14:solidFill>
              <w14:schemeClr w14:val="tx1"/>
            </w14:solidFill>
          </w14:textFill>
        </w:rPr>
      </w:pPr>
      <w:r>
        <w:rPr>
          <w:rFonts w:hint="eastAsia" w:ascii="宋体" w:hAnsi="宋体" w:cs="方正仿宋_GBK"/>
          <w:b/>
          <w:color w:val="000000" w:themeColor="text1"/>
          <w:sz w:val="28"/>
          <w:szCs w:val="28"/>
          <w14:textFill>
            <w14:solidFill>
              <w14:schemeClr w14:val="tx1"/>
            </w14:solidFill>
          </w14:textFill>
        </w:rPr>
        <w:t xml:space="preserve">（本服务项目不涉及货物，投标文件中无需提供《关于符合本国产品标准的声明函》。）</w:t>
      </w:r>
      <w:r/>
    </w:p>
    <w:p>
      <w:pPr>
        <w:ind w:firstLine="562"/>
        <w:jc w:val="left"/>
        <w:spacing w:line="400" w:lineRule="exact"/>
        <w:rPr>
          <w:rFonts w:ascii="宋体" w:hAnsi="宋体" w:cs="方正仿宋_GBK"/>
          <w:b/>
          <w:color w:val="000000" w:themeColor="text1"/>
          <w:sz w:val="28"/>
          <w:szCs w:val="28"/>
          <w14:textFill>
            <w14:solidFill>
              <w14:schemeClr w14:val="tx1"/>
            </w14:solidFill>
          </w14:textFill>
        </w:rPr>
      </w:pPr>
      <w:r>
        <w:rPr>
          <w:rFonts w:ascii="宋体" w:hAnsi="宋体" w:cs="方正仿宋_GBK"/>
          <w:b/>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二、项目要求</w:t>
      </w:r>
      <w:r/>
    </w:p>
    <w:p>
      <w:pPr>
        <w:ind w:firstLine="560"/>
        <w:spacing w:line="360" w:lineRule="auto"/>
        <w:rPr>
          <w:rFonts w:ascii="仿宋" w:hAnsi="仿宋" w:eastAsia="仿宋" w:cs="仿宋"/>
          <w:color w:val="000000" w:themeColor="text1"/>
          <w:sz w:val="28"/>
          <w:szCs w:val="28"/>
          <w14:textFill>
            <w14:solidFill>
              <w14:schemeClr w14:val="tx1"/>
            </w14:solidFill>
          </w14:textFill>
        </w:rPr>
        <w:outlineLvl w:val="0"/>
      </w:pPr>
      <w:r>
        <w:rPr>
          <w:rFonts w:hint="eastAsia" w:ascii="仿宋" w:hAnsi="仿宋" w:eastAsia="仿宋" w:cs="仿宋"/>
          <w:color w:val="000000" w:themeColor="text1"/>
          <w:sz w:val="28"/>
          <w:szCs w:val="28"/>
          <w14:textFill>
            <w14:solidFill>
              <w14:schemeClr w14:val="tx1"/>
            </w14:solidFill>
          </w14:textFill>
        </w:rPr>
        <w:t xml:space="preserve">三、技术要求</w:t>
      </w:r>
      <w:r/>
    </w:p>
    <w:p>
      <w:pPr>
        <w:ind w:firstLine="562"/>
        <w:spacing w:line="360" w:lineRule="auto"/>
        <w:widowControl/>
        <w:rPr>
          <w:rFonts w:ascii="仿宋" w:hAnsi="仿宋" w:eastAsia="仿宋" w:cs="仿宋"/>
          <w:b/>
          <w:i/>
          <w:color w:val="000000" w:themeColor="text1"/>
          <w:sz w:val="28"/>
          <w:szCs w:val="28"/>
          <w:u w:val="single"/>
          <w14:textFill>
            <w14:solidFill>
              <w14:schemeClr w14:val="tx1"/>
            </w14:solidFill>
          </w14:textFill>
        </w:rPr>
      </w:pPr>
      <w:r/>
      <w:bookmarkStart w:id="175" w:name="OLE_LINK10"/>
      <w:r/>
      <w:bookmarkStart w:id="176" w:name="OLE_LINK9"/>
      <w:r>
        <w:rPr>
          <w:rFonts w:hint="eastAsia" w:ascii="仿宋" w:hAnsi="仿宋" w:eastAsia="仿宋" w:cs="仿宋"/>
          <w:b/>
          <w:i/>
          <w:color w:val="000000" w:themeColor="text1"/>
          <w:sz w:val="28"/>
          <w:szCs w:val="28"/>
          <w:u w:val="single"/>
          <w14:textFill>
            <w14:solidFill>
              <w14:schemeClr w14:val="tx1"/>
            </w14:solidFill>
          </w14:textFill>
        </w:rPr>
        <w:t xml:space="preserve">1.采购人在合同期内可以根据实际启用的区域情况及合同签订的实际期限按实结算物业费。</w:t>
      </w:r>
      <w:bookmarkEnd w:id="175"/>
      <w:r/>
      <w:bookmarkEnd w:id="176"/>
      <w:r/>
      <w:r/>
    </w:p>
    <w:p>
      <w:pPr>
        <w:ind w:firstLine="562"/>
        <w:spacing w:line="360" w:lineRule="auto"/>
        <w:widowControl/>
        <w:rPr>
          <w:rFonts w:ascii="仿宋" w:hAnsi="仿宋" w:eastAsia="仿宋" w:cs="仿宋"/>
          <w:b/>
          <w:i/>
          <w:color w:val="000000" w:themeColor="text1"/>
          <w:sz w:val="28"/>
          <w:szCs w:val="28"/>
          <w:u w:val="single"/>
          <w14:textFill>
            <w14:solidFill>
              <w14:schemeClr w14:val="tx1"/>
            </w14:solidFill>
          </w14:textFill>
        </w:rPr>
      </w:pPr>
      <w:r>
        <w:rPr>
          <w:rFonts w:hint="eastAsia" w:ascii="仿宋" w:hAnsi="仿宋" w:eastAsia="仿宋" w:cs="仿宋"/>
          <w:b/>
          <w:i/>
          <w:color w:val="000000" w:themeColor="text1"/>
          <w:sz w:val="28"/>
          <w:szCs w:val="28"/>
          <w:u w:val="single"/>
          <w14:textFill>
            <w14:solidFill>
              <w14:schemeClr w14:val="tx1"/>
            </w14:solidFill>
          </w14:textFill>
        </w:rPr>
        <w:t xml:space="preserve">2.供应商在投标（响应）文件中响应的拟投入本项目的服务人员不得是全日制在校学生。各岗位人员配置人数不得低于规定的人员配备，</w:t>
      </w:r>
      <w:r>
        <w:rPr>
          <w:rFonts w:hint="eastAsia" w:ascii="仿宋" w:hAnsi="仿宋" w:eastAsia="仿宋" w:cs="仿宋"/>
          <w:b/>
          <w:bCs/>
          <w:i/>
          <w:iCs/>
          <w:color w:val="000000" w:themeColor="text1"/>
          <w:sz w:val="28"/>
          <w:szCs w:val="28"/>
          <w:u w:val="single"/>
          <w14:textFill>
            <w14:solidFill>
              <w14:schemeClr w14:val="tx1"/>
            </w14:solidFill>
          </w14:textFill>
        </w:rPr>
        <w:t xml:space="preserve">所有人员必须全部缴纳社保和公积金。</w:t>
      </w:r>
      <w:r>
        <w:rPr>
          <w:rFonts w:hint="eastAsia" w:ascii="仿宋" w:hAnsi="仿宋" w:eastAsia="仿宋" w:cs="仿宋"/>
          <w:b/>
          <w:i/>
          <w:color w:val="000000" w:themeColor="text1"/>
          <w:sz w:val="28"/>
          <w:szCs w:val="28"/>
          <w:u w:val="single"/>
          <w14:textFill>
            <w14:solidFill>
              <w14:schemeClr w14:val="tx1"/>
            </w14:solidFill>
          </w14:textFill>
        </w:rPr>
        <w:t xml:space="preserve">投标人在其投标文件列出的所有配置人员的工资、社保等待遇不得低于无锡市市工资、社保等最低缴纳标准。</w:t>
      </w:r>
      <w:r/>
    </w:p>
    <w:p>
      <w:pPr>
        <w:ind w:firstLine="560"/>
        <w:spacing w:line="360" w:lineRule="auto"/>
        <w:rPr>
          <w:rFonts w:ascii="仿宋" w:hAnsi="仿宋" w:eastAsia="仿宋" w:cs="仿宋"/>
          <w:color w:val="000000" w:themeColor="text1"/>
          <w:sz w:val="28"/>
          <w:szCs w:val="28"/>
          <w14:textFill>
            <w14:solidFill>
              <w14:schemeClr w14:val="tx1"/>
            </w14:solidFill>
          </w14:textFill>
        </w:rPr>
        <w:outlineLvl w:val="0"/>
      </w:pPr>
      <w:r/>
      <w:bookmarkStart w:id="177" w:name="_Toc12397"/>
      <w:r>
        <w:rPr>
          <w:rFonts w:hint="eastAsia" w:ascii="仿宋" w:hAnsi="仿宋" w:eastAsia="仿宋" w:cs="仿宋"/>
          <w:color w:val="000000" w:themeColor="text1"/>
          <w:sz w:val="28"/>
          <w:szCs w:val="28"/>
          <w14:textFill>
            <w14:solidFill>
              <w14:schemeClr w14:val="tx1"/>
            </w14:solidFill>
          </w14:textFill>
        </w:rPr>
        <w:t xml:space="preserve">四、招标范围及服务清单</w:t>
      </w:r>
      <w:bookmarkEnd w:id="177"/>
      <w:r/>
      <w:r/>
    </w:p>
    <w:p>
      <w:pPr>
        <w:ind w:firstLine="560"/>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1.基本情况</w:t>
      </w:r>
      <w:r/>
    </w:p>
    <w:p>
      <w:pPr>
        <w:pStyle w:val="746"/>
        <w:ind w:firstLine="560"/>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学校生活区所有楼宇（1#、2#、3#、4#、5#、6#、7#、8#、9#、9D、9E学生宿舍楼、大学生活动中心、三栋教职工周转房、大学生创业园、综合服务中心一楼）物业管理服务。</w:t>
      </w:r>
      <w:r/>
    </w:p>
    <w:p>
      <w:pPr>
        <w:pStyle w:val="746"/>
        <w:ind w:firstLine="560"/>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2.项目清单</w:t>
      </w:r>
      <w:r/>
    </w:p>
    <w:p>
      <w:pPr>
        <w:ind w:firstLine="560"/>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本次招标为江苏信息职业技术学院的学生宿舍、大学生活动中心、教职工周转房、大学生创业园、综合服务中心一楼及周边道路等环境保洁物业管理服务项目。</w:t>
      </w:r>
      <w:r/>
    </w:p>
    <w:p>
      <w:pPr>
        <w:pStyle w:val="746"/>
        <w:ind w:firstLine="560"/>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1、生活区所有楼宇及外场保洁服务；</w:t>
      </w:r>
      <w:r/>
    </w:p>
    <w:p>
      <w:pPr>
        <w:pStyle w:val="746"/>
        <w:ind w:firstLine="560"/>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2、所有宿舍与后勤相关的宿舍管理服务；</w:t>
      </w:r>
      <w:r/>
    </w:p>
    <w:p>
      <w:pPr>
        <w:pStyle w:val="746"/>
        <w:numPr>
          <w:ilvl w:val="0"/>
          <w:numId w:val="5"/>
        </w:num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生活区所有楼宇小型维修服务；</w:t>
      </w:r>
      <w:r/>
    </w:p>
    <w:p>
      <w:pPr>
        <w:pStyle w:val="752"/>
        <w:ind w:firstLine="560"/>
        <w:spacing w:line="480" w:lineRule="exact"/>
        <w:rPr>
          <w:rFonts w:hAnsi="宋体"/>
          <w:color w:val="000000" w:themeColor="text1"/>
          <w:sz w:val="24"/>
          <w:szCs w:val="24"/>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4、全校所有区域垃圾清运服务；</w:t>
      </w:r>
      <w:r/>
    </w:p>
    <w:p>
      <w:pPr>
        <w:pStyle w:val="746"/>
        <w:ind w:firstLine="560"/>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5、生活区水电值班服务；</w:t>
      </w:r>
      <w:r/>
    </w:p>
    <w:p>
      <w:pPr>
        <w:pStyle w:val="746"/>
        <w:ind w:firstLine="560"/>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6、配合学校做好各项活动的后勤保障服务。</w:t>
      </w:r>
      <w:r/>
    </w:p>
    <w:p>
      <w:pPr>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outlineLvl w:val="0"/>
      </w:pPr>
      <w:r>
        <w:rPr>
          <w:rFonts w:hint="eastAsia" w:ascii="仿宋" w:hAnsi="仿宋" w:eastAsia="仿宋" w:cs="仿宋"/>
          <w:color w:val="000000" w:themeColor="text1"/>
          <w:sz w:val="28"/>
          <w:szCs w:val="28"/>
          <w14:textFill>
            <w14:solidFill>
              <w14:schemeClr w14:val="tx1"/>
            </w14:solidFill>
          </w14:textFill>
        </w:rPr>
        <w:t xml:space="preserve">3、人员要求清单</w:t>
      </w:r>
      <w:r/>
    </w:p>
    <w:tbl>
      <w:tblPr>
        <w:tblStyle w:val="73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3"/>
        <w:gridCol w:w="1499"/>
        <w:gridCol w:w="1216"/>
        <w:gridCol w:w="3611"/>
        <w:gridCol w:w="1216"/>
      </w:tblGrid>
      <w:tr>
        <w:trPr/>
        <w:tc>
          <w:tcPr>
            <w:tcW w:w="1213"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序号</w:t>
            </w:r>
            <w:r/>
          </w:p>
        </w:tc>
        <w:tc>
          <w:tcPr>
            <w:tcW w:w="1499"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岗位名称</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人数</w:t>
            </w:r>
            <w:r/>
          </w:p>
        </w:tc>
        <w:tc>
          <w:tcPr>
            <w:tcW w:w="3611" w:type="dxa"/>
            <w:textDirection w:val="lrTb"/>
            <w:noWrap w:val="false"/>
          </w:tcPr>
          <w:p>
            <w:pPr>
              <w:pStyle w:val="806"/>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要  求</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备注</w:t>
            </w:r>
            <w:r/>
          </w:p>
        </w:tc>
      </w:tr>
      <w:tr>
        <w:trPr>
          <w:trHeight w:val="2067"/>
        </w:trPr>
        <w:tc>
          <w:tcPr>
            <w:tcW w:w="1213"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1</w:t>
            </w:r>
            <w:r/>
          </w:p>
        </w:tc>
        <w:tc>
          <w:tcPr>
            <w:tcW w:w="1499"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项目主管</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1</w:t>
            </w:r>
            <w:r/>
          </w:p>
        </w:tc>
        <w:tc>
          <w:tcPr>
            <w:tcW w:w="3611"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本科及以上学历，能熟练运用办公系统，有丰富的学生宿舍管理经验，有一定的高校学生管理及思想政治工作的经验，具有物业管理项目经理岗位证书。</w:t>
            </w:r>
            <w:r/>
          </w:p>
        </w:tc>
        <w:tc>
          <w:tcPr>
            <w:tcW w:w="1216" w:type="dxa"/>
            <w:textDirection w:val="lrTb"/>
            <w:noWrap w:val="false"/>
          </w:tcPr>
          <w:p>
            <w:pPr>
              <w:pStyle w:val="806"/>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ascii="仿宋" w:hAnsi="仿宋" w:eastAsia="仿宋" w:cs="仿宋"/>
                <w:b/>
                <w:bCs/>
                <w:color w:val="000000" w:themeColor="text1"/>
                <w:sz w:val="28"/>
                <w:szCs w:val="28"/>
                <w:lang w:eastAsia="zh-CN"/>
                <w14:textFill>
                  <w14:solidFill>
                    <w14:schemeClr w14:val="tx1"/>
                  </w14:solidFill>
                </w14:textFill>
              </w:rPr>
            </w:r>
            <w:r/>
          </w:p>
        </w:tc>
      </w:tr>
      <w:tr>
        <w:trPr/>
        <w:tc>
          <w:tcPr>
            <w:tcW w:w="1213"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2</w:t>
            </w:r>
            <w:r/>
          </w:p>
        </w:tc>
        <w:tc>
          <w:tcPr>
            <w:tcW w:w="1499"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宿舍管理员（含班组长）</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26</w:t>
            </w:r>
            <w:r/>
          </w:p>
        </w:tc>
        <w:tc>
          <w:tcPr>
            <w:tcW w:w="3611"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班组长具有高中以上学历，熟悉办公软件，具有相应的管理能力。其他管理员具有初中及以上学历，具有健康证，具备信息化管理能力，热心为学生服务。</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门卫岗24小时在岗</w:t>
            </w:r>
            <w:r/>
          </w:p>
        </w:tc>
      </w:tr>
      <w:tr>
        <w:trPr>
          <w:trHeight w:val="1235"/>
        </w:trPr>
        <w:tc>
          <w:tcPr>
            <w:tcW w:w="1213" w:type="dxa"/>
            <w:textDirection w:val="lrTb"/>
            <w:noWrap w:val="false"/>
          </w:tcPr>
          <w:p>
            <w:pPr>
              <w:pStyle w:val="806"/>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ascii="仿宋" w:hAnsi="仿宋" w:eastAsia="仿宋" w:cs="仿宋"/>
                <w:b/>
                <w:bCs/>
                <w:color w:val="000000" w:themeColor="text1"/>
                <w:sz w:val="28"/>
                <w:szCs w:val="28"/>
                <w14:textFill>
                  <w14:solidFill>
                    <w14:schemeClr w14:val="tx1"/>
                  </w14:solidFill>
                </w14:textFill>
              </w:rPr>
            </w:r>
            <w:r/>
          </w:p>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3</w:t>
            </w:r>
            <w:r/>
          </w:p>
          <w:p>
            <w:pPr>
              <w:pStyle w:val="806"/>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ascii="仿宋" w:hAnsi="仿宋" w:eastAsia="仿宋" w:cs="仿宋"/>
                <w:b/>
                <w:bCs/>
                <w:color w:val="000000" w:themeColor="text1"/>
                <w:sz w:val="28"/>
                <w:szCs w:val="28"/>
                <w14:textFill>
                  <w14:solidFill>
                    <w14:schemeClr w14:val="tx1"/>
                  </w14:solidFill>
                </w14:textFill>
              </w:rPr>
            </w:r>
            <w:r/>
          </w:p>
        </w:tc>
        <w:tc>
          <w:tcPr>
            <w:tcW w:w="1499"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保洁员</w:t>
            </w:r>
            <w:r/>
          </w:p>
        </w:tc>
        <w:tc>
          <w:tcPr>
            <w:tcW w:w="1216" w:type="dxa"/>
            <w:textDirection w:val="lrTb"/>
            <w:noWrap w:val="false"/>
          </w:tcPr>
          <w:p>
            <w:pPr>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25</w:t>
            </w:r>
            <w:r/>
          </w:p>
        </w:tc>
        <w:tc>
          <w:tcPr>
            <w:tcW w:w="3611"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小学及以上学历，具有健康证，热心为师生服务。</w:t>
            </w:r>
            <w:r/>
          </w:p>
        </w:tc>
        <w:tc>
          <w:tcPr>
            <w:tcW w:w="1216" w:type="dxa"/>
            <w:textDirection w:val="lrTb"/>
            <w:noWrap w:val="false"/>
          </w:tcPr>
          <w:p>
            <w:pPr>
              <w:pStyle w:val="806"/>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ascii="仿宋" w:hAnsi="仿宋" w:eastAsia="仿宋" w:cs="仿宋"/>
                <w:b/>
                <w:bCs/>
                <w:color w:val="000000" w:themeColor="text1"/>
                <w:sz w:val="28"/>
                <w:szCs w:val="28"/>
                <w:lang w:eastAsia="zh-CN"/>
                <w14:textFill>
                  <w14:solidFill>
                    <w14:schemeClr w14:val="tx1"/>
                  </w14:solidFill>
                </w14:textFill>
              </w:rPr>
            </w:r>
            <w:r/>
          </w:p>
        </w:tc>
      </w:tr>
      <w:tr>
        <w:trPr/>
        <w:tc>
          <w:tcPr>
            <w:tcW w:w="1213"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4</w:t>
            </w:r>
            <w:r/>
          </w:p>
        </w:tc>
        <w:tc>
          <w:tcPr>
            <w:tcW w:w="1499"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维修工</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6</w:t>
            </w:r>
            <w:r/>
          </w:p>
        </w:tc>
        <w:tc>
          <w:tcPr>
            <w:tcW w:w="3611"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初中及以上学历，持有高低压运维证，能完成电工、管道、电焊、泥瓦等综合类日常修缮任务，能热心为师生服务。</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含晚间住校值班</w:t>
            </w:r>
            <w:r/>
          </w:p>
        </w:tc>
      </w:tr>
      <w:tr>
        <w:trPr/>
        <w:tc>
          <w:tcPr>
            <w:gridSpan w:val="2"/>
            <w:tcW w:w="2712" w:type="dxa"/>
            <w:textDirection w:val="lrTb"/>
            <w:noWrap w:val="false"/>
          </w:tcPr>
          <w:p>
            <w:pPr>
              <w:pStyle w:val="806"/>
              <w:jc w:val="both"/>
              <w:keepLines/>
              <w:keepNext/>
              <w:spacing w:before="320" w:after="200" w:line="360" w:lineRule="auto"/>
              <w:rPr>
                <w:rFonts w:ascii="仿宋" w:hAnsi="仿宋" w:eastAsia="仿宋" w:cs="仿宋"/>
                <w:b/>
                <w:bCs/>
                <w:color w:val="000000" w:themeColor="text1"/>
                <w:sz w:val="28"/>
                <w:szCs w:val="28"/>
                <w14:textFill>
                  <w14:solidFill>
                    <w14:schemeClr w14:val="tx1"/>
                  </w14:solidFill>
                </w14:textFill>
              </w:rPr>
              <w:outlineLvl w:val="4"/>
            </w:pPr>
            <w:r>
              <w:rPr>
                <w:rFonts w:hint="eastAsia" w:ascii="仿宋" w:hAnsi="仿宋" w:eastAsia="仿宋" w:cs="仿宋"/>
                <w:b/>
                <w:bCs/>
                <w:color w:val="000000" w:themeColor="text1"/>
                <w:sz w:val="28"/>
                <w:szCs w:val="28"/>
                <w14:textFill>
                  <w14:solidFill>
                    <w14:schemeClr w14:val="tx1"/>
                  </w14:solidFill>
                </w14:textFill>
              </w:rPr>
              <w:t xml:space="preserve">合计</w:t>
            </w:r>
            <w:r/>
          </w:p>
        </w:tc>
        <w:tc>
          <w:tcPr>
            <w:tcW w:w="1216"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58</w:t>
            </w:r>
            <w:r/>
          </w:p>
        </w:tc>
        <w:tc>
          <w:tcPr>
            <w:gridSpan w:val="2"/>
            <w:tcW w:w="4827" w:type="dxa"/>
            <w:textDirection w:val="lrTb"/>
            <w:noWrap w:val="false"/>
          </w:tcPr>
          <w:p>
            <w:pPr>
              <w:pStyle w:val="806"/>
              <w:ind w:left="0"/>
              <w:jc w:val="both"/>
              <w:keepLines/>
              <w:keepNext/>
              <w:spacing w:before="320" w:after="200" w:line="360" w:lineRule="auto"/>
              <w:rPr>
                <w:rFonts w:ascii="仿宋" w:hAnsi="仿宋" w:eastAsia="仿宋" w:cs="仿宋"/>
                <w:b/>
                <w:bCs/>
                <w:color w:val="000000" w:themeColor="text1"/>
                <w:sz w:val="28"/>
                <w:szCs w:val="28"/>
                <w:lang w:eastAsia="zh-CN"/>
                <w14:textFill>
                  <w14:solidFill>
                    <w14:schemeClr w14:val="tx1"/>
                  </w14:solidFill>
                </w14:textFill>
              </w:rPr>
              <w:outlineLvl w:val="4"/>
            </w:pPr>
            <w:r>
              <w:rPr>
                <w:rFonts w:hint="eastAsia" w:ascii="仿宋" w:hAnsi="仿宋" w:eastAsia="仿宋" w:cs="仿宋"/>
                <w:b/>
                <w:bCs/>
                <w:color w:val="000000" w:themeColor="text1"/>
                <w:sz w:val="28"/>
                <w:szCs w:val="28"/>
                <w:lang w:eastAsia="zh-CN"/>
                <w14:textFill>
                  <w14:solidFill>
                    <w14:schemeClr w14:val="tx1"/>
                  </w14:solidFill>
                </w14:textFill>
              </w:rPr>
              <w:t xml:space="preserve">注：每工作日在岗人员不少于45人，以学校实际岗位要求核定人数。</w:t>
            </w:r>
            <w:r/>
          </w:p>
        </w:tc>
      </w:tr>
    </w:tbl>
    <w:p>
      <w:pPr>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outlineLvl w:val="0"/>
      </w:pPr>
      <w:r>
        <w:rPr>
          <w:rFonts w:hint="eastAsia" w:ascii="仿宋" w:hAnsi="仿宋" w:eastAsia="仿宋" w:cs="仿宋"/>
          <w:color w:val="000000" w:themeColor="text1"/>
          <w:sz w:val="28"/>
          <w:szCs w:val="28"/>
          <w14:textFill>
            <w14:solidFill>
              <w14:schemeClr w14:val="tx1"/>
            </w14:solidFill>
          </w14:textFill>
        </w:rPr>
        <w:t xml:space="preserve">注：以上人员配置为项目满负荷运行情况下最低人员配置标准，岗位人数须满足以上要求，并提供承诺书，如不提供，按无效投标处理。</w:t>
      </w:r>
      <w:r/>
    </w:p>
    <w:p>
      <w:pPr>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outlineLvl w:val="0"/>
      </w:pPr>
      <w:r>
        <w:rPr>
          <w:rFonts w:ascii="仿宋" w:hAnsi="仿宋" w:eastAsia="仿宋" w:cs="仿宋"/>
          <w:color w:val="000000" w:themeColor="text1"/>
          <w:sz w:val="28"/>
          <w:szCs w:val="28"/>
          <w14:textFill>
            <w14:solidFill>
              <w14:schemeClr w14:val="tx1"/>
            </w14:solidFill>
          </w14:textFill>
        </w:rPr>
      </w:r>
      <w:r/>
    </w:p>
    <w:p>
      <w:pPr>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4.报价说明</w:t>
      </w:r>
      <w:r/>
    </w:p>
    <w:p>
      <w:pPr>
        <w:pStyle w:val="806"/>
        <w:numPr>
          <w:ilvl w:val="0"/>
          <w:numId w:val="6"/>
        </w:numPr>
        <w:ind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投标人报价时应充分考虑服务期内所有可能影响到报价的因素（包括最低工资标准和社保基数的政策性调整），一旦投标结束最终中标，总价将包定，中间不予调整。如发生漏、缺、少项，都将被认为是中标人的报价让利行为，损失自负。</w:t>
      </w:r>
      <w:r/>
    </w:p>
    <w:p>
      <w:pPr>
        <w:pStyle w:val="806"/>
        <w:ind w:left="0"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2、员工工资、社保费用、税金法定费用为不可让利部分（不可竞争费用），须按规定计算并报出，投标总报价不可低于上述相关费用合计， 否则作无效投标处理。</w:t>
      </w:r>
      <w:r/>
    </w:p>
    <w:p>
      <w:pPr>
        <w:pStyle w:val="806"/>
        <w:ind w:left="0"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3、投标人中标后不得层层转包，如果发现转包，学校将按法律程序进行处理，所产生的后果由中标人负责。</w:t>
      </w:r>
      <w:r/>
    </w:p>
    <w:p>
      <w:pPr>
        <w:pStyle w:val="806"/>
        <w:ind w:left="0"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4、中标人聘用的员工，需按国家规定支付相应的工资、福利及按规定交金。否则，中标人需承担相应后果。</w:t>
      </w:r>
      <w:r/>
    </w:p>
    <w:p>
      <w:pPr>
        <w:pStyle w:val="806"/>
        <w:ind w:left="0"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5、投标人一旦中标，必须服从学校相关部门的管理。</w:t>
      </w:r>
      <w:r/>
    </w:p>
    <w:p>
      <w:pPr>
        <w:pStyle w:val="806"/>
        <w:ind w:left="0"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6、工作人员严格按照安全操作规程开展工作，工作中发生意外事故由投标人自负，与学校无关。</w:t>
      </w:r>
      <w:r/>
    </w:p>
    <w:p>
      <w:pPr>
        <w:pStyle w:val="806"/>
        <w:ind w:left="0"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7、投标人须确保学校新生接待、毕业生离校及临时性应急保障工作。</w:t>
      </w:r>
      <w:r/>
    </w:p>
    <w:p>
      <w:pPr>
        <w:pStyle w:val="806"/>
        <w:ind w:left="0"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8、未尽事宜，在双方协议中进行明确。</w:t>
      </w:r>
      <w:r/>
    </w:p>
    <w:p>
      <w:pPr>
        <w:ind w:firstLine="560"/>
        <w:spacing w:line="360" w:lineRule="auto"/>
        <w:widowControl/>
        <w:rPr>
          <w:rFonts w:ascii="仿宋" w:hAnsi="仿宋" w:eastAsia="仿宋" w:cs="仿宋"/>
          <w:color w:val="000000" w:themeColor="text1"/>
          <w:sz w:val="28"/>
          <w:szCs w:val="28"/>
          <w14:textFill>
            <w14:solidFill>
              <w14:schemeClr w14:val="tx1"/>
            </w14:solidFill>
          </w14:textFill>
        </w:rPr>
        <w:outlineLvl w:val="0"/>
      </w:pPr>
      <w:r>
        <w:rPr>
          <w:rFonts w:hint="eastAsia" w:ascii="仿宋" w:hAnsi="仿宋" w:eastAsia="仿宋" w:cs="仿宋"/>
          <w:color w:val="000000" w:themeColor="text1"/>
          <w:sz w:val="28"/>
          <w:szCs w:val="28"/>
          <w14:textFill>
            <w14:solidFill>
              <w14:schemeClr w14:val="tx1"/>
            </w14:solidFill>
          </w14:textFill>
        </w:rPr>
        <w:t xml:space="preserve">五、物业委托期限</w:t>
      </w:r>
      <w:r/>
    </w:p>
    <w:p>
      <w:pPr>
        <w:ind w:firstLine="560"/>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三年（采用“1+1+1”模式，一年一签，年度考核合格后续签下一年度合同）。</w:t>
      </w:r>
      <w:r/>
    </w:p>
    <w:p>
      <w:pPr>
        <w:ind w:firstLine="560"/>
        <w:spacing w:line="360" w:lineRule="auto"/>
        <w:widowControl/>
        <w:rPr>
          <w:rFonts w:ascii="仿宋" w:hAnsi="仿宋" w:eastAsia="仿宋" w:cs="仿宋"/>
          <w:color w:val="000000" w:themeColor="text1"/>
          <w:sz w:val="28"/>
          <w:szCs w:val="28"/>
          <w14:textFill>
            <w14:solidFill>
              <w14:schemeClr w14:val="tx1"/>
            </w14:solidFill>
          </w14:textFill>
        </w:rPr>
        <w:outlineLvl w:val="0"/>
      </w:pPr>
      <w:r>
        <w:rPr>
          <w:rFonts w:hint="eastAsia" w:ascii="仿宋" w:hAnsi="仿宋" w:eastAsia="仿宋" w:cs="仿宋"/>
          <w:color w:val="000000" w:themeColor="text1"/>
          <w:sz w:val="28"/>
          <w:szCs w:val="28"/>
          <w14:textFill>
            <w14:solidFill>
              <w14:schemeClr w14:val="tx1"/>
            </w14:solidFill>
          </w14:textFill>
        </w:rPr>
        <w:t xml:space="preserve">六、委托服务的要求及内容</w:t>
      </w:r>
      <w:r/>
    </w:p>
    <w:p>
      <w:pPr>
        <w:pStyle w:val="746"/>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（一）项目运行基本要求</w:t>
      </w:r>
      <w:r/>
    </w:p>
    <w:p>
      <w:pPr>
        <w:pStyle w:val="806"/>
        <w:ind w:left="0" w:firstLine="56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物业公司所聘人员不能有不良记录，年龄、精神状况等应符合国家用工要求和学校相关部门的用工要求，物业公司负责员工的安全法制教育，负责给所聘员工投相应保险，在为本院服务期间，出现伤亡事故等各种意外，均由物业公司负责。</w:t>
      </w:r>
      <w:r/>
    </w:p>
    <w:p>
      <w:pPr>
        <w:pStyle w:val="806"/>
        <w:ind w:left="0" w:firstLine="56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服务期限内物业管理服务费包括物业公司提供服务所需的人员工资、加班、福利、保险费；行政办公费、值班场所的电话费（具体电话号码由双方签字确认）、服装费、劳保用品费；卫生清洁、消毒所用工具材料费；维修工具费用；税金、利润和所有的风险、责任、义务等一切费用的总和。</w:t>
      </w:r>
      <w:r/>
    </w:p>
    <w:p>
      <w:pPr>
        <w:pStyle w:val="806"/>
        <w:ind w:left="0" w:firstLine="56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3、物业公司要严格遵守学校的有关规定，并对员工进行上岗培训，使之熟悉校区规章制度、礼貌用语和岗位、服务场所等情况，以便为学生提供帮助和服务。定期对员工进行职业道德、法律法规、技能素质、质量标准、规范服务和安全工作等方面的培训教育，物业公司派入的服务人员，如有违反法律法规、社会公德及学校的相关规章制度和服务规范行为的，招标人有权要求更换相关人员，中标人应在一周内及时更换。</w:t>
      </w:r>
      <w:r/>
    </w:p>
    <w:p>
      <w:pPr>
        <w:pStyle w:val="806"/>
        <w:ind w:left="0" w:firstLine="56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4、根据任务量和工种不同，须配备数量足够的、相关工种对应的技术工人和管理人员，且业务水平足够高。派入的员工必须符合校方的要求，并提供身份证件审核同意后方可进入校区工作。</w:t>
      </w:r>
      <w:r/>
    </w:p>
    <w:p>
      <w:pPr>
        <w:pStyle w:val="806"/>
        <w:ind w:left="0" w:firstLine="56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5、物业公司要节约用水、用电，做好宿舍区水表抄表记录，并对用水用电情况作分析判断。提供节能指标、物业管理制度、用人计划及实际用人情况并报给校方，校方对物业公司进行审查、监督，根据《考核办法》实施目标考核。</w:t>
      </w:r>
      <w:r/>
    </w:p>
    <w:p>
      <w:pPr>
        <w:ind w:firstLine="560"/>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6、对检查考核结果双方签字确认。若对检查考核结果有异议，双方可复查确定考核结果。如果检查考核事实情况清楚，结果正确，物业公司方仍不签字，三日后校方可单方签字确认，结果有效。</w:t>
      </w:r>
      <w:r/>
    </w:p>
    <w:p>
      <w:pPr>
        <w:pStyle w:val="806"/>
        <w:ind w:left="0"/>
        <w:spacing w:line="360" w:lineRule="auto"/>
        <w:rPr>
          <w:rFonts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（二）</w:t>
      </w:r>
      <w:r>
        <w:rPr>
          <w:rFonts w:hint="eastAsia" w:ascii="仿宋" w:hAnsi="仿宋" w:eastAsia="仿宋" w:cs="仿宋"/>
          <w:b/>
          <w:color w:val="000000" w:themeColor="text1"/>
          <w:sz w:val="28"/>
          <w:szCs w:val="28"/>
          <w:lang w:eastAsia="zh-CN"/>
          <w14:textFill>
            <w14:solidFill>
              <w14:schemeClr w14:val="tx1"/>
            </w14:solidFill>
          </w14:textFill>
        </w:rPr>
        <w:t xml:space="preserve">学生宿舍管理服务要求</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1、执行学校学生宿舍管理规定，熟知学校各项学生宿舍管理制度，认真履行岗位职责。实行24小时值班，坚守工作岗位，不得擅离职守或做私活。</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2、掌握宿舍楼住宿学生基本情况，禁止无关人员、异性出入宿舍楼。外请维修等出入者必须查验证件并登记。</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3、依据学校相关管理规定，做好学生入住接待、退房登记管理工作。宿舍入住前物品配置齐全完好，设施设备完好，钥匙、遥控器发放正常，卫生整洁，记录完整；退房交接时检查是否有损坏和异常情况，钥匙、遥控器收回，记录完整。不得出现在学生未走完退宿流程情况下，直接按清退宿舍处理，因此发生的后果由物业公司具体负责。</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4、禁止任何人在未经许可的情况下将宿舍物品、学生物品携带出宿舍楼。学生携带电脑、行李等大件物品出入宿舍楼时，必须做好登记。</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5、维护公共秩序，保障通道畅通。严禁自行车进入学生宿舍，大厅内的物品摆放整齐。</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6、配合相关管理部门做好学生宿舍文化建设，协助处理学生宿舍内发生的矛盾纠纷，参与学生宿舍内务检查评比，维持良好的秩序和优美环境。</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7、熟知智能电控系统，严禁使用违章电器（大功率电器），协助学生处及相关部门做好学生违规教育处理工作和学生宿舍的卫生、用电、用水等情况检查工作。对违反学校学生宿舍管理制度的人和事要敢抓敢管，不徇私情。</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8、定期报告学生宿舍管理情况，对学生违规违纪现象及时制止、规劝，并向后勤服务中心报告。</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9、值班人员主动、热情、耐心做好学生的咨询、报修等服务工作。关心学生，提供力所能及的各项免费服务（例：针线包、打气筒、小五金等），做好失物招领工作。</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10、要熟悉所在学生宿舍的学生住宿情况，发现可疑的人、事或可疑物品，要认真检查并及时向学校保卫处和后勤服务中心报告。</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11、严格遵守作息时间表，按时开启、关闭宿舍楼门（早上6：30开门，晚上10：00关门）。对晚间关门后（非上述时间段进出）进出的人员须询问晚归原因和查看有效证件并登记，如学生不配合并有异常情况的联系值班辅导员老师，并认真做好登记。夜间熄灯并关闭学生宿舍大门后，要上楼巡视检查有无学生违规行为或安全隐患。加强夜间防火、防盗、防漏水巡查并填写巡查记录，巡查人员及其主管人员应当在巡查记录上签名。</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12、保管好宿舍楼各寝室的钥匙，做到定位存放。学生需要使用钥匙时由值班员查看学生证或身份证核对住宿信息后借用并做好记录。严禁学生私自取走钥匙开门。各学院检查学生宿舍时，凭学院开具的证明借用钥匙（必须2人以上），并做好登记。疏散通道的钥匙必须固定存放，随时可取，定期进行开锁实验，确保门锁完好，并作好记录。</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13、 严禁闲杂人员、小商、小贩入内，任何人不得在学生宿舍内兜售物品；学生不得随意进入异性学生宿舍，如确有需要，需凭学院开具的证明进入；异性家长进入学生宿舍须由学生本人陪同并征得管理员（站长）同意，管理员（站长）要认真核对证件、办理登记手续；晚上8点以后，任何人员不得进入异性学生宿舍，特殊情况除外。</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14、保持值班室及值班室周边干净整洁有序，认真做好交班记录，对重要事情或处理的问题要和下一班交接清楚。不擅自使用宿舍楼内的空房间，不私自安排外人或学生使用空房间。雨天在大门口放置告示牌和防滑垫，提示小心滑倒，并用干布及时拖干地面。</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15、听取学生和相关部门意见，不断改进工作。完成学工处、后勤处等部门交办的其他临时性紧急任务。</w:t>
      </w:r>
      <w:r/>
    </w:p>
    <w:p>
      <w:pPr>
        <w:pStyle w:val="806"/>
        <w:ind w:left="0"/>
        <w:spacing w:line="360" w:lineRule="auto"/>
        <w:rPr>
          <w:rFonts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（三）</w:t>
      </w:r>
      <w:r>
        <w:rPr>
          <w:rFonts w:hint="eastAsia" w:ascii="仿宋" w:hAnsi="仿宋" w:eastAsia="仿宋" w:cs="仿宋"/>
          <w:b/>
          <w:color w:val="000000" w:themeColor="text1"/>
          <w:sz w:val="28"/>
          <w:szCs w:val="28"/>
          <w:lang w:eastAsia="zh-CN"/>
          <w14:textFill>
            <w14:solidFill>
              <w14:schemeClr w14:val="tx1"/>
            </w14:solidFill>
          </w14:textFill>
        </w:rPr>
        <w:t xml:space="preserve">日常保洁服务要求</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保洁范围为学校生活区所有楼宇（1#、2#、3#、4#、5#、6#、7#、8#、9#、9D、9E学生宿舍楼、大学生活动中心、三栋教职工周转房、大学生创业园、综合服务中心一楼）内场公共区域及外场保洁服务，具体区域以现场为准。</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2、公共部位包含：走廊、楼梯、栏杆、公共卫生间、下沉广场、人行步道、花台、雨棚、露台、屋面、强弱电间、走道、门厅、消防设施、绿化带等。</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3、宿舍内部打扫：学生宿舍调整、毕业生离校、新生入住期间及寒暑假外部单位装修完毕后必须对宿舍阳台、房间、家具、盥洗室、卫生间、墙面等进行全面清洗保洁。每学期对学生宿舍阳台（杂草）、下水口等进行全面清扫2次。</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4、保洁要求：</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4.1、地面光洁无杂物，墙顶无蜘蛛网，楼梯扶手、栏杆、消防栓等无积灰，厕所便槽无积垢和异味，洗手池内无赃物，垃圾桶、手纸篓无堆积。</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4.2、定期对玻璃门、玻璃窗、过道门、消防栓等进行一次全面擦洗。做好雨棚、屋面、天沟等处的清扫，确保下水口畅通。</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4.3、根据医务所要求做好季节性的消杀工作。对垃圾桶、沟、井、草地、角落等进行消杀，无蚊、蝇、蟑螂、鼠害。</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4.4、学校生活区所有楼宇（1#、2#、3#、4#、5#、6#、7#、8#、9#、9D、9E学生宿舍楼、大学生活动中心、三栋教职工周转房、大学生创业园、综合服务中心一楼）内场公共区域及外场的垃圾箱、道路、绿化内无杂物、无纸屑、无烟头、无白色垃圾等。</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4.5、清扫与保洁相结合，加强流动保洁，节约用水、用电，杜绝长流水、长明灯。发现门窗、灯、开关、水管、水龙头、冲便器等公共设施有损坏的，保洁员及时报修，维修工及时维修完好。</w:t>
      </w:r>
      <w:r/>
    </w:p>
    <w:p>
      <w:pPr>
        <w:pStyle w:val="806"/>
        <w:ind w:left="0"/>
        <w:spacing w:line="360" w:lineRule="auto"/>
        <w:rPr>
          <w:rFonts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（四）</w:t>
      </w:r>
      <w:r>
        <w:rPr>
          <w:rFonts w:hint="eastAsia" w:ascii="仿宋" w:hAnsi="仿宋" w:eastAsia="仿宋" w:cs="仿宋"/>
          <w:b/>
          <w:color w:val="000000" w:themeColor="text1"/>
          <w:spacing w:val="4"/>
          <w:sz w:val="28"/>
          <w:szCs w:val="28"/>
          <w:lang w:eastAsia="zh-CN"/>
          <w14:textFill>
            <w14:solidFill>
              <w14:schemeClr w14:val="tx1"/>
            </w14:solidFill>
          </w14:textFill>
        </w:rPr>
        <w:t xml:space="preserve">维修保养修缮服务</w:t>
      </w:r>
      <w:r/>
    </w:p>
    <w:p>
      <w:pPr>
        <w:pStyle w:val="806"/>
        <w:ind w:left="420"/>
        <w:spacing w:line="360" w:lineRule="auto"/>
        <w:rPr>
          <w:rFonts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b/>
          <w:color w:val="000000" w:themeColor="text1"/>
          <w:sz w:val="28"/>
          <w:szCs w:val="28"/>
          <w:lang w:eastAsia="zh-CN"/>
          <w14:textFill>
            <w14:solidFill>
              <w14:schemeClr w14:val="tx1"/>
            </w14:solidFill>
          </w14:textFill>
        </w:rPr>
        <w:t xml:space="preserve">1、维修服务内容：</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1.1、管辖范围内的照明系统、水电设施、给排水系统、排污系统、消防系统的安全运行服务，走廊、门厅、公共卫生间、强弱电间、宿舍等的家具、门、窗、锁、玻璃、拉手、窗帘、吊顶、电扇、排风扇、开关、插座、灯具、水龙头、踏脚阀、毛巾架、水池、蹲坑等的维护修缮服务，各类管道发生渗漏或堵塞等情况时要立即维修和疏通到位，确保正常使用。</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1.2、做好室内外露明铁件和消防栓、路灯等的防锈处理，应急灯、疏散指示灯及其线路维修更换。</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1.3、落实消防安全巡查人，定期消防巡查，填写检查记录，对灭火器和消火栓进行保洁，消火栓箱框架和玻璃进行维修更换。遇到突发事情，要根据消防强制性规范进行处理，任务和责任落实到人。发现其他问题及时上报。</w:t>
      </w:r>
      <w:r/>
    </w:p>
    <w:p>
      <w:pPr>
        <w:pStyle w:val="806"/>
        <w:ind w:left="420"/>
        <w:spacing w:line="360" w:lineRule="auto"/>
        <w:rPr>
          <w:rFonts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b/>
          <w:color w:val="000000" w:themeColor="text1"/>
          <w:sz w:val="28"/>
          <w:szCs w:val="28"/>
          <w:lang w:eastAsia="zh-CN"/>
          <w14:textFill>
            <w14:solidFill>
              <w14:schemeClr w14:val="tx1"/>
            </w14:solidFill>
          </w14:textFill>
        </w:rPr>
        <w:t xml:space="preserve">2、维修服务要求：</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2.1、维修人员维修应持派工单，挂牌上岗。实行24小时值班制度，维修台账记录完整。</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2.2、小修：接到通知后30分钟内到达现场，一般维修实行“小修不过夜，大修连续干”，维修合格率达98%以上。急修：接到通知后15分钟内到达现场，维修合格率达98%以上。</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2.3、承担单件、单价、单项500元以下的非房屋基建及配套设施类的小项目维修，</w:t>
      </w:r>
      <w:r>
        <w:rPr>
          <w:rFonts w:hint="eastAsia" w:ascii="仿宋" w:hAnsi="仿宋" w:eastAsia="仿宋" w:cs="仿宋"/>
          <w:bCs/>
          <w:color w:val="000000" w:themeColor="text1"/>
          <w:sz w:val="28"/>
          <w:szCs w:val="28"/>
          <w:lang w:eastAsia="zh-CN"/>
          <w14:textFill>
            <w14:solidFill>
              <w14:schemeClr w14:val="tx1"/>
            </w14:solidFill>
          </w14:textFill>
        </w:rPr>
        <w:t xml:space="preserve">维修主要物料由校方购置,维修附件（螺丝、生料带、电工胶布、胶水等）自行购置，维修工具自行配置。</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2.4、严格按照操作规程操作，确保设施设备正常运行，保障电控系统、照明系统、给排水系统、排污系统、消防系统等安全可靠、畅通运行。</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2.5、经常巡查、询问，发现门、窗、框松动、开关不灵活、照明不亮、家具损坏等应及时修复；对照明系统定期检查维护，电线无外露，线接口无松动；对供水设备系统进行常规性检查和保养；做好雨水井、道板砖、瓷砖、锁具、拉手等公共部位设施的检查维修；做好各类水管水表的防冻保暖工作；无跑、冒、漏、滴现象，并有记录。</w:t>
      </w:r>
      <w:r/>
    </w:p>
    <w:p>
      <w:pPr>
        <w:pStyle w:val="806"/>
        <w:ind w:left="420"/>
        <w:spacing w:line="360" w:lineRule="auto"/>
        <w:rPr>
          <w:rFonts w:ascii="仿宋" w:hAnsi="仿宋" w:eastAsia="仿宋" w:cs="仿宋"/>
          <w:bCs/>
          <w:color w:val="000000" w:themeColor="text1"/>
          <w:sz w:val="28"/>
          <w:szCs w:val="28"/>
          <w:lang w:eastAsia="zh-CN"/>
          <w14:textFill>
            <w14:solidFill>
              <w14:schemeClr w14:val="tx1"/>
            </w14:solidFill>
          </w14:textFill>
        </w:rPr>
      </w:pPr>
      <w:r>
        <w:rPr>
          <w:rFonts w:hint="eastAsia" w:ascii="仿宋" w:hAnsi="仿宋" w:eastAsia="仿宋" w:cs="仿宋"/>
          <w:bCs/>
          <w:color w:val="000000" w:themeColor="text1"/>
          <w:sz w:val="28"/>
          <w:szCs w:val="28"/>
          <w:lang w:eastAsia="zh-CN"/>
          <w14:textFill>
            <w14:solidFill>
              <w14:schemeClr w14:val="tx1"/>
            </w14:solidFill>
          </w14:textFill>
        </w:rPr>
        <w:t xml:space="preserve">2.6、对于超出维修责任范围的事项及时报告，并做好对学生的解释工作。</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ascii="仿宋" w:hAnsi="仿宋" w:eastAsia="仿宋" w:cs="仿宋"/>
          <w:color w:val="000000" w:themeColor="text1"/>
          <w:sz w:val="28"/>
          <w:szCs w:val="28"/>
          <w:lang w:eastAsia="zh-CN"/>
          <w14:textFill>
            <w14:solidFill>
              <w14:schemeClr w14:val="tx1"/>
            </w14:solidFill>
          </w14:textFill>
        </w:rPr>
        <w:t xml:space="preserve">（五）校园生活垃圾清运要求</w:t>
      </w:r>
      <w:r/>
    </w:p>
    <w:p>
      <w:pPr>
        <w:ind w:firstLine="560"/>
        <w:spacing w:line="48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1每天早中晚按时间及各区域不同要求做好垃圾清运工作，做到及时、到位。</w:t>
      </w:r>
      <w:r/>
    </w:p>
    <w:p>
      <w:pPr>
        <w:ind w:firstLine="560"/>
        <w:spacing w:line="48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2做好垃圾站点周边卫生保洁工作。</w:t>
      </w:r>
      <w:r/>
    </w:p>
    <w:p>
      <w:pPr>
        <w:ind w:firstLine="560"/>
        <w:spacing w:line="48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3垃圾清运沿途无滴、撒、漏，垃圾车清运过程中盖好垃圾桶盖，做好防护。</w:t>
      </w:r>
      <w:r/>
    </w:p>
    <w:p>
      <w:pPr>
        <w:ind w:firstLine="560"/>
        <w:spacing w:line="48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4定期清洗垃圾桶、定期按要求做好垃圾桶及垃圾清运站点的消杀工作。</w:t>
      </w:r>
      <w:r/>
    </w:p>
    <w:p>
      <w:pPr>
        <w:ind w:firstLine="560"/>
        <w:spacing w:line="48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5做好现有垃圾桶的维护工作，垃圾桶出现损坏，要按整个校区需求做好添置，确保垃圾桶数量及完好。</w:t>
      </w:r>
      <w:r/>
    </w:p>
    <w:p>
      <w:pPr>
        <w:ind w:firstLine="56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w:t>
      </w:r>
      <w:r>
        <w:rPr>
          <w:rFonts w:ascii="仿宋" w:hAnsi="仿宋" w:eastAsia="仿宋" w:cs="仿宋"/>
          <w:color w:val="000000" w:themeColor="text1"/>
          <w:sz w:val="28"/>
          <w:szCs w:val="28"/>
          <w14:textFill>
            <w14:solidFill>
              <w14:schemeClr w14:val="tx1"/>
            </w14:solidFill>
          </w14:textFill>
        </w:rPr>
        <w:t xml:space="preserve">.做好现有垃圾清运车辆维护工作，垃圾清运车辆如出现损坏，按照整个校区需求做好添置和维修，确保校内生活垃圾及时清运至校内生活垃圾分拣站。</w:t>
      </w:r>
      <w:r/>
    </w:p>
    <w:p>
      <w:pPr>
        <w:pStyle w:val="806"/>
        <w:ind w:left="0"/>
        <w:spacing w:line="360" w:lineRule="auto"/>
        <w:rPr>
          <w:rFonts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（六）</w:t>
      </w:r>
      <w:r>
        <w:rPr>
          <w:rFonts w:hint="eastAsia" w:ascii="仿宋" w:hAnsi="仿宋" w:eastAsia="仿宋" w:cs="仿宋"/>
          <w:b/>
          <w:color w:val="000000" w:themeColor="text1"/>
          <w:spacing w:val="4"/>
          <w:sz w:val="28"/>
          <w:szCs w:val="28"/>
          <w:lang w:eastAsia="zh-CN"/>
          <w14:textFill>
            <w14:solidFill>
              <w14:schemeClr w14:val="tx1"/>
            </w14:solidFill>
          </w14:textFill>
        </w:rPr>
        <w:t xml:space="preserve">其他服务</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1、按照招标人的要求，对公共区域内的设施、设备或其他物品等提供搬运服务。</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2、对招标人校内举办的活动，物业公司须提供搬运、搭台、布线等人工服务。</w:t>
      </w:r>
      <w:r/>
    </w:p>
    <w:p>
      <w:pPr>
        <w:pStyle w:val="806"/>
        <w:ind w:left="420"/>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3、对招标人新生开学报到、评估检查、大型会议、大型活动及领导视察等提供必须的人工服务。</w:t>
      </w:r>
      <w:r/>
    </w:p>
    <w:p>
      <w:pPr>
        <w:ind w:firstLine="560"/>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outlineLvl w:val="0"/>
      </w:pPr>
      <w:r/>
      <w:bookmarkStart w:id="178" w:name="_Toc13968"/>
      <w:r>
        <w:rPr>
          <w:rFonts w:hint="eastAsia" w:ascii="仿宋" w:hAnsi="仿宋" w:eastAsia="仿宋" w:cs="仿宋"/>
          <w:color w:val="000000" w:themeColor="text1"/>
          <w:sz w:val="28"/>
          <w:szCs w:val="28"/>
          <w14:textFill>
            <w14:solidFill>
              <w14:schemeClr w14:val="tx1"/>
            </w14:solidFill>
          </w14:textFill>
        </w:rPr>
        <w:t xml:space="preserve">七、</w:t>
      </w:r>
      <w:r>
        <w:rPr>
          <w:rFonts w:hint="eastAsia" w:ascii="仿宋" w:hAnsi="仿宋" w:eastAsia="仿宋" w:cs="仿宋"/>
          <w:b/>
          <w:bCs/>
          <w:color w:val="000000" w:themeColor="text1"/>
          <w:sz w:val="28"/>
          <w:szCs w:val="28"/>
          <w14:textFill>
            <w14:solidFill>
              <w14:schemeClr w14:val="tx1"/>
            </w14:solidFill>
          </w14:textFill>
        </w:rPr>
        <w:t xml:space="preserve">服务方案要求</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物业管理总体服务规划与设想方案：投标人结合项目采购需求的整体情况，综合考虑物业服务管理的普遍特征和项目的实际情况，提供针对本项目的总体服务设想、目标定位、服务理念、重点难点分析以及思路创新等角度进行详细阐述；提供的方案应细致完整、针对性强、措施有力。</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保洁方案：投标人结合本项目日常保洁服务需求，提供包括但不限于所有建筑内外（包含地面、楼道、走廊、扶手、卫生间、退宿学生寝室、门前三包等）的卫生保洁与环境维护；垃圾清理、收集与定点回收；下水道疏通；以及四害消杀防疫等工作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3.楼宇服务方案：投标人结合本项目楼宇服务需求，提供包括但不限于楼宇安全隐患排查服务等工作方案；提供的方案应细致完整、针对性强、措施有力。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4.公寓服务方案:投标人结合本项目住宿师生日常的生活内容和需求，提供包括但不限于公寓安全隐患排查、公寓床位管理及温馨服务等工作服务方案；提供的方案应细致完整、针对性强、措施有力。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设施设备维护、维修、报修方案:投标人结合本项目服务特点，提供包含但不局限于水电设备、各类照明灯具、配电间、水泵房及楼顶重点机房区域、地下管网等设施设备的日常巡检、维护监管、报修、维修及验收等工作的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6.校园环境管理服务方案:投标人结合本项目校园环境整体情况，提供包括但不限于校园道路环境维护保洁、校园景观建筑维护保洁、绿地清理及水系清洁等工作的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人员职责要求方案:投标人结合本项目人员需求，进行组织架构设计和人员配置管理，提供包括但不限于本项目的岗位设置、部门职责、工作流程、规章制度以及人员的配置、管理、培训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物资设备配置方案:投标人结合本项目的整体情况，提供包括但不限于为提升劳动效率和工作效果就本项目拟投入的设备、机械、工具等等物资配置方案；如办公设备、保洁设备、日用耗材、会务物资以及汛物资配备等</w:t>
      </w:r>
      <w:bookmarkStart w:id="179" w:name="OLE_LINK4"/>
      <w:r>
        <w:rPr>
          <w:rFonts w:hint="eastAsia" w:ascii="仿宋" w:hAnsi="仿宋" w:eastAsia="仿宋" w:cs="仿宋"/>
          <w:color w:val="000000" w:themeColor="text1"/>
          <w:sz w:val="28"/>
          <w:szCs w:val="28"/>
          <w14:textFill>
            <w14:solidFill>
              <w14:schemeClr w14:val="tx1"/>
            </w14:solidFill>
          </w14:textFill>
        </w:rPr>
        <w:t xml:space="preserve">；鼓励中标人</w:t>
      </w:r>
      <w:bookmarkEnd w:id="179"/>
      <w:r>
        <w:rPr>
          <w:rFonts w:hint="eastAsia" w:ascii="仿宋" w:hAnsi="仿宋" w:eastAsia="仿宋" w:cs="仿宋"/>
          <w:color w:val="000000" w:themeColor="text1"/>
          <w:sz w:val="28"/>
          <w:szCs w:val="28"/>
          <w14:textFill>
            <w14:solidFill>
              <w14:schemeClr w14:val="tx1"/>
            </w14:solidFill>
          </w14:textFill>
        </w:rPr>
        <w:t xml:space="preserve">提供和使用智能化工具，以提高工作质量和效率。</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9.文化建设方案:投标人结合本项目服务特点，提供包括但不限于育人特色工作、党建活动、学生劳动实践基地建设、环境育人策划、学生公寓文化活动及重大活动、节假日氛围营造等工作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10.应急预案：投标人结合本项目安全工作重点、难点的情况，提供包括但不局限于消防、治安、恶劣天气、公共卫生事件、设施设备突发故障等情况的应急预案等：提供的方案应细致完整、针对性强、措施有力。</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11.节能环保服务方案：投标人结合本项目情况，提供包括但不限于对所辖范围内常明灯、常流水、未按学校规定开启空调等现象进行管控；楼内节能宣传等工作的方案；提供的方案应细致完整、针对性强、措施有力。</w:t>
      </w:r>
      <w:r/>
    </w:p>
    <w:p>
      <w:pPr>
        <w:pStyle w:val="752"/>
        <w:ind w:firstLine="560"/>
        <w:spacing w:line="480" w:lineRule="exact"/>
        <w:rPr>
          <w:rFonts w:hAnsi="宋体"/>
          <w:color w:val="000000" w:themeColor="text1"/>
          <w:sz w:val="24"/>
          <w:szCs w:val="24"/>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12.项目交接方案：投标人结合本项目情况，提供物业服务开始及合同到期时的交接方案，包括但不限于交接准备、交流流程、固定资产清查、各类台账的编制整理等工作的方案；方案详实可行，确保交接工作的平稳过渡，确保员工、学生稳定等。交接方案</w:t>
      </w:r>
      <w:r>
        <w:rPr>
          <w:rFonts w:hint="eastAsia" w:ascii="仿宋" w:hAnsi="仿宋" w:eastAsia="仿宋"/>
          <w:color w:val="000000" w:themeColor="text1"/>
          <w:sz w:val="28"/>
          <w:szCs w:val="28"/>
          <w14:textFill>
            <w14:solidFill>
              <w14:schemeClr w14:val="tx1"/>
            </w14:solidFill>
          </w14:textFill>
        </w:rPr>
        <w:t xml:space="preserve">应明确包含对学校现聘用的工作人员在同等条件下作出优先安排，制定包含岗位匹配、待遇保障、合同签订、思想引导、技能衔接等内容的人员接收与稳定性方案。方案须体现人文关怀与平稳过渡原则，明确新老员工融合管理措施、职业培训计划及薪酬激励办法，确保人员队伍稳定、工作顺利交接、服务质量持续提升。</w:t>
      </w:r>
      <w:r/>
    </w:p>
    <w:p>
      <w:pPr>
        <w:ind w:firstLine="560"/>
        <w:spacing w:line="360" w:lineRule="auto"/>
        <w:tabs>
          <w:tab w:val="left" w:pos="420" w:leader="none"/>
        </w:tabs>
        <w:rPr>
          <w:rFonts w:ascii="仿宋" w:hAnsi="仿宋" w:eastAsia="仿宋" w:cs="仿宋"/>
          <w:b/>
          <w:bCs/>
          <w:color w:val="000000" w:themeColor="text1"/>
          <w:sz w:val="28"/>
          <w:szCs w:val="28"/>
          <w14:textFill>
            <w14:solidFill>
              <w14:schemeClr w14:val="tx1"/>
            </w14:solidFill>
          </w14:textFill>
        </w:rPr>
        <w:outlineLvl w:val="0"/>
      </w:pPr>
      <w:r>
        <w:rPr>
          <w:rFonts w:hint="eastAsia" w:ascii="仿宋" w:hAnsi="仿宋" w:eastAsia="仿宋" w:cs="仿宋"/>
          <w:b/>
          <w:bCs/>
          <w:color w:val="000000" w:themeColor="text1"/>
          <w:sz w:val="28"/>
          <w:szCs w:val="28"/>
          <w14:textFill>
            <w14:solidFill>
              <w14:schemeClr w14:val="tx1"/>
            </w14:solidFill>
          </w14:textFill>
        </w:rPr>
        <w:t xml:space="preserve">八、履约能力要求</w:t>
      </w:r>
      <w:r/>
    </w:p>
    <w:p>
      <w:pPr>
        <w:ind w:firstLine="56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人员配备符合采购人提出的具体要求。服务人员必须具备良好素养和上岗资质，政治清白，无犯罪记录及不良嗜好，爱岗敬业、身体健康（无传染性疾病)，进场前需提供身份证件复印件、三个月内的体检报告及肝功能检查正常检验单。所有服务人员每年体检一次由投标人负责。配全物业管理服务所需服装、保洁耗材、设备、工具、用具、日常耗材等，分列完整，详细合理，详尽说明齐全程度和来源，符合本项目需求。全体服务人员，自觉遵守保密管理相关法规制度，严格履行保密义务。</w:t>
      </w:r>
      <w:r/>
    </w:p>
    <w:p>
      <w:pPr>
        <w:ind w:firstLine="48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确保本项目高质量实施，体现项目负责人的责任意识和担当意识，配合甲方做好各项物业管理工作，投标人拟派驻项目主管具有本科以上学历、五年以上类似物业项目管理工作经验；具有类似项目后勤全流程（报修/安保/保洁/应急）处理经验，并能妥善处理类似项目服务客户群体诉求 。</w:t>
      </w:r>
      <w:r/>
    </w:p>
    <w:p>
      <w:pPr>
        <w:ind w:firstLine="56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为确保本项目高质量实施，投标人拟派驻留学生公寓管理员（门值）人员具有相应工作经验，且需可以和留学生交流。</w:t>
      </w:r>
      <w:r/>
    </w:p>
    <w:p>
      <w:pPr>
        <w:ind w:firstLine="560"/>
        <w:jc w:val="left"/>
        <w:spacing w:line="360" w:lineRule="auto"/>
        <w:widowControl/>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九、付款方式</w:t>
      </w:r>
      <w:r/>
    </w:p>
    <w:p>
      <w:pPr>
        <w:pStyle w:val="806"/>
        <w:numPr>
          <w:ilvl w:val="0"/>
          <w:numId w:val="7"/>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投标人总报价应包括常规服务费、国家法定节假日、非法定节假日加班费等所有费用，学校不再额外付费，但中标单位必须根据采购方实际需求保质保量完成加班任务。</w:t>
      </w:r>
      <w:r>
        <w:rPr>
          <w:rFonts w:hint="eastAsia" w:ascii="仿宋" w:hAnsi="仿宋" w:eastAsia="仿宋" w:cs="仿宋"/>
          <w:color w:val="000000" w:themeColor="text1"/>
          <w:sz w:val="28"/>
          <w:szCs w:val="28"/>
          <w14:textFill>
            <w14:solidFill>
              <w14:schemeClr w14:val="tx1"/>
            </w14:solidFill>
          </w14:textFill>
        </w:rPr>
        <w:t xml:space="preserve">投标人应考虑到这一因素。</w:t>
      </w:r>
      <w:r/>
    </w:p>
    <w:p>
      <w:pPr>
        <w:pStyle w:val="806"/>
        <w:numPr>
          <w:ilvl w:val="0"/>
          <w:numId w:val="7"/>
        </w:numPr>
        <w:ind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物业管理服务费的支付方式：合同签字生效后按月后支付方式支付，考核达到90分以上，每次支付月费用的90%，低于90分的，每低1分扣除月费用的1%，以此类推，余款于一年期满后按考核结果按实一次性支付。</w:t>
      </w:r>
      <w:r/>
    </w:p>
    <w:p>
      <w:pPr>
        <w:ind w:firstLine="560"/>
        <w:jc w:val="left"/>
        <w:spacing w:line="360" w:lineRule="auto"/>
        <w:tabs>
          <w:tab w:val="left" w:pos="420" w:leader="none"/>
        </w:tabs>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十、物业服务考核办法</w:t>
      </w:r>
      <w:bookmarkEnd w:id="178"/>
      <w:r/>
      <w:r/>
    </w:p>
    <w:p>
      <w:pPr>
        <w:ind w:firstLine="560"/>
        <w:jc w:val="center"/>
        <w:spacing w:line="360" w:lineRule="auto"/>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b/>
          <w:color w:val="000000" w:themeColor="text1"/>
          <w:sz w:val="28"/>
          <w:szCs w:val="28"/>
          <w14:textFill>
            <w14:solidFill>
              <w14:schemeClr w14:val="tx1"/>
            </w14:solidFill>
          </w14:textFill>
        </w:rPr>
        <w:t xml:space="preserve">学校生活区物业管理考核办法</w:t>
      </w:r>
      <w:r/>
    </w:p>
    <w:p>
      <w:pPr>
        <w:ind w:firstLine="495"/>
        <w:jc w:val="left"/>
        <w:spacing w:after="5"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为进一步提高学校生活区物业管理服务水平，建立科学、规范的岗位管理和考核体系，贯彻学生宿舍“双区协同、三全育人”的目标和要求，特制定以下管理考核办法：</w:t>
      </w:r>
      <w:r/>
    </w:p>
    <w:p>
      <w:pPr>
        <w:jc w:val="left"/>
        <w:spacing w:after="5" w:line="360" w:lineRule="auto"/>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（一）、常规管理（20分）</w:t>
      </w:r>
      <w:r/>
    </w:p>
    <w:p>
      <w:pPr>
        <w:pStyle w:val="806"/>
        <w:numPr>
          <w:ilvl w:val="0"/>
          <w:numId w:val="8"/>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人员配备齐全，符合年龄要求，不频繁更换（员工岗位稳定率保持在85%以上，低于85%做相应扣分，每5%核算成考核分1分），统一着装，不缺勤、不随意脱岗、调岗、离岗。</w:t>
      </w:r>
      <w:r>
        <w:rPr>
          <w:rFonts w:hint="eastAsia" w:ascii="仿宋" w:hAnsi="仿宋" w:eastAsia="仿宋" w:cs="仿宋"/>
          <w:color w:val="000000" w:themeColor="text1"/>
          <w:sz w:val="28"/>
          <w:szCs w:val="28"/>
          <w14:textFill>
            <w14:solidFill>
              <w14:schemeClr w14:val="tx1"/>
            </w14:solidFill>
          </w14:textFill>
        </w:rPr>
        <w:t xml:space="preserve">（4分）</w:t>
      </w:r>
      <w:r/>
    </w:p>
    <w:p>
      <w:pPr>
        <w:pStyle w:val="806"/>
        <w:numPr>
          <w:ilvl w:val="0"/>
          <w:numId w:val="8"/>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遵章守纪，在岗在状态，上班期间不做与工作无关的事（例：聊天、玩游戏、争吵打闹、干私事等），严禁空岗、串岗、睡岗。</w:t>
      </w:r>
      <w:r>
        <w:rPr>
          <w:rFonts w:hint="eastAsia" w:ascii="仿宋" w:hAnsi="仿宋" w:eastAsia="仿宋" w:cs="仿宋"/>
          <w:color w:val="000000" w:themeColor="text1"/>
          <w:sz w:val="28"/>
          <w:szCs w:val="28"/>
          <w14:textFill>
            <w14:solidFill>
              <w14:schemeClr w14:val="tx1"/>
            </w14:solidFill>
          </w14:textFill>
        </w:rPr>
        <w:t xml:space="preserve">（3分）</w:t>
      </w:r>
      <w:r/>
    </w:p>
    <w:p>
      <w:pPr>
        <w:pStyle w:val="806"/>
        <w:numPr>
          <w:ilvl w:val="0"/>
          <w:numId w:val="8"/>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办公室、值班室环境优美，物品摆放有序，各项规章制度齐全。杂物间、休息室物品摆放整齐，无安全隐患，干净整洁。公共区域无杂物、无自行车等，通道畅通，消防箱统一位置存放。</w:t>
      </w:r>
      <w:r>
        <w:rPr>
          <w:rFonts w:hint="eastAsia" w:ascii="仿宋" w:hAnsi="仿宋" w:eastAsia="仿宋" w:cs="仿宋"/>
          <w:color w:val="000000" w:themeColor="text1"/>
          <w:sz w:val="28"/>
          <w:szCs w:val="28"/>
          <w14:textFill>
            <w14:solidFill>
              <w14:schemeClr w14:val="tx1"/>
            </w14:solidFill>
          </w14:textFill>
        </w:rPr>
        <w:t xml:space="preserve">（3分）</w:t>
      </w:r>
      <w:r/>
    </w:p>
    <w:p>
      <w:pPr>
        <w:pStyle w:val="806"/>
        <w:numPr>
          <w:ilvl w:val="0"/>
          <w:numId w:val="8"/>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定期开展业务培训，每学期至少一次，并有详细的培训记录。积极参加校方组织的会议，并按要求上交有关工作材料或数据。</w:t>
      </w:r>
      <w:r>
        <w:rPr>
          <w:rFonts w:hint="eastAsia" w:ascii="仿宋" w:hAnsi="仿宋" w:eastAsia="仿宋" w:cs="仿宋"/>
          <w:color w:val="000000" w:themeColor="text1"/>
          <w:sz w:val="28"/>
          <w:szCs w:val="28"/>
          <w14:textFill>
            <w14:solidFill>
              <w14:schemeClr w14:val="tx1"/>
            </w14:solidFill>
          </w14:textFill>
        </w:rPr>
        <w:t xml:space="preserve">（4分）</w:t>
      </w:r>
      <w:r/>
    </w:p>
    <w:p>
      <w:pPr>
        <w:pStyle w:val="806"/>
        <w:numPr>
          <w:ilvl w:val="0"/>
          <w:numId w:val="8"/>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勤俭办公，按规定使用空调，节约用水、用电，无长明灯、长流水，杜绝一切浪费。</w:t>
      </w:r>
      <w:r>
        <w:rPr>
          <w:rFonts w:hint="eastAsia" w:ascii="仿宋" w:hAnsi="仿宋" w:eastAsia="仿宋" w:cs="仿宋"/>
          <w:color w:val="000000" w:themeColor="text1"/>
          <w:sz w:val="28"/>
          <w:szCs w:val="28"/>
          <w14:textFill>
            <w14:solidFill>
              <w14:schemeClr w14:val="tx1"/>
            </w14:solidFill>
          </w14:textFill>
        </w:rPr>
        <w:t xml:space="preserve">（3分）</w:t>
      </w:r>
      <w:r/>
    </w:p>
    <w:p>
      <w:pPr>
        <w:pStyle w:val="806"/>
        <w:numPr>
          <w:ilvl w:val="0"/>
          <w:numId w:val="8"/>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接待师生主动、热情、耐心，师生员工之间无冲突，无师生投诉。关心学生，提供力所能及的各项免费服务。</w:t>
      </w:r>
      <w:r>
        <w:rPr>
          <w:rFonts w:hint="eastAsia" w:ascii="仿宋" w:hAnsi="仿宋" w:eastAsia="仿宋" w:cs="仿宋"/>
          <w:color w:val="000000" w:themeColor="text1"/>
          <w:sz w:val="28"/>
          <w:szCs w:val="28"/>
          <w14:textFill>
            <w14:solidFill>
              <w14:schemeClr w14:val="tx1"/>
            </w14:solidFill>
          </w14:textFill>
        </w:rPr>
        <w:t xml:space="preserve">（3分）</w:t>
      </w:r>
      <w:r/>
    </w:p>
    <w:p>
      <w:pPr>
        <w:pStyle w:val="806"/>
        <w:ind w:left="0"/>
        <w:spacing w:after="5" w:line="360" w:lineRule="auto"/>
        <w:rPr>
          <w:rFonts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b/>
          <w:color w:val="000000" w:themeColor="text1"/>
          <w:sz w:val="28"/>
          <w:szCs w:val="28"/>
          <w:lang w:eastAsia="zh-CN"/>
          <w14:textFill>
            <w14:solidFill>
              <w14:schemeClr w14:val="tx1"/>
            </w14:solidFill>
          </w14:textFill>
        </w:rPr>
        <w:t xml:space="preserve">（二）、工作质量（40分）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学生宿舍实行24小时值班制度，按时开启关闭。值班记录完整，交接班规范，无缝对接。</w:t>
      </w:r>
      <w:r>
        <w:rPr>
          <w:rFonts w:hint="eastAsia" w:ascii="仿宋" w:hAnsi="仿宋" w:eastAsia="仿宋" w:cs="仿宋"/>
          <w:color w:val="000000" w:themeColor="text1"/>
          <w:sz w:val="28"/>
          <w:szCs w:val="28"/>
          <w14:textFill>
            <w14:solidFill>
              <w14:schemeClr w14:val="tx1"/>
            </w14:solidFill>
          </w14:textFill>
        </w:rPr>
        <w:t xml:space="preserve">（4分）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台账记录齐全，条目清晰，规范整齐，有账可查。钥匙存放有序，随时可取，借用规范。大件物品进出逐一登记，记录完整。晚归学生规范登记，异常情况及时汇报。</w:t>
      </w:r>
      <w:r>
        <w:rPr>
          <w:rFonts w:hint="eastAsia" w:ascii="仿宋" w:hAnsi="仿宋" w:eastAsia="仿宋" w:cs="仿宋"/>
          <w:color w:val="000000" w:themeColor="text1"/>
          <w:sz w:val="28"/>
          <w:szCs w:val="28"/>
          <w14:textFill>
            <w14:solidFill>
              <w14:schemeClr w14:val="tx1"/>
            </w14:solidFill>
          </w14:textFill>
        </w:rPr>
        <w:t xml:space="preserve">（4分）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对楼内学生熟知率达80%以上。学生不得随意进入异性宿舍。做好外来人员的核实、盘查、登记、劝阻工作，对不符合要求的外来人员（装修工人、业务人员、其他闲杂人员）均不得进入宿舍楼内部，外来人员进出学生宿舍，必须证件齐全，符合要求，记录完整。无闲杂人员、小商、小贩入内。任何人不得在学生宿舍内兜售物品。</w:t>
      </w:r>
      <w:r>
        <w:rPr>
          <w:rFonts w:hint="eastAsia" w:ascii="仿宋" w:hAnsi="仿宋" w:eastAsia="仿宋" w:cs="仿宋"/>
          <w:color w:val="000000" w:themeColor="text1"/>
          <w:sz w:val="28"/>
          <w:szCs w:val="28"/>
          <w14:textFill>
            <w14:solidFill>
              <w14:schemeClr w14:val="tx1"/>
            </w14:solidFill>
          </w14:textFill>
        </w:rPr>
        <w:t xml:space="preserve">（5分）</w:t>
      </w:r>
      <w:r/>
    </w:p>
    <w:p>
      <w:pPr>
        <w:pStyle w:val="806"/>
        <w:numPr>
          <w:ilvl w:val="0"/>
          <w:numId w:val="9"/>
        </w:numPr>
        <w:ind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4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学生宿舍调整、毕业生离校、新生入住等，退房（入住）管理规范，交接检查详细完整。及时收集、整理学生入住、退宿信息，确保信息的真实性。不发生学生未退宿，直接按清退宿舍处理，将学生物品占为己有等情况。</w:t>
      </w:r>
      <w:r>
        <w:rPr>
          <w:rFonts w:hint="eastAsia" w:ascii="仿宋" w:hAnsi="仿宋" w:eastAsia="仿宋" w:cs="仿宋"/>
          <w:color w:val="000000" w:themeColor="text1"/>
          <w:sz w:val="28"/>
          <w:szCs w:val="28"/>
          <w14:textFill>
            <w14:solidFill>
              <w14:schemeClr w14:val="tx1"/>
            </w14:solidFill>
          </w14:textFill>
        </w:rPr>
        <w:t xml:space="preserve">（4分）</w:t>
      </w:r>
      <w:r/>
    </w:p>
    <w:p>
      <w:pPr>
        <w:pStyle w:val="806"/>
        <w:numPr>
          <w:ilvl w:val="0"/>
          <w:numId w:val="9"/>
        </w:numPr>
        <w:ind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责任区域内每天定时清扫并保持全天整洁。目视无杂物、无积灰、无蜘蛛网、无异味、无污迹、无烟头、无乱涂乱写乱张贴。天棚、下水口等处畅通。垃圾桶清理及时，摆放整齐。宿舍楼前无乱停乱放车辆现象。按要求做好环境消杀，卫生工具摆放整齐。（5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rPr>
          <w:rFonts w:hint="eastAsia" w:ascii="仿宋" w:hAnsi="仿宋" w:eastAsia="仿宋" w:cs="仿宋"/>
          <w:color w:val="000000" w:themeColor="text1"/>
          <w:sz w:val="28"/>
          <w:szCs w:val="28"/>
          <w14:textFill>
            <w14:solidFill>
              <w14:schemeClr w14:val="tx1"/>
            </w14:solidFill>
          </w14:textFill>
        </w:rPr>
        <w:t xml:space="preserve">（5分）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rPr>
          <w:rFonts w:hint="eastAsia" w:ascii="仿宋" w:hAnsi="仿宋" w:eastAsia="仿宋" w:cs="仿宋"/>
          <w:color w:val="000000" w:themeColor="text1"/>
          <w:sz w:val="28"/>
          <w:szCs w:val="28"/>
          <w14:textFill>
            <w14:solidFill>
              <w14:schemeClr w14:val="tx1"/>
            </w14:solidFill>
          </w14:textFill>
        </w:rPr>
        <w:t xml:space="preserve">（4分）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管理好所辖区域内的所有固定资产。严禁将学生宿舍内的物品、固定资产随意搬出、外借或外租，公共区域及连廊内物资按位置存放，不出现遗失、破损等情况。</w:t>
      </w:r>
      <w:r>
        <w:rPr>
          <w:rFonts w:hint="eastAsia" w:ascii="仿宋" w:hAnsi="仿宋" w:eastAsia="仿宋" w:cs="仿宋"/>
          <w:color w:val="000000" w:themeColor="text1"/>
          <w:sz w:val="28"/>
          <w:szCs w:val="28"/>
          <w14:textFill>
            <w14:solidFill>
              <w14:schemeClr w14:val="tx1"/>
            </w14:solidFill>
          </w14:textFill>
        </w:rPr>
        <w:t xml:space="preserve">（3分）</w:t>
      </w:r>
      <w:r/>
    </w:p>
    <w:p>
      <w:pPr>
        <w:pStyle w:val="806"/>
        <w:numPr>
          <w:ilvl w:val="0"/>
          <w:numId w:val="9"/>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提供各项免费服务（缝补、打气筒、小五金等），提供天气预报，做好失物招领、友情提醒等服务并有记录。</w:t>
      </w:r>
      <w:r>
        <w:rPr>
          <w:rFonts w:hint="eastAsia" w:ascii="仿宋" w:hAnsi="仿宋" w:eastAsia="仿宋" w:cs="仿宋"/>
          <w:color w:val="000000" w:themeColor="text1"/>
          <w:sz w:val="28"/>
          <w:szCs w:val="28"/>
          <w14:textFill>
            <w14:solidFill>
              <w14:schemeClr w14:val="tx1"/>
            </w14:solidFill>
          </w14:textFill>
        </w:rPr>
        <w:t xml:space="preserve">（2分）</w:t>
      </w:r>
      <w:r/>
    </w:p>
    <w:p>
      <w:pPr>
        <w:spacing w:after="5" w:line="360" w:lineRule="auto"/>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（三）、寒暑假主要工作管理（10分）</w:t>
      </w:r>
      <w:r/>
    </w:p>
    <w:p>
      <w:pPr>
        <w:pStyle w:val="806"/>
        <w:numPr>
          <w:ilvl w:val="0"/>
          <w:numId w:val="10"/>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寒暑假期间根据校方需求做好值班安排，保障所辖范围内的服务保障及校方的其他相关值班工作安排。</w:t>
      </w:r>
      <w:r>
        <w:rPr>
          <w:rFonts w:hint="eastAsia" w:ascii="仿宋" w:hAnsi="仿宋" w:eastAsia="仿宋" w:cs="仿宋"/>
          <w:color w:val="000000" w:themeColor="text1"/>
          <w:sz w:val="28"/>
          <w:szCs w:val="28"/>
          <w14:textFill>
            <w14:solidFill>
              <w14:schemeClr w14:val="tx1"/>
            </w14:solidFill>
          </w14:textFill>
        </w:rPr>
        <w:t xml:space="preserve">（1分）</w:t>
      </w:r>
      <w:r/>
    </w:p>
    <w:p>
      <w:pPr>
        <w:pStyle w:val="806"/>
        <w:numPr>
          <w:ilvl w:val="0"/>
          <w:numId w:val="10"/>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暑假期间负责对所有调整宿舍、毕业班宿舍做好退宿管理，退宿后宿舍的全面打扫、维修、物品配置等工作。</w:t>
      </w:r>
      <w:r>
        <w:rPr>
          <w:rFonts w:hint="eastAsia" w:ascii="仿宋" w:hAnsi="仿宋" w:eastAsia="仿宋" w:cs="仿宋"/>
          <w:color w:val="000000" w:themeColor="text1"/>
          <w:sz w:val="28"/>
          <w:szCs w:val="28"/>
          <w14:textFill>
            <w14:solidFill>
              <w14:schemeClr w14:val="tx1"/>
            </w14:solidFill>
          </w14:textFill>
        </w:rPr>
        <w:t xml:space="preserve">（4分）</w:t>
      </w:r>
      <w:r/>
    </w:p>
    <w:p>
      <w:pPr>
        <w:pStyle w:val="806"/>
        <w:numPr>
          <w:ilvl w:val="0"/>
          <w:numId w:val="10"/>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新生宿舍入住前准备工作：室内卫生，钥匙、空调遥控器、卫生工具配置，家具、窗帘、维修情况的检查、反馈、整改。</w:t>
      </w:r>
      <w:r>
        <w:rPr>
          <w:rFonts w:hint="eastAsia" w:ascii="仿宋" w:hAnsi="仿宋" w:eastAsia="仿宋" w:cs="仿宋"/>
          <w:color w:val="000000" w:themeColor="text1"/>
          <w:sz w:val="28"/>
          <w:szCs w:val="28"/>
          <w14:textFill>
            <w14:solidFill>
              <w14:schemeClr w14:val="tx1"/>
            </w14:solidFill>
          </w14:textFill>
        </w:rPr>
        <w:t xml:space="preserve">（1分）</w:t>
      </w:r>
      <w:r/>
    </w:p>
    <w:p>
      <w:pPr>
        <w:pStyle w:val="806"/>
        <w:numPr>
          <w:ilvl w:val="0"/>
          <w:numId w:val="10"/>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调整宿舍、毕业生宿舍内的纸篓、簸箕等保洁清扫工具，做好回收清洗和再利用工作，不得将完好物品当废品处理。</w:t>
      </w:r>
      <w:r>
        <w:rPr>
          <w:rFonts w:hint="eastAsia" w:ascii="仿宋" w:hAnsi="仿宋" w:eastAsia="仿宋" w:cs="仿宋"/>
          <w:color w:val="000000" w:themeColor="text1"/>
          <w:sz w:val="28"/>
          <w:szCs w:val="28"/>
          <w14:textFill>
            <w14:solidFill>
              <w14:schemeClr w14:val="tx1"/>
            </w14:solidFill>
          </w14:textFill>
        </w:rPr>
        <w:t xml:space="preserve">（2分）</w:t>
      </w:r>
      <w:r/>
    </w:p>
    <w:p>
      <w:pPr>
        <w:pStyle w:val="806"/>
        <w:numPr>
          <w:ilvl w:val="0"/>
          <w:numId w:val="10"/>
        </w:numPr>
        <w:ind w:right="-4"/>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调整宿舍、毕业生宿舍内学生废弃的棉被、衣服、鞋子、工具箱、画板、旧毛巾、书籍等统一回收管理。不得出现员工私自占为己有。</w:t>
      </w:r>
      <w:r>
        <w:rPr>
          <w:rFonts w:hint="eastAsia" w:ascii="仿宋" w:hAnsi="仿宋" w:eastAsia="仿宋" w:cs="仿宋"/>
          <w:color w:val="000000" w:themeColor="text1"/>
          <w:sz w:val="28"/>
          <w:szCs w:val="28"/>
          <w14:textFill>
            <w14:solidFill>
              <w14:schemeClr w14:val="tx1"/>
            </w14:solidFill>
          </w14:textFill>
        </w:rPr>
        <w:t xml:space="preserve">（2分）</w:t>
      </w:r>
      <w:r/>
    </w:p>
    <w:p>
      <w:pPr>
        <w:spacing w:after="5" w:line="360" w:lineRule="auto"/>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（四）、学生满意度测评（30分）</w:t>
      </w:r>
      <w:r/>
    </w:p>
    <w:p>
      <w:pPr>
        <w:ind w:firstLine="560"/>
        <w:spacing w:after="5"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由校方组织定期通过宿舍物业服务满意度问卷调查等形式进行，对履职情况、日常服务等进行无记名打分测评。</w:t>
      </w:r>
      <w:r/>
    </w:p>
    <w:p>
      <w:pPr>
        <w:spacing w:after="5" w:line="360" w:lineRule="auto"/>
        <w:rPr>
          <w:rFonts w:ascii="仿宋" w:hAnsi="仿宋" w:eastAsia="仿宋" w:cs="仿宋"/>
          <w:b/>
          <w:color w:val="000000" w:themeColor="text1"/>
          <w:sz w:val="28"/>
          <w:szCs w:val="28"/>
          <w14:textFill>
            <w14:solidFill>
              <w14:schemeClr w14:val="tx1"/>
            </w14:solidFill>
          </w14:textFill>
        </w:rPr>
      </w:pPr>
      <w:r>
        <w:rPr>
          <w:rFonts w:hint="eastAsia" w:ascii="仿宋" w:hAnsi="仿宋" w:eastAsia="仿宋" w:cs="仿宋"/>
          <w:b/>
          <w:color w:val="000000" w:themeColor="text1"/>
          <w:sz w:val="28"/>
          <w:szCs w:val="28"/>
          <w14:textFill>
            <w14:solidFill>
              <w14:schemeClr w14:val="tx1"/>
            </w14:solidFill>
          </w14:textFill>
        </w:rPr>
        <w:t xml:space="preserve">（五）、附则</w:t>
      </w:r>
      <w:r/>
    </w:p>
    <w:p>
      <w:pPr>
        <w:pStyle w:val="806"/>
        <w:numPr>
          <w:ilvl w:val="0"/>
          <w:numId w:val="11"/>
        </w:numPr>
        <w:ind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校方将按照考核办法对物业管理的质量进行检查、考核。通过日查、周查、月查等形式进行，同时结合相关部门测评，进行汇总打分，按照百分比计算得分。</w:t>
      </w:r>
      <w:r/>
    </w:p>
    <w:p>
      <w:pPr>
        <w:pStyle w:val="806"/>
        <w:numPr>
          <w:ilvl w:val="0"/>
          <w:numId w:val="11"/>
        </w:numPr>
        <w:ind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 xml:space="preserve">学生正常上课期间主要参照“常规管理”和“工作质量”进行考核。寒暑假期间主要参照“寒暑假主要工作管理”进行考核。考核方式为过程考核，每月测评未达到等级，学校对服务外包单位进行约谈。</w:t>
      </w:r>
      <w:r/>
    </w:p>
    <w:p>
      <w:pPr>
        <w:numPr>
          <w:ilvl w:val="0"/>
          <w:numId w:val="11"/>
        </w:numPr>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考核定等</w:t>
      </w:r>
      <w:r>
        <w:rPr>
          <w:rFonts w:hint="eastAsia" w:ascii="仿宋" w:hAnsi="仿宋" w:eastAsia="仿宋" w:cs="仿宋"/>
          <w:color w:val="000000" w:themeColor="text1"/>
          <w:sz w:val="28"/>
          <w:szCs w:val="28"/>
          <w14:textFill>
            <w14:solidFill>
              <w14:schemeClr w14:val="tx1"/>
            </w14:solidFill>
          </w14:textFill>
        </w:rPr>
        <w:t xml:space="preserve">。90分以上为合格，89分以下为不合格。月考核达到合格以上，按月支付月物业费，低于90分，每低1分扣除月费用的1%，以此类推；年平均测评达到90分以上，学校一次性结清余款，低于90分的，每低1分扣除余款费用的1%；对学校提出合理化建议并被采纳或其他显著成效的设施设备技能改建等，学校将根据贡献度进行奖励。检查考核中如发现有本考核办法中未涉及的违规行为，由考核人员根据招标书、合同及附件中的有关约定处理；如因受托物业管理公司违规而引发其他问题则根据学校的管理规定处理，责任重大的将按有关法律程序由相关执法部门处理。</w:t>
      </w:r>
      <w:r/>
    </w:p>
    <w:p>
      <w:pPr>
        <w:pStyle w:val="806"/>
        <w:numPr>
          <w:ilvl w:val="0"/>
          <w:numId w:val="11"/>
        </w:numPr>
        <w:ind w:right="-4"/>
        <w:spacing w:line="360" w:lineRule="auto"/>
        <w:rPr>
          <w:rFonts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bCs/>
          <w:color w:val="000000" w:themeColor="text1"/>
          <w:sz w:val="28"/>
          <w:szCs w:val="28"/>
          <w:lang w:eastAsia="zh-CN"/>
          <w14:textFill>
            <w14:solidFill>
              <w14:schemeClr w14:val="tx1"/>
            </w14:solidFill>
          </w14:textFill>
        </w:rPr>
        <w:t xml:space="preserve">本办法解释权归后勤处。</w:t>
      </w:r>
      <w:r/>
    </w:p>
    <w:p>
      <w:pPr>
        <w:spacing w:line="360" w:lineRule="auto"/>
        <w:widowControl/>
        <w:tabs>
          <w:tab w:val="left" w:pos="900" w:leader="none"/>
        </w:tabs>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十、踏勘现场：</w:t>
      </w:r>
      <w:r/>
    </w:p>
    <w:p>
      <w:pPr>
        <w:ind w:left="426"/>
        <w:spacing w:line="360" w:lineRule="auto"/>
        <w:widowControl/>
        <w:tabs>
          <w:tab w:val="left" w:pos="840" w:leader="none"/>
        </w:tabs>
        <w:rPr>
          <w:rFonts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t xml:space="preserve">9.1本项目</w:t>
      </w:r>
      <w:r>
        <w:rPr>
          <w:rFonts w:hint="eastAsia" w:ascii="仿宋" w:hAnsi="仿宋" w:eastAsia="仿宋" w:cs="仿宋"/>
          <w:bCs/>
          <w:color w:val="000000" w:themeColor="text1"/>
          <w:sz w:val="28"/>
          <w:szCs w:val="28"/>
          <w:highlight w:val="white"/>
          <w14:textFill>
            <w14:solidFill>
              <w14:schemeClr w14:val="tx1"/>
            </w14:solidFill>
          </w14:textFill>
        </w:rPr>
        <w:t xml:space="preserve">将组织</w:t>
      </w:r>
      <w:r>
        <w:rPr>
          <w:rFonts w:hint="eastAsia" w:ascii="仿宋" w:hAnsi="仿宋" w:eastAsia="仿宋" w:cs="仿宋"/>
          <w:color w:val="000000" w:themeColor="text1"/>
          <w:sz w:val="28"/>
          <w:szCs w:val="28"/>
          <w:highlight w:val="white"/>
          <w14:textFill>
            <w14:solidFill>
              <w14:schemeClr w14:val="tx1"/>
            </w14:solidFill>
          </w14:textFill>
        </w:rPr>
        <w:t xml:space="preserve">集中踏勘现场</w:t>
      </w:r>
      <w:r>
        <w:rPr>
          <w:rFonts w:hint="eastAsia" w:ascii="仿宋" w:hAnsi="仿宋" w:eastAsia="仿宋" w:cs="仿宋"/>
          <w:bCs/>
          <w:color w:val="000000" w:themeColor="text1"/>
          <w:sz w:val="28"/>
          <w:szCs w:val="28"/>
          <w:highlight w:val="white"/>
          <w14:textFill>
            <w14:solidFill>
              <w14:schemeClr w14:val="tx1"/>
            </w14:solidFill>
          </w14:textFill>
        </w:rPr>
        <w:t xml:space="preserve">。</w:t>
      </w:r>
      <w:r/>
    </w:p>
    <w:p>
      <w:pPr>
        <w:ind w:left="426"/>
        <w:spacing w:line="360" w:lineRule="auto"/>
        <w:widowControl/>
        <w:tabs>
          <w:tab w:val="left" w:pos="840" w:leader="none"/>
        </w:tabs>
        <w:rPr>
          <w:rFonts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t xml:space="preserve">9.2踏勘集合时间：</w:t>
      </w:r>
      <w:r>
        <w:rPr>
          <w:rFonts w:hint="eastAsia" w:ascii="仿宋" w:hAnsi="仿宋" w:eastAsia="仿宋" w:cs="仿宋"/>
          <w:color w:val="000000" w:themeColor="text1"/>
          <w:sz w:val="28"/>
          <w:szCs w:val="28"/>
          <w14:textFill>
            <w14:solidFill>
              <w14:schemeClr w14:val="tx1"/>
            </w14:solidFill>
          </w14:textFill>
        </w:rPr>
        <w:t xml:space="preserve">2026年8月18日9点30分 </w:t>
      </w:r>
      <w:r/>
    </w:p>
    <w:p>
      <w:pPr>
        <w:ind w:left="426"/>
        <w:spacing w:line="360" w:lineRule="auto"/>
        <w:widowControl/>
        <w:tabs>
          <w:tab w:val="left" w:pos="840" w:leader="none"/>
        </w:tabs>
        <w:rPr>
          <w:rFonts w:ascii="仿宋" w:hAnsi="仿宋" w:eastAsia="仿宋" w:cs="仿宋"/>
          <w:color w:val="000000" w:themeColor="text1"/>
          <w:sz w:val="28"/>
          <w:szCs w:val="28"/>
          <w:highlight w:val="white"/>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t xml:space="preserve"> 9.3踏勘集合地点：江苏省无锡市惠山区钱藕路1号</w:t>
      </w:r>
      <w:r/>
    </w:p>
    <w:p>
      <w:pPr>
        <w:ind w:left="426"/>
        <w:spacing w:line="360" w:lineRule="auto"/>
        <w:widowControl/>
        <w:tabs>
          <w:tab w:val="left" w:pos="840" w:leader="none"/>
        </w:tabs>
        <w:rPr>
          <w:rFonts w:ascii="仿宋" w:hAnsi="仿宋" w:eastAsia="仿宋" w:cs="仿宋"/>
          <w:color w:val="000000" w:themeColor="text1"/>
          <w:sz w:val="28"/>
          <w:szCs w:val="28"/>
          <w:highlight w:val="yellow"/>
          <w14:textFill>
            <w14:solidFill>
              <w14:schemeClr w14:val="tx1"/>
            </w14:solidFill>
          </w14:textFill>
        </w:rPr>
      </w:pPr>
      <w:r>
        <w:rPr>
          <w:rFonts w:hint="eastAsia" w:ascii="仿宋" w:hAnsi="仿宋" w:eastAsia="仿宋" w:cs="仿宋"/>
          <w:color w:val="000000" w:themeColor="text1"/>
          <w:sz w:val="28"/>
          <w:szCs w:val="28"/>
          <w:highlight w:val="white"/>
          <w14:textFill>
            <w14:solidFill>
              <w14:schemeClr w14:val="tx1"/>
            </w14:solidFill>
          </w14:textFill>
        </w:rPr>
        <w:t xml:space="preserve"> 9.4踏勘联系人：黄继超15951565651</w:t>
      </w:r>
      <w:r/>
    </w:p>
    <w:p>
      <w:pPr>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请投标人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投标人负责。</w:t>
      </w:r>
      <w:r/>
    </w:p>
    <w:tbl>
      <w:tblPr>
        <w:tblStyle w:val="739"/>
        <w:tblW w:w="10086" w:type="dxa"/>
        <w:tblInd w:w="93" w:type="dxa"/>
        <w:tblLayout w:type="fixed"/>
        <w:tblCellMar>
          <w:left w:w="108" w:type="dxa"/>
          <w:top w:w="0" w:type="dxa"/>
          <w:right w:w="108" w:type="dxa"/>
          <w:bottom w:w="0" w:type="dxa"/>
        </w:tblCellMar>
        <w:tblLook w:val="04A0" w:firstRow="1" w:lastRow="0" w:firstColumn="1" w:lastColumn="0" w:noHBand="0" w:noVBand="1"/>
      </w:tblPr>
      <w:tblGrid>
        <w:gridCol w:w="812"/>
        <w:gridCol w:w="4685"/>
        <w:gridCol w:w="1041"/>
        <w:gridCol w:w="1041"/>
        <w:gridCol w:w="2507"/>
      </w:tblGrid>
      <w:tr>
        <w:trPr>
          <w:trHeight w:val="510"/>
        </w:trPr>
        <w:tc>
          <w:tcPr>
            <w:gridSpan w:val="5"/>
            <w:shd w:val="clear" w:color="auto" w:fill="auto"/>
            <w:tcBorders>
              <w:top w:val="none" w:color="000000" w:sz="4" w:space="0"/>
              <w:left w:val="none" w:color="000000" w:sz="4" w:space="0"/>
              <w:bottom w:val="none" w:color="000000" w:sz="4" w:space="0"/>
              <w:right w:val="none" w:color="000000" w:sz="4" w:space="0"/>
            </w:tcBorders>
            <w:tcW w:w="10086" w:type="dxa"/>
            <w:vAlign w:val="bottom"/>
            <w:textDirection w:val="lrTb"/>
            <w:noWrap w:val="false"/>
          </w:tcPr>
          <w:p>
            <w:pPr>
              <w:widowControl/>
              <w:rPr>
                <w:rFonts w:ascii="宋体" w:hAnsi="宋体" w:cs="宋体"/>
                <w:color w:val="000000" w:themeColor="text1"/>
                <w:sz w:val="32"/>
                <w:szCs w:val="32"/>
                <w14:textFill>
                  <w14:solidFill>
                    <w14:schemeClr w14:val="tx1"/>
                  </w14:solidFill>
                </w14:textFill>
              </w:rPr>
            </w:pPr>
            <w:r/>
            <w:bookmarkStart w:id="180" w:name="_Toc10539784"/>
            <w:r/>
            <w:bookmarkEnd w:id="180"/>
            <w:r>
              <w:rPr>
                <w:rFonts w:hint="eastAsia" w:ascii="宋体" w:hAnsi="宋体" w:cs="宋体"/>
                <w:color w:val="000000" w:themeColor="text1"/>
                <w:sz w:val="32"/>
                <w:szCs w:val="32"/>
                <w14:textFill>
                  <w14:solidFill>
                    <w14:schemeClr w14:val="tx1"/>
                  </w14:solidFill>
                </w14:textFill>
              </w:rPr>
              <w:t xml:space="preserve">附一：</w:t>
            </w:r>
            <w:r/>
          </w:p>
          <w:p>
            <w:pPr>
              <w:jc w:val="center"/>
              <w:widowControl/>
              <w:rPr>
                <w:rFonts w:ascii="宋体" w:hAnsi="宋体" w:cs="宋体"/>
                <w:color w:val="000000" w:themeColor="text1"/>
                <w:sz w:val="40"/>
                <w:szCs w:val="40"/>
                <w14:textFill>
                  <w14:solidFill>
                    <w14:schemeClr w14:val="tx1"/>
                  </w14:solidFill>
                </w14:textFill>
              </w:rPr>
            </w:pPr>
            <w:r>
              <w:rPr>
                <w:rFonts w:hint="eastAsia" w:ascii="宋体" w:hAnsi="宋体" w:cs="宋体"/>
                <w:color w:val="000000" w:themeColor="text1"/>
                <w:sz w:val="40"/>
                <w:szCs w:val="40"/>
                <w14:textFill>
                  <w14:solidFill>
                    <w14:schemeClr w14:val="tx1"/>
                  </w14:solidFill>
                </w14:textFill>
              </w:rPr>
              <w:t xml:space="preserve">寒  假 考 核 评 分 表</w:t>
            </w:r>
            <w:r/>
          </w:p>
        </w:tc>
      </w:tr>
      <w:tr>
        <w:trPr>
          <w:trHeight w:val="285"/>
        </w:trPr>
        <w:tc>
          <w:tcPr>
            <w:gridSpan w:val="5"/>
            <w:shd w:val="clear" w:color="auto" w:fill="auto"/>
            <w:tcBorders>
              <w:top w:val="none" w:color="000000" w:sz="4" w:space="0"/>
              <w:left w:val="none" w:color="000000" w:sz="4" w:space="0"/>
              <w:bottom w:val="none" w:color="000000" w:sz="4" w:space="0"/>
              <w:right w:val="none" w:color="000000" w:sz="4" w:space="0"/>
            </w:tcBorders>
            <w:tcW w:w="10086" w:type="dxa"/>
            <w:vAlign w:val="bottom"/>
            <w:textDirection w:val="lrTb"/>
            <w:noWrap w:val="false"/>
          </w:tcPr>
          <w:p>
            <w:pPr>
              <w:jc w:val="righ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考核期：   年   月    日至   月   日</w:t>
            </w:r>
            <w:r/>
          </w:p>
        </w:tc>
      </w:tr>
      <w:tr>
        <w:trPr>
          <w:trHeight w:val="540"/>
        </w:trPr>
        <w:tc>
          <w:tcPr>
            <w:gridSpan w:val="5"/>
            <w:shd w:val="clear" w:color="auto" w:fill="auto"/>
            <w:tcBorders>
              <w:top w:val="none" w:color="000000" w:sz="4" w:space="0"/>
              <w:left w:val="none" w:color="000000" w:sz="4" w:space="0"/>
              <w:bottom w:val="single" w:color="000000" w:sz="4" w:space="0"/>
              <w:right w:val="none" w:color="000000" w:sz="4" w:space="0"/>
            </w:tcBorders>
            <w:tcW w:w="10086" w:type="dxa"/>
            <w:vAlign w:val="bottom"/>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检查人员：</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85"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扣分内容</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8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寒假期间，值班人员配备齐全，符合工作要求，不缺勤、不随意脱岗、调岗、离岗。遵章守纪，在岗在状态，上班期间不做与工作无关的事。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8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寒假期间，对楼内学生熟知率达98%以上。学生不得随意进入异性宿舍。接待师生主动、热情、耐心，师生员工之间无冲突，无师生投诉。关心寒假留校学生，提供力所能及的各项免费服务。做好寒假期间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85" w:type="dxa"/>
            <w:vAlign w:val="center"/>
            <w:textDirection w:val="lrTb"/>
            <w:noWrap w:val="false"/>
          </w:tcPr>
          <w:p>
            <w:pPr>
              <w:jc w:val="left"/>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寒假期间清点所有钥匙，无人的公共区域门窗关闭、上锁。水管、水表做好防冻保暖工作</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8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宿舍楼公共区域的卫生保洁工作全面到位。门、家具、地面、卫生间等干净整洁无异味，墙面、柜门等处无乱涂乱写、阳台下水口、天沟、雨棚等处无杂物，下水畅通。做好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85" w:type="dxa"/>
            <w:vAlign w:val="center"/>
            <w:textDirection w:val="lrTb"/>
            <w:noWrap w:val="false"/>
          </w:tcPr>
          <w:p>
            <w:pPr>
              <w:jc w:val="left"/>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退宿宿舍做好做好清洗、修整工作。宿舍内废弃的棉被、衣服、鞋子、工具箱、画板、书籍等统一回收处理，不出现员工私自占为己有的情况。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85" w:type="dxa"/>
            <w:vAlign w:val="center"/>
            <w:textDirection w:val="lrTb"/>
            <w:noWrap w:val="false"/>
          </w:tcPr>
          <w:p>
            <w:pPr>
              <w:jc w:val="left"/>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无人的学生公寓内水、电、门窗关闭，阳台上的物品（衣物、凳子等）收回室内</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885"/>
        </w:trPr>
        <w:tc>
          <w:tcPr>
            <w:gridSpan w:val="2"/>
            <w:shd w:val="clear" w:color="auto" w:fill="auto"/>
            <w:tcBorders>
              <w:top w:val="single" w:color="000000" w:sz="4" w:space="0"/>
              <w:left w:val="single" w:color="000000" w:sz="4" w:space="0"/>
              <w:bottom w:val="single" w:color="000000" w:sz="4" w:space="0"/>
              <w:right w:val="single" w:color="000000" w:sz="4" w:space="0"/>
            </w:tcBorders>
            <w:tcW w:w="5497"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7" w:type="dxa"/>
            <w:vAlign w:val="bottom"/>
            <w:textDirection w:val="lrTb"/>
            <w:noWrap/>
          </w:tcPr>
          <w:p>
            <w:pP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r>
      <w:tr>
        <w:trPr>
          <w:trHeight w:val="480"/>
        </w:trPr>
        <w:tc>
          <w:tcPr>
            <w:gridSpan w:val="5"/>
            <w:shd w:val="clear" w:color="auto" w:fill="auto"/>
            <w:tcBorders>
              <w:top w:val="single" w:color="000000" w:sz="4" w:space="0"/>
              <w:left w:val="none" w:color="000000" w:sz="4" w:space="0"/>
              <w:bottom w:val="single" w:color="000000" w:sz="4" w:space="0"/>
              <w:right w:val="none" w:color="000000" w:sz="4" w:space="0"/>
            </w:tcBorders>
            <w:tcW w:w="10086" w:type="dxa"/>
            <w:vAlign w:val="bottom"/>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r>
        <w:trPr>
          <w:trHeight w:val="480"/>
        </w:trPr>
        <w:tc>
          <w:tcPr>
            <w:gridSpan w:val="5"/>
            <w:shd w:val="clear" w:color="auto" w:fill="auto"/>
            <w:tcBorders>
              <w:top w:val="single" w:color="000000" w:sz="4" w:space="0"/>
              <w:left w:val="none" w:color="000000" w:sz="4" w:space="0"/>
              <w:bottom w:val="none" w:color="000000" w:sz="4" w:space="0"/>
              <w:right w:val="none" w:color="000000" w:sz="4" w:space="0"/>
            </w:tcBorders>
            <w:tcW w:w="10086" w:type="dxa"/>
            <w:vAlign w:val="bottom"/>
            <w:textDirection w:val="lrTb"/>
            <w:noWrap w:val="false"/>
          </w:tcPr>
          <w:p>
            <w:pPr>
              <w:jc w:val="left"/>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附二：</w:t>
            </w:r>
            <w:r/>
          </w:p>
          <w:tbl>
            <w:tblPr>
              <w:tblStyle w:val="739"/>
              <w:tblW w:w="9870" w:type="dxa"/>
              <w:tblInd w:w="0" w:type="dxa"/>
              <w:tblLayout w:type="fixed"/>
              <w:tblCellMar>
                <w:left w:w="108" w:type="dxa"/>
                <w:top w:w="0" w:type="dxa"/>
                <w:right w:w="108" w:type="dxa"/>
                <w:bottom w:w="0" w:type="dxa"/>
              </w:tblCellMar>
              <w:tblLook w:val="04A0" w:firstRow="1" w:lastRow="0" w:firstColumn="1" w:lastColumn="0" w:noHBand="0" w:noVBand="1"/>
            </w:tblPr>
            <w:tblGrid>
              <w:gridCol w:w="1300"/>
              <w:gridCol w:w="5545"/>
              <w:gridCol w:w="656"/>
              <w:gridCol w:w="656"/>
              <w:gridCol w:w="1713"/>
            </w:tblGrid>
            <w:tr>
              <w:trPr>
                <w:gridAfter w:val="1"/>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8157" w:type="dxa"/>
                  <w:vAlign w:val="bottom"/>
                  <w:textDirection w:val="lrTb"/>
                  <w:noWrap w:val="false"/>
                </w:tcPr>
                <w:p>
                  <w:pPr>
                    <w:jc w:val="center"/>
                    <w:widowControl/>
                    <w:rPr>
                      <w:rFonts w:ascii="宋体" w:hAnsi="宋体" w:cs="宋体"/>
                      <w:color w:val="000000" w:themeColor="text1"/>
                      <w:sz w:val="40"/>
                      <w:szCs w:val="40"/>
                      <w14:textFill>
                        <w14:solidFill>
                          <w14:schemeClr w14:val="tx1"/>
                        </w14:solidFill>
                      </w14:textFill>
                    </w:rPr>
                  </w:pPr>
                  <w:r>
                    <w:rPr>
                      <w:rFonts w:hint="eastAsia" w:ascii="宋体" w:hAnsi="宋体" w:cs="宋体"/>
                      <w:color w:val="000000" w:themeColor="text1"/>
                      <w:sz w:val="40"/>
                      <w:szCs w:val="40"/>
                      <w14:textFill>
                        <w14:solidFill>
                          <w14:schemeClr w14:val="tx1"/>
                        </w14:solidFill>
                      </w14:textFill>
                    </w:rPr>
                    <w:t xml:space="preserve">暑 期 考 核 评 分 表</w:t>
                  </w:r>
                  <w:r/>
                </w:p>
              </w:tc>
            </w:tr>
            <w:tr>
              <w:trPr>
                <w:gridAfter w:val="1"/>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8157" w:type="dxa"/>
                  <w:vAlign w:val="bottom"/>
                  <w:textDirection w:val="lrTb"/>
                  <w:noWrap w:val="false"/>
                </w:tcPr>
                <w:p>
                  <w:pPr>
                    <w:jc w:val="righ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考核期：    年    月     日至    月    日</w:t>
                  </w:r>
                  <w:r/>
                </w:p>
              </w:tc>
            </w:tr>
            <w:tr>
              <w:trPr>
                <w:gridAfter w:val="1"/>
                <w:trHeight w:val="450"/>
              </w:trPr>
              <w:tc>
                <w:tcPr>
                  <w:gridSpan w:val="4"/>
                  <w:shd w:val="clear" w:color="auto" w:fill="auto"/>
                  <w:tcBorders>
                    <w:top w:val="none" w:color="000000" w:sz="4" w:space="0"/>
                    <w:left w:val="none" w:color="000000" w:sz="4" w:space="0"/>
                    <w:bottom w:val="single" w:color="000000" w:sz="4" w:space="0"/>
                    <w:right w:val="none" w:color="000000" w:sz="4" w:space="0"/>
                  </w:tcBorders>
                  <w:tcW w:w="8157" w:type="dxa"/>
                  <w:vAlign w:val="bottom"/>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扣分内容</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暑假期间，值班人员配备齐全，符合工作要求，不缺勤、不随意脱岗、调岗、离岗。遵章守纪，在岗在状态，上班期间不做与工作无关的事。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暑假期间，对楼内学生熟知率达98%以上。学生不得随意进入异性宿舍。接待师生主动、热情、耐心，师生员工之间无冲突，无师生投诉。关心暑期留校学生，提供力所能及的各项免费服务。做好暑期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负责区域内所有调整宿舍、毕业生宿舍的退宿管理，不出差错，无安全事故。钥匙、遥控收回(发放），记录清楚完整。、及时收集、整理学生调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宿舍的维修出新按要求及时完成，无返工等不到位情况。维修中节约耗材，严格按照修旧利费的原则，做好宿舍的全面检修电扇全面清洗维修、空调滤网清洗干净。</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宿舍的卫生保洁工作全面到位。门、家具、地面、卫生间等干净整洁无异味，墙面、柜门等处无乱涂乱写、阳台下水口、天沟、雨棚等处无杂物，下水畅通。做好所有宿舍的灭蟑螂清除工作，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宿舍物品配置完好，无缺失情况。凳子齐全并有编号，蚊帐杆齐全，柜内挂衣杆无缺失，窗帘完好等。</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回收废弃的旧纸篓、旧簸箕等保洁工具，做好清洗、修整等再利用。宿舍内废弃的棉被、衣服、鞋子、工具箱、画板、书籍等统一回收处理，不出现员工私自占为己有的情况。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45"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870"/>
              </w:trPr>
              <w:tc>
                <w:tcPr>
                  <w:gridSpan w:val="2"/>
                  <w:shd w:val="clear" w:color="auto" w:fill="auto"/>
                  <w:tcBorders>
                    <w:top w:val="single" w:color="000000" w:sz="4" w:space="0"/>
                    <w:left w:val="single" w:color="000000" w:sz="4" w:space="0"/>
                    <w:bottom w:val="single" w:color="000000" w:sz="4" w:space="0"/>
                    <w:right w:val="single" w:color="000000" w:sz="4" w:space="0"/>
                  </w:tcBorders>
                  <w:tcW w:w="6845"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bottom"/>
                  <w:textDirection w:val="lrTb"/>
                  <w:noWrap/>
                </w:tcPr>
                <w:p>
                  <w:pP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r>
            <w:tr>
              <w:trPr>
                <w:gridAfter w:val="1"/>
                <w:trHeight w:val="555"/>
              </w:trPr>
              <w:tc>
                <w:tcPr>
                  <w:gridSpan w:val="4"/>
                  <w:shd w:val="clear" w:color="auto" w:fill="auto"/>
                  <w:tcBorders>
                    <w:top w:val="single" w:color="000000" w:sz="4" w:space="0"/>
                    <w:left w:val="none" w:color="000000" w:sz="4" w:space="0"/>
                    <w:bottom w:val="none" w:color="000000" w:sz="4" w:space="0"/>
                    <w:right w:val="none" w:color="000000" w:sz="4" w:space="0"/>
                  </w:tcBorders>
                  <w:tcW w:w="8157" w:type="dxa"/>
                  <w:vAlign w:val="bottom"/>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bl>
          <w:p>
            <w:pPr>
              <w:jc w:val="left"/>
              <w:widowControl/>
              <w:rPr>
                <w:rFonts w:ascii="宋体" w:hAnsi="宋体" w:cs="宋体"/>
                <w:color w:val="000000" w:themeColor="text1"/>
                <w:sz w:val="22"/>
                <w:szCs w:val="22"/>
                <w14:textFill>
                  <w14:solidFill>
                    <w14:schemeClr w14:val="tx1"/>
                  </w14:solidFill>
                </w14:textFill>
              </w:rPr>
            </w:pPr>
            <w:r>
              <w:rPr>
                <w:rFonts w:ascii="宋体" w:hAnsi="宋体" w:cs="宋体"/>
                <w:color w:val="000000" w:themeColor="text1"/>
                <w:sz w:val="22"/>
                <w:szCs w:val="22"/>
                <w14:textFill>
                  <w14:solidFill>
                    <w14:schemeClr w14:val="tx1"/>
                  </w14:solidFill>
                </w14:textFill>
              </w:rPr>
            </w:r>
            <w:r/>
          </w:p>
        </w:tc>
      </w:tr>
    </w:tbl>
    <w:p>
      <w:pPr>
        <w:widowControl/>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tbl>
      <w:tblPr>
        <w:tblStyle w:val="739"/>
        <w:tblW w:w="10125" w:type="dxa"/>
        <w:tblInd w:w="93" w:type="dxa"/>
        <w:tblLayout w:type="fixed"/>
        <w:tblCellMar>
          <w:left w:w="108" w:type="dxa"/>
          <w:top w:w="0" w:type="dxa"/>
          <w:right w:w="108" w:type="dxa"/>
          <w:bottom w:w="0" w:type="dxa"/>
        </w:tblCellMar>
        <w:tblLook w:val="04A0" w:firstRow="1" w:lastRow="0" w:firstColumn="1" w:lastColumn="0" w:noHBand="0" w:noVBand="1"/>
      </w:tblPr>
      <w:tblGrid>
        <w:gridCol w:w="539"/>
        <w:gridCol w:w="6509"/>
        <w:gridCol w:w="656"/>
        <w:gridCol w:w="656"/>
        <w:gridCol w:w="1765"/>
      </w:tblGrid>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附三：</w:t>
            </w:r>
            <w:r/>
          </w:p>
          <w:p>
            <w:pPr>
              <w:jc w:val="center"/>
              <w:widowControl/>
              <w:rPr>
                <w:rFonts w:ascii="宋体" w:hAnsi="宋体" w:cs="宋体"/>
                <w:color w:val="000000" w:themeColor="text1"/>
                <w:sz w:val="40"/>
                <w:szCs w:val="40"/>
                <w14:textFill>
                  <w14:solidFill>
                    <w14:schemeClr w14:val="tx1"/>
                  </w14:solidFill>
                </w14:textFill>
              </w:rPr>
            </w:pPr>
            <w:r>
              <w:rPr>
                <w:rFonts w:hint="eastAsia" w:ascii="宋体" w:hAnsi="宋体" w:cs="宋体"/>
                <w:color w:val="000000" w:themeColor="text1"/>
                <w:sz w:val="40"/>
                <w:szCs w:val="40"/>
                <w14:textFill>
                  <w14:solidFill>
                    <w14:schemeClr w14:val="tx1"/>
                  </w14:solidFill>
                </w14:textFill>
              </w:rPr>
              <w:t xml:space="preserve">月考核评分表</w:t>
            </w:r>
            <w:r/>
          </w:p>
        </w:tc>
      </w:tr>
      <w:tr>
        <w:trPr>
          <w:trHeight w:val="42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righ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考核期：    年    月   日至    月    日</w:t>
            </w:r>
            <w:r/>
          </w:p>
        </w:tc>
      </w:tr>
      <w:tr>
        <w:trPr>
          <w:trHeight w:val="450"/>
        </w:trPr>
        <w:tc>
          <w:tcPr>
            <w:gridSpan w:val="5"/>
            <w:shd w:val="clear" w:color="auto" w:fill="auto"/>
            <w:tcBorders>
              <w:top w:val="none" w:color="000000" w:sz="4" w:space="0"/>
              <w:left w:val="none" w:color="000000" w:sz="4" w:space="0"/>
              <w:bottom w:val="singl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扣分内容</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常规管理    40分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人员配备齐全，符合年龄要求，不频繁更换；统一着装，不缺勤、不随意脱岗、调岗、离岗。</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遵章守纪，在岗在状态，上班期间不做与工作无关的事（例：聊天、玩游戏、争吵打闹、干私事等），严禁空岗、串岗、睡岗。</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办公室、值班室环境优美，物品摆放有序，各项规章制度齐全。杂物间、休息室物品摆放整齐，无安全隐患，干净整洁。公共区域无杂物、无自行车等，通道畅通，消防箱统一位置存放。</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定期开展业务培训，每学期至少一次，并有详细的培训记录。积极参加校方组织的会议，并按要求上交有关工作材料或数据。</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接待师生主动、热情、耐心，师生员工之间无冲突，无师生投诉。关心学生，提供力所能及的各项免费服务。</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工作质量   60分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学生宿舍实行24小时值班制度，按时开启关闭。值班记录完整，交接班规范，无缝对接。</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台账记录齐全，条目清晰，规范整齐，有账可查。钥匙存放有序，随时可取，借用规范。大件物品进出逐一登记，记录完整。晚归学生规范登记，异常情况及时汇报。</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对楼内学生熟知率达80%以上。学生不得随意进入异性宿舍。做好外来人员的核实、盘查、登记、劝阻工作，对不符合要求的外来人员（装修工人、业务人员、其他闲杂人员）均不得进入宿舍楼内部，外来人员进出学生宿舍，必须证件齐全，符合要求，记录完整。无闲杂人员、小商、小贩入内。任何人不得在学生宿舍内兜售物品。</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Style w:val="1044"/>
                <w:rFonts w:hint="default"/>
                <w:color w:val="000000" w:themeColor="text1"/>
                <w14:textFill>
                  <w14:solidFill>
                    <w14:schemeClr w14:val="tx1"/>
                  </w14:solidFill>
                </w14:textFill>
              </w:rPr>
              <w:t xml:space="preserve">学生宿舍调整、毕业生离校、新生入住等，退房（入住）管理规范，交接检查详细完整</w:t>
            </w:r>
            <w:r>
              <w:rPr>
                <w:rStyle w:val="1045"/>
                <w:rFonts w:hint="default"/>
                <w:color w:val="000000" w:themeColor="text1"/>
                <w14:textFill>
                  <w14:solidFill>
                    <w14:schemeClr w14:val="tx1"/>
                  </w14:solidFill>
                </w14:textFill>
              </w:rPr>
              <w:t xml:space="preserve">。</w:t>
            </w:r>
            <w:r>
              <w:rPr>
                <w:rStyle w:val="1044"/>
                <w:rFonts w:hint="default"/>
                <w:color w:val="000000" w:themeColor="text1"/>
                <w14:textFill>
                  <w14:solidFill>
                    <w14:schemeClr w14:val="tx1"/>
                  </w14:solidFill>
                </w14:textFill>
              </w:rPr>
              <w:t xml:space="preserve">及时收集、整理学生入住、退宿信息，确保信息的真实性。不发生学生未退宿，直接按清退宿舍处理，将学生物品占为己有等情况。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责任区域内每天定时清扫并保持全天整洁。目视无杂物、无积灰、无蜘蛛网、无异味、无污迹、无烟头、无乱涂乱写乱张贴。天棚、下水口等处畅通。普通垃圾桶清理及时，摆放整齐。智能垃圾箱清理及时、复核准确，卫生整洁干净。宿舍楼前无乱停乱放车辆现象。按要求做好环境消杀，卫生工具摆放整齐。</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14:textFill>
                  <w14:solidFill>
                    <w14:schemeClr w14:val="tx1"/>
                  </w14:solidFill>
                </w14:textFill>
              </w:rPr>
            </w:pPr>
            <w:r>
              <w:rPr>
                <w:rFonts w:hint="eastAsia" w:ascii="宋体" w:hAnsi="宋体" w:cs="宋体"/>
                <w:color w:val="000000" w:themeColor="text1"/>
                <w:sz w:val="16"/>
                <w:szCs w:val="16"/>
                <w14:textFill>
                  <w14:solidFill>
                    <w14:schemeClr w14:val="tx1"/>
                  </w14:solidFill>
                </w14:textFill>
              </w:rPr>
              <w:t xml:space="preserve">提供各项免费服务（缝补、打气筒、小五金等），提供天气预报，做好失物招领、友情提醒等服务并有记录。</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14:textFill>
                  <w14:solidFill>
                    <w14:schemeClr w14:val="tx1"/>
                  </w14:solidFill>
                </w14:textFill>
              </w:rPr>
            </w:pPr>
            <w:r>
              <w:rPr>
                <w:rFonts w:ascii="宋体" w:hAnsi="宋体" w:cs="宋体"/>
                <w:color w:val="000000" w:themeColor="text1"/>
                <w:sz w:val="20"/>
                <w:szCs w:val="20"/>
                <w14:textFill>
                  <w14:solidFill>
                    <w14:schemeClr w14:val="tx1"/>
                  </w14:solidFill>
                </w14:textFill>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7048" w:type="dxa"/>
            <w:vAlign w:val="center"/>
            <w:textDirection w:val="lrTb"/>
            <w:noWrap w:val="false"/>
          </w:tcPr>
          <w:p>
            <w:pPr>
              <w:jc w:val="center"/>
              <w:widowControl/>
              <w:rPr>
                <w:rFonts w:ascii="宋体" w:hAnsi="宋体" w:cs="宋体"/>
                <w:color w:val="000000" w:themeColor="text1"/>
                <w:sz w:val="20"/>
                <w:szCs w:val="20"/>
                <w14:textFill>
                  <w14:solidFill>
                    <w14:schemeClr w14:val="tx1"/>
                  </w14:solidFill>
                </w14:textFill>
              </w:rPr>
            </w:pPr>
            <w:r>
              <w:rPr>
                <w:rFonts w:hint="eastAsia" w:ascii="宋体" w:hAnsi="宋体" w:cs="宋体"/>
                <w:color w:val="000000" w:themeColor="text1"/>
                <w:sz w:val="20"/>
                <w:szCs w:val="20"/>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bottom"/>
            <w:textDirection w:val="lrTb"/>
            <w:noWrap/>
          </w:tcPr>
          <w:p>
            <w:pPr>
              <w:rPr>
                <w:rFonts w:ascii="Tahoma" w:hAnsi="Tahoma" w:eastAsia="Tahoma" w:cs="Tahoma"/>
                <w:color w:val="000000" w:themeColor="text1"/>
                <w:sz w:val="20"/>
                <w:szCs w:val="20"/>
                <w14:textFill>
                  <w14:solidFill>
                    <w14:schemeClr w14:val="tx1"/>
                  </w14:solidFill>
                </w14:textFill>
              </w:rPr>
            </w:pPr>
            <w:r>
              <w:rPr>
                <w:rFonts w:ascii="Tahoma" w:hAnsi="Tahoma" w:eastAsia="Tahoma" w:cs="Tahoma"/>
                <w:color w:val="000000" w:themeColor="text1"/>
                <w:sz w:val="20"/>
                <w:szCs w:val="20"/>
                <w14:textFill>
                  <w14:solidFill>
                    <w14:schemeClr w14:val="tx1"/>
                  </w14:solidFill>
                </w14:textFill>
              </w:rPr>
            </w:r>
            <w:r/>
          </w:p>
        </w:tc>
      </w:tr>
    </w:tbl>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562"/>
        <w:jc w:val="left"/>
        <w:spacing w:line="52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pStyle w:val="786"/>
        <w:jc w:val="left"/>
        <w:spacing w:line="400" w:lineRule="exact"/>
        <w:rPr>
          <w:rFonts w:ascii="黑体" w:hAnsi="黑体" w:eastAsia="黑体"/>
          <w:color w:val="000000" w:themeColor="text1"/>
          <w:sz w:val="28"/>
          <w:szCs w:val="28"/>
          <w14:textFill>
            <w14:solidFill>
              <w14:schemeClr w14:val="tx1"/>
            </w14:solidFill>
          </w14:textFill>
        </w:rPr>
      </w:pPr>
      <w:r/>
      <w:bookmarkStart w:id="181" w:name="_Toc120614281"/>
      <w:r/>
      <w:r/>
    </w:p>
    <w:p>
      <w:pPr>
        <w:pStyle w:val="786"/>
        <w:spacing w:line="400" w:lineRule="exact"/>
        <w:rPr>
          <w:rFonts w:ascii="黑体" w:hAnsi="黑体" w:eastAsia="黑体"/>
          <w:color w:val="000000" w:themeColor="text1"/>
          <w:sz w:val="28"/>
          <w:szCs w:val="28"/>
          <w14:textFill>
            <w14:solidFill>
              <w14:schemeClr w14:val="tx1"/>
            </w14:solidFill>
          </w14:textFill>
        </w:rPr>
      </w:pPr>
      <w:r>
        <w:rPr>
          <w:rFonts w:hint="eastAsia" w:ascii="黑体" w:hAnsi="黑体" w:eastAsia="黑体"/>
          <w:color w:val="000000" w:themeColor="text1"/>
          <w:sz w:val="28"/>
          <w:szCs w:val="28"/>
          <w14:textFill>
            <w14:solidFill>
              <w14:schemeClr w14:val="tx1"/>
            </w14:solidFill>
          </w14:textFill>
        </w:rPr>
        <w:t xml:space="preserve">第五章  评标方法与评标标准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739"/>
        <w:tblW w:w="906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701"/>
        <w:gridCol w:w="6375"/>
      </w:tblGrid>
      <w:tr>
        <w:trPr/>
        <w:tc>
          <w:tcPr>
            <w:tcW w:w="99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采购包号</w:t>
            </w:r>
            <w:r/>
          </w:p>
        </w:tc>
        <w:tc>
          <w:tcPr>
            <w:tcW w:w="170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选取中标候选人数量</w:t>
            </w:r>
            <w:r/>
          </w:p>
        </w:tc>
        <w:tc>
          <w:tcPr>
            <w:tcW w:w="637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选取中标候选人的原则</w:t>
            </w:r>
            <w:r/>
          </w:p>
        </w:tc>
      </w:tr>
      <w:tr>
        <w:trPr>
          <w:cantSplit/>
          <w:trHeight w:val="991"/>
        </w:trPr>
        <w:tc>
          <w:tcPr>
            <w:tcW w:w="99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170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6375" w:type="dxa"/>
            <w:textDirection w:val="lrTb"/>
            <w:noWrap w:val="false"/>
          </w:tcPr>
          <w:p>
            <w:pPr>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满足招标文件全部实质性要求，且按照评审因素的量化指标评审得分最高的投标人为中标候选人。</w:t>
            </w:r>
            <w:r/>
          </w:p>
        </w:tc>
      </w:tr>
    </w:tbl>
    <w:p>
      <w:pPr>
        <w:pStyle w:val="860"/>
        <w:ind w:firstLine="562"/>
        <w:spacing w:line="400" w:lineRule="exact"/>
        <w:rPr>
          <w:rFonts w:ascii="方正仿宋_GBK" w:hAnsi="方正仿宋_GBK" w:eastAsia="方正仿宋_GBK" w:cs="方正仿宋_GBK"/>
          <w:b/>
          <w:color w:val="000000" w:themeColor="text1"/>
          <w:sz w:val="28"/>
          <w:szCs w:val="28"/>
          <w:highlight w:val="yellow"/>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政府采购政策功能落实</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1.小微型企业价格扣除</w:t>
      </w:r>
      <w:r/>
    </w:p>
    <w:p>
      <w:pPr>
        <w:pStyle w:val="860"/>
        <w:ind w:firstLine="560"/>
        <w:spacing w:line="400" w:lineRule="exact"/>
        <w:rPr>
          <w:rFonts w:ascii="宋体" w:hAnsi="宋体"/>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（1）本项目对小型和微型企业提供的服务给予10%的扣除价格，用扣除后的价格参与评审。</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（2）供应商需按照采购文件的要求提供相应的《中小微企业声明函》。</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2.残疾人福利单位价格扣除</w:t>
      </w:r>
      <w:r/>
    </w:p>
    <w:p>
      <w:pPr>
        <w:pStyle w:val="860"/>
        <w:ind w:left="120" w:firstLine="560"/>
        <w:spacing w:line="400" w:lineRule="exact"/>
        <w:rPr>
          <w:rFonts w:ascii="宋体" w:hAnsi="宋体"/>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（1）本项目对残疾人福利性单位视同小型、微型企业，给予10%的价格扣除，用扣除后的价格参与评审。</w:t>
      </w:r>
      <w:r/>
    </w:p>
    <w:p>
      <w:pPr>
        <w:pStyle w:val="860"/>
        <w:ind w:left="120"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（2）残疾人福利单位需按照采购文件的要求提供《残疾人福利性单位声明函》。</w:t>
      </w:r>
      <w:r/>
    </w:p>
    <w:p>
      <w:pPr>
        <w:pStyle w:val="860"/>
        <w:ind w:left="120"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（3）残疾人福利单位标准请参照《关于促进残疾人就业政府采购政策的通知》（财库〔2017〕141号）。</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3.监狱和戒毒企业价格扣除</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（1）本项目对监狱和戒毒企业（简称监狱企业）视同小型、微型企业，给予10%的价格扣除，用扣除后的价格参与评审。</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（3）监狱企业标准请参照《关于政府采购支持监狱企业发展有关问题的通知》（财库〔2014〕68号）。</w:t>
      </w:r>
      <w:r/>
    </w:p>
    <w:p>
      <w:pPr>
        <w:pStyle w:val="860"/>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4.残疾人福利单位、监狱企业属于小型、微型企业的，不重复享受政策。</w:t>
      </w:r>
      <w:r/>
    </w:p>
    <w:p>
      <w:pPr>
        <w:pStyle w:val="860"/>
        <w:ind w:firstLine="560"/>
        <w:spacing w:line="400" w:lineRule="exact"/>
        <w:rPr>
          <w:rFonts w:ascii="宋体" w:hAnsi="宋体"/>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60"/>
        <w:ind w:firstLine="560"/>
        <w:spacing w:line="400" w:lineRule="exact"/>
        <w:rPr>
          <w:rFonts w:ascii="宋体" w:hAnsi="宋体"/>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7.采购本国产品的支持政策</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80%</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20%</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的价格扣除，用扣除后的价格参与评审。供应商未填写比例数值，或比例数值不足</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80%</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的，将不享受本国产品价格评审优惠。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ascii="方正仿宋_GBK" w:hAnsi="方正仿宋_GBK" w:eastAsia="方正仿宋_GBK" w:cs="方正仿宋_GBK"/>
          <w:b/>
          <w:color w:val="000000" w:themeColor="text1"/>
          <w:sz w:val="28"/>
          <w:szCs w:val="28"/>
          <w14:textFill>
            <w14:solidFill>
              <w14:schemeClr w14:val="tx1"/>
            </w14:solidFill>
          </w14:textFill>
        </w:rPr>
        <w:br w:type="page" w:clear="all"/>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评标方法与评标标准</w:t>
      </w:r>
      <w:r/>
    </w:p>
    <w:p>
      <w:pPr>
        <w:jc w:val="left"/>
        <w:widowControl/>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tbl>
      <w:tblPr>
        <w:tblStyle w:val="739"/>
        <w:tblW w:w="9183"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347"/>
        <w:gridCol w:w="764"/>
        <w:gridCol w:w="5700"/>
      </w:tblGrid>
      <w:tr>
        <w:trPr>
          <w:tblCellSpacing w:w="0" w:type="dxa"/>
          <w:trHeight w:val="113"/>
        </w:trPr>
        <w:tc>
          <w:tcPr>
            <w:gridSpan w:val="2"/>
            <w:tcW w:w="2719"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14:textFill>
                  <w14:solidFill>
                    <w14:schemeClr w14:val="tx1"/>
                  </w14:solidFill>
                </w14:textFill>
              </w:rPr>
              <w:t xml:space="preserve">项目</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14:textFill>
                  <w14:solidFill>
                    <w14:schemeClr w14:val="tx1"/>
                  </w14:solidFill>
                </w14:textFill>
              </w:rPr>
              <w:t xml:space="preserve">满分</w:t>
            </w:r>
            <w:r/>
          </w:p>
        </w:tc>
        <w:tc>
          <w:tcPr>
            <w:tcW w:w="5700"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14:textFill>
                  <w14:solidFill>
                    <w14:schemeClr w14:val="tx1"/>
                  </w14:solidFill>
                </w14:textFill>
              </w:rPr>
              <w:t xml:space="preserve">评分标准</w:t>
            </w:r>
            <w:r/>
          </w:p>
        </w:tc>
      </w:tr>
      <w:tr>
        <w:trPr>
          <w:tblCellSpacing w:w="0" w:type="dxa"/>
          <w:trHeight w:val="113"/>
        </w:trPr>
        <w:tc>
          <w:tcPr>
            <w:gridSpan w:val="2"/>
            <w:tcW w:w="2719"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一、报价得分</w:t>
            </w:r>
            <w:r/>
          </w:p>
        </w:tc>
        <w:tc>
          <w:tcPr>
            <w:tcW w:w="764" w:type="dxa"/>
            <w:vAlign w:val="center"/>
            <w:textDirection w:val="lrTb"/>
            <w:noWrap w:val="false"/>
          </w:tcPr>
          <w:p>
            <w:pPr>
              <w:pStyle w:val="1040"/>
              <w:jc w:val="center"/>
              <w:spacing w:before="0" w:beforeAutospacing="0" w:after="0" w:afterAutospacing="0" w:line="400" w:lineRule="exact"/>
              <w:widowControl/>
              <w:tabs>
                <w:tab w:val="left" w:pos="371"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30</w:t>
            </w:r>
            <w:r/>
          </w:p>
        </w:tc>
        <w:tc>
          <w:tcPr>
            <w:tcW w:w="5700" w:type="dxa"/>
            <w:vAlign w:val="center"/>
            <w:textDirection w:val="lrTb"/>
            <w:noWrap w:val="false"/>
          </w:tcPr>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价格分采用低价优先法计算，即满足招标文件要求且报价最低的投标人报价为评标基准价，其价格分为满分30分，其他投标人的价格分统一按照以下公式计算：</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投标报价得分=(最低报价/该投标人的投标报价)×30分。（小数点保留两位）</w:t>
            </w:r>
            <w:r/>
          </w:p>
        </w:tc>
      </w:tr>
      <w:tr>
        <w:trPr>
          <w:tblCellSpacing w:w="0" w:type="dxa"/>
          <w:trHeight w:val="113"/>
        </w:trPr>
        <w:tc>
          <w:tcPr>
            <w:tcW w:w="1372" w:type="dxa"/>
            <w:vAlign w:val="center"/>
            <w:vMerge w:val="restart"/>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二、企业实力</w:t>
            </w:r>
            <w:r>
              <w:rPr>
                <w:rFonts w:hint="eastAsia" w:cs="宋体"/>
                <w:b/>
                <w:bCs/>
                <w:color w:val="000000" w:themeColor="text1"/>
                <w:shd w:val="clear" w:color="auto" w:fill="ffffff"/>
                <w14:textFill>
                  <w14:solidFill>
                    <w14:schemeClr w14:val="tx1"/>
                  </w14:solidFill>
                </w14:textFill>
              </w:rPr>
              <w:t xml:space="preserve">（6）</w:t>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企业业绩</w:t>
            </w:r>
            <w:r/>
          </w:p>
        </w:tc>
        <w:tc>
          <w:tcPr>
            <w:tcW w:w="764" w:type="dxa"/>
            <w:vAlign w:val="center"/>
            <w:textDirection w:val="lrTb"/>
            <w:noWrap w:val="false"/>
          </w:tcPr>
          <w:p>
            <w:pPr>
              <w:pStyle w:val="1040"/>
              <w:jc w:val="center"/>
              <w:spacing w:before="0" w:beforeAutospacing="0" w:after="0" w:afterAutospacing="0" w:line="400" w:lineRule="exact"/>
              <w:widowControl/>
              <w:tabs>
                <w:tab w:val="left" w:pos="371" w:leader="none"/>
              </w:tabs>
              <w:rPr>
                <w:rFonts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3</w:t>
            </w:r>
            <w:r/>
          </w:p>
        </w:tc>
        <w:tc>
          <w:tcPr>
            <w:tcW w:w="5700" w:type="dxa"/>
            <w:vAlign w:val="center"/>
            <w:textDirection w:val="lrTb"/>
            <w:noWrap w:val="false"/>
          </w:tcPr>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投标人提供自2023年1月1日（以合同签订日期为准）以来承接的类似非住宅类物业管理项目【服务内容需包含保洁服务、维修服务等类似的服务】。以上服务内容以合同体现内容为准，服务内容相同，表述不同视为相同。每提供一个满足要求的项目业绩的得1分，累计最多计3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注：须提供相应有效合同或复印件并加盖投标人公章，合同日期以签订日期为准，未按要求提供的不得分。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14:textFill>
                  <w14:solidFill>
                    <w14:schemeClr w14:val="tx1"/>
                  </w14:solidFill>
                </w14:textFill>
              </w:rPr>
              <w:t xml:space="preserve">企业管理体系认证</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3</w:t>
            </w:r>
            <w:r/>
          </w:p>
        </w:tc>
        <w:tc>
          <w:tcPr>
            <w:tcW w:w="5700" w:type="dxa"/>
            <w:vAlign w:val="center"/>
            <w:textDirection w:val="lrTb"/>
            <w:noWrap w:val="false"/>
          </w:tcPr>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投标人通过ISO9001质量管理体系认证，通过ISO14001环境管理体系认证，通过ISO45001职业健康体系认证上述认证证书每提供一个得1分，满分3分（须提供有效期内的证书扫描件及证书在国家认监委官方网站的查验截图并加盖投标人公章）。</w:t>
            </w:r>
            <w:r/>
          </w:p>
        </w:tc>
      </w:tr>
      <w:tr>
        <w:trPr>
          <w:tblCellSpacing w:w="0" w:type="dxa"/>
          <w:trHeight w:val="113"/>
        </w:trPr>
        <w:tc>
          <w:tcPr>
            <w:tcW w:w="1372" w:type="dxa"/>
            <w:vAlign w:val="center"/>
            <w:textDirection w:val="lrTb"/>
            <w:noWrap w:val="false"/>
          </w:tcPr>
          <w:p>
            <w:pPr>
              <w:pStyle w:val="1040"/>
              <w:jc w:val="both"/>
              <w:spacing w:before="0" w:beforeAutospacing="0" w:after="0" w:afterAutospacing="0" w:line="400" w:lineRule="exact"/>
              <w:widowControl/>
              <w:rPr>
                <w:rFonts w:ascii="宋体" w:hAnsi="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14:textFill>
                  <w14:solidFill>
                    <w14:schemeClr w14:val="tx1"/>
                  </w14:solidFill>
                </w14:textFill>
              </w:rPr>
              <w:t xml:space="preserve">三、服务团队实力</w:t>
            </w:r>
            <w:r/>
          </w:p>
        </w:tc>
        <w:tc>
          <w:tcPr>
            <w:tcW w:w="1347" w:type="dxa"/>
            <w:vAlign w:val="center"/>
            <w:textDirection w:val="lrTb"/>
            <w:noWrap w:val="false"/>
          </w:tcPr>
          <w:p>
            <w:pPr>
              <w:pStyle w:val="1040"/>
              <w:jc w:val="both"/>
              <w:spacing w:before="0" w:beforeAutospacing="0" w:after="0" w:afterAutospacing="0" w:line="400" w:lineRule="exact"/>
              <w:widowControl/>
              <w:rPr>
                <w:rFonts w:ascii="宋体" w:hAnsi="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14:textFill>
                  <w14:solidFill>
                    <w14:schemeClr w14:val="tx1"/>
                  </w14:solidFill>
                </w14:textFill>
              </w:rPr>
              <w:t xml:space="preserve">项目团队</w:t>
            </w:r>
            <w:r/>
          </w:p>
        </w:tc>
        <w:tc>
          <w:tcPr>
            <w:tcW w:w="764" w:type="dxa"/>
            <w:vAlign w:val="center"/>
            <w:textDirection w:val="lrTb"/>
            <w:noWrap w:val="false"/>
          </w:tcPr>
          <w:p>
            <w:pPr>
              <w:pStyle w:val="1040"/>
              <w:jc w:val="center"/>
              <w:spacing w:before="0" w:beforeAutospacing="0" w:after="0" w:afterAutospacing="0" w:line="400" w:lineRule="exact"/>
              <w:widowControl/>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14</w:t>
            </w:r>
            <w:r/>
          </w:p>
        </w:tc>
        <w:tc>
          <w:tcPr>
            <w:tcW w:w="5700" w:type="dxa"/>
            <w:vAlign w:val="center"/>
            <w:textDirection w:val="lrTb"/>
            <w:noWrap w:val="false"/>
          </w:tcPr>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3.1（3分）项目主管（限评1人）</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①具有本科或以上学历的得1分；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②具有人社部门（或人社部门认可的第三方证书颁发机构）颁发的物业管理师职业技能等级证书（三级/高级工）的得1分；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③具有五年或以上类似物业管理工作经验的得1分（提供业主单位或业主单位下设管理部门盖章证明材料，需体现聘用时间和职务）。</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3.2（2分）宿舍主管（限评1人）</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①具有专科或以上学历的得1分；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②具有五年或以上类似物业管理工作经验的得1分（提供业主单位或业主单位下设管理部门盖章证明材料，需体现聘用时间和职务）。</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3.3（2分）保洁主管（限评1人）</w:t>
            </w:r>
            <w:r/>
          </w:p>
          <w:p>
            <w:pPr>
              <w:ind w:left="425" w:hanging="425"/>
              <w:jc w:val="left"/>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①具有专科或以上学历的得1分；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②具有人社部门（或人社部门认可的第三方证书颁发机构）颁发的保洁员职业技能等级（三级/高级工）证书的得1分；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3.4（2分）维修主管（限评1人）</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①具有高中或以上学历的得1分；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②具有应急管理厅颁发的低压电工作业的得1分。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3.5（5分）其他项目人员：</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①</w:t>
            </w:r>
            <w:r>
              <w:rPr>
                <w:rFonts w:ascii="宋体" w:hAnsi="宋体" w:cs="宋体"/>
                <w:color w:val="000000" w:themeColor="text1"/>
                <w14:textFill>
                  <w14:solidFill>
                    <w14:schemeClr w14:val="tx1"/>
                  </w14:solidFill>
                </w14:textFill>
              </w:rPr>
              <w:t xml:space="preserve">维修工</w:t>
            </w:r>
            <w:r>
              <w:rPr>
                <w:rFonts w:hint="eastAsia" w:ascii="宋体" w:hAnsi="宋体" w:cs="宋体"/>
                <w:color w:val="000000" w:themeColor="text1"/>
                <w14:textFill>
                  <w14:solidFill>
                    <w14:schemeClr w14:val="tx1"/>
                  </w14:solidFill>
                </w14:textFill>
              </w:rPr>
              <w:t xml:space="preserve">中具有低压或高压电工作业证的，有1个得1分，满分2分；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②项目团队中具有特种设备安全管理和作业人员证（项目代号：A）的，得1分；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③项目团队中具有人社部门（或人社部门认可的第三方证书颁发机构）颁发的保洁员职业技能等级（三级/高级工）证书，有1个得1分，最高得2分。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1、提供证书、证明材料等复印件或扫描件并加盖投标人公章。</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2、提供由相关部门出具的投标前近半年内任意一个月的投标人为其</w:t>
            </w:r>
            <w:r>
              <w:rPr>
                <w:rFonts w:ascii="宋体" w:hAnsi="宋体" w:cs="宋体"/>
                <w:color w:val="000000" w:themeColor="text1"/>
                <w14:textFill>
                  <w14:solidFill>
                    <w14:schemeClr w14:val="tx1"/>
                  </w14:solidFill>
                </w14:textFill>
              </w:rPr>
              <w:t xml:space="preserve">缴纳社会保险</w:t>
            </w:r>
            <w:r>
              <w:rPr>
                <w:rFonts w:hint="eastAsia" w:ascii="宋体" w:hAnsi="宋体" w:cs="宋体"/>
                <w:color w:val="000000" w:themeColor="text1"/>
                <w14:textFill>
                  <w14:solidFill>
                    <w14:schemeClr w14:val="tx1"/>
                  </w14:solidFill>
                </w14:textFill>
              </w:rPr>
              <w:t xml:space="preserve">证明材料复印件加盖公章，否则对应项人员均不得分。</w:t>
            </w:r>
            <w:r/>
          </w:p>
          <w:p>
            <w:pPr>
              <w:pStyle w:val="1046"/>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3、上述人员均不重复计取。</w:t>
            </w:r>
            <w:r/>
          </w:p>
        </w:tc>
      </w:tr>
      <w:tr>
        <w:trPr>
          <w:tblCellSpacing w:w="0" w:type="dxa"/>
          <w:trHeight w:val="113"/>
        </w:trPr>
        <w:tc>
          <w:tcPr>
            <w:tcW w:w="1372" w:type="dxa"/>
            <w:vAlign w:val="center"/>
            <w:vMerge w:val="restart"/>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四、项目方案（50）</w:t>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物业管理总体服务规划与设想方案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5</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w:t>
            </w:r>
            <w:r>
              <w:rPr>
                <w:color w:val="000000" w:themeColor="text1"/>
                <w14:textFill>
                  <w14:solidFill>
                    <w14:schemeClr w14:val="tx1"/>
                  </w14:solidFill>
                </w14:textFill>
              </w:rPr>
              <w:t xml:space="preserve">评委根据投标文件对招标文件第四章“采购需求”中“物业管理总体服务规划与设想方案”要求的响应情况进行评审</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（1）投标文件未符合“物业管理总体服务规划与设想方案”中全部条款要求的，视为不符合招标文件，本项得</w:t>
            </w:r>
            <w:r>
              <w:rPr>
                <w:rFonts w:hint="eastAsia"/>
                <w:color w:val="000000" w:themeColor="text1"/>
                <w14:textFill>
                  <w14:solidFill>
                    <w14:schemeClr w14:val="tx1"/>
                  </w14:solidFill>
                </w14:textFill>
              </w:rPr>
              <w:t xml:space="preserve">0</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（2）投标文件符合“物业管理总体服务规划与设想方案”中全部条款要求的，视为符合招标文件，本项得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（3）经评委认定，投标文件对“物业管理总体服务规划与设想方案”中总体服务设想，贴合</w:t>
            </w:r>
            <w:r>
              <w:rPr>
                <w:rFonts w:hint="eastAsia"/>
                <w:color w:val="000000" w:themeColor="text1"/>
                <w14:textFill>
                  <w14:solidFill>
                    <w14:schemeClr w14:val="tx1"/>
                  </w14:solidFill>
                </w14:textFill>
              </w:rPr>
              <w:t xml:space="preserve">学生宿舍物业</w:t>
            </w:r>
            <w:r>
              <w:rPr>
                <w:color w:val="000000" w:themeColor="text1"/>
                <w14:textFill>
                  <w14:solidFill>
                    <w14:schemeClr w14:val="tx1"/>
                  </w14:solidFill>
                </w14:textFill>
              </w:rPr>
              <w:t xml:space="preserve">管理需求，构建全方位、精细化的物业服务框架内容优于招标文件要求的，本项得</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14:textFill>
                  <w14:solidFill>
                    <w14:schemeClr w14:val="tx1"/>
                  </w14:solidFill>
                </w14:textFill>
              </w:rPr>
              <w:t xml:space="preserve">保洁方案</w:t>
            </w:r>
            <w:r/>
          </w:p>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14:textFill>
                  <w14:solidFill>
                    <w14:schemeClr w14:val="tx1"/>
                  </w14:solidFill>
                </w14:textFill>
              </w:rPr>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5</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lang w:val="en-US" w:eastAsia="zh-CN"/>
              </w:rPr>
              <w:t xml:space="preserve">4.2</w:t>
            </w:r>
            <w:r>
              <w:rPr>
                <w:color w:val="000000" w:themeColor="text1"/>
                <w14:textFill>
                  <w14:solidFill>
                    <w14:schemeClr w14:val="tx1"/>
                  </w14:solidFill>
                </w14:textFill>
              </w:rPr>
              <w:t xml:space="preserve">评委根据投标文件对招标文件第四章“采购需求”中“保洁方案”要求的响应情况进行评审</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（1）投标文件未符合“</w:t>
            </w:r>
            <w:r>
              <w:rPr>
                <w:rFonts w:hint="eastAsia"/>
                <w:color w:val="000000" w:themeColor="text1"/>
                <w14:textFill>
                  <w14:solidFill>
                    <w14:schemeClr w14:val="tx1"/>
                  </w14:solidFill>
                </w14:textFill>
              </w:rPr>
              <w:t xml:space="preserve">保洁方案</w:t>
            </w:r>
            <w:r>
              <w:rPr>
                <w:color w:val="000000" w:themeColor="text1"/>
                <w14:textFill>
                  <w14:solidFill>
                    <w14:schemeClr w14:val="tx1"/>
                  </w14:solidFill>
                </w14:textFill>
              </w:rPr>
              <w:t xml:space="preserve">”中全部条款要求的，视为不符合招标文件，本项得</w:t>
            </w:r>
            <w:r>
              <w:rPr>
                <w:rFonts w:hint="eastAsia"/>
                <w:color w:val="000000" w:themeColor="text1"/>
                <w14:textFill>
                  <w14:solidFill>
                    <w14:schemeClr w14:val="tx1"/>
                  </w14:solidFill>
                </w14:textFill>
              </w:rPr>
              <w:t xml:space="preserve">0</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（2）投标文件符合“</w:t>
            </w:r>
            <w:r>
              <w:rPr>
                <w:rFonts w:hint="eastAsia"/>
                <w:color w:val="000000" w:themeColor="text1"/>
                <w14:textFill>
                  <w14:solidFill>
                    <w14:schemeClr w14:val="tx1"/>
                  </w14:solidFill>
                </w14:textFill>
              </w:rPr>
              <w:t xml:space="preserve">保洁方案</w:t>
            </w:r>
            <w:r>
              <w:rPr>
                <w:color w:val="000000" w:themeColor="text1"/>
                <w14:textFill>
                  <w14:solidFill>
                    <w14:schemeClr w14:val="tx1"/>
                  </w14:solidFill>
                </w14:textFill>
              </w:rPr>
              <w:t xml:space="preserve">”中全部条款要求的，视为符合招标文件，本项得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w:t>
            </w:r>
            <w:r/>
          </w:p>
          <w:p>
            <w:pPr>
              <w:spacing w:line="400" w:lineRule="exact"/>
              <w:rPr>
                <w:rFonts w:hint="eastAsia" w:eastAsia="宋体"/>
                <w:color w:val="000000" w:themeColor="text1"/>
                <w:lang w:eastAsia="zh-CN"/>
                <w14:textFill>
                  <w14:solidFill>
                    <w14:schemeClr w14:val="tx1"/>
                  </w14:solidFill>
                </w14:textFill>
              </w:rPr>
            </w:pPr>
            <w:r>
              <w:rPr>
                <w:color w:val="000000" w:themeColor="text1"/>
                <w14:textFill>
                  <w14:solidFill>
                    <w14:schemeClr w14:val="tx1"/>
                  </w14:solidFill>
                </w14:textFill>
              </w:rPr>
              <w:t xml:space="preserve">（3）经评委认定，投标文件对“</w:t>
            </w:r>
            <w:r>
              <w:rPr>
                <w:rFonts w:hint="eastAsia"/>
                <w:color w:val="000000" w:themeColor="text1"/>
                <w14:textFill>
                  <w14:solidFill>
                    <w14:schemeClr w14:val="tx1"/>
                  </w14:solidFill>
                </w14:textFill>
              </w:rPr>
              <w:t xml:space="preserve">保洁方案</w:t>
            </w:r>
            <w:r>
              <w:rPr>
                <w:color w:val="000000" w:themeColor="text1"/>
                <w14:textFill>
                  <w14:solidFill>
                    <w14:schemeClr w14:val="tx1"/>
                  </w14:solidFill>
                </w14:textFill>
              </w:rPr>
              <w:t xml:space="preserve">”中地面、楼道、走廊、扶手、</w:t>
            </w:r>
            <w:r>
              <w:rPr>
                <w:rFonts w:hint="eastAsia"/>
                <w:color w:val="000000" w:themeColor="text1"/>
                <w14:textFill>
                  <w14:solidFill>
                    <w14:schemeClr w14:val="tx1"/>
                  </w14:solidFill>
                </w14:textFill>
              </w:rPr>
              <w:t xml:space="preserve">公共</w:t>
            </w:r>
            <w:r>
              <w:rPr>
                <w:color w:val="000000" w:themeColor="text1"/>
                <w14:textFill>
                  <w14:solidFill>
                    <w14:schemeClr w14:val="tx1"/>
                  </w14:solidFill>
                </w14:textFill>
              </w:rPr>
              <w:t xml:space="preserve">卫生间、退宿学生寝室</w:t>
            </w:r>
            <w:r>
              <w:rPr>
                <w:rFonts w:hint="eastAsia"/>
                <w:color w:val="000000" w:themeColor="text1"/>
                <w14:textFill>
                  <w14:solidFill>
                    <w14:schemeClr w14:val="tx1"/>
                  </w14:solidFill>
                </w14:textFill>
              </w:rPr>
              <w:t xml:space="preserve">等</w:t>
            </w:r>
            <w:r>
              <w:rPr>
                <w:color w:val="000000" w:themeColor="text1"/>
                <w14:textFill>
                  <w14:solidFill>
                    <w14:schemeClr w14:val="tx1"/>
                  </w14:solidFill>
                </w14:textFill>
              </w:rPr>
              <w:t xml:space="preserve">清洁方案内容优于招标文件要求的</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本项得</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分</w:t>
            </w:r>
            <w:r>
              <w:rPr>
                <w:rFonts w:hint="eastAsia"/>
                <w:color w:val="000000" w:themeColor="text1"/>
                <w:lang w:eastAsia="zh-CN"/>
                <w14:textFill>
                  <w14:solidFill>
                    <w14:schemeClr w14:val="tx1"/>
                  </w14:solidFill>
                </w14:textFill>
              </w:rPr>
              <w:t xml:space="preserve">。</w:t>
            </w:r>
            <w:r/>
          </w:p>
        </w:tc>
      </w:tr>
      <w:tr>
        <w:trPr>
          <w:tblCellSpacing w:w="0" w:type="dxa"/>
          <w:trHeight w:val="3088"/>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楼宇和公寓服务方案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5</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lang w:val="en-US" w:eastAsia="zh-CN"/>
              </w:rPr>
              <w:t xml:space="preserve">4.3</w:t>
            </w:r>
            <w:r>
              <w:rPr>
                <w:color w:val="000000" w:themeColor="text1"/>
                <w14:textFill>
                  <w14:solidFill>
                    <w14:schemeClr w14:val="tx1"/>
                  </w14:solidFill>
                </w14:textFill>
              </w:rPr>
              <w:t xml:space="preserve">评委根据投标文件对招标文件第四章“采购需求”中“</w:t>
            </w:r>
            <w:r>
              <w:rPr>
                <w:rFonts w:hint="eastAsia"/>
                <w:lang w:val="en-US" w:eastAsia="zh-CN"/>
              </w:rPr>
              <w:t xml:space="preserve">楼宇和公寓服务</w:t>
            </w:r>
            <w:r>
              <w:rPr>
                <w:rFonts w:hint="eastAsia"/>
              </w:rPr>
              <w:t xml:space="preserve">方案</w:t>
            </w:r>
            <w:r>
              <w:rPr>
                <w:color w:val="000000" w:themeColor="text1"/>
                <w14:textFill>
                  <w14:solidFill>
                    <w14:schemeClr w14:val="tx1"/>
                  </w14:solidFill>
                </w14:textFill>
              </w:rPr>
              <w:t xml:space="preserve">”要求的响应情况进行评审</w:t>
            </w:r>
            <w:r/>
          </w:p>
          <w:p>
            <w:pPr>
              <w:spacing w:line="400" w:lineRule="exact"/>
              <w:rPr>
                <w:color w:val="auto"/>
              </w:rPr>
            </w:pPr>
            <w:r>
              <w:rPr>
                <w:color w:val="000000" w:themeColor="text1"/>
                <w14:textFill>
                  <w14:solidFill>
                    <w14:schemeClr w14:val="tx1"/>
                  </w14:solidFill>
                </w14:textFill>
              </w:rPr>
              <w:t xml:space="preserve">（1）投标文件未符</w:t>
            </w:r>
            <w:r>
              <w:rPr>
                <w:color w:val="auto"/>
              </w:rPr>
              <w:t xml:space="preserve">合“</w:t>
            </w:r>
            <w:r>
              <w:rPr>
                <w:rFonts w:hint="eastAsia"/>
                <w:color w:val="auto"/>
                <w:lang w:val="en-US" w:eastAsia="zh-CN"/>
              </w:rPr>
              <w:t xml:space="preserve">楼宇和公寓服务</w:t>
            </w:r>
            <w:r>
              <w:rPr>
                <w:rFonts w:hint="eastAsia"/>
                <w:color w:val="auto"/>
              </w:rPr>
              <w:t xml:space="preserve">方案</w:t>
            </w:r>
            <w:r>
              <w:rPr>
                <w:color w:val="auto"/>
              </w:rPr>
              <w:t xml:space="preserve">”中全部条款要求的，视为不符合招标文件，本项得</w:t>
            </w:r>
            <w:r>
              <w:rPr>
                <w:rFonts w:hint="eastAsia"/>
                <w:color w:val="auto"/>
              </w:rPr>
              <w:t xml:space="preserve">0</w:t>
            </w:r>
            <w:r>
              <w:rPr>
                <w:color w:val="auto"/>
              </w:rPr>
              <w:t xml:space="preserve">分。</w:t>
            </w:r>
            <w:r/>
          </w:p>
          <w:p>
            <w:pPr>
              <w:spacing w:line="400" w:lineRule="exact"/>
              <w:rPr>
                <w:color w:val="auto"/>
              </w:rPr>
            </w:pPr>
            <w:r>
              <w:rPr>
                <w:color w:val="auto"/>
              </w:rPr>
              <w:t xml:space="preserve">（2）投标文件符合“</w:t>
            </w:r>
            <w:r>
              <w:rPr>
                <w:rFonts w:hint="eastAsia"/>
                <w:color w:val="auto"/>
                <w:lang w:val="en-US" w:eastAsia="zh-CN"/>
              </w:rPr>
              <w:t xml:space="preserve">楼宇和公寓服务</w:t>
            </w:r>
            <w:r>
              <w:rPr>
                <w:rFonts w:hint="eastAsia"/>
                <w:color w:val="auto"/>
              </w:rPr>
              <w:t xml:space="preserve">方案</w:t>
            </w:r>
            <w:r>
              <w:rPr>
                <w:color w:val="auto"/>
              </w:rPr>
              <w:t xml:space="preserve">”中全部条款要求的，视为符合招标文件，本项得</w:t>
            </w:r>
            <w:r>
              <w:rPr>
                <w:rFonts w:hint="eastAsia"/>
                <w:color w:val="auto"/>
              </w:rPr>
              <w:t xml:space="preserve">3</w:t>
            </w:r>
            <w:r>
              <w:rPr>
                <w:color w:val="auto"/>
              </w:rPr>
              <w:t xml:space="preserve">分。</w:t>
            </w:r>
            <w:r/>
          </w:p>
          <w:p>
            <w:pPr>
              <w:spacing w:line="400" w:lineRule="exact"/>
              <w:rPr>
                <w:color w:val="000000" w:themeColor="text1"/>
                <w14:textFill>
                  <w14:solidFill>
                    <w14:schemeClr w14:val="tx1"/>
                  </w14:solidFill>
                </w14:textFill>
              </w:rPr>
            </w:pPr>
            <w:r>
              <w:rPr>
                <w:color w:val="auto"/>
              </w:rPr>
              <w:t xml:space="preserve">（3）经评委认定，投标文件对“</w:t>
            </w:r>
            <w:r>
              <w:rPr>
                <w:rFonts w:hint="eastAsia"/>
                <w:color w:val="auto"/>
                <w:lang w:val="en-US" w:eastAsia="zh-CN"/>
              </w:rPr>
              <w:t xml:space="preserve">楼宇和公寓服务</w:t>
            </w:r>
            <w:r>
              <w:rPr>
                <w:rFonts w:hint="eastAsia"/>
                <w:color w:val="auto"/>
              </w:rPr>
              <w:t xml:space="preserve">方案</w:t>
            </w:r>
            <w:r>
              <w:rPr>
                <w:color w:val="auto"/>
              </w:rPr>
              <w:t xml:space="preserve">”中安全隐患排查、床位管理及温馨服务等工作内容优于招标文件要求的，本项得</w:t>
            </w:r>
            <w:r>
              <w:rPr>
                <w:rFonts w:hint="eastAsia"/>
                <w:color w:val="auto"/>
              </w:rPr>
              <w:t xml:space="preserve">5</w:t>
            </w:r>
            <w:r>
              <w:rPr>
                <w:color w:val="auto"/>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设施设备维护、维修、报修方案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14:textFill>
                  <w14:solidFill>
                    <w14:schemeClr w14:val="tx1"/>
                  </w14:solidFill>
                </w14:textFill>
              </w:rPr>
              <w:t xml:space="preserve">5</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lang w:val="en-US" w:eastAsia="zh-CN"/>
              </w:rPr>
              <w:t xml:space="preserve">4.4</w:t>
            </w:r>
            <w:r>
              <w:rPr>
                <w:color w:val="000000" w:themeColor="text1"/>
                <w14:textFill>
                  <w14:solidFill>
                    <w14:schemeClr w14:val="tx1"/>
                  </w14:solidFill>
                </w14:textFill>
              </w:rPr>
              <w:t xml:space="preserve">评委根据投标文件对招标文件第四章“采购需求”中“</w:t>
            </w:r>
            <w:r>
              <w:rPr>
                <w:rFonts w:hint="eastAsia"/>
                <w:lang w:val="en-US" w:eastAsia="zh-CN"/>
              </w:rPr>
              <w:t xml:space="preserve">设施设备维护、维修、报修方案</w:t>
            </w:r>
            <w:r>
              <w:rPr>
                <w:color w:val="000000" w:themeColor="text1"/>
                <w14:textFill>
                  <w14:solidFill>
                    <w14:schemeClr w14:val="tx1"/>
                  </w14:solidFill>
                </w14:textFill>
              </w:rPr>
              <w:t xml:space="preserve">”要求的响应情况进行评审</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（1）投标文件未符合“</w:t>
            </w:r>
            <w:r>
              <w:rPr>
                <w:rFonts w:hint="eastAsia"/>
                <w:lang w:val="en-US" w:eastAsia="zh-CN"/>
              </w:rPr>
              <w:t xml:space="preserve">设施设备维护、维修、报修方案</w:t>
            </w:r>
            <w:r>
              <w:rPr>
                <w:color w:val="000000" w:themeColor="text1"/>
                <w14:textFill>
                  <w14:solidFill>
                    <w14:schemeClr w14:val="tx1"/>
                  </w14:solidFill>
                </w14:textFill>
              </w:rPr>
              <w:t xml:space="preserve">”中全部条款要求的，视为不符合招标文件，本项得</w:t>
            </w:r>
            <w:r>
              <w:rPr>
                <w:rFonts w:hint="eastAsia"/>
                <w:color w:val="000000" w:themeColor="text1"/>
                <w14:textFill>
                  <w14:solidFill>
                    <w14:schemeClr w14:val="tx1"/>
                  </w14:solidFill>
                </w14:textFill>
              </w:rPr>
              <w:t xml:space="preserve">0</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（2）投标文件符合“</w:t>
            </w:r>
            <w:r>
              <w:rPr>
                <w:rFonts w:hint="eastAsia"/>
                <w:lang w:val="en-US" w:eastAsia="zh-CN"/>
              </w:rPr>
              <w:t xml:space="preserve">设施设备维护、维修、报修方案</w:t>
            </w:r>
            <w:r>
              <w:rPr>
                <w:color w:val="000000" w:themeColor="text1"/>
                <w14:textFill>
                  <w14:solidFill>
                    <w14:schemeClr w14:val="tx1"/>
                  </w14:solidFill>
                </w14:textFill>
              </w:rPr>
              <w:t xml:space="preserve">”中全部条款要求的，视为符合招标文件，本项得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（3）经评委认定，投标文件对“</w:t>
            </w:r>
            <w:r>
              <w:rPr>
                <w:rFonts w:hint="eastAsia"/>
                <w:lang w:val="en-US" w:eastAsia="zh-CN"/>
              </w:rPr>
              <w:t xml:space="preserve">设施设备维护、维修、报修方案</w:t>
            </w:r>
            <w:r>
              <w:rPr>
                <w:color w:val="000000" w:themeColor="text1"/>
                <w14:textFill>
                  <w14:solidFill>
                    <w14:schemeClr w14:val="tx1"/>
                  </w14:solidFill>
                </w14:textFill>
              </w:rPr>
              <w:t xml:space="preserve">”中设施设备的日常巡检、维护监管、报修、验收及零星维修等工作内容优于招标文件要求的</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本项得</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校园环境管理服务方案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5</w:t>
            </w:r>
            <w:r/>
          </w:p>
        </w:tc>
        <w:tc>
          <w:tcPr>
            <w:tcW w:w="5700" w:type="dxa"/>
            <w:vAlign w:val="center"/>
            <w:textDirection w:val="lrTb"/>
            <w:noWrap w:val="false"/>
          </w:tcPr>
          <w:p>
            <w:pPr>
              <w:spacing w:line="400" w:lineRule="exact"/>
              <w:rPr>
                <w:color w:val="auto"/>
              </w:rPr>
            </w:pPr>
            <w:r>
              <w:rPr>
                <w:rFonts w:hint="eastAsia"/>
                <w:color w:val="auto"/>
                <w:lang w:val="en-US" w:eastAsia="zh-CN"/>
              </w:rPr>
              <w:t xml:space="preserve">4.5</w:t>
            </w:r>
            <w:r>
              <w:rPr>
                <w:color w:val="auto"/>
              </w:rPr>
              <w:t xml:space="preserve">评委根据投标文件对招标文件第四章“采购需求”中“</w:t>
            </w:r>
            <w:r>
              <w:rPr>
                <w:rFonts w:hint="eastAsia"/>
                <w:color w:val="auto"/>
              </w:rPr>
              <w:t xml:space="preserve">校园环境管理服务方案</w:t>
            </w:r>
            <w:r>
              <w:rPr>
                <w:color w:val="auto"/>
              </w:rPr>
              <w:t xml:space="preserve">”要求的响应情况进行评审</w:t>
            </w:r>
            <w:r/>
          </w:p>
          <w:p>
            <w:pPr>
              <w:spacing w:line="400" w:lineRule="exact"/>
              <w:rPr>
                <w:color w:val="auto"/>
              </w:rPr>
            </w:pPr>
            <w:r>
              <w:rPr>
                <w:color w:val="auto"/>
              </w:rPr>
              <w:t xml:space="preserve">（1）投标文件未符合“</w:t>
            </w:r>
            <w:r>
              <w:rPr>
                <w:rFonts w:hint="eastAsia"/>
                <w:color w:val="auto"/>
              </w:rPr>
              <w:t xml:space="preserve">校园环境管理服务方案</w:t>
            </w:r>
            <w:r>
              <w:rPr>
                <w:color w:val="auto"/>
              </w:rPr>
              <w:t xml:space="preserve">”中全部条款要求的，视为不符合招标文件，本项得</w:t>
            </w:r>
            <w:r>
              <w:rPr>
                <w:rFonts w:hint="eastAsia"/>
                <w:color w:val="auto"/>
              </w:rPr>
              <w:t xml:space="preserve">0</w:t>
            </w:r>
            <w:r>
              <w:rPr>
                <w:color w:val="auto"/>
              </w:rPr>
              <w:t xml:space="preserve">分。</w:t>
            </w:r>
            <w:r/>
          </w:p>
          <w:p>
            <w:pPr>
              <w:spacing w:line="400" w:lineRule="exact"/>
              <w:rPr>
                <w:color w:val="auto"/>
              </w:rPr>
            </w:pPr>
            <w:r>
              <w:rPr>
                <w:color w:val="auto"/>
              </w:rPr>
              <w:t xml:space="preserve">（2）投标文件符合“</w:t>
            </w:r>
            <w:r>
              <w:rPr>
                <w:rFonts w:hint="eastAsia"/>
                <w:color w:val="auto"/>
              </w:rPr>
              <w:t xml:space="preserve">校园环境管理服务方案</w:t>
            </w:r>
            <w:r>
              <w:rPr>
                <w:color w:val="auto"/>
              </w:rPr>
              <w:t xml:space="preserve">”中全部条款要求的，视为符合招标文件，本项得</w:t>
            </w:r>
            <w:r>
              <w:rPr>
                <w:rFonts w:hint="eastAsia"/>
                <w:color w:val="auto"/>
              </w:rPr>
              <w:t xml:space="preserve">3</w:t>
            </w:r>
            <w:r>
              <w:rPr>
                <w:color w:val="auto"/>
              </w:rPr>
              <w:t xml:space="preserve">分。</w:t>
            </w:r>
            <w:r/>
          </w:p>
          <w:p>
            <w:pPr>
              <w:spacing w:line="400" w:lineRule="exact"/>
              <w:rPr>
                <w:color w:val="000000" w:themeColor="text1"/>
                <w14:textFill>
                  <w14:solidFill>
                    <w14:schemeClr w14:val="tx1"/>
                  </w14:solidFill>
                </w14:textFill>
              </w:rPr>
            </w:pPr>
            <w:r>
              <w:rPr>
                <w:color w:val="auto"/>
              </w:rPr>
              <w:t xml:space="preserve">（3）经评委认定，投标文件对“</w:t>
            </w:r>
            <w:r>
              <w:rPr>
                <w:rFonts w:hint="eastAsia"/>
                <w:color w:val="auto"/>
              </w:rPr>
              <w:t xml:space="preserve">校园环境管理服务方案</w:t>
            </w:r>
            <w:r>
              <w:rPr>
                <w:color w:val="auto"/>
              </w:rPr>
              <w:t xml:space="preserve">”</w:t>
            </w:r>
            <w:r>
              <w:rPr>
                <w:rFonts w:hint="eastAsia"/>
                <w:color w:val="auto"/>
              </w:rPr>
              <w:t xml:space="preserve">中校园道路环境维护保洁、校园景观建筑维护保洁、绿地清理及水系清洁等工作的服务内容优于招标文件要求的，</w:t>
            </w:r>
            <w:r>
              <w:rPr>
                <w:color w:val="auto"/>
              </w:rPr>
              <w:t xml:space="preserve">本项得</w:t>
            </w:r>
            <w:r>
              <w:rPr>
                <w:rFonts w:hint="eastAsia"/>
                <w:color w:val="auto"/>
              </w:rPr>
              <w:t xml:space="preserve">5</w:t>
            </w:r>
            <w:r>
              <w:rPr>
                <w:color w:val="auto"/>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b/>
                <w:bCs/>
                <w:color w:val="000000" w:themeColor="text1"/>
                <w14:textFill>
                  <w14:solidFill>
                    <w14:schemeClr w14:val="tx1"/>
                  </w14:solidFill>
                </w14:textFill>
              </w:rPr>
              <w:t xml:space="preserve">人员职责</w:t>
            </w:r>
            <w:r>
              <w:rPr>
                <w:rFonts w:hint="eastAsia"/>
                <w:b/>
                <w:bCs/>
                <w:color w:val="000000" w:themeColor="text1"/>
                <w14:textFill>
                  <w14:solidFill>
                    <w14:schemeClr w14:val="tx1"/>
                  </w14:solidFill>
                </w14:textFill>
              </w:rPr>
              <w:t xml:space="preserve">要求</w:t>
            </w:r>
            <w:r>
              <w:rPr>
                <w:b/>
                <w:bCs/>
                <w:color w:val="000000" w:themeColor="text1"/>
                <w14:textFill>
                  <w14:solidFill>
                    <w14:schemeClr w14:val="tx1"/>
                  </w14:solidFill>
                </w14:textFill>
              </w:rPr>
              <w:t xml:space="preserve">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4</w:t>
            </w:r>
            <w:r/>
          </w:p>
        </w:tc>
        <w:tc>
          <w:tcPr>
            <w:tcW w:w="5700" w:type="dxa"/>
            <w:vAlign w:val="center"/>
            <w:textDirection w:val="lrTb"/>
            <w:noWrap w:val="false"/>
          </w:tcPr>
          <w:p>
            <w:pPr>
              <w:spacing w:line="400" w:lineRule="exact"/>
              <w:rPr>
                <w:color w:val="auto"/>
              </w:rPr>
            </w:pPr>
            <w:r>
              <w:rPr>
                <w:rFonts w:hint="eastAsia"/>
                <w:color w:val="auto"/>
                <w:lang w:val="en-US" w:eastAsia="zh-CN"/>
              </w:rPr>
              <w:t xml:space="preserve">4.6</w:t>
            </w:r>
            <w:r>
              <w:rPr>
                <w:color w:val="auto"/>
              </w:rPr>
              <w:t xml:space="preserve">评委根据投标文件对招标文件第四章“采购需求”中“人员职责</w:t>
            </w:r>
            <w:r>
              <w:rPr>
                <w:rFonts w:hint="eastAsia"/>
                <w:color w:val="auto"/>
              </w:rPr>
              <w:t xml:space="preserve">要求</w:t>
            </w:r>
            <w:r>
              <w:rPr>
                <w:color w:val="auto"/>
              </w:rPr>
              <w:t xml:space="preserve">方案”要求的响应情况进行评审（1）投标文件未符合“人员职责</w:t>
            </w:r>
            <w:r>
              <w:rPr>
                <w:rFonts w:hint="eastAsia"/>
                <w:color w:val="auto"/>
              </w:rPr>
              <w:t xml:space="preserve">要求</w:t>
            </w:r>
            <w:r>
              <w:rPr>
                <w:color w:val="auto"/>
              </w:rPr>
              <w:t xml:space="preserve">方案”中全部条款要求的，视为不符合招标文件，本项得</w:t>
            </w:r>
            <w:r>
              <w:rPr>
                <w:rFonts w:hint="eastAsia"/>
                <w:color w:val="auto"/>
              </w:rPr>
              <w:t xml:space="preserve">0</w:t>
            </w:r>
            <w:r>
              <w:rPr>
                <w:color w:val="auto"/>
              </w:rPr>
              <w:t xml:space="preserve">分。</w:t>
            </w:r>
            <w:r/>
          </w:p>
          <w:p>
            <w:pPr>
              <w:spacing w:line="400" w:lineRule="exact"/>
              <w:rPr>
                <w:color w:val="auto"/>
              </w:rPr>
            </w:pPr>
            <w:r>
              <w:rPr>
                <w:color w:val="auto"/>
              </w:rPr>
              <w:t xml:space="preserve">（2）投标文件符合“人员职责</w:t>
            </w:r>
            <w:r>
              <w:rPr>
                <w:rFonts w:hint="eastAsia"/>
                <w:color w:val="auto"/>
              </w:rPr>
              <w:t xml:space="preserve">要求</w:t>
            </w:r>
            <w:r>
              <w:rPr>
                <w:color w:val="auto"/>
              </w:rPr>
              <w:t xml:space="preserve">方案”中全部条款要求的，视为符合招标文件，本项得</w:t>
            </w:r>
            <w:r>
              <w:rPr>
                <w:rFonts w:hint="eastAsia"/>
                <w:color w:val="auto"/>
                <w:lang w:val="en-US" w:eastAsia="zh-CN"/>
              </w:rPr>
              <w:t xml:space="preserve">2</w:t>
            </w:r>
            <w:r>
              <w:rPr>
                <w:color w:val="auto"/>
              </w:rPr>
              <w:t xml:space="preserve">分。</w:t>
            </w:r>
            <w:r/>
          </w:p>
          <w:p>
            <w:pPr>
              <w:spacing w:line="400" w:lineRule="exact"/>
              <w:rPr>
                <w:color w:val="000000" w:themeColor="text1"/>
                <w14:textFill>
                  <w14:solidFill>
                    <w14:schemeClr w14:val="tx1"/>
                  </w14:solidFill>
                </w14:textFill>
              </w:rPr>
            </w:pPr>
            <w:r>
              <w:rPr>
                <w:color w:val="auto"/>
              </w:rPr>
              <w:t xml:space="preserve">（3）经评委认定，投标文件对“人员职责</w:t>
            </w:r>
            <w:r>
              <w:rPr>
                <w:rFonts w:hint="eastAsia"/>
                <w:color w:val="auto"/>
              </w:rPr>
              <w:t xml:space="preserve">要求</w:t>
            </w:r>
            <w:r>
              <w:rPr>
                <w:color w:val="auto"/>
              </w:rPr>
              <w:t xml:space="preserve">方案”中岗位设置、部门职责、工作流程、规章制度、管理、培训等工作</w:t>
            </w:r>
            <w:r>
              <w:rPr>
                <w:rFonts w:hint="eastAsia"/>
                <w:color w:val="auto"/>
              </w:rPr>
              <w:t xml:space="preserve">等</w:t>
            </w:r>
            <w:r>
              <w:rPr>
                <w:color w:val="auto"/>
              </w:rPr>
              <w:t xml:space="preserve">内容优于招标文件要求的</w:t>
            </w:r>
            <w:r>
              <w:rPr>
                <w:rFonts w:hint="eastAsia"/>
                <w:color w:val="auto"/>
              </w:rPr>
              <w:t xml:space="preserve">，</w:t>
            </w:r>
            <w:r>
              <w:rPr>
                <w:color w:val="auto"/>
              </w:rPr>
              <w:t xml:space="preserve">本项得</w:t>
            </w:r>
            <w:r>
              <w:rPr>
                <w:rFonts w:hint="eastAsia"/>
                <w:color w:val="auto"/>
              </w:rPr>
              <w:t xml:space="preserve">4</w:t>
            </w:r>
            <w:r>
              <w:rPr>
                <w:color w:val="auto"/>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物资设备配置方案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4</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4.7</w:t>
            </w:r>
            <w:r>
              <w:rPr>
                <w:color w:val="000000" w:themeColor="text1"/>
                <w14:textFill>
                  <w14:solidFill>
                    <w14:schemeClr w14:val="tx1"/>
                  </w14:solidFill>
                </w14:textFill>
              </w:rPr>
              <w:t xml:space="preserve">评委根据投标文件对招标文件第四章“采购需求”中“物资设备配置方案”要求的响应情况进行评审</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（1）投标文件未符合“物资设备配置方案”中全部条款要求的，视为不符合招标文件，本项得</w:t>
            </w:r>
            <w:r>
              <w:rPr>
                <w:rFonts w:hint="eastAsia"/>
                <w:color w:val="000000" w:themeColor="text1"/>
                <w14:textFill>
                  <w14:solidFill>
                    <w14:schemeClr w14:val="tx1"/>
                  </w14:solidFill>
                </w14:textFill>
              </w:rPr>
              <w:t xml:space="preserve">0</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（2）投标文件符合“物资设备配置方案”中全部条款要求的，视为符合招标文件，本项得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（3）经评委认定，投标文件对“物资设备配置方案”中为提升劳动效率和工作效果拟投入的设备、工具等物资配置方案内容优于招标文件要求的，本项得</w:t>
            </w: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14:textFill>
                  <w14:solidFill>
                    <w14:schemeClr w14:val="tx1"/>
                  </w14:solidFill>
                </w14:textFill>
              </w:rPr>
              <w:t xml:space="preserve">文化建设方案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4</w:t>
            </w:r>
            <w:r/>
          </w:p>
        </w:tc>
        <w:tc>
          <w:tcPr>
            <w:tcW w:w="5700" w:type="dxa"/>
            <w:vAlign w:val="center"/>
            <w:textDirection w:val="lrTb"/>
            <w:noWrap w:val="false"/>
          </w:tcPr>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14:textFill>
                  <w14:solidFill>
                    <w14:schemeClr w14:val="tx1"/>
                  </w14:solidFill>
                </w14:textFill>
              </w:rPr>
              <w:t xml:space="preserve">4.8评委根据投标文件对招标文件第四章</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采购需求</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中</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文化建设方案</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要求的响应情况进行评审</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14:textFill>
                  <w14:solidFill>
                    <w14:schemeClr w14:val="tx1"/>
                  </w14:solidFill>
                </w14:textFill>
              </w:rPr>
              <w:t xml:space="preserve">（</w:t>
            </w:r>
            <w:r>
              <w:rPr>
                <w:rFonts w:eastAsia="Times New Roman"/>
                <w:color w:val="000000" w:themeColor="text1"/>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）投标文件未符合</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文化建设方案”项目方案</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中全部条款要求的，视为不符合招标文件，本项得0分。</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14:textFill>
                  <w14:solidFill>
                    <w14:schemeClr w14:val="tx1"/>
                  </w14:solidFill>
                </w14:textFill>
              </w:rPr>
              <w:t xml:space="preserve">（</w:t>
            </w:r>
            <w:r>
              <w:rPr>
                <w:rFonts w:eastAsia="Times New Roman"/>
                <w:color w:val="000000" w:themeColor="text1"/>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）投标文件符合</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文化建设方案</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中全部条款要求的，视为符合招标文件，本项得2分。</w:t>
            </w:r>
            <w:r/>
          </w:p>
          <w:p>
            <w:pPr>
              <w:spacing w:line="276"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14:textFill>
                  <w14:solidFill>
                    <w14:schemeClr w14:val="tx1"/>
                  </w14:solidFill>
                </w14:textFill>
              </w:rPr>
              <w:t xml:space="preserve">（</w:t>
            </w:r>
            <w:r>
              <w:rPr>
                <w:rFonts w:eastAsia="Times New Roman"/>
                <w:color w:val="000000" w:themeColor="text1"/>
                <w14:textFill>
                  <w14:solidFill>
                    <w14:schemeClr w14:val="tx1"/>
                  </w14:solidFill>
                </w14:textFill>
              </w:rPr>
              <w:t xml:space="preserve">3</w:t>
            </w:r>
            <w:r>
              <w:rPr>
                <w:rFonts w:ascii="宋体" w:hAnsi="宋体" w:eastAsia="宋体" w:cs="宋体"/>
                <w:color w:val="000000" w:themeColor="text1"/>
                <w14:textFill>
                  <w14:solidFill>
                    <w14:schemeClr w14:val="tx1"/>
                  </w14:solidFill>
                </w14:textFill>
              </w:rPr>
              <w:t xml:space="preserve">）经评委认定，投标文件对</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文化建设方案</w:t>
            </w:r>
            <w:r>
              <w:rPr>
                <w:rFonts w:eastAsia="Times New Roman"/>
                <w:color w:val="000000" w:themeColor="text1"/>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中物业服务开始及合同到期时的文化方案内容优于招标文</w:t>
            </w:r>
            <w:r>
              <w:rPr>
                <w:rFonts w:ascii="宋体" w:hAnsi="宋体" w:eastAsia="宋体" w:cs="宋体"/>
                <w:color w:val="000000"/>
              </w:rPr>
              <w:t xml:space="preserve">件要求的，本项得4分。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应急预案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4</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4.9</w:t>
            </w:r>
            <w:r>
              <w:rPr>
                <w:color w:val="000000" w:themeColor="text1"/>
                <w14:textFill>
                  <w14:solidFill>
                    <w14:schemeClr w14:val="tx1"/>
                  </w14:solidFill>
                </w14:textFill>
              </w:rPr>
              <w:t xml:space="preserve">评委根据投标文件对招标文件第四章“采购需求”中“应急预案”要求的响应情况进行评审</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（1）投标文件未符合“应急预案”中全部条款要求的，视为不符合招标文件，本项得</w:t>
            </w:r>
            <w:r>
              <w:rPr>
                <w:rFonts w:hint="eastAsia"/>
                <w:color w:val="000000" w:themeColor="text1"/>
                <w14:textFill>
                  <w14:solidFill>
                    <w14:schemeClr w14:val="tx1"/>
                  </w14:solidFill>
                </w14:textFill>
              </w:rPr>
              <w:t xml:space="preserve">0</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（2）投标文件符合“应急预案”中全部条款要求的，视为符合招标文件，本项得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（3）经评委认定，投标文件对“应急预案”中消防、恶劣天气、公共卫生事件、设施设备突发故障等情况的应急预案内容优于招标文件要求的，本项得</w:t>
            </w: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节能环保服务方案</w:t>
            </w:r>
            <w:r/>
          </w:p>
        </w:tc>
        <w:tc>
          <w:tcPr>
            <w:tcW w:w="764" w:type="dxa"/>
            <w:vAlign w:val="center"/>
            <w:textDirection w:val="lrTb"/>
            <w:noWrap w:val="false"/>
          </w:tcPr>
          <w:p>
            <w:pPr>
              <w:pStyle w:val="1040"/>
              <w:jc w:val="center"/>
              <w:spacing w:before="0" w:beforeAutospacing="0" w:after="0" w:afterAutospacing="0" w:line="400" w:lineRule="exact"/>
              <w:widowControl/>
              <w:rPr>
                <w:rFonts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4</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4.10</w:t>
            </w:r>
            <w:r>
              <w:rPr>
                <w:color w:val="000000" w:themeColor="text1"/>
                <w14:textFill>
                  <w14:solidFill>
                    <w14:schemeClr w14:val="tx1"/>
                  </w14:solidFill>
                </w14:textFill>
              </w:rPr>
              <w:t xml:space="preserve">评委根据投标文件对招标文件第四章“采购需求”中“</w:t>
            </w:r>
            <w:r>
              <w:rPr>
                <w:rFonts w:hint="eastAsia"/>
                <w:color w:val="000000" w:themeColor="text1"/>
                <w14:textFill>
                  <w14:solidFill>
                    <w14:schemeClr w14:val="tx1"/>
                  </w14:solidFill>
                </w14:textFill>
              </w:rPr>
              <w:t xml:space="preserve">节能环保服务方案</w:t>
            </w:r>
            <w:r>
              <w:rPr>
                <w:color w:val="000000" w:themeColor="text1"/>
                <w14:textFill>
                  <w14:solidFill>
                    <w14:schemeClr w14:val="tx1"/>
                  </w14:solidFill>
                </w14:textFill>
              </w:rPr>
              <w:t xml:space="preserve">”要求的响应情况进行评审</w:t>
            </w:r>
            <w:r/>
          </w:p>
          <w:p>
            <w:pPr>
              <w:spacing w:line="400" w:lineRule="exact"/>
              <w:rPr>
                <w:color w:val="auto"/>
              </w:rPr>
            </w:pPr>
            <w:r>
              <w:rPr>
                <w:color w:val="000000" w:themeColor="text1"/>
                <w14:textFill>
                  <w14:solidFill>
                    <w14:schemeClr w14:val="tx1"/>
                  </w14:solidFill>
                </w14:textFill>
              </w:rPr>
              <w:t xml:space="preserve">（1</w:t>
            </w:r>
            <w:r>
              <w:rPr>
                <w:color w:val="auto"/>
              </w:rPr>
              <w:t xml:space="preserve">）投标文件未符合“</w:t>
            </w:r>
            <w:r>
              <w:rPr>
                <w:rFonts w:hint="eastAsia"/>
                <w:color w:val="auto"/>
              </w:rPr>
              <w:t xml:space="preserve">节能环保服务</w:t>
            </w:r>
            <w:r>
              <w:rPr>
                <w:color w:val="auto"/>
              </w:rPr>
              <w:t xml:space="preserve">方案”中全部条款要求的，视为不符合招标文件，本项得</w:t>
            </w:r>
            <w:r>
              <w:rPr>
                <w:rFonts w:hint="eastAsia"/>
                <w:color w:val="auto"/>
              </w:rPr>
              <w:t xml:space="preserve">0</w:t>
            </w:r>
            <w:r>
              <w:rPr>
                <w:color w:val="auto"/>
              </w:rPr>
              <w:t xml:space="preserve">分。</w:t>
            </w:r>
            <w:r/>
          </w:p>
          <w:p>
            <w:pPr>
              <w:spacing w:line="400" w:lineRule="exact"/>
              <w:rPr>
                <w:color w:val="auto"/>
              </w:rPr>
            </w:pPr>
            <w:r>
              <w:rPr>
                <w:color w:val="auto"/>
              </w:rPr>
              <w:t xml:space="preserve">（2）投标文件符合“</w:t>
            </w:r>
            <w:r>
              <w:rPr>
                <w:rFonts w:hint="eastAsia"/>
                <w:color w:val="auto"/>
              </w:rPr>
              <w:t xml:space="preserve">节能环保服务</w:t>
            </w:r>
            <w:r>
              <w:rPr>
                <w:color w:val="auto"/>
              </w:rPr>
              <w:t xml:space="preserve">方案”中全部条款要求的，视为符合招标文件，本项得</w:t>
            </w:r>
            <w:r>
              <w:rPr>
                <w:rFonts w:hint="eastAsia"/>
                <w:color w:val="auto"/>
              </w:rPr>
              <w:t xml:space="preserve">2</w:t>
            </w:r>
            <w:r>
              <w:rPr>
                <w:color w:val="auto"/>
              </w:rPr>
              <w:t xml:space="preserve">分。</w:t>
            </w:r>
            <w:r/>
          </w:p>
          <w:p>
            <w:pPr>
              <w:spacing w:line="400" w:lineRule="exact"/>
              <w:rPr>
                <w:color w:val="000000" w:themeColor="text1"/>
                <w14:textFill>
                  <w14:solidFill>
                    <w14:schemeClr w14:val="tx1"/>
                  </w14:solidFill>
                </w14:textFill>
              </w:rPr>
            </w:pPr>
            <w:r>
              <w:rPr>
                <w:color w:val="auto"/>
              </w:rPr>
              <w:t xml:space="preserve">（3）经评委认定，投标文件对“</w:t>
            </w:r>
            <w:r>
              <w:rPr>
                <w:rFonts w:hint="eastAsia"/>
                <w:color w:val="auto"/>
              </w:rPr>
              <w:t xml:space="preserve">节能环保服务</w:t>
            </w:r>
            <w:r>
              <w:rPr>
                <w:color w:val="auto"/>
              </w:rPr>
              <w:t xml:space="preserve">方案”中物业服务开始及合同到期时的</w:t>
            </w:r>
            <w:r>
              <w:rPr>
                <w:rFonts w:hint="eastAsia"/>
                <w:color w:val="auto"/>
              </w:rPr>
              <w:t xml:space="preserve">节能环保服务</w:t>
            </w:r>
            <w:r>
              <w:rPr>
                <w:color w:val="auto"/>
              </w:rPr>
              <w:t xml:space="preserve">方案内容优于招标文件要求的，本项得</w:t>
            </w:r>
            <w:r>
              <w:rPr>
                <w:rFonts w:hint="eastAsia"/>
                <w:color w:val="auto"/>
              </w:rPr>
              <w:t xml:space="preserve">4</w:t>
            </w:r>
            <w:r>
              <w:rPr>
                <w:color w:val="auto"/>
              </w:rPr>
              <w:t xml:space="preserve">分。</w:t>
            </w:r>
            <w:r/>
          </w:p>
        </w:tc>
      </w:tr>
      <w:tr>
        <w:trPr>
          <w:tblCellSpacing w:w="0" w:type="dxa"/>
          <w:trHeight w:val="113"/>
        </w:trPr>
        <w:tc>
          <w:tcPr>
            <w:tcW w:w="1372" w:type="dxa"/>
            <w:vAlign w:val="center"/>
            <w:vMerge w:val="continue"/>
            <w:textDirection w:val="lrTb"/>
            <w:noWrap w:val="false"/>
          </w:tcPr>
          <w:p>
            <w:pPr>
              <w:spacing w:line="400" w:lineRule="exact"/>
              <w:rPr>
                <w:rFonts w:ascii="宋体"/>
                <w:color w:val="000000" w:themeColor="text1"/>
                <w:sz w:val="24"/>
                <w:szCs w:val="24"/>
                <w14:textFill>
                  <w14:solidFill>
                    <w14:schemeClr w14:val="tx1"/>
                  </w14:solidFill>
                </w14:textFill>
              </w:rPr>
            </w:pPr>
            <w:r>
              <w:rPr>
                <w:rFonts w:ascii="宋体"/>
                <w:color w:val="000000" w:themeColor="text1"/>
                <w:sz w:val="24"/>
                <w:szCs w:val="24"/>
                <w14:textFill>
                  <w14:solidFill>
                    <w14:schemeClr w14:val="tx1"/>
                  </w14:solidFill>
                </w14:textFill>
              </w:rPr>
            </w:r>
            <w:r/>
          </w:p>
        </w:tc>
        <w:tc>
          <w:tcPr>
            <w:tcW w:w="1347" w:type="dxa"/>
            <w:vAlign w:val="center"/>
            <w:textDirection w:val="lrTb"/>
            <w:noWrap w:val="false"/>
          </w:tcPr>
          <w:p>
            <w:pPr>
              <w:pStyle w:val="1040"/>
              <w:jc w:val="both"/>
              <w:spacing w:before="0" w:beforeAutospacing="0" w:after="0" w:afterAutospacing="0" w:line="400" w:lineRule="exact"/>
              <w:shd w:val="clear" w:color="auto" w:fill="ffffff"/>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14:textFill>
                  <w14:solidFill>
                    <w14:schemeClr w14:val="tx1"/>
                  </w14:solidFill>
                </w14:textFill>
              </w:rPr>
              <w:t xml:space="preserve">项目交接方案</w:t>
            </w:r>
            <w:r/>
          </w:p>
        </w:tc>
        <w:tc>
          <w:tcPr>
            <w:tcW w:w="764" w:type="dxa"/>
            <w:vAlign w:val="center"/>
            <w:textDirection w:val="lrTb"/>
            <w:noWrap w:val="false"/>
          </w:tcPr>
          <w:p>
            <w:pPr>
              <w:pStyle w:val="1040"/>
              <w:jc w:val="center"/>
              <w:spacing w:before="0" w:beforeAutospacing="0" w:after="0" w:afterAutospacing="0" w:line="40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14:textFill>
                  <w14:solidFill>
                    <w14:schemeClr w14:val="tx1"/>
                  </w14:solidFill>
                </w14:textFill>
              </w:rPr>
              <w:t xml:space="preserve">5</w:t>
            </w:r>
            <w:r/>
          </w:p>
        </w:tc>
        <w:tc>
          <w:tcPr>
            <w:tcW w:w="5700" w:type="dxa"/>
            <w:vAlign w:val="center"/>
            <w:textDirection w:val="lrTb"/>
            <w:noWrap w:val="false"/>
          </w:tcPr>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4.11</w:t>
            </w:r>
            <w:r>
              <w:rPr>
                <w:color w:val="000000" w:themeColor="text1"/>
                <w14:textFill>
                  <w14:solidFill>
                    <w14:schemeClr w14:val="tx1"/>
                  </w14:solidFill>
                </w14:textFill>
              </w:rPr>
              <w:t xml:space="preserve">评委根据投标文件对招标文件第四章“采购需求”中“项目交接方案”要求的响应情况进行评审</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（1）投标文件未符合“项目交接方案”中全部条款要求的，视为不符合招标文件，本项得</w:t>
            </w:r>
            <w:r>
              <w:rPr>
                <w:rFonts w:hint="eastAsia"/>
                <w:color w:val="000000" w:themeColor="text1"/>
                <w14:textFill>
                  <w14:solidFill>
                    <w14:schemeClr w14:val="tx1"/>
                  </w14:solidFill>
                </w14:textFill>
              </w:rPr>
              <w:t xml:space="preserve">0</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（2）投标文件符合“项目交接方案”中全部条款要求的，视为符合招标文件，本项得</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（3）经评委认定，投标文件对“项目交接方案”中物业服务开始及合同到期时的交接方案内容优于招标文件要求的，本项得</w:t>
            </w: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分。</w:t>
            </w:r>
            <w:r/>
          </w:p>
        </w:tc>
      </w:tr>
    </w:tbl>
    <w:p>
      <w:pPr>
        <w:spacing w:line="420" w:lineRule="exact"/>
        <w:rPr>
          <w:rFonts w:ascii="宋体" w:hAnsi="宋体" w:cs="宋体"/>
          <w:b/>
          <w:bCs/>
          <w:color w:val="000000" w:themeColor="text1"/>
          <w:sz w:val="28"/>
          <w:szCs w:val="28"/>
          <w14:textFill>
            <w14:solidFill>
              <w14:schemeClr w14:val="tx1"/>
            </w14:solidFill>
          </w14:textFill>
        </w:rPr>
      </w:pPr>
      <w:r>
        <w:rPr>
          <w:rFonts w:ascii="方正黑体_GBK" w:hAnsi="方正黑体_GBK" w:eastAsia="方正黑体_GBK" w:cs="方正黑体_GBK"/>
          <w:color w:val="000000" w:themeColor="text1"/>
          <w:sz w:val="32"/>
          <w:szCs w:val="32"/>
          <w14:textFill>
            <w14:solidFill>
              <w14:schemeClr w14:val="tx1"/>
            </w14:solidFill>
          </w14:textFill>
        </w:rPr>
        <w:br w:type="page" w:clear="all"/>
      </w:r>
      <w:r/>
    </w:p>
    <w:p>
      <w:pPr>
        <w:ind w:right="839"/>
        <w:jc w:val="center"/>
        <w:spacing w:line="66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ascii="方正黑体_GBK" w:hAnsi="方正黑体_GBK" w:eastAsia="方正黑体_GBK" w:cs="方正黑体_GBK"/>
          <w:color w:val="000000" w:themeColor="text1"/>
          <w:sz w:val="28"/>
          <w:szCs w:val="28"/>
          <w14:textFill>
            <w14:solidFill>
              <w14:schemeClr w14:val="tx1"/>
            </w14:solidFill>
          </w14:textFill>
        </w:rPr>
      </w:r>
      <w:r/>
    </w:p>
    <w:p>
      <w:pPr>
        <w:ind w:right="839"/>
        <w:jc w:val="center"/>
        <w:spacing w:line="66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ascii="方正黑体_GBK" w:hAnsi="方正黑体_GBK" w:eastAsia="方正黑体_GBK" w:cs="方正黑体_GBK"/>
          <w:color w:val="000000" w:themeColor="text1"/>
          <w:sz w:val="28"/>
          <w:szCs w:val="28"/>
          <w14:textFill>
            <w14:solidFill>
              <w14:schemeClr w14:val="tx1"/>
            </w14:solidFill>
          </w14:textFill>
        </w:rPr>
      </w:r>
      <w:r/>
    </w:p>
    <w:p>
      <w:pPr>
        <w:ind w:right="839"/>
        <w:jc w:val="center"/>
        <w:spacing w:line="66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ascii="方正黑体_GBK" w:hAnsi="方正黑体_GBK" w:eastAsia="方正黑体_GBK" w:cs="方正黑体_GBK"/>
          <w:color w:val="000000" w:themeColor="text1"/>
          <w:sz w:val="28"/>
          <w:szCs w:val="28"/>
          <w14:textFill>
            <w14:solidFill>
              <w14:schemeClr w14:val="tx1"/>
            </w14:solidFill>
          </w14:textFill>
        </w:rPr>
      </w:r>
      <w:r/>
    </w:p>
    <w:p>
      <w:pPr>
        <w:ind w:right="839"/>
        <w:jc w:val="center"/>
        <w:spacing w:line="66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第六章  投标</w:t>
      </w:r>
      <w:bookmarkEnd w:id="172"/>
      <w:r/>
      <w:bookmarkEnd w:id="173"/>
      <w:r/>
      <w:bookmarkEnd w:id="181"/>
      <w:r>
        <w:rPr>
          <w:rFonts w:hint="eastAsia" w:ascii="方正黑体_GBK" w:hAnsi="方正黑体_GBK" w:eastAsia="方正黑体_GBK" w:cs="方正黑体_GBK"/>
          <w:color w:val="000000" w:themeColor="text1"/>
          <w:sz w:val="28"/>
          <w:szCs w:val="28"/>
          <w14:textFill>
            <w14:solidFill>
              <w14:schemeClr w14:val="tx1"/>
            </w14:solidFill>
          </w14:textFill>
        </w:rPr>
        <w:t xml:space="preserve">文件格式 </w:t>
      </w:r>
      <w:r/>
    </w:p>
    <w:p>
      <w:pPr>
        <w:jc w:val="center"/>
        <w:rPr>
          <w:rFonts w:ascii="宋体" w:hAnsi="宋体"/>
          <w:b/>
          <w:color w:val="000000" w:themeColor="text1"/>
          <w:sz w:val="28"/>
          <w:szCs w:val="28"/>
          <w14:textFill>
            <w14:solidFill>
              <w14:schemeClr w14:val="tx1"/>
            </w14:solidFill>
          </w14:textFill>
        </w:rPr>
      </w:pPr>
      <w:r/>
      <w:bookmarkStart w:id="182" w:name="_Hlt26955039"/>
      <w:r/>
      <w:bookmarkEnd w:id="182"/>
      <w:r/>
      <w:bookmarkStart w:id="183" w:name="_Hlt26671244"/>
      <w:r/>
      <w:bookmarkEnd w:id="183"/>
      <w:r/>
      <w:bookmarkStart w:id="184" w:name="_Toc49090576"/>
      <w:r/>
      <w:bookmarkStart w:id="185" w:name="_Toc120614282"/>
      <w:r/>
      <w:bookmarkStart w:id="186" w:name="_Toc26554094"/>
      <w:r/>
      <w:r/>
    </w:p>
    <w:p>
      <w:pPr>
        <w:jc w:val="center"/>
        <w:rPr>
          <w:rFonts w:ascii="方正小标宋_GBK" w:hAnsi="方正小标宋_GBK" w:eastAsia="方正小标宋_GBK" w:cs="方正小标宋_GBK"/>
          <w:bCs/>
          <w:color w:val="000000" w:themeColor="text1"/>
          <w:sz w:val="44"/>
          <w:szCs w:val="44"/>
          <w14:textFill>
            <w14:solidFill>
              <w14:schemeClr w14:val="tx1"/>
            </w14:solidFill>
          </w14:textFill>
        </w:rPr>
      </w:pPr>
      <w:r>
        <w:rPr>
          <w:rFonts w:ascii="方正小标宋_GBK" w:hAnsi="方正小标宋_GBK" w:eastAsia="方正小标宋_GBK" w:cs="方正小标宋_GBK"/>
          <w:bCs/>
          <w:color w:val="000000" w:themeColor="text1"/>
          <w:sz w:val="44"/>
          <w:szCs w:val="44"/>
          <w14:textFill>
            <w14:solidFill>
              <w14:schemeClr w14:val="tx1"/>
            </w14:solidFill>
          </w14:textFill>
        </w:rPr>
      </w:r>
      <w:r/>
    </w:p>
    <w:p>
      <w:pPr>
        <w:jc w:val="center"/>
        <w:rPr>
          <w:rFonts w:ascii="方正小标宋_GBK" w:hAnsi="方正小标宋_GBK" w:eastAsia="方正小标宋_GBK" w:cs="方正小标宋_GBK"/>
          <w:bCs/>
          <w:color w:val="000000" w:themeColor="text1"/>
          <w:sz w:val="32"/>
          <w:szCs w:val="32"/>
          <w14:textFill>
            <w14:solidFill>
              <w14:schemeClr w14:val="tx1"/>
            </w14:solidFill>
          </w14:textFill>
        </w:rPr>
      </w:pPr>
      <w:r>
        <w:rPr>
          <w:rFonts w:hint="eastAsia" w:ascii="方正小标宋_GBK" w:hAnsi="方正小标宋_GBK" w:eastAsia="方正小标宋_GBK" w:cs="方正小标宋_GBK"/>
          <w:bCs/>
          <w:color w:val="000000" w:themeColor="text1"/>
          <w:sz w:val="32"/>
          <w:szCs w:val="32"/>
          <w14:textFill>
            <w14:solidFill>
              <w14:schemeClr w14:val="tx1"/>
            </w14:solidFill>
          </w14:textFill>
        </w:rPr>
        <w:t xml:space="preserve">投  标  文  件</w:t>
      </w:r>
      <w:r/>
    </w:p>
    <w:p>
      <w:pPr>
        <w:jc w:val="cente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jc w:val="center"/>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ind w:firstLine="840"/>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项 目 名 称：</w:t>
      </w:r>
      <w:r>
        <w:rPr>
          <w:rFonts w:hint="eastAsia" w:ascii="方正黑体_GBK" w:hAnsi="方正黑体_GBK" w:eastAsia="方正黑体_GBK" w:cs="方正黑体_GBK"/>
          <w:bCs/>
          <w:color w:val="000000" w:themeColor="text1"/>
          <w:sz w:val="28"/>
          <w:szCs w:val="28"/>
          <w:u w:val="single"/>
          <w14:textFill>
            <w14:solidFill>
              <w14:schemeClr w14:val="tx1"/>
            </w14:solidFill>
          </w14:textFill>
        </w:rPr>
        <w:t xml:space="preserve">               </w:t>
      </w:r>
      <w:r/>
    </w:p>
    <w:p>
      <w:pPr>
        <w:ind w:firstLine="840"/>
        <w:spacing w:line="400" w:lineRule="exact"/>
        <w:rPr>
          <w:rFonts w:ascii="方正黑体_GBK" w:hAnsi="方正黑体_GBK" w:eastAsia="方正黑体_GBK" w:cs="方正黑体_GBK"/>
          <w:bCs/>
          <w:color w:val="000000" w:themeColor="text1"/>
          <w:sz w:val="28"/>
          <w:szCs w:val="28"/>
          <w:u w:val="single"/>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采 购 编 号：</w:t>
      </w:r>
      <w:r>
        <w:rPr>
          <w:rFonts w:hint="eastAsia" w:ascii="方正黑体_GBK" w:hAnsi="方正黑体_GBK" w:eastAsia="方正黑体_GBK" w:cs="方正黑体_GBK"/>
          <w:bCs/>
          <w:color w:val="000000" w:themeColor="text1"/>
          <w:sz w:val="28"/>
          <w:szCs w:val="28"/>
          <w:u w:val="single"/>
          <w14:textFill>
            <w14:solidFill>
              <w14:schemeClr w14:val="tx1"/>
            </w14:solidFill>
          </w14:textFill>
        </w:rPr>
        <w:t xml:space="preserve">               </w:t>
      </w:r>
      <w:r/>
    </w:p>
    <w:p>
      <w:pPr>
        <w:spacing w:line="400" w:lineRule="exact"/>
        <w:rPr>
          <w:rFonts w:ascii="方正黑体_GBK" w:hAnsi="方正黑体_GBK" w:eastAsia="方正黑体_GBK" w:cs="方正黑体_GBK"/>
          <w:bCs/>
          <w:color w:val="000000" w:themeColor="text1"/>
          <w:sz w:val="28"/>
          <w:szCs w:val="28"/>
          <w:u w:val="single"/>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      投标人名称 ：</w:t>
      </w:r>
      <w:r>
        <w:rPr>
          <w:rFonts w:hint="eastAsia" w:ascii="方正黑体_GBK" w:hAnsi="方正黑体_GBK" w:eastAsia="方正黑体_GBK" w:cs="方正黑体_GBK"/>
          <w:bCs/>
          <w:color w:val="000000" w:themeColor="text1"/>
          <w:sz w:val="28"/>
          <w:szCs w:val="28"/>
          <w:u w:val="single"/>
          <w14:textFill>
            <w14:solidFill>
              <w14:schemeClr w14:val="tx1"/>
            </w14:solidFill>
          </w14:textFill>
        </w:rPr>
        <w:t xml:space="preserve">（加盖CA电子公章）</w:t>
      </w:r>
      <w:r/>
    </w:p>
    <w:p>
      <w:pPr>
        <w:spacing w:line="400" w:lineRule="exact"/>
        <w:rPr>
          <w:rFonts w:ascii="方正黑体_GBK" w:hAnsi="方正黑体_GBK" w:eastAsia="方正黑体_GBK" w:cs="方正黑体_GBK"/>
          <w:bCs/>
          <w:color w:val="000000" w:themeColor="text1"/>
          <w:sz w:val="28"/>
          <w:szCs w:val="28"/>
          <w:u w:val="single"/>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      日      期 ：</w:t>
      </w:r>
      <w:r>
        <w:rPr>
          <w:rFonts w:hint="eastAsia" w:ascii="方正黑体_GBK" w:hAnsi="方正黑体_GBK" w:eastAsia="方正黑体_GBK" w:cs="方正黑体_GBK"/>
          <w:bCs/>
          <w:color w:val="000000" w:themeColor="text1"/>
          <w:sz w:val="28"/>
          <w:szCs w:val="28"/>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ascii="方正黑体_GBK" w:hAnsi="方正黑体_GBK" w:eastAsia="方正黑体_GBK" w:cs="方正黑体_GBK"/>
          <w:color w:val="000000" w:themeColor="text1"/>
          <w:sz w:val="28"/>
          <w:szCs w:val="28"/>
          <w14:textFill>
            <w14:solidFill>
              <w14:schemeClr w14:val="tx1"/>
            </w14:solidFill>
          </w14:textFill>
        </w:rPr>
      </w:r>
      <w:r/>
    </w:p>
    <w:p>
      <w:pPr>
        <w:jc w:val="center"/>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投标文件的组成</w:t>
      </w:r>
      <w:r/>
    </w:p>
    <w:p>
      <w:pPr>
        <w:jc w:val="center"/>
        <w:spacing w:line="400" w:lineRule="exact"/>
        <w:rPr>
          <w:rFonts w:ascii="宋体" w:hAnsi="宋体"/>
          <w:b/>
          <w:bCs/>
          <w:color w:val="000000" w:themeColor="text1"/>
          <w:sz w:val="28"/>
          <w:szCs w:val="28"/>
          <w14:textFill>
            <w14:solidFill>
              <w14:schemeClr w14:val="tx1"/>
            </w14:solidFill>
          </w14:textFill>
        </w:rPr>
      </w:pPr>
      <w:r>
        <w:rPr>
          <w:rFonts w:ascii="宋体" w:hAnsi="宋体"/>
          <w:b/>
          <w:bCs/>
          <w:color w:val="000000" w:themeColor="text1"/>
          <w:sz w:val="28"/>
          <w:szCs w:val="28"/>
          <w14:textFill>
            <w14:solidFill>
              <w14:schemeClr w14:val="tx1"/>
            </w14:solidFill>
          </w14:textFill>
        </w:rPr>
      </w:r>
      <w:r/>
    </w:p>
    <w:p>
      <w:pPr>
        <w:ind w:firstLine="560"/>
        <w:jc w:val="left"/>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一、基本目录</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1.开标一览表（格式见附件1）</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2.投标分项报价表（格式见附件2）</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3.技术要求响应及偏离表（格式见附件3）</w:t>
      </w:r>
      <w:r/>
    </w:p>
    <w:p>
      <w:pPr>
        <w:ind w:firstLine="560"/>
        <w:spacing w:line="400" w:lineRule="exact"/>
        <w:rPr>
          <w:rFonts w:ascii="方正仿宋_GBK" w:hAnsi="方正仿宋_GBK" w:eastAsia="方正仿宋_GBK" w:cs="方正仿宋_GBK"/>
          <w:color w:val="000000" w:themeColor="text1"/>
          <w:sz w:val="28"/>
          <w:szCs w:val="28"/>
          <w:highlight w:val="yellow"/>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4.商务要求响应及偏离表（格式见附件4）</w:t>
      </w:r>
      <w:r/>
    </w:p>
    <w:p>
      <w:pPr>
        <w:ind w:firstLine="560"/>
        <w:jc w:val="left"/>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二、资格审查内容</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7.在“信用中国”网站（</w:t>
      </w:r>
      <w:r>
        <w:rPr>
          <w:rFonts w:hint="eastAsia" w:eastAsia="方正仿宋_GBK"/>
          <w:color w:val="000000" w:themeColor="text1"/>
          <w:sz w:val="28"/>
          <w:szCs w:val="28"/>
          <w14:textFill>
            <w14:solidFill>
              <w14:schemeClr w14:val="tx1"/>
            </w14:solidFill>
          </w14:textFill>
        </w:rPr>
        <w:t xml:space="preserve">www.creditchina.gov.cn</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8.法人授权书（格式见附件7）</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9.投标函（格式见附件8）</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总备注：上述“资格审查内容”中1-5条、8、9条投标人必须在投标文件中提供相关材料，否则作无效投标处理。</w:t>
      </w:r>
      <w:r/>
    </w:p>
    <w:p>
      <w:pPr>
        <w:ind w:firstLine="560"/>
        <w:jc w:val="left"/>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三、符合性审查内容</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投标人必须对招标文件（含技术要求和商务要求）中</w:t>
      </w:r>
      <w:r>
        <w:rPr>
          <w:rFonts w:hint="eastAsia" w:ascii="方正仿宋_GBK" w:hAnsi="方正仿宋_GBK" w:eastAsia="方正仿宋_GBK" w:cs="方正仿宋_GBK"/>
          <w:b/>
          <w:bCs/>
          <w:i/>
          <w:color w:val="000000" w:themeColor="text1"/>
          <w:sz w:val="28"/>
          <w:szCs w:val="28"/>
          <w:u w:val="single"/>
          <w14:textFill>
            <w14:solidFill>
              <w14:schemeClr w14:val="tx1"/>
            </w14:solidFill>
          </w14:textFill>
        </w:rPr>
        <w:t xml:space="preserve">斜体且有下划线部分</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或加*号条款</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的实质性要求逐条做出响应，并按照招标文件要求提供证明材料，否则作无效投标处理。（格式见附件11）</w:t>
      </w:r>
      <w:r/>
    </w:p>
    <w:p>
      <w:pPr>
        <w:ind w:firstLine="560"/>
        <w:jc w:val="left"/>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14:textFill>
            <w14:solidFill>
              <w14:schemeClr w14:val="tx1"/>
            </w14:solidFill>
          </w14:textFill>
        </w:rPr>
        <w:t xml:space="preserve">四、价格扣除证明文件</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1.中小微企业声明函（格式见附件9）</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2.残疾人福利性单位声明函（格式见附件10）</w:t>
      </w:r>
      <w:r/>
    </w:p>
    <w:p>
      <w:pPr>
        <w:spacing w:line="400" w:lineRule="exact"/>
        <w:rPr>
          <w:rFonts w:ascii="宋体" w:hAnsi="宋体"/>
          <w:b/>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3.关于符合本国产品标准的声明函（格式见附件12）</w:t>
      </w:r>
      <w:r/>
    </w:p>
    <w:p>
      <w:pPr>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附件1 开标一览表</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投标人全称（加盖CA电子签章）：</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项目名称：</w:t>
      </w:r>
      <w:r>
        <w:rPr>
          <w:rFonts w:hint="eastAsia" w:eastAsia="方正仿宋_GBK"/>
          <w:color w:val="000000" w:themeColor="text1"/>
          <w:sz w:val="28"/>
          <w:szCs w:val="28"/>
          <w14:textFill>
            <w14:solidFill>
              <w14:schemeClr w14:val="tx1"/>
            </w14:solidFill>
          </w14:textFill>
        </w:rPr>
        <w:t xml:space="preserve">XXXX</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采购编号：</w:t>
      </w:r>
      <w:r>
        <w:rPr>
          <w:rFonts w:hint="eastAsia" w:eastAsia="方正仿宋_GBK"/>
          <w:color w:val="000000" w:themeColor="text1"/>
          <w:sz w:val="28"/>
          <w:szCs w:val="28"/>
          <w14:textFill>
            <w14:solidFill>
              <w14:schemeClr w14:val="tx1"/>
            </w14:solidFill>
          </w14:textFill>
        </w:rPr>
        <w:t xml:space="preserve">JSZC-320000-SCZX-G20XX-XXXX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采购包号：</w:t>
      </w:r>
      <w:r>
        <w:rPr>
          <w:rFonts w:hint="eastAsia" w:eastAsia="方正仿宋_GBK"/>
          <w:color w:val="000000" w:themeColor="text1"/>
          <w:sz w:val="28"/>
          <w:szCs w:val="28"/>
          <w14:textFill>
            <w14:solidFill>
              <w14:schemeClr w14:val="tx1"/>
            </w14:solidFill>
          </w14:textFill>
        </w:rPr>
        <w:t xml:space="preserve">XX</w:t>
      </w:r>
      <w:r/>
    </w:p>
    <w:tbl>
      <w:tblPr>
        <w:tblStyle w:val="739"/>
        <w:tblW w:w="89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投标总报价（三年）</w:t>
            </w:r>
            <w:r/>
          </w:p>
        </w:tc>
      </w:tr>
      <w:tr>
        <w:trPr>
          <w:cantSplit/>
          <w:trHeight w:val="612"/>
        </w:trPr>
        <w:tc>
          <w:tcPr>
            <w:tcW w:w="8934" w:type="dxa"/>
            <w:vAlign w:val="center"/>
            <w:textDirection w:val="lrTb"/>
            <w:noWrap w:val="false"/>
          </w:tcPr>
          <w:p>
            <w:pPr>
              <w:pStyle w:val="860"/>
              <w:ind w:firstLine="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小写：                             （人民币：元）</w:t>
            </w:r>
            <w:r/>
          </w:p>
        </w:tc>
      </w:tr>
    </w:tbl>
    <w:p>
      <w:pP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spacing w:line="400" w:lineRule="exact"/>
        <w:rPr>
          <w:rFonts w:ascii="宋体" w:hAnsi="宋体"/>
          <w:color w:val="000000" w:themeColor="text1"/>
          <w:sz w:val="28"/>
          <w:szCs w:val="28"/>
          <w14:textFill>
            <w14:solidFill>
              <w14:schemeClr w14:val="tx1"/>
            </w14:solidFill>
          </w14:textFill>
        </w:rPr>
      </w:pPr>
      <w:r>
        <w:t xml:space="preserve">          </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附件2 投标分项报价表（采购包号：</w:t>
      </w:r>
      <w:r>
        <w:rPr>
          <w:rFonts w:hint="eastAsia" w:eastAsia="方正仿宋_GBK"/>
          <w:color w:val="000000" w:themeColor="text1"/>
          <w:sz w:val="28"/>
          <w:szCs w:val="28"/>
          <w14:textFill>
            <w14:solidFill>
              <w14:schemeClr w14:val="tx1"/>
            </w14:solidFill>
          </w14:textFill>
        </w:rPr>
        <w:t xml:space="preserve">XX</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w:t>
      </w:r>
      <w:r/>
    </w:p>
    <w:tbl>
      <w:tblPr>
        <w:tblStyle w:val="739"/>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规格</w:t>
            </w:r>
            <w:r/>
          </w:p>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分项</w:t>
            </w:r>
            <w:r/>
          </w:p>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分项</w:t>
            </w:r>
            <w:r/>
          </w:p>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highlight w:val="cyan"/>
                <w14:textFill>
                  <w14:solidFill>
                    <w14:schemeClr w14:val="tx1"/>
                  </w14:solidFill>
                </w14:textFill>
              </w:rPr>
            </w:pPr>
            <w:r>
              <w:rPr>
                <w:rFonts w:ascii="方正仿宋_GBK" w:hAnsi="方正仿宋_GBK" w:eastAsia="方正仿宋_GBK" w:cs="方正仿宋_GBK"/>
                <w:color w:val="000000" w:themeColor="text1"/>
                <w:sz w:val="28"/>
                <w:szCs w:val="28"/>
                <w:highlight w:val="cyan"/>
                <w14:textFill>
                  <w14:solidFill>
                    <w14:schemeClr w14:val="tx1"/>
                  </w14:solidFill>
                </w14:textFill>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合同签订后</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投标总报价（人民币：元）</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tc>
      </w:tr>
      <w:tr>
        <w:trPr>
          <w:cantSplit/>
          <w:trHeight w:val="757"/>
        </w:trPr>
        <w:tc>
          <w:tcPr>
            <w:gridSpan w:val="10"/>
            <w:tcW w:w="9861" w:type="dxa"/>
            <w:textDirection w:val="lrTb"/>
            <w:noWrap w:val="false"/>
          </w:tcPr>
          <w:p>
            <w:pPr>
              <w:pStyle w:val="769"/>
              <w:spacing w:before="0" w:beforeAutospacing="0" w:after="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%。（本项目不包含货物）</w:t>
            </w:r>
            <w:r/>
          </w:p>
        </w:tc>
      </w:tr>
    </w:tbl>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备注：</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3.分项服务不需填写品牌、规格型号、制造商、产地。</w:t>
      </w:r>
      <w:r/>
    </w:p>
    <w:p>
      <w:pPr>
        <w:ind w:firstLine="482"/>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80%</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的，将不享受本国产品价格评审优惠。</w:t>
      </w:r>
      <w:r/>
    </w:p>
    <w:p>
      <w:pPr>
        <w:ind w:firstLine="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400" w:lineRule="exact"/>
        <w:rPr>
          <w:rFonts w:ascii="方正黑体_GBK" w:hAnsi="方正黑体_GBK" w:eastAsia="方正黑体_GBK" w:cs="方正黑体_GBK"/>
          <w:color w:val="000000" w:themeColor="text1"/>
          <w:sz w:val="28"/>
          <w:szCs w:val="28"/>
          <w14:textFill>
            <w14:solidFill>
              <w14:schemeClr w14:val="tx1"/>
            </w14:solidFill>
          </w14:textFill>
        </w:rPr>
      </w:pPr>
      <w:r>
        <w:t xml:space="preserve">   </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人员工资、社会保险和公积金三项费用报价表（采购包号：</w:t>
      </w:r>
      <w:r>
        <w:rPr>
          <w:rFonts w:eastAsia="方正黑体_GBK"/>
          <w:bCs/>
          <w:color w:val="000000" w:themeColor="text1"/>
          <w:sz w:val="28"/>
          <w:szCs w:val="28"/>
          <w14:textFill>
            <w14:solidFill>
              <w14:schemeClr w14:val="tx1"/>
            </w14:solidFill>
          </w14:textFill>
        </w:rPr>
        <w:t xml:space="preserve">XX</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w:t>
      </w:r>
      <w:r/>
    </w:p>
    <w:tbl>
      <w:tblPr>
        <w:tblStyle w:val="739"/>
        <w:tblW w:w="911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序号</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分项名称</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数量</w:t>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单价</w:t>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期 限</w:t>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总价1</w:t>
            </w:r>
            <w:r/>
          </w:p>
        </w:tc>
        <w:tc>
          <w:tcPr>
            <w:tcW w:w="3042" w:type="dxa"/>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要求说明</w:t>
            </w:r>
            <w:r/>
          </w:p>
        </w:tc>
      </w:tr>
      <w:tr>
        <w:trPr>
          <w:cantSplit/>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1</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人员工资</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人数</w:t>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元/月·人</w:t>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月</w:t>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元</w:t>
            </w:r>
            <w:r/>
          </w:p>
        </w:tc>
        <w:tc>
          <w:tcPr>
            <w:tcW w:w="3042" w:type="dxa"/>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1.1</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岗位1（如：保洁员1）</w:t>
            </w:r>
            <w:r/>
          </w:p>
        </w:tc>
        <w:tc>
          <w:tcPr>
            <w:tcW w:w="722" w:type="dxa"/>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ascii="方正仿宋_GBK" w:hAnsi="方正仿宋_GBK" w:eastAsia="方正仿宋_GBK" w:cs="方正仿宋_GBK"/>
                <w:bCs/>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1122" w:type="dxa"/>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36</w:t>
            </w:r>
            <w:r/>
          </w:p>
        </w:tc>
        <w:tc>
          <w:tcPr>
            <w:tcW w:w="1134"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3042" w:type="dxa"/>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1.2</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岗位2（如：保洁员2）</w:t>
            </w:r>
            <w:r/>
          </w:p>
        </w:tc>
        <w:tc>
          <w:tcPr>
            <w:tcW w:w="722" w:type="dxa"/>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ascii="方正仿宋_GBK" w:hAnsi="方正仿宋_GBK" w:eastAsia="方正仿宋_GBK" w:cs="方正仿宋_GBK"/>
                <w:bCs/>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1122" w:type="dxa"/>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3042" w:type="dxa"/>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1.3</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722" w:type="dxa"/>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ascii="方正仿宋_GBK" w:hAnsi="方正仿宋_GBK" w:eastAsia="方正仿宋_GBK" w:cs="方正仿宋_GBK"/>
                <w:bCs/>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1122" w:type="dxa"/>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ascii="方正仿宋_GBK" w:hAnsi="方正仿宋_GBK" w:eastAsia="方正仿宋_GBK" w:cs="方正仿宋_GBK"/>
                <w:b/>
                <w:bCs/>
                <w:color w:val="000000" w:themeColor="text1"/>
                <w:sz w:val="28"/>
                <w:szCs w:val="28"/>
                <w14:textFill>
                  <w14:solidFill>
                    <w14:schemeClr w14:val="tx1"/>
                  </w14:solidFill>
                </w14:textFill>
              </w:rPr>
            </w:r>
            <w:r/>
          </w:p>
        </w:tc>
        <w:tc>
          <w:tcPr>
            <w:tcW w:w="3042" w:type="dxa"/>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trHeight w:val="369"/>
        </w:trPr>
        <w:tc>
          <w:tcPr>
            <w:gridSpan w:val="7"/>
            <w:tcW w:w="9119" w:type="dxa"/>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分项总价1 合计：</w:t>
            </w:r>
            <w:r>
              <w:rPr>
                <w:rFonts w:hint="eastAsia" w:ascii="方正仿宋_GBK" w:hAnsi="方正仿宋_GBK" w:eastAsia="方正仿宋_GBK" w:cs="方正仿宋_GBK"/>
                <w:b/>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人民币（元）</w:t>
            </w:r>
            <w:r/>
          </w:p>
        </w:tc>
      </w:tr>
      <w:tr>
        <w:trPr>
          <w:cantSplit/>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序号</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分项名称</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数量</w:t>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单价</w:t>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 期 限</w:t>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总价2</w:t>
            </w:r>
            <w:r/>
          </w:p>
        </w:tc>
        <w:tc>
          <w:tcPr>
            <w:tcW w:w="3042" w:type="dxa"/>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要求说明</w:t>
            </w:r>
            <w:r/>
          </w:p>
        </w:tc>
      </w:tr>
      <w:tr>
        <w:trPr>
          <w:cantSplit/>
          <w:trHeight w:val="628"/>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2</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社会保险</w:t>
            </w:r>
            <w:r/>
          </w:p>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费用</w:t>
            </w:r>
            <w:r/>
          </w:p>
        </w:tc>
        <w:tc>
          <w:tcPr>
            <w:tcW w:w="722"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人数</w:t>
            </w:r>
            <w:r/>
          </w:p>
        </w:tc>
        <w:tc>
          <w:tcPr>
            <w:tcW w:w="965"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元/月·人</w:t>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月</w:t>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元</w:t>
            </w:r>
            <w:r/>
          </w:p>
        </w:tc>
        <w:tc>
          <w:tcPr>
            <w:tcW w:w="3042" w:type="dxa"/>
            <w:vAlign w:val="center"/>
            <w:vMerge w:val="continue"/>
            <w:textDirection w:val="lrTb"/>
            <w:noWrap w:val="false"/>
          </w:tcPr>
          <w:p>
            <w:pPr>
              <w:jc w:val="left"/>
              <w:spacing w:line="400" w:lineRule="exact"/>
              <w:rPr>
                <w:rFonts w:ascii="方正仿宋_GBK" w:hAnsi="方正仿宋_GBK" w:eastAsia="方正仿宋_GBK" w:cs="方正仿宋_GBK"/>
                <w:i/>
                <w:color w:val="000000" w:themeColor="text1"/>
                <w:sz w:val="28"/>
                <w:szCs w:val="28"/>
                <w:u w:val="single"/>
                <w14:textFill>
                  <w14:solidFill>
                    <w14:schemeClr w14:val="tx1"/>
                  </w14:solidFill>
                </w14:textFill>
              </w:rPr>
            </w:pPr>
            <w:r>
              <w:rPr>
                <w:rFonts w:ascii="方正仿宋_GBK" w:hAnsi="方正仿宋_GBK" w:eastAsia="方正仿宋_GBK" w:cs="方正仿宋_GBK"/>
                <w:i/>
                <w:color w:val="000000" w:themeColor="text1"/>
                <w:sz w:val="28"/>
                <w:szCs w:val="28"/>
                <w:u w:val="single"/>
                <w14:textFill>
                  <w14:solidFill>
                    <w14:schemeClr w14:val="tx1"/>
                  </w14:solidFill>
                </w14:textFill>
              </w:rPr>
            </w:r>
            <w:r/>
          </w:p>
        </w:tc>
      </w:tr>
      <w:tr>
        <w:trPr>
          <w:cantSplit/>
          <w:trHeight w:val="563"/>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2.1</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岗位1（如：保洁员1）</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42" w:type="dxa"/>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该人员正常缴纳社会保</w:t>
            </w:r>
            <w:r/>
          </w:p>
          <w:p>
            <w:pP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险/</w:t>
            </w:r>
            <w:r>
              <w:rPr>
                <w:rFonts w:hint="eastAsia" w:ascii="方正仿宋_GBK" w:hAnsi="方正仿宋_GBK" w:eastAsia="方正仿宋_GBK" w:cs="方正仿宋_GBK"/>
                <w:iCs/>
                <w:color w:val="000000" w:themeColor="text1"/>
                <w:sz w:val="28"/>
                <w:szCs w:val="28"/>
                <w14:textFill>
                  <w14:solidFill>
                    <w14:schemeClr w14:val="tx1"/>
                  </w14:solidFill>
                </w14:textFill>
              </w:rPr>
              <w:t xml:space="preserve">如该人员依法享受社会保险费用缴纳减免政策，请在此框内进行说明</w:t>
            </w:r>
            <w:r/>
          </w:p>
        </w:tc>
      </w:tr>
      <w:tr>
        <w:trPr>
          <w:cantSplit/>
          <w:trHeight w:val="261"/>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2.2</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岗位2（如：保洁员2）</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42" w:type="dxa"/>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14:textFill>
                  <w14:solidFill>
                    <w14:schemeClr w14:val="tx1"/>
                  </w14:solidFill>
                </w14:textFill>
              </w:rPr>
            </w:pPr>
            <w:r>
              <w:rPr>
                <w:rFonts w:ascii="方正仿宋_GBK" w:hAnsi="方正仿宋_GBK" w:eastAsia="方正仿宋_GBK" w:cs="方正仿宋_GBK"/>
                <w:i/>
                <w:color w:val="000000" w:themeColor="text1"/>
                <w:sz w:val="28"/>
                <w:szCs w:val="28"/>
                <w:u w:val="single"/>
                <w14:textFill>
                  <w14:solidFill>
                    <w14:schemeClr w14:val="tx1"/>
                  </w14:solidFill>
                </w14:textFill>
              </w:rPr>
            </w:r>
            <w:r/>
          </w:p>
        </w:tc>
      </w:tr>
      <w:tr>
        <w:trPr>
          <w:trHeight w:val="261"/>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42" w:type="dxa"/>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trHeight w:val="261"/>
        </w:trPr>
        <w:tc>
          <w:tcPr>
            <w:gridSpan w:val="7"/>
            <w:tcW w:w="9119" w:type="dxa"/>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分项总价2 合计：</w:t>
            </w:r>
            <w:r>
              <w:rPr>
                <w:rFonts w:hint="eastAsia" w:ascii="方正仿宋_GBK" w:hAnsi="方正仿宋_GBK" w:eastAsia="方正仿宋_GBK" w:cs="方正仿宋_GBK"/>
                <w:b/>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人民币（元）</w:t>
            </w:r>
            <w:r/>
          </w:p>
        </w:tc>
      </w:tr>
      <w:tr>
        <w:trPr>
          <w:cantSplit/>
          <w:trHeight w:val="261"/>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序号</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分项名称</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数量</w:t>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单价</w:t>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期 限</w:t>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总价3</w:t>
            </w:r>
            <w:r/>
          </w:p>
        </w:tc>
        <w:tc>
          <w:tcPr>
            <w:tcW w:w="3042" w:type="dxa"/>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要求说明</w:t>
            </w:r>
            <w:r/>
          </w:p>
        </w:tc>
      </w:tr>
      <w:tr>
        <w:trPr>
          <w:cantSplit/>
          <w:trHeight w:val="261"/>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3</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住房公积金</w:t>
            </w:r>
            <w:r/>
          </w:p>
        </w:tc>
        <w:tc>
          <w:tcPr>
            <w:tcW w:w="722"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人数</w:t>
            </w:r>
            <w:r/>
          </w:p>
        </w:tc>
        <w:tc>
          <w:tcPr>
            <w:tcW w:w="965" w:type="dxa"/>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元/月·人</w:t>
            </w:r>
            <w:r/>
          </w:p>
        </w:tc>
        <w:tc>
          <w:tcPr>
            <w:tcW w:w="1122"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月</w:t>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元</w:t>
            </w:r>
            <w:r/>
          </w:p>
        </w:tc>
        <w:tc>
          <w:tcPr>
            <w:tcW w:w="3042" w:type="dxa"/>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14:textFill>
                  <w14:solidFill>
                    <w14:schemeClr w14:val="tx1"/>
                  </w14:solidFill>
                </w14:textFill>
              </w:rPr>
            </w:pPr>
            <w:r>
              <w:rPr>
                <w:rFonts w:ascii="方正仿宋_GBK" w:hAnsi="方正仿宋_GBK" w:eastAsia="方正仿宋_GBK" w:cs="方正仿宋_GBK"/>
                <w:i/>
                <w:color w:val="000000" w:themeColor="text1"/>
                <w:sz w:val="28"/>
                <w:szCs w:val="28"/>
                <w:u w:val="single"/>
                <w14:textFill>
                  <w14:solidFill>
                    <w14:schemeClr w14:val="tx1"/>
                  </w14:solidFill>
                </w14:textFill>
              </w:rPr>
            </w:r>
            <w:r/>
          </w:p>
        </w:tc>
      </w:tr>
      <w:tr>
        <w:trPr>
          <w:cantSplit/>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3.1</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岗位1（如：保洁员1）</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22" w:type="dxa"/>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42" w:type="dxa"/>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该人员正常缴存住房公</w:t>
            </w:r>
            <w:r/>
          </w:p>
          <w:p>
            <w:pPr>
              <w:spacing w:line="400" w:lineRule="exact"/>
              <w:widowControl/>
              <w:rPr>
                <w:rFonts w:ascii="方正仿宋_GBK" w:hAnsi="方正仿宋_GBK" w:eastAsia="方正仿宋_GBK" w:cs="方正仿宋_GBK"/>
                <w:i/>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积金/</w:t>
            </w:r>
            <w:r>
              <w:rPr>
                <w:rFonts w:hint="eastAsia" w:ascii="方正仿宋_GBK" w:hAnsi="方正仿宋_GBK" w:eastAsia="方正仿宋_GBK" w:cs="方正仿宋_GBK"/>
                <w:iCs/>
                <w:color w:val="000000" w:themeColor="text1"/>
                <w:sz w:val="28"/>
                <w:szCs w:val="28"/>
                <w14:textFill>
                  <w14:solidFill>
                    <w14:schemeClr w14:val="tx1"/>
                  </w14:solidFill>
                </w14:textFill>
              </w:rPr>
              <w:t xml:space="preserve">如该人员依法享受住房公积金缴存减免政策，请在此框内进行说明</w:t>
            </w:r>
            <w:r/>
          </w:p>
        </w:tc>
      </w:tr>
      <w:tr>
        <w:trPr>
          <w:cantSplit/>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3.2</w:t>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岗位2（如：保洁员2）</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22" w:type="dxa"/>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42" w:type="dxa"/>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trHeight w:val="369"/>
        </w:trPr>
        <w:tc>
          <w:tcPr>
            <w:tcW w:w="61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519"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722"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965"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22" w:type="dxa"/>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134" w:type="dxa"/>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42" w:type="dxa"/>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trHeight w:val="369"/>
        </w:trPr>
        <w:tc>
          <w:tcPr>
            <w:gridSpan w:val="7"/>
            <w:tcW w:w="9119" w:type="dxa"/>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分项总价3 合计：</w:t>
            </w:r>
            <w:r>
              <w:rPr>
                <w:rFonts w:hint="eastAsia" w:ascii="方正仿宋_GBK" w:hAnsi="方正仿宋_GBK" w:eastAsia="方正仿宋_GBK" w:cs="方正仿宋_GBK"/>
                <w:b/>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人民币（元）</w:t>
            </w:r>
            <w:r/>
          </w:p>
        </w:tc>
      </w:tr>
    </w:tbl>
    <w:p>
      <w:pP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备注：</w:t>
      </w:r>
      <w:r/>
    </w:p>
    <w:p>
      <w:pPr>
        <w:spacing w:line="400" w:lineRule="exact"/>
        <w:rPr>
          <w:rFonts w:ascii="方正仿宋_GBK" w:hAnsi="方正仿宋_GBK" w:eastAsia="方正仿宋_GBK" w:cs="方正仿宋_GBK"/>
          <w:iCs/>
          <w:color w:val="000000" w:themeColor="text1"/>
          <w:sz w:val="28"/>
          <w:szCs w:val="28"/>
          <w14:textFill>
            <w14:solidFill>
              <w14:schemeClr w14:val="tx1"/>
            </w14:solidFill>
          </w14:textFill>
        </w:rPr>
      </w:pPr>
      <w:r>
        <w:rPr>
          <w:rFonts w:hint="eastAsia" w:ascii="方正仿宋_GBK" w:hAnsi="方正仿宋_GBK" w:eastAsia="方正仿宋_GBK" w:cs="方正仿宋_GBK"/>
          <w:iCs/>
          <w:color w:val="000000" w:themeColor="text1"/>
          <w:sz w:val="28"/>
          <w:szCs w:val="28"/>
          <w14:textFill>
            <w14:solidFill>
              <w14:schemeClr w14:val="tx1"/>
            </w14:solidFill>
          </w14:textFill>
        </w:rPr>
        <w:t xml:space="preserve">1.本表仅适用物业管理服务品目政府采购项目，供应商需在投标（响应）文件中填报此表。</w:t>
      </w:r>
      <w:r/>
    </w:p>
    <w:p>
      <w:pP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000000" w:themeColor="text1"/>
          <w:sz w:val="28"/>
          <w:szCs w:val="28"/>
          <w14:textFill>
            <w14:solidFill>
              <w14:schemeClr w14:val="tx1"/>
            </w14:solidFill>
          </w14:textFill>
        </w:rPr>
      </w:pPr>
      <w:r>
        <w:rPr>
          <w:rFonts w:ascii="方正魏碑_GBK" w:hAnsi="方正魏碑_GBK" w:eastAsia="方正魏碑_GBK" w:cs="方正魏碑_GBK"/>
          <w:b/>
          <w:bCs/>
          <w:color w:val="000000" w:themeColor="text1"/>
          <w:sz w:val="28"/>
          <w:szCs w:val="28"/>
          <w14:textFill>
            <w14:solidFill>
              <w14:schemeClr w14:val="tx1"/>
            </w14:solidFill>
          </w14:textFill>
        </w:rPr>
      </w:r>
      <w:r/>
    </w:p>
    <w:p>
      <w:pPr>
        <w:spacing w:line="400" w:lineRule="exact"/>
        <w:rPr>
          <w:rFonts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                         </w:t>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附件3 技术要求响应及偏离表（采购包号：XX）</w:t>
      </w:r>
      <w:r/>
    </w:p>
    <w:tbl>
      <w:tblPr>
        <w:tblStyle w:val="739"/>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bl>
    <w:p>
      <w:pPr>
        <w:jc w:val="left"/>
        <w:spacing w:line="400" w:lineRule="exact"/>
        <w:rPr>
          <w:rFonts w:ascii="宋体" w:hAnsi="宋体"/>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附件3-1  证明材料1，证明材料2，……</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备注：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1.投标人需对招标文件技术要求中非实质性要求（</w:t>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未加</w:t>
      </w:r>
      <w:r>
        <w:rPr>
          <w:rFonts w:hint="eastAsia" w:ascii="方正仿宋_GBK" w:hAnsi="方正仿宋_GBK" w:eastAsia="方正仿宋_GBK" w:cs="方正仿宋_GBK"/>
          <w:b/>
          <w:i/>
          <w:color w:val="000000" w:themeColor="text1"/>
          <w:sz w:val="28"/>
          <w:szCs w:val="28"/>
          <w:u w:val="single"/>
          <w14:textFill>
            <w14:solidFill>
              <w14:schemeClr w14:val="tx1"/>
            </w14:solidFill>
          </w14:textFill>
        </w:rPr>
        <w:t xml:space="preserve">斜体下划线</w:t>
      </w:r>
      <w:r>
        <w:rPr>
          <w:rFonts w:hint="eastAsia" w:ascii="方正仿宋_GBK" w:hAnsi="方正仿宋_GBK" w:eastAsia="方正仿宋_GBK" w:cs="方正仿宋_GBK"/>
          <w:b/>
          <w:iCs/>
          <w:color w:val="000000" w:themeColor="text1"/>
          <w:sz w:val="28"/>
          <w:szCs w:val="28"/>
          <w14:textFill>
            <w14:solidFill>
              <w14:schemeClr w14:val="tx1"/>
            </w14:solidFill>
          </w14:textFill>
        </w:rPr>
        <w:t xml:space="preserve">部分</w:t>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或未加*号条款</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ascii="方正黑体_GBK" w:hAnsi="方正黑体_GBK" w:eastAsia="方正黑体_GBK" w:cs="方正黑体_GBK"/>
          <w:bCs/>
          <w:color w:val="000000" w:themeColor="text1"/>
          <w:sz w:val="28"/>
          <w:szCs w:val="28"/>
          <w14:textFill>
            <w14:solidFill>
              <w14:schemeClr w14:val="tx1"/>
            </w14:solidFill>
          </w14:textFill>
        </w:rPr>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附件4 商务要求响应及偏离表（采购包号：XX）</w:t>
      </w:r>
      <w:r/>
    </w:p>
    <w:tbl>
      <w:tblPr>
        <w:tblStyle w:val="739"/>
        <w:tblW w:w="90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bl>
    <w:p>
      <w:pPr>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附件4-1  证明材料1，证明材料2，……</w:t>
      </w:r>
      <w:r/>
    </w:p>
    <w:p>
      <w:pP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备注：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1.投标人需对招标文件商务要求中非实质性要求（</w:t>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未加</w:t>
      </w:r>
      <w:r>
        <w:rPr>
          <w:rFonts w:hint="eastAsia" w:ascii="方正仿宋_GBK" w:hAnsi="方正仿宋_GBK" w:eastAsia="方正仿宋_GBK" w:cs="方正仿宋_GBK"/>
          <w:b/>
          <w:i/>
          <w:color w:val="000000" w:themeColor="text1"/>
          <w:sz w:val="28"/>
          <w:szCs w:val="28"/>
          <w:u w:val="single"/>
          <w14:textFill>
            <w14:solidFill>
              <w14:schemeClr w14:val="tx1"/>
            </w14:solidFill>
          </w14:textFill>
        </w:rPr>
        <w:t xml:space="preserve">斜体下划线</w:t>
      </w:r>
      <w:r>
        <w:rPr>
          <w:rFonts w:hint="eastAsia" w:ascii="方正仿宋_GBK" w:hAnsi="方正仿宋_GBK" w:eastAsia="方正仿宋_GBK" w:cs="方正仿宋_GBK"/>
          <w:b/>
          <w:iCs/>
          <w:color w:val="000000" w:themeColor="text1"/>
          <w:sz w:val="28"/>
          <w:szCs w:val="28"/>
          <w14:textFill>
            <w14:solidFill>
              <w14:schemeClr w14:val="tx1"/>
            </w14:solidFill>
          </w14:textFill>
        </w:rPr>
        <w:t xml:space="preserve">部分</w:t>
      </w: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或未加*号条款</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2.如果招标文件要求提供证明材料，投标人需将证明材料列于该表之下。</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ind w:firstLine="562"/>
        <w:spacing w:line="400" w:lineRule="exact"/>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r>
      <w:r/>
    </w:p>
    <w:p>
      <w:pP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主要设备有：</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主要专业技术能力有：</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p>
      <w:pPr>
        <w:spacing w:line="400" w:lineRule="exact"/>
        <w:rPr>
          <w:rFonts w:ascii="宋体" w:hAnsi="宋体"/>
          <w:b/>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                                     </w:t>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ascii="方正黑体_GBK" w:hAnsi="方正黑体_GBK" w:eastAsia="方正黑体_GBK" w:cs="方正黑体_GBK"/>
          <w:bCs/>
          <w:color w:val="000000" w:themeColor="text1"/>
          <w:sz w:val="28"/>
          <w:szCs w:val="28"/>
          <w14:textFill>
            <w14:solidFill>
              <w14:schemeClr w14:val="tx1"/>
            </w14:solidFill>
          </w14:textFill>
        </w:rPr>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ascii="方正黑体_GBK" w:hAnsi="方正黑体_GBK" w:eastAsia="方正黑体_GBK" w:cs="方正黑体_GBK"/>
          <w:bCs/>
          <w:color w:val="000000" w:themeColor="text1"/>
          <w:sz w:val="28"/>
          <w:szCs w:val="28"/>
          <w14:textFill>
            <w14:solidFill>
              <w14:schemeClr w14:val="tx1"/>
            </w14:solidFill>
          </w14:textFill>
        </w:rPr>
      </w:r>
      <w:r/>
    </w:p>
    <w:p>
      <w:pPr>
        <w:jc w:val="center"/>
        <w:spacing w:line="400" w:lineRule="exact"/>
        <w:rPr>
          <w:rFonts w:ascii="宋体" w:hAnsi="宋体"/>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ascii="方正黑体_GBK" w:hAnsi="方正黑体_GBK" w:eastAsia="方正黑体_GBK" w:cs="方正黑体_GBK"/>
          <w:bCs/>
          <w:color w:val="000000" w:themeColor="text1"/>
          <w:sz w:val="28"/>
          <w:szCs w:val="28"/>
          <w14:textFill>
            <w14:solidFill>
              <w14:schemeClr w14:val="tx1"/>
            </w14:solidFill>
          </w14:textFill>
        </w:rPr>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ascii="方正黑体_GBK" w:hAnsi="方正黑体_GBK" w:eastAsia="方正黑体_GBK" w:cs="方正黑体_GBK"/>
          <w:bCs/>
          <w:color w:val="000000" w:themeColor="text1"/>
          <w:sz w:val="28"/>
          <w:szCs w:val="28"/>
          <w14:textFill>
            <w14:solidFill>
              <w14:schemeClr w14:val="tx1"/>
            </w14:solidFill>
          </w14:textFill>
        </w:rPr>
      </w:r>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本授权书声明：</w:t>
      </w:r>
      <w:r>
        <w:rPr>
          <w:rFonts w:eastAsia="方正仿宋_GBK"/>
          <w:color w:val="000000" w:themeColor="text1"/>
          <w:sz w:val="28"/>
          <w:szCs w:val="28"/>
          <w:u w:val="single"/>
          <w14:textFill>
            <w14:solidFill>
              <w14:schemeClr w14:val="tx1"/>
            </w14:solidFill>
          </w14:textFill>
        </w:rPr>
        <w:t xml:space="preserve">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（投标人名称）授权</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（被授权人的姓名）为我方就采购编号为</w:t>
      </w:r>
      <w:r>
        <w:rPr>
          <w:rFonts w:eastAsia="方正仿宋_GBK"/>
          <w:color w:val="000000" w:themeColor="text1"/>
          <w:sz w:val="28"/>
          <w:szCs w:val="28"/>
          <w14:textFill>
            <w14:solidFill>
              <w14:schemeClr w14:val="tx1"/>
            </w14:solidFill>
          </w14:textFill>
        </w:rPr>
        <w:t xml:space="preserve">JSZC-320000-SCZX-G20XX-XXXX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rPr>
          <w:rFonts w:hint="eastAsia" w:eastAsia="方正仿宋_GBK"/>
          <w:color w:val="000000" w:themeColor="text1"/>
          <w:sz w:val="28"/>
          <w:szCs w:val="28"/>
          <w:u w:val="single"/>
          <w14:textFill>
            <w14:solidFill>
              <w14:schemeClr w14:val="tx1"/>
            </w14:solidFill>
          </w14:textFill>
        </w:rPr>
        <w:t xml:space="preserve">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本授权书于</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年</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月</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被授权人身份证号码：</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被授权人联系电话：（手机）</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被授权人电子邮箱：</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授权单位名称：</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（加盖CA电子公章）</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单位地址：</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日    期：</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highlight w:val="yellow"/>
          <w14:textFill>
            <w14:solidFill>
              <w14:schemeClr w14:val="tx1"/>
            </w14:solidFill>
          </w14:textFill>
        </w:rPr>
      </w:pPr>
      <w:r>
        <w:rPr>
          <w:rFonts w:ascii="方正仿宋_GBK" w:hAnsi="方正仿宋_GBK" w:eastAsia="方正仿宋_GBK" w:cs="方正仿宋_GBK"/>
          <w:color w:val="000000" w:themeColor="text1"/>
          <w:sz w:val="28"/>
          <w:szCs w:val="28"/>
          <w:highlight w:val="yellow"/>
          <w14:textFill>
            <w14:solidFill>
              <w14:schemeClr w14:val="tx1"/>
            </w14:solidFill>
          </w14:textFill>
        </w:rPr>
      </w:r>
      <w:r/>
    </w:p>
    <w:p>
      <w:pPr>
        <w:jc w:val="center"/>
        <w:spacing w:line="400" w:lineRule="exact"/>
        <w:rPr>
          <w:rFonts w:ascii="宋体" w:hAnsi="宋体" w:eastAsia="幼圆" w:cs="Arial"/>
          <w:b/>
          <w:color w:val="000000" w:themeColor="text1"/>
          <w:sz w:val="28"/>
          <w:szCs w:val="28"/>
          <w14:textFill>
            <w14:solidFill>
              <w14:schemeClr w14:val="tx1"/>
            </w14:solidFill>
          </w14:textFill>
        </w:rPr>
      </w:pPr>
      <w:r>
        <w:rPr>
          <w:rFonts w:ascii="宋体" w:hAnsi="宋体" w:eastAsia="幼圆" w:cs="Arial"/>
          <w:b/>
          <w:color w:val="000000" w:themeColor="text1"/>
          <w:sz w:val="28"/>
          <w:szCs w:val="28"/>
          <w14:textFill>
            <w14:solidFill>
              <w14:schemeClr w14:val="tx1"/>
            </w14:solidFill>
          </w14:textFill>
        </w:rPr>
      </w:r>
      <w:r/>
    </w:p>
    <w:p>
      <w:pPr>
        <w:jc w:val="center"/>
        <w:spacing w:line="400" w:lineRule="exact"/>
        <w:rPr>
          <w:rFonts w:ascii="宋体" w:hAnsi="宋体" w:eastAsia="幼圆" w:cs="Arial"/>
          <w:b/>
          <w:color w:val="000000" w:themeColor="text1"/>
          <w:sz w:val="28"/>
          <w:szCs w:val="28"/>
          <w14:textFill>
            <w14:solidFill>
              <w14:schemeClr w14:val="tx1"/>
            </w14:solidFill>
          </w14:textFill>
        </w:rPr>
      </w:pPr>
      <w:r>
        <w:rPr>
          <w:rFonts w:ascii="宋体" w:hAnsi="宋体" w:eastAsia="幼圆" w:cs="Arial"/>
          <w:b/>
          <w:color w:val="000000" w:themeColor="text1"/>
          <w:sz w:val="28"/>
          <w:szCs w:val="28"/>
          <w14:textFill>
            <w14:solidFill>
              <w14:schemeClr w14:val="tx1"/>
            </w14:solidFill>
          </w14:textFill>
        </w:rPr>
      </w:r>
      <w:r/>
    </w:p>
    <w:p>
      <w:pPr>
        <w:jc w:val="center"/>
        <w:spacing w:line="400" w:lineRule="exact"/>
        <w:rPr>
          <w:rFonts w:ascii="黑体" w:hAnsi="黑体" w:eastAsia="黑体"/>
          <w:b/>
          <w:i/>
          <w:color w:val="000000" w:themeColor="text1"/>
          <w:sz w:val="28"/>
          <w:szCs w:val="28"/>
          <w:u w:val="single"/>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附件8              投标函</w:t>
      </w:r>
      <w:r/>
    </w:p>
    <w:p>
      <w:pPr>
        <w:ind w:firstLine="560"/>
        <w:jc w:val="lef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致：江苏省政府采购中心</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根据贵方采购编号为</w:t>
      </w:r>
      <w:r>
        <w:rPr>
          <w:rFonts w:ascii="Times New Roman" w:hAnsi="Times New Roman" w:eastAsia="方正仿宋_GBK"/>
          <w:color w:val="000000" w:themeColor="text1"/>
          <w:sz w:val="28"/>
          <w:szCs w:val="28"/>
          <w14:textFill>
            <w14:solidFill>
              <w14:schemeClr w14:val="tx1"/>
            </w14:solidFill>
          </w14:textFill>
        </w:rPr>
        <w:t xml:space="preserve">JSZC-320000-SCZX-G20XX-XXXX，</w:t>
      </w:r>
      <w:r>
        <w:rPr>
          <w:rFonts w:ascii="Times New Roman" w:hAnsi="Times New Roman" w:eastAsia="方正仿宋_GBK"/>
          <w:color w:val="000000" w:themeColor="text1"/>
          <w:sz w:val="28"/>
          <w:szCs w:val="28"/>
          <w:u w:val="single"/>
          <w14:textFill>
            <w14:solidFill>
              <w14:schemeClr w14:val="tx1"/>
            </w14:solidFill>
          </w14:textFill>
        </w:rPr>
        <w:t xml:space="preserve">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项目（项目名称）的招标文件，正式授权下述签字人</w:t>
      </w:r>
      <w:r>
        <w:rPr>
          <w:rFonts w:hint="eastAsia" w:ascii="Times New Roman" w:hAnsi="Times New Roman"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(姓名)代表我方</w:t>
      </w:r>
      <w:r>
        <w:rPr>
          <w:rFonts w:hint="eastAsia" w:ascii="Times New Roman" w:hAnsi="Times New Roman" w:eastAsia="方正仿宋_GBK"/>
          <w:color w:val="000000" w:themeColor="text1"/>
          <w:sz w:val="28"/>
          <w:szCs w:val="28"/>
          <w:u w:val="single"/>
          <w14:textFill>
            <w14:solidFill>
              <w14:schemeClr w14:val="tx1"/>
            </w14:solidFill>
          </w14:textFill>
        </w:rPr>
        <w:t xml:space="preserve">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（投标人的名称），全权处理本次项目投标的有关事宜。</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据此函，</w:t>
      </w:r>
      <w:r>
        <w:rPr>
          <w:rFonts w:hint="eastAsia" w:ascii="Times New Roman" w:hAnsi="Times New Roman"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签字人兹宣布同意如下：</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1.按招标文件规定的各项要求，向买方提供所需服务（包含与服务相关的货物）。</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2.我们完全理解贵方不一定将合同授予最低报价的投标人。</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3.我们已详细审核全部招标文件及其有效补充文件。</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4.我们同意从规定的开标日期起遵循本投标文件，并在规定的投标有效期期满之前均具有约束力。</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6.一旦我方中标,我方将根据招标文件的规定，严格履行合同的责任和义务,并保证在招标文件规定的时间内完成项目，交付买方验收、使用。</w:t>
      </w:r>
      <w:r/>
    </w:p>
    <w:p>
      <w:pPr>
        <w:pStyle w:val="860"/>
        <w:ind w:firstLine="5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7.与本投标有关的正式通讯地址为：</w:t>
      </w:r>
      <w:r/>
    </w:p>
    <w:p>
      <w:pPr>
        <w:pStyle w:val="8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地          址：</w:t>
      </w:r>
      <w:r/>
    </w:p>
    <w:p>
      <w:pPr>
        <w:pStyle w:val="8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邮          编：</w:t>
      </w:r>
      <w:r/>
    </w:p>
    <w:p>
      <w:pPr>
        <w:pStyle w:val="8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电          话：</w:t>
      </w:r>
      <w:r/>
    </w:p>
    <w:p>
      <w:pPr>
        <w:pStyle w:val="8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传          真：</w:t>
      </w:r>
      <w:r/>
    </w:p>
    <w:p>
      <w:pPr>
        <w:pStyle w:val="8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投标人开户行：</w:t>
      </w:r>
      <w:r/>
    </w:p>
    <w:p>
      <w:pPr>
        <w:pStyle w:val="860"/>
        <w:spacing w:before="0" w:after="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账        号： </w:t>
      </w:r>
      <w:r/>
    </w:p>
    <w:p>
      <w:pPr>
        <w:pStyle w:val="860"/>
        <w:ind w:left="420" w:firstLine="560"/>
        <w:spacing w:before="0" w:after="0"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left="420" w:firstLine="560"/>
        <w:spacing w:before="0" w:after="0"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left="420" w:firstLine="560"/>
        <w:spacing w:before="0" w:after="0"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pStyle w:val="860"/>
        <w:ind w:left="420" w:firstLine="560"/>
        <w:spacing w:before="0" w:after="0"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jc w:val="right"/>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供应商全称（加盖CA电子公章）：</w:t>
      </w:r>
      <w:r/>
    </w:p>
    <w:p>
      <w:pPr>
        <w:pStyle w:val="860"/>
        <w:jc w:val="center"/>
        <w:spacing w:before="0" w:after="0"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日      期：___年____月____日</w:t>
      </w:r>
      <w:r/>
    </w:p>
    <w:p>
      <w:pPr>
        <w:ind w:firstLine="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ind w:firstLine="560"/>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bookmarkEnd w:id="184"/>
      <w:bookmarkEnd w:id="185"/>
      <w:bookmarkEnd w:id="186"/>
      <w:r/>
    </w:p>
    <w:p>
      <w:pPr>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bookmarkStart w:id="187" w:name="_Toc120614284"/>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附件9 中小微企业声明函（服务类项目）（采购包号：</w:t>
      </w:r>
      <w:r>
        <w:rPr>
          <w:rFonts w:eastAsia="方正黑体_GBK"/>
          <w:bCs/>
          <w:color w:val="000000" w:themeColor="text1"/>
          <w:sz w:val="28"/>
          <w:szCs w:val="28"/>
          <w14:textFill>
            <w14:solidFill>
              <w14:schemeClr w14:val="tx1"/>
            </w14:solidFill>
          </w14:textFill>
        </w:rPr>
        <w:t xml:space="preserve">XX</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本公司（联合体）郑重声明，根据《政府采购促进中小企业发展管理办法》(财库〔2020〕46号)的规定，本公司（联合体）参加江苏省政府采购中心组织的</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（单位名称）采购编号为</w:t>
      </w:r>
      <w:r>
        <w:rPr>
          <w:rFonts w:hint="eastAsia" w:eastAsia="方正黑体_GBK"/>
          <w:bCs/>
          <w:color w:val="000000" w:themeColor="text1"/>
          <w:sz w:val="28"/>
          <w:szCs w:val="28"/>
          <w14:textFill>
            <w14:solidFill>
              <w14:schemeClr w14:val="tx1"/>
            </w14:solidFill>
          </w14:textFill>
        </w:rPr>
        <w:t xml:space="preserve">JSZC-320000-SCZX-G20XX-XXXX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rPr>
          <w:rFonts w:hint="eastAsia" w:eastAsia="方正仿宋_GBK"/>
          <w:color w:val="000000" w:themeColor="text1"/>
          <w:sz w:val="28"/>
          <w:szCs w:val="28"/>
          <w:u w:val="single"/>
          <w14:textFill>
            <w14:solidFill>
              <w14:schemeClr w14:val="tx1"/>
            </w14:solidFill>
          </w14:textFill>
        </w:rPr>
        <w:t xml:space="preserve">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（标的名称）</w:t>
      </w:r>
      <w:r>
        <w:rPr>
          <w:rFonts w:hint="eastAsia" w:ascii="方正仿宋_GBK" w:hAnsi="方正仿宋_GBK" w:eastAsia="方正仿宋_GBK" w:cs="方正仿宋_GBK"/>
          <w:i/>
          <w:color w:val="000000" w:themeColor="text1"/>
          <w:sz w:val="28"/>
          <w:szCs w:val="28"/>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属于</w:t>
      </w:r>
      <w:r>
        <w:rPr>
          <w:rFonts w:hint="eastAsia" w:eastAsia="方正仿宋_GBK"/>
          <w:color w:val="000000" w:themeColor="text1"/>
          <w:sz w:val="28"/>
          <w:szCs w:val="28"/>
          <w:u w:val="single"/>
          <w14:textFill>
            <w14:solidFill>
              <w14:schemeClr w14:val="tx1"/>
            </w14:solidFill>
          </w14:textFill>
        </w:rPr>
        <w:t xml:space="preserve">XX</w:t>
      </w:r>
      <w:r>
        <w:rPr>
          <w:rFonts w:hint="eastAsia" w:eastAsia="方正仿宋_GBK"/>
          <w:color w:val="000000" w:themeColor="text1"/>
          <w:sz w:val="28"/>
          <w:szCs w:val="28"/>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供应商填写招标文件中明确的所属行业）行业；承接企业为</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（企业名称），从业人员</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人，营业收入为</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万元，资产总额为</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w:t>
      </w:r>
      <w:r>
        <w:rPr>
          <w:rFonts w:hint="eastAsia" w:ascii="方正仿宋_GBK" w:hAnsi="方正仿宋_GBK" w:eastAsia="方正仿宋_GBK" w:cs="方正仿宋_GBK"/>
          <w:color w:val="000000" w:themeColor="text1"/>
          <w:sz w:val="28"/>
          <w:szCs w:val="28"/>
          <w:vertAlign w:val="superscript"/>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，属于</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（□中型企业 □小型企业 □微型企业）；</w:t>
      </w:r>
      <w:r/>
    </w:p>
    <w:p>
      <w:pPr>
        <w:ind w:firstLine="560"/>
        <w:spacing w:line="400" w:lineRule="exact"/>
        <w:rPr>
          <w:rFonts w:ascii="方正仿宋_GBK" w:hAnsi="方正仿宋_GBK" w:eastAsia="方正仿宋_GBK" w:cs="方正仿宋_GBK"/>
          <w:i/>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（标的名称）</w:t>
      </w:r>
      <w:r>
        <w:rPr>
          <w:rFonts w:hint="eastAsia" w:ascii="方正仿宋_GBK" w:hAnsi="方正仿宋_GBK" w:eastAsia="方正仿宋_GBK" w:cs="方正仿宋_GBK"/>
          <w:i/>
          <w:color w:val="000000" w:themeColor="text1"/>
          <w:sz w:val="28"/>
          <w:szCs w:val="28"/>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属于</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（供应商填写招标文件中明确的所属行业）行业；承接企业为</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（企业名称），从业人员</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人，营业收入为</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万元，资产总额为</w:t>
      </w:r>
      <w:r>
        <w:rPr>
          <w:rFonts w:hint="eastAsia"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万元</w:t>
      </w:r>
      <w:r>
        <w:rPr>
          <w:rFonts w:hint="eastAsia" w:ascii="方正仿宋_GBK" w:hAnsi="方正仿宋_GBK" w:eastAsia="方正仿宋_GBK" w:cs="方正仿宋_GBK"/>
          <w:color w:val="000000" w:themeColor="text1"/>
          <w:sz w:val="28"/>
          <w:szCs w:val="28"/>
          <w:vertAlign w:val="superscript"/>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，属于</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（□中型企业 □小型企业 □微型企业）；</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ind w:right="180" w:firstLine="560"/>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企业名称（加盖CA电子公章）：</w:t>
      </w:r>
      <w:r/>
    </w:p>
    <w:p>
      <w:pPr>
        <w:ind w:right="180" w:firstLine="560"/>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                    日     期：___年___月___日 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备注：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ascii="方正仿宋_GBK" w:hAnsi="方正仿宋_GBK" w:eastAsia="方正仿宋_GBK" w:cs="方正仿宋_GBK"/>
          <w:b/>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ascii="方正仿宋_GBK" w:hAnsi="方正仿宋_GBK" w:eastAsia="方正仿宋_GBK" w:cs="方正仿宋_GBK"/>
          <w:b/>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ascii="方正仿宋_GBK" w:hAnsi="方正仿宋_GBK" w:eastAsia="方正仿宋_GBK" w:cs="方正仿宋_GBK"/>
          <w:b/>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ascii="方正仿宋_GBK" w:hAnsi="方正仿宋_GBK" w:eastAsia="方正仿宋_GBK" w:cs="方正仿宋_GBK"/>
          <w:b/>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ascii="方正仿宋_GBK" w:hAnsi="方正仿宋_GBK" w:eastAsia="方正仿宋_GBK" w:cs="方正仿宋_GBK"/>
          <w:b/>
          <w:color w:val="000000" w:themeColor="text1"/>
          <w:sz w:val="28"/>
          <w:szCs w:val="28"/>
          <w14:textFill>
            <w14:solidFill>
              <w14:schemeClr w14:val="tx1"/>
            </w14:solidFill>
          </w14:textFill>
        </w:rPr>
      </w:r>
      <w:r/>
    </w:p>
    <w:p>
      <w:pPr>
        <w:ind w:firstLine="560"/>
        <w:spacing w:line="400" w:lineRule="exact"/>
        <w:rPr>
          <w:rFonts w:ascii="宋体" w:hAnsi="宋体"/>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附件10 残疾人福利性单位声明函（服务类项目）（采购包号：</w:t>
      </w:r>
      <w:r>
        <w:rPr>
          <w:rFonts w:hint="eastAsia" w:eastAsia="方正黑体_GBK"/>
          <w:bCs/>
          <w:color w:val="000000" w:themeColor="text1"/>
          <w:sz w:val="28"/>
          <w:szCs w:val="28"/>
          <w14:textFill>
            <w14:solidFill>
              <w14:schemeClr w14:val="tx1"/>
            </w14:solidFill>
          </w14:textFill>
        </w:rPr>
        <w:t xml:space="preserve">XX</w:t>
      </w: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themeColor="text1"/>
          <w:sz w:val="28"/>
          <w:szCs w:val="28"/>
          <w:u w:val="single"/>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单位采购编号为</w:t>
      </w:r>
      <w:r>
        <w:rPr>
          <w:rFonts w:hint="eastAsia" w:eastAsia="方正黑体_GBK"/>
          <w:bCs/>
          <w:color w:val="000000" w:themeColor="text1"/>
          <w:sz w:val="28"/>
          <w:szCs w:val="28"/>
          <w14:textFill>
            <w14:solidFill>
              <w14:schemeClr w14:val="tx1"/>
            </w14:solidFill>
          </w14:textFill>
        </w:rPr>
        <w:t xml:space="preserve">JSZC-320000-SCZX-G20XX-XXXX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eastAsia="方正仿宋_GBK"/>
          <w:color w:val="000000" w:themeColor="text1"/>
          <w:sz w:val="28"/>
          <w:szCs w:val="28"/>
          <w:u w:val="single"/>
          <w14:textFill>
            <w14:solidFill>
              <w14:schemeClr w14:val="tx1"/>
            </w14:solidFill>
          </w14:textFill>
        </w:rPr>
        <w:t xml:space="preserve">XXXX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项目（项目名称）（采购包号：</w:t>
      </w:r>
      <w:r>
        <w:rPr>
          <w:rFonts w:hint="eastAsia" w:eastAsia="方正黑体_GBK"/>
          <w:bCs/>
          <w:color w:val="000000" w:themeColor="text1"/>
          <w:sz w:val="28"/>
          <w:szCs w:val="28"/>
          <w14:textFill>
            <w14:solidFill>
              <w14:schemeClr w14:val="tx1"/>
            </w14:solidFill>
          </w14:textFill>
        </w:rPr>
        <w:t xml:space="preserve">XX</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）采购活动由本单位提供服务。</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备注：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color w:val="000000" w:themeColor="text1"/>
          <w:spacing w:val="6"/>
          <w:sz w:val="28"/>
          <w:szCs w:val="28"/>
          <w14:textFill>
            <w14:solidFill>
              <w14:schemeClr w14:val="tx1"/>
            </w14:solidFill>
          </w14:textFill>
        </w:rPr>
      </w:pPr>
      <w:r>
        <w:rPr>
          <w:rFonts w:ascii="方正仿宋_GBK" w:hAnsi="方正仿宋_GBK" w:eastAsia="方正仿宋_GBK" w:cs="方正仿宋_GBK"/>
          <w:color w:val="000000" w:themeColor="text1"/>
          <w:spacing w:val="6"/>
          <w:sz w:val="28"/>
          <w:szCs w:val="28"/>
          <w14:textFill>
            <w14:solidFill>
              <w14:schemeClr w14:val="tx1"/>
            </w14:solidFill>
          </w14:textFill>
        </w:rPr>
      </w:r>
      <w:r/>
    </w:p>
    <w:p>
      <w:pPr>
        <w:ind w:right="1559" w:firstLine="584"/>
        <w:jc w:val="center"/>
        <w:spacing w:line="400" w:lineRule="exact"/>
        <w:tabs>
          <w:tab w:val="left" w:pos="4860" w:leader="none"/>
        </w:tabs>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pacing w:val="6"/>
          <w:sz w:val="28"/>
          <w:szCs w:val="28"/>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日     期：___年____月____日   </w:t>
      </w:r>
      <w:r/>
    </w:p>
    <w:p>
      <w:pPr>
        <w:jc w:val="center"/>
        <w:spacing w:line="400" w:lineRule="exact"/>
        <w:rPr>
          <w:rFonts w:ascii="黑体" w:hAnsi="黑体" w:eastAsia="黑体"/>
          <w:b/>
          <w:color w:val="000000" w:themeColor="text1"/>
          <w:sz w:val="28"/>
          <w:szCs w:val="28"/>
          <w14:textFill>
            <w14:solidFill>
              <w14:schemeClr w14:val="tx1"/>
            </w14:solidFill>
          </w14:textFill>
        </w:rPr>
      </w:pPr>
      <w:r>
        <w:rPr>
          <w:rFonts w:ascii="黑体" w:hAnsi="黑体" w:eastAsia="黑体"/>
          <w:b/>
          <w:color w:val="000000" w:themeColor="text1"/>
          <w:sz w:val="28"/>
          <w:szCs w:val="28"/>
          <w14:textFill>
            <w14:solidFill>
              <w14:schemeClr w14:val="tx1"/>
            </w14:solidFill>
          </w14:textFill>
        </w:rPr>
      </w:r>
      <w:r/>
    </w:p>
    <w:p>
      <w:pPr>
        <w:jc w:val="center"/>
        <w:spacing w:line="400" w:lineRule="exact"/>
        <w:rPr>
          <w:rFonts w:ascii="黑体" w:hAnsi="黑体" w:eastAsia="黑体"/>
          <w:b/>
          <w:color w:val="000000" w:themeColor="text1"/>
          <w:sz w:val="28"/>
          <w:szCs w:val="28"/>
          <w14:textFill>
            <w14:solidFill>
              <w14:schemeClr w14:val="tx1"/>
            </w14:solidFill>
          </w14:textFill>
        </w:rPr>
      </w:pPr>
      <w:r>
        <w:rPr>
          <w:rFonts w:ascii="黑体" w:hAnsi="黑体" w:eastAsia="黑体"/>
          <w:b/>
          <w:color w:val="000000" w:themeColor="text1"/>
          <w:sz w:val="28"/>
          <w:szCs w:val="28"/>
          <w14:textFill>
            <w14:solidFill>
              <w14:schemeClr w14:val="tx1"/>
            </w14:solidFill>
          </w14:textFill>
        </w:rPr>
      </w:r>
      <w:r/>
    </w:p>
    <w:p>
      <w:pPr>
        <w:spacing w:line="400" w:lineRule="exact"/>
        <w:rPr>
          <w:rFonts w:ascii="黑体" w:hAnsi="黑体" w:eastAsia="黑体"/>
          <w:b/>
          <w:color w:val="000000" w:themeColor="text1"/>
          <w:sz w:val="28"/>
          <w:szCs w:val="28"/>
          <w14:textFill>
            <w14:solidFill>
              <w14:schemeClr w14:val="tx1"/>
            </w14:solidFill>
          </w14:textFill>
        </w:rPr>
      </w:pPr>
      <w:r>
        <w:rPr>
          <w:rFonts w:ascii="黑体" w:hAnsi="黑体" w:eastAsia="黑体"/>
          <w:b/>
          <w:color w:val="000000" w:themeColor="text1"/>
          <w:sz w:val="28"/>
          <w:szCs w:val="28"/>
          <w14:textFill>
            <w14:solidFill>
              <w14:schemeClr w14:val="tx1"/>
            </w14:solidFill>
          </w14:textFill>
        </w:rPr>
      </w:r>
      <w:r/>
    </w:p>
    <w:p>
      <w:pPr>
        <w:ind w:firstLine="560"/>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附件11   实质性要求响应及偏离表（采购包号：XX）</w:t>
      </w:r>
      <w:r/>
    </w:p>
    <w:tbl>
      <w:tblPr>
        <w:tblStyle w:val="739"/>
        <w:tblW w:w="89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招标文件（含技术要求和商务要求）中的实质性要求</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w:t>
            </w:r>
            <w:r>
              <w:rPr>
                <w:rFonts w:hint="eastAsia" w:ascii="方正仿宋_GBK" w:hAnsi="方正仿宋_GBK" w:eastAsia="方正仿宋_GBK" w:cs="方正仿宋_GBK"/>
                <w:b/>
                <w:bCs/>
                <w:i/>
                <w:color w:val="000000" w:themeColor="text1"/>
                <w:sz w:val="28"/>
                <w:szCs w:val="28"/>
                <w:u w:val="single"/>
                <w14:textFill>
                  <w14:solidFill>
                    <w14:schemeClr w14:val="tx1"/>
                  </w14:solidFill>
                </w14:textFill>
              </w:rPr>
              <w:t xml:space="preserve">斜体且有下划线部分</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tc>
      </w:tr>
    </w:tbl>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附件12-1 证明材料1，证明材料2，……</w:t>
      </w:r>
      <w:r/>
    </w:p>
    <w:p>
      <w:pPr>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备注：</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1.投标人必须对招标文件（含技术要求和商务要求）中的实质性要求</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w:t>
      </w:r>
      <w:r>
        <w:rPr>
          <w:rFonts w:hint="eastAsia" w:ascii="方正仿宋_GBK" w:hAnsi="方正仿宋_GBK" w:eastAsia="方正仿宋_GBK" w:cs="方正仿宋_GBK"/>
          <w:b/>
          <w:bCs/>
          <w:i/>
          <w:color w:val="000000" w:themeColor="text1"/>
          <w:sz w:val="28"/>
          <w:szCs w:val="28"/>
          <w:u w:val="single"/>
          <w14:textFill>
            <w14:solidFill>
              <w14:schemeClr w14:val="tx1"/>
            </w14:solidFill>
          </w14:textFill>
        </w:rPr>
        <w:t xml:space="preserve">斜体且有下划线部分</w:t>
      </w:r>
      <w:r>
        <w:rPr>
          <w:rFonts w:hint="eastAsia" w:ascii="方正仿宋_GBK" w:hAnsi="方正仿宋_GBK" w:eastAsia="方正仿宋_GBK" w:cs="方正仿宋_GBK"/>
          <w:b/>
          <w:bCs/>
          <w:color w:val="000000" w:themeColor="text1"/>
          <w:sz w:val="28"/>
          <w:szCs w:val="28"/>
          <w14:textFill>
            <w14:solidFill>
              <w14:schemeClr w14:val="tx1"/>
            </w14:solidFill>
          </w14:textFill>
        </w:rPr>
        <w:t xml:space="preserve">或加*号条款为实质性要求）</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逐条做出明确响应，否则作无效投标处理。</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3.投标人未对实质性要求逐条作出明确响应的，或未按招标文件要求提供证明材料的，该采购包作无效投标处理。</w:t>
      </w:r>
      <w:r/>
    </w:p>
    <w:p>
      <w:pP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spacing w:line="400" w:lineRule="exact"/>
        <w:rPr>
          <w:rFonts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r>
      <w:r/>
    </w:p>
    <w:p>
      <w:pPr>
        <w:jc w:val="center"/>
        <w:spacing w:line="40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spacing w:line="40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560"/>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附件12  关于符合本国产品标准的声明函（采购包号：XX）</w:t>
      </w:r>
      <w:r/>
    </w:p>
    <w:p>
      <w:pPr>
        <w:pStyle w:val="769"/>
        <w:ind w:firstLine="560"/>
        <w:spacing w:before="0" w:beforeAutospacing="0" w:after="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1.</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（产品名称1）</w:t>
      </w:r>
      <w:r>
        <w:rPr>
          <w:rStyle w:val="779"/>
          <w:rFonts w:hint="eastAsia" w:ascii="方正仿宋_GBK" w:hAnsi="方正仿宋_GBK" w:eastAsia="方正仿宋_GBK" w:cs="方正仿宋_GBK"/>
          <w:i w:val="0"/>
          <w:color w:val="000000" w:themeColor="text1"/>
          <w:sz w:val="28"/>
          <w:szCs w:val="28"/>
          <w:shd w:val="clear" w:color="auto" w:fill="ffffff"/>
          <w:vertAlign w:val="superscript"/>
          <w14:textFill>
            <w14:solidFill>
              <w14:schemeClr w14:val="tx1"/>
            </w14:solidFill>
          </w14:textFill>
        </w:rPr>
        <w:t xml:space="preserve">1</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，生产厂为</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（厂名）</w:t>
      </w:r>
      <w:r>
        <w:rPr>
          <w:rStyle w:val="779"/>
          <w:rFonts w:hint="eastAsia" w:ascii="方正仿宋_GBK" w:hAnsi="方正仿宋_GBK" w:eastAsia="方正仿宋_GBK" w:cs="方正仿宋_GBK"/>
          <w:i w:val="0"/>
          <w:color w:val="000000" w:themeColor="text1"/>
          <w:sz w:val="28"/>
          <w:szCs w:val="28"/>
          <w:shd w:val="clear" w:color="auto" w:fill="ffffff"/>
          <w:vertAlign w:val="superscript"/>
          <w14:textFill>
            <w14:solidFill>
              <w14:schemeClr w14:val="tx1"/>
            </w14:solidFill>
          </w14:textFill>
        </w:rPr>
        <w:t xml:space="preserve">2</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，厂址为</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（生产厂址）</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shd w:val="clear" w:color="auto" w:fill="ffffff"/>
          <w:vertAlign w:val="superscript"/>
          <w14:textFill>
            <w14:solidFill>
              <w14:schemeClr w14:val="tx1"/>
            </w14:solidFill>
          </w14:textFill>
        </w:rPr>
        <w:t xml:space="preserve">3</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的</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shd w:val="clear" w:color="auto" w:fill="ffffff"/>
          <w:vertAlign w:val="superscript"/>
          <w14:textFill>
            <w14:solidFill>
              <w14:schemeClr w14:val="tx1"/>
            </w14:solidFill>
          </w14:textFill>
        </w:rPr>
        <w:t xml:space="preserve">4</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的</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shd w:val="clear" w:color="auto" w:fill="ffffff"/>
          <w:vertAlign w:val="superscript"/>
          <w14:textFill>
            <w14:solidFill>
              <w14:schemeClr w14:val="tx1"/>
            </w14:solidFill>
          </w14:textFill>
        </w:rPr>
        <w:t xml:space="preserve">5</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在中国境内完成。</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2.</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（产品名称2）</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，生产厂为</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（厂名）</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，厂址为</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（生产厂址）</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的</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的</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在中国境内完成。</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本公司（单位）对上述声明内容的真实性负责。如有虚假，愿承担相应法律责任。</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ascii="方正仿宋_GBK" w:hAnsi="方正仿宋_GBK" w:eastAsia="方正仿宋_GBK" w:cs="方正仿宋_GBK"/>
          <w:color w:val="000000" w:themeColor="text1"/>
          <w:sz w:val="28"/>
          <w:szCs w:val="28"/>
          <w14:textFill>
            <w14:solidFill>
              <w14:schemeClr w14:val="tx1"/>
            </w14:solidFill>
          </w14:textFill>
        </w:rPr>
      </w:r>
      <w:r/>
    </w:p>
    <w:p>
      <w:pPr>
        <w:pStyle w:val="769"/>
        <w:ind w:firstLine="560"/>
        <w:jc w:val="right"/>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    公司（单位）名称（加盖CA电子公章）：　        </w:t>
      </w:r>
      <w:r/>
    </w:p>
    <w:p>
      <w:pPr>
        <w:pStyle w:val="769"/>
        <w:ind w:firstLine="560"/>
        <w:jc w:val="center"/>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          日期：</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___年____月____日</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        </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__________________</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1.产品如有型号，请在“产品名称”栏一并填写。</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2.生产厂名与厂址应与生产厂营业执照载明的相关信息保持一致。</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3.该产品的中国境内生产的组件成本占比相关要求实施前，“规定比例”栏可不填，下同。</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4.该产品的关键组件要求实施前，“关键组件”栏可不填，下同。</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5.该产品的关键工序要求实施前，“关键工序”栏可不填，下同。</w:t>
      </w:r>
      <w:r/>
    </w:p>
    <w:p>
      <w:pPr>
        <w:pStyle w:val="76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14:textFill>
            <w14:solidFill>
              <w14:schemeClr w14:val="tx1"/>
            </w14:solidFill>
          </w14:textFill>
        </w:rPr>
      </w:pP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6.《声明函》中标注“</w:t>
      </w:r>
      <w:r>
        <w:rPr>
          <w:rFonts w:hint="eastAsia" w:ascii="方正仿宋_GBK" w:hAnsi="方正仿宋_GBK" w:eastAsia="方正仿宋_GBK" w:cs="方正仿宋_GBK"/>
          <w:color w:val="000000" w:themeColor="text1"/>
          <w:sz w:val="28"/>
          <w:szCs w:val="28"/>
          <w:u w:val="single"/>
          <w:shd w:val="clear" w:color="auto" w:fill="ffffff"/>
          <w14:textFill>
            <w14:solidFill>
              <w14:schemeClr w14:val="tx1"/>
            </w14:solidFill>
          </w14:textFill>
        </w:rPr>
        <w:t xml:space="preserve">  </w:t>
      </w:r>
      <w:r>
        <w:rPr>
          <w:rStyle w:val="779"/>
          <w:rFonts w:hint="eastAsia" w:ascii="方正仿宋_GBK" w:hAnsi="方正仿宋_GBK" w:eastAsia="方正仿宋_GBK" w:cs="方正仿宋_GBK"/>
          <w:i w:val="0"/>
          <w:color w:val="000000" w:themeColor="text1"/>
          <w:sz w:val="28"/>
          <w:szCs w:val="28"/>
          <w:u w:val="single"/>
          <w:shd w:val="clear" w:color="auto" w:fill="ffffff"/>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shd w:val="clear" w:color="auto" w:fill="ffffff"/>
          <w14:textFill>
            <w14:solidFill>
              <w14:schemeClr w14:val="tx1"/>
            </w14:solidFill>
          </w14:textFill>
        </w:rPr>
        <w:t xml:space="preserve">”的地方无需填写。</w:t>
      </w:r>
      <w:bookmarkEnd w:id="170"/>
      <w:r/>
      <w:bookmarkEnd w:id="171"/>
      <w:r/>
      <w:bookmarkEnd w:id="187"/>
      <w:r/>
      <w:r/>
    </w:p>
    <w:p>
      <w:pPr>
        <w:ind w:firstLine="560"/>
        <w:jc w:val="center"/>
        <w:spacing w:line="400" w:lineRule="exact"/>
        <w:rPr>
          <w:rFonts w:ascii="方正黑体_GBK" w:hAnsi="方正黑体_GBK" w:eastAsia="方正黑体_GBK" w:cs="方正黑体_GBK"/>
          <w:bCs/>
          <w:color w:val="000000" w:themeColor="text1"/>
          <w:sz w:val="28"/>
          <w:szCs w:val="28"/>
          <w14:textFill>
            <w14:solidFill>
              <w14:schemeClr w14:val="tx1"/>
            </w14:solidFill>
          </w14:textFill>
        </w:rPr>
      </w:pPr>
      <w:r>
        <w:rPr>
          <w:rFonts w:hint="eastAsia" w:ascii="方正黑体_GBK" w:hAnsi="方正黑体_GBK" w:eastAsia="方正黑体_GBK" w:cs="方正黑体_GBK"/>
          <w:bCs/>
          <w:color w:val="000000" w:themeColor="text1"/>
          <w:sz w:val="28"/>
          <w:szCs w:val="28"/>
          <w14:textFill>
            <w14:solidFill>
              <w14:schemeClr w14:val="tx1"/>
            </w14:solidFill>
          </w14:textFill>
        </w:rPr>
        <w:t xml:space="preserve">质疑函范本</w:t>
      </w:r>
      <w:r/>
    </w:p>
    <w:p>
      <w:pPr>
        <w:ind w:firstLine="560"/>
        <w:spacing w:before="290"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一、质疑供应商基本信息</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质疑供应商：</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地址：</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邮编：</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联系人：</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联系电话：</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授权代表：</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联系电话：</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地址： </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邮编：</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二、质疑项目基本情况</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质疑项目的名称：</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质疑项目的编号：</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包号：</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采购人名称：</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采购文件获取日期：</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三、质疑事项具体内容</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质疑事项1：</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事实依据：</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法律依据：</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质疑事项2</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w:t>
      </w:r>
      <w:r/>
    </w:p>
    <w:p>
      <w:pPr>
        <w:ind w:firstLine="560"/>
        <w:spacing w:line="400" w:lineRule="exact"/>
        <w:rPr>
          <w:rFonts w:ascii="方正仿宋_GBK" w:hAnsi="方正仿宋_GBK" w:eastAsia="方正仿宋_GBK" w:cs="方正仿宋_GBK"/>
          <w:bCs/>
          <w:color w:val="000000" w:themeColor="text1"/>
          <w:sz w:val="28"/>
          <w:szCs w:val="28"/>
          <w14:textFill>
            <w14:solidFill>
              <w14:schemeClr w14:val="tx1"/>
            </w14:solidFill>
          </w14:textFill>
        </w:rPr>
      </w:pPr>
      <w:r>
        <w:rPr>
          <w:rFonts w:hint="eastAsia" w:ascii="方正仿宋_GBK" w:hAnsi="方正仿宋_GBK" w:eastAsia="方正仿宋_GBK" w:cs="方正仿宋_GBK"/>
          <w:bCs/>
          <w:color w:val="000000" w:themeColor="text1"/>
          <w:sz w:val="28"/>
          <w:szCs w:val="28"/>
          <w14:textFill>
            <w14:solidFill>
              <w14:schemeClr w14:val="tx1"/>
            </w14:solidFill>
          </w14:textFill>
        </w:rPr>
        <w:t xml:space="preserve">四、与质疑事项相关的质疑请求</w:t>
      </w:r>
      <w:r/>
    </w:p>
    <w:p>
      <w:pPr>
        <w:ind w:firstLine="560"/>
        <w:spacing w:line="400" w:lineRule="exact"/>
        <w:rPr>
          <w:rFonts w:ascii="方正仿宋_GBK" w:hAnsi="方正仿宋_GBK" w:eastAsia="方正仿宋_GBK" w:cs="方正仿宋_GBK"/>
          <w:color w:val="000000" w:themeColor="text1"/>
          <w:sz w:val="28"/>
          <w:szCs w:val="28"/>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请求：</w:t>
      </w:r>
      <w:r>
        <w:rPr>
          <w:rFonts w:hint="eastAsia" w:ascii="方正仿宋_GBK" w:hAnsi="方正仿宋_GBK" w:eastAsia="方正仿宋_GBK" w:cs="方正仿宋_GBK"/>
          <w:color w:val="000000" w:themeColor="text1"/>
          <w:sz w:val="28"/>
          <w:szCs w:val="28"/>
          <w:u w:val="single"/>
          <w14:textFill>
            <w14:solidFill>
              <w14:schemeClr w14:val="tx1"/>
            </w14:solidFill>
          </w14:textFill>
        </w:rPr>
        <w:t xml:space="preserve">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签字(签章)：                   公章：                      </w:t>
      </w:r>
      <w:r/>
    </w:p>
    <w:p>
      <w:pPr>
        <w:ind w:firstLine="560"/>
        <w:spacing w:line="400" w:lineRule="exact"/>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日期：    </w:t>
      </w:r>
      <w:r/>
    </w:p>
    <w:p>
      <w:pPr>
        <w:ind w:firstLine="562"/>
        <w:spacing w:line="400" w:lineRule="exact"/>
        <w:rPr>
          <w:rFonts w:ascii="方正仿宋_GBK" w:hAnsi="方正仿宋_GBK" w:eastAsia="方正仿宋_GBK" w:cs="方正仿宋_GBK"/>
          <w:b/>
          <w:color w:val="000000" w:themeColor="text1"/>
          <w:sz w:val="28"/>
          <w:szCs w:val="28"/>
          <w14:textFill>
            <w14:solidFill>
              <w14:schemeClr w14:val="tx1"/>
            </w14:solidFill>
          </w14:textFill>
        </w:rPr>
      </w:pPr>
      <w:r>
        <w:rPr>
          <w:rFonts w:hint="eastAsia" w:ascii="方正仿宋_GBK" w:hAnsi="方正仿宋_GBK" w:eastAsia="方正仿宋_GBK" w:cs="方正仿宋_GBK"/>
          <w:b/>
          <w:color w:val="000000" w:themeColor="text1"/>
          <w:sz w:val="28"/>
          <w:szCs w:val="28"/>
          <w14:textFill>
            <w14:solidFill>
              <w14:schemeClr w14:val="tx1"/>
            </w14:solidFill>
          </w14:textFill>
        </w:rPr>
        <w:t xml:space="preserve">质疑函制作说明：</w:t>
      </w:r>
      <w:r/>
    </w:p>
    <w:p>
      <w:pPr>
        <w:ind w:firstLine="560"/>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5.质疑函的质疑请求应与质疑事项相关。</w:t>
      </w:r>
      <w:r/>
    </w:p>
    <w:p>
      <w:pPr>
        <w:ind w:firstLine="560"/>
        <w:jc w:val="left"/>
        <w:spacing w:line="400" w:lineRule="exact"/>
        <w:widowControl/>
        <w:rPr>
          <w:rFonts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42"/>
        <w:spacing w:line="400" w:lineRule="exact"/>
        <w:rPr>
          <w:color w:val="000000" w:themeColor="text1"/>
          <w:sz w:val="28"/>
          <w:szCs w:val="28"/>
          <w14:textFill>
            <w14:solidFill>
              <w14:schemeClr w14:val="tx1"/>
            </w14:solidFill>
          </w14:textFill>
        </w:rPr>
      </w:pPr>
      <w:r>
        <w:rPr>
          <w:color w:val="000000" w:themeColor="text1"/>
          <w:sz w:val="28"/>
          <w:szCs w:val="28"/>
          <w14:textFill>
            <w14:solidFill>
              <w14:schemeClr w14:val="tx1"/>
            </w14:solidFill>
          </w14:textFill>
        </w:rPr>
      </w:r>
      <w:r/>
    </w:p>
    <w:p>
      <w:pPr>
        <w:pStyle w:val="742"/>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3"/>
      <w:numFmt w:val="decimal"/>
      <w:isLgl w:val="false"/>
      <w:suff w:val="tab"/>
      <w:lvlText w:val="%1、"/>
      <w:lvlJc w:val="left"/>
      <w:pPr>
        <w:ind w:left="995" w:hanging="435"/>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0"/>
      <w:isLgl w:val="false"/>
      <w:suff w:val="nothing"/>
      <w:lvlText w:val=""/>
      <w:lvlJc w:val="left"/>
      <w:pPr>
        <w:ind w:left="0" w:firstLine="0"/>
      </w:pPr>
      <w:rPr>
        <w:rFonts w:hint="eastAsia"/>
      </w:rPr>
    </w:lvl>
    <w:lvl w:ilvl="6">
      <w:start w:val="1"/>
      <w:numFmt w:val="decimal"/>
      <w:pStyle w:val="791"/>
      <w:isLgl w:val="false"/>
      <w:suff w:val="nothing"/>
      <w:lvlText w:val=""/>
      <w:lvlJc w:val="left"/>
      <w:pPr>
        <w:ind w:left="0" w:firstLine="0"/>
      </w:pPr>
      <w:rPr>
        <w:rFonts w:hint="eastAsia"/>
      </w:rPr>
    </w:lvl>
    <w:lvl w:ilvl="7">
      <w:start w:val="1"/>
      <w:numFmt w:val="decimal"/>
      <w:pStyle w:val="792"/>
      <w:isLgl w:val="false"/>
      <w:suff w:val="nothing"/>
      <w:lvlText w:val=""/>
      <w:lvlJc w:val="left"/>
      <w:pPr>
        <w:ind w:left="0" w:firstLine="0"/>
      </w:pPr>
      <w:rPr>
        <w:rFonts w:hint="eastAsia"/>
      </w:rPr>
    </w:lvl>
    <w:lvl w:ilvl="8">
      <w:start w:val="1"/>
      <w:numFmt w:val="decimal"/>
      <w:pStyle w:val="793"/>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upperLetter"/>
      <w:pStyle w:val="8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9"/>
  </w:num>
  <w:num w:numId="3">
    <w:abstractNumId w:val="0"/>
  </w:num>
  <w:num w:numId="4">
    <w:abstractNumId w:val="3"/>
  </w:num>
  <w:num w:numId="5">
    <w:abstractNumId w:val="2"/>
  </w:num>
  <w:num w:numId="6">
    <w:abstractNumId w:val="6"/>
  </w:num>
  <w:num w:numId="7">
    <w:abstractNumId w:val="1"/>
  </w:num>
  <w:num w:numId="8">
    <w:abstractNumId w:val="8"/>
  </w:num>
  <w:num w:numId="9">
    <w:abstractNumId w:val="10"/>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Layout w:type="fixed"/>
      <w:tblCellMar>
        <w:left w:w="108" w:type="dxa"/>
        <w:top w:w="0" w:type="dxa"/>
        <w:right w:w="108" w:type="dxa"/>
        <w:bottom w:w="0" w:type="dxa"/>
      </w:tblCellMar>
    </w:tblPr>
  </w:style>
  <w:style w:type="paragraph" w:styleId="740">
    <w:name w:val="List 3"/>
    <w:basedOn w:val="737"/>
    <w:uiPriority w:val="0"/>
    <w:qFormat/>
    <w:pPr>
      <w:ind w:left="100" w:hanging="200"/>
    </w:pPr>
  </w:style>
  <w:style w:type="paragraph" w:styleId="741">
    <w:name w:val="toc 7"/>
    <w:basedOn w:val="737"/>
    <w:next w:val="737"/>
    <w:uiPriority w:val="0"/>
    <w:semiHidden/>
    <w:qFormat/>
    <w:pPr>
      <w:ind w:left="1260"/>
      <w:jc w:val="left"/>
    </w:pPr>
  </w:style>
  <w:style w:type="paragraph" w:styleId="742">
    <w:name w:val="Normal Indent"/>
    <w:basedOn w:val="737"/>
    <w:link w:val="821"/>
    <w:uiPriority w:val="0"/>
    <w:qFormat/>
    <w:pPr>
      <w:ind w:firstLine="420"/>
    </w:pPr>
    <w:rPr>
      <w:sz w:val="20"/>
    </w:rPr>
  </w:style>
  <w:style w:type="paragraph" w:styleId="743">
    <w:name w:val="Document Map"/>
    <w:basedOn w:val="737"/>
    <w:link w:val="829"/>
    <w:uiPriority w:val="0"/>
    <w:semiHidden/>
    <w:qFormat/>
    <w:pPr>
      <w:shd w:val="clear" w:color="auto" w:fill="000080"/>
    </w:pPr>
    <w:rPr>
      <w:sz w:val="20"/>
    </w:rPr>
  </w:style>
  <w:style w:type="paragraph" w:styleId="744">
    <w:name w:val="annotation text"/>
    <w:basedOn w:val="737"/>
    <w:link w:val="830"/>
    <w:uiPriority w:val="0"/>
    <w:qFormat/>
    <w:pPr>
      <w:jc w:val="left"/>
    </w:pPr>
    <w:rPr>
      <w:sz w:val="20"/>
    </w:rPr>
  </w:style>
  <w:style w:type="paragraph" w:styleId="745">
    <w:name w:val="Body Text 3"/>
    <w:basedOn w:val="737"/>
    <w:link w:val="831"/>
    <w:uiPriority w:val="0"/>
    <w:qFormat/>
    <w:rPr>
      <w:rFonts w:ascii="仿宋_GB2312" w:hAnsi="Arial" w:eastAsia="仿宋_GB2312"/>
      <w:sz w:val="32"/>
      <w:szCs w:val="32"/>
    </w:rPr>
  </w:style>
  <w:style w:type="paragraph" w:styleId="746">
    <w:name w:val="Body Text"/>
    <w:basedOn w:val="737"/>
    <w:link w:val="832"/>
    <w:uiPriority w:val="0"/>
    <w:qFormat/>
    <w:rPr>
      <w:rFonts w:ascii="楷体_GB2312" w:hAnsi="Arial" w:eastAsia="楷体_GB2312"/>
      <w:sz w:val="28"/>
      <w:szCs w:val="28"/>
    </w:rPr>
  </w:style>
  <w:style w:type="paragraph" w:styleId="747">
    <w:name w:val="Body Text Indent"/>
    <w:basedOn w:val="737"/>
    <w:link w:val="833"/>
    <w:uiPriority w:val="99"/>
    <w:qFormat/>
    <w:pPr>
      <w:ind w:firstLine="645"/>
    </w:pPr>
    <w:rPr>
      <w:rFonts w:ascii="楷体_GB2312" w:eastAsia="楷体_GB2312"/>
      <w:sz w:val="32"/>
      <w:szCs w:val="32"/>
    </w:rPr>
  </w:style>
  <w:style w:type="paragraph" w:styleId="748">
    <w:name w:val="List 2"/>
    <w:basedOn w:val="737"/>
    <w:uiPriority w:val="0"/>
    <w:qFormat/>
    <w:pPr>
      <w:ind w:left="100" w:hanging="200"/>
    </w:pPr>
  </w:style>
  <w:style w:type="paragraph" w:styleId="749">
    <w:name w:val="List Bullet 2"/>
    <w:basedOn w:val="737"/>
    <w:uiPriority w:val="99"/>
    <w:qFormat/>
    <w:pPr>
      <w:ind w:left="780" w:firstLine="200"/>
      <w:tabs>
        <w:tab w:val="left" w:pos="780" w:leader="none"/>
      </w:tabs>
    </w:pPr>
    <w:rPr>
      <w:rFonts w:hAnsi="宋体"/>
      <w:color w:val="000000"/>
      <w:spacing w:val="-8"/>
    </w:rPr>
  </w:style>
  <w:style w:type="paragraph" w:styleId="750">
    <w:name w:val="toc 5"/>
    <w:basedOn w:val="737"/>
    <w:next w:val="737"/>
    <w:uiPriority w:val="0"/>
    <w:semiHidden/>
    <w:qFormat/>
    <w:pPr>
      <w:ind w:left="840"/>
      <w:jc w:val="left"/>
    </w:pPr>
  </w:style>
  <w:style w:type="paragraph" w:styleId="751">
    <w:name w:val="toc 3"/>
    <w:basedOn w:val="737"/>
    <w:next w:val="737"/>
    <w:uiPriority w:val="0"/>
    <w:semiHidden/>
    <w:qFormat/>
    <w:pPr>
      <w:ind w:left="420"/>
      <w:jc w:val="left"/>
    </w:pPr>
    <w:rPr>
      <w:i/>
      <w:iCs/>
      <w:szCs w:val="24"/>
    </w:rPr>
  </w:style>
  <w:style w:type="paragraph" w:styleId="752">
    <w:name w:val="Plain Text"/>
    <w:basedOn w:val="737"/>
    <w:link w:val="834"/>
    <w:uiPriority w:val="0"/>
    <w:qFormat/>
    <w:rPr>
      <w:rFonts w:ascii="宋体" w:hAnsi="Courier New"/>
      <w:sz w:val="20"/>
    </w:rPr>
  </w:style>
  <w:style w:type="paragraph" w:styleId="753">
    <w:name w:val="toc 8"/>
    <w:basedOn w:val="737"/>
    <w:next w:val="737"/>
    <w:uiPriority w:val="0"/>
    <w:semiHidden/>
    <w:qFormat/>
    <w:pPr>
      <w:ind w:left="1470"/>
      <w:jc w:val="left"/>
    </w:pPr>
  </w:style>
  <w:style w:type="paragraph" w:styleId="754">
    <w:name w:val="Date"/>
    <w:basedOn w:val="737"/>
    <w:next w:val="737"/>
    <w:link w:val="835"/>
    <w:uiPriority w:val="0"/>
    <w:qFormat/>
    <w:rPr>
      <w:sz w:val="24"/>
      <w:szCs w:val="24"/>
    </w:rPr>
  </w:style>
  <w:style w:type="paragraph" w:styleId="755">
    <w:name w:val="Body Text Indent 2"/>
    <w:basedOn w:val="737"/>
    <w:link w:val="836"/>
    <w:uiPriority w:val="0"/>
    <w:qFormat/>
    <w:pPr>
      <w:ind w:left="630" w:firstLine="645"/>
    </w:pPr>
    <w:rPr>
      <w:rFonts w:ascii="Arial" w:hAnsi="Arial" w:eastAsia="仿宋_GB2312"/>
      <w:sz w:val="32"/>
      <w:szCs w:val="32"/>
    </w:rPr>
  </w:style>
  <w:style w:type="paragraph" w:styleId="756">
    <w:name w:val="endnote text"/>
    <w:basedOn w:val="737"/>
    <w:link w:val="837"/>
    <w:uiPriority w:val="99"/>
    <w:unhideWhenUsed/>
    <w:qFormat/>
    <w:rPr>
      <w:rFonts w:ascii="Calibri" w:hAnsi="Calibri"/>
      <w:sz w:val="20"/>
      <w:szCs w:val="20"/>
    </w:rPr>
  </w:style>
  <w:style w:type="paragraph" w:styleId="757">
    <w:name w:val="Balloon Text"/>
    <w:basedOn w:val="737"/>
    <w:link w:val="838"/>
    <w:uiPriority w:val="99"/>
    <w:semiHidden/>
    <w:qFormat/>
    <w:rPr>
      <w:sz w:val="18"/>
      <w:szCs w:val="18"/>
    </w:rPr>
  </w:style>
  <w:style w:type="paragraph" w:styleId="758">
    <w:name w:val="toc 1"/>
    <w:basedOn w:val="737"/>
    <w:next w:val="737"/>
    <w:uiPriority w:val="0"/>
    <w:semiHidden/>
    <w:qFormat/>
    <w:pPr>
      <w:jc w:val="left"/>
      <w:spacing w:before="120" w:after="120" w:line="400" w:lineRule="exact"/>
      <w:tabs>
        <w:tab w:val="right" w:pos="8720" w:leader="dot"/>
      </w:tabs>
    </w:pPr>
    <w:rPr>
      <w:rFonts w:ascii="宋体" w:hAnsi="宋体"/>
      <w:caps/>
      <w:sz w:val="24"/>
      <w:szCs w:val="24"/>
    </w:rPr>
  </w:style>
  <w:style w:type="paragraph" w:styleId="759">
    <w:name w:val="toc 4"/>
    <w:basedOn w:val="737"/>
    <w:next w:val="737"/>
    <w:uiPriority w:val="0"/>
    <w:semiHidden/>
    <w:qFormat/>
    <w:pPr>
      <w:ind w:left="630"/>
      <w:jc w:val="left"/>
    </w:pPr>
  </w:style>
  <w:style w:type="paragraph" w:styleId="760">
    <w:name w:val="Subtitle"/>
    <w:basedOn w:val="737"/>
    <w:next w:val="737"/>
    <w:link w:val="841"/>
    <w:uiPriority w:val="11"/>
    <w:qFormat/>
    <w:pPr>
      <w:spacing w:before="200" w:after="200"/>
    </w:pPr>
    <w:rPr>
      <w:rFonts w:ascii="Calibri" w:hAnsi="Calibri"/>
      <w:sz w:val="24"/>
      <w:szCs w:val="24"/>
    </w:rPr>
  </w:style>
  <w:style w:type="paragraph" w:styleId="761">
    <w:name w:val="List"/>
    <w:basedOn w:val="737"/>
    <w:uiPriority w:val="0"/>
    <w:qFormat/>
    <w:pPr>
      <w:ind w:left="200" w:hanging="200"/>
    </w:pPr>
  </w:style>
  <w:style w:type="paragraph" w:styleId="762">
    <w:name w:val="footnote text"/>
    <w:basedOn w:val="737"/>
    <w:link w:val="842"/>
    <w:uiPriority w:val="99"/>
    <w:unhideWhenUsed/>
    <w:qFormat/>
    <w:pPr>
      <w:spacing w:after="40"/>
    </w:pPr>
    <w:rPr>
      <w:rFonts w:ascii="Calibri" w:hAnsi="Calibri"/>
      <w:sz w:val="18"/>
      <w:szCs w:val="20"/>
    </w:rPr>
  </w:style>
  <w:style w:type="paragraph" w:styleId="763">
    <w:name w:val="toc 6"/>
    <w:basedOn w:val="737"/>
    <w:next w:val="737"/>
    <w:uiPriority w:val="0"/>
    <w:semiHidden/>
    <w:qFormat/>
    <w:pPr>
      <w:ind w:left="1050"/>
      <w:jc w:val="left"/>
    </w:pPr>
  </w:style>
  <w:style w:type="paragraph" w:styleId="764">
    <w:name w:val="Body Text Indent 3"/>
    <w:basedOn w:val="737"/>
    <w:link w:val="843"/>
    <w:uiPriority w:val="0"/>
    <w:qFormat/>
    <w:pPr>
      <w:ind w:left="645" w:firstLine="645"/>
    </w:pPr>
    <w:rPr>
      <w:rFonts w:ascii="Arial" w:hAnsi="Arial" w:eastAsia="仿宋_GB2312"/>
      <w:color w:val="ffff00"/>
      <w:sz w:val="32"/>
      <w:szCs w:val="32"/>
    </w:rPr>
  </w:style>
  <w:style w:type="paragraph" w:styleId="765">
    <w:name w:val="table of figures"/>
    <w:basedOn w:val="737"/>
    <w:next w:val="737"/>
    <w:uiPriority w:val="0"/>
    <w:semiHidden/>
    <w:qFormat/>
    <w:pPr>
      <w:ind w:left="840" w:hanging="420"/>
    </w:pPr>
  </w:style>
  <w:style w:type="paragraph" w:styleId="766">
    <w:name w:val="toc 2"/>
    <w:basedOn w:val="737"/>
    <w:next w:val="737"/>
    <w:uiPriority w:val="0"/>
    <w:semiHidden/>
    <w:qFormat/>
    <w:pPr>
      <w:ind w:left="210"/>
      <w:jc w:val="left"/>
    </w:pPr>
    <w:rPr>
      <w:smallCaps/>
      <w:szCs w:val="24"/>
    </w:rPr>
  </w:style>
  <w:style w:type="paragraph" w:styleId="767">
    <w:name w:val="toc 9"/>
    <w:basedOn w:val="737"/>
    <w:next w:val="737"/>
    <w:uiPriority w:val="0"/>
    <w:semiHidden/>
    <w:qFormat/>
    <w:pPr>
      <w:ind w:left="1680"/>
      <w:jc w:val="left"/>
    </w:pPr>
  </w:style>
  <w:style w:type="paragraph" w:styleId="768">
    <w:name w:val="Body Text 2"/>
    <w:basedOn w:val="737"/>
    <w:link w:val="844"/>
    <w:uiPriority w:val="0"/>
    <w:qFormat/>
    <w:pPr>
      <w:jc w:val="center"/>
      <w:widowControl/>
    </w:pPr>
    <w:rPr>
      <w:rFonts w:ascii="楷体_GB2312" w:eastAsia="楷体_GB2312"/>
      <w:sz w:val="28"/>
      <w:szCs w:val="28"/>
    </w:rPr>
  </w:style>
  <w:style w:type="paragraph" w:styleId="769">
    <w:name w:val="Normal (Web)"/>
    <w:basedOn w:val="737"/>
    <w:uiPriority w:val="99"/>
    <w:qFormat/>
    <w:pPr>
      <w:jc w:val="left"/>
      <w:spacing w:before="100" w:beforeAutospacing="1" w:after="100" w:afterAutospacing="1"/>
      <w:widowControl/>
    </w:pPr>
    <w:rPr>
      <w:rFonts w:ascii="宋体" w:hAnsi="宋体" w:cs="宋体"/>
      <w:sz w:val="24"/>
      <w:szCs w:val="24"/>
    </w:rPr>
  </w:style>
  <w:style w:type="paragraph" w:styleId="770">
    <w:name w:val="index 1"/>
    <w:basedOn w:val="737"/>
    <w:next w:val="737"/>
    <w:uiPriority w:val="0"/>
    <w:semiHidden/>
    <w:qFormat/>
    <w:pPr>
      <w:spacing w:line="240" w:lineRule="atLeast"/>
    </w:pPr>
    <w:rPr>
      <w:b/>
      <w:bCs/>
    </w:rPr>
  </w:style>
  <w:style w:type="paragraph" w:styleId="771">
    <w:name w:val="Title"/>
    <w:basedOn w:val="737"/>
    <w:next w:val="737"/>
    <w:link w:val="845"/>
    <w:uiPriority w:val="10"/>
    <w:qFormat/>
    <w:pPr>
      <w:contextualSpacing/>
      <w:spacing w:before="300" w:after="200"/>
    </w:pPr>
    <w:rPr>
      <w:rFonts w:ascii="Calibri" w:hAnsi="Calibri"/>
      <w:sz w:val="48"/>
      <w:szCs w:val="48"/>
    </w:rPr>
  </w:style>
  <w:style w:type="paragraph" w:styleId="772">
    <w:name w:val="annotation subject"/>
    <w:basedOn w:val="744"/>
    <w:next w:val="744"/>
    <w:link w:val="846"/>
    <w:uiPriority w:val="0"/>
    <w:semiHidden/>
    <w:qFormat/>
    <w:rPr>
      <w:b/>
      <w:bCs/>
    </w:rPr>
  </w:style>
  <w:style w:type="paragraph" w:styleId="773">
    <w:name w:val="Body Text First Indent"/>
    <w:basedOn w:val="737"/>
    <w:link w:val="847"/>
    <w:uiPriority w:val="0"/>
    <w:qFormat/>
    <w:pPr>
      <w:ind w:firstLine="200"/>
      <w:spacing w:line="360" w:lineRule="auto"/>
    </w:pPr>
    <w:rPr>
      <w:rFonts w:ascii="仿宋_GB2312" w:eastAsia="仿宋_GB2312"/>
      <w:sz w:val="30"/>
      <w:szCs w:val="30"/>
    </w:rPr>
  </w:style>
  <w:style w:type="paragraph" w:styleId="774">
    <w:name w:val="Body Text First Indent 2"/>
    <w:basedOn w:val="747"/>
    <w:link w:val="848"/>
    <w:uiPriority w:val="99"/>
    <w:qFormat/>
    <w:pPr>
      <w:ind w:firstLine="420"/>
      <w:spacing w:line="360" w:lineRule="auto"/>
    </w:pPr>
    <w:rPr>
      <w:rFonts w:ascii="宋体" w:hAnsi="宋体" w:eastAsia="宋体"/>
      <w:szCs w:val="20"/>
    </w:rPr>
  </w:style>
  <w:style w:type="table" w:styleId="775">
    <w:name w:val="Table Grid"/>
    <w:basedOn w:val="739"/>
    <w:uiPriority w:val="0"/>
    <w:qFormat/>
    <w:pPr>
      <w:jc w:val="both"/>
      <w:widowControl w:val="off"/>
    </w:pPr>
    <w:rPr>
      <w:rFonts w:ascii="Times New Roman" w:hAnsi="Times New Roman"/>
    </w:rPr>
    <w:tblPr>
      <w:tblLayout w:type="fixed"/>
      <w:tblCellMar>
        <w:left w:w="108" w:type="dxa"/>
        <w:top w:w="0" w:type="dxa"/>
        <w:right w:w="108" w:type="dxa"/>
        <w:bottom w:w="0" w:type="dxa"/>
      </w:tblCellMar>
    </w:tblPr>
  </w:style>
  <w:style w:type="character" w:styleId="776">
    <w:name w:val="Strong"/>
    <w:uiPriority w:val="0"/>
    <w:qFormat/>
    <w:rPr>
      <w:b/>
      <w:bCs/>
    </w:rPr>
  </w:style>
  <w:style w:type="character" w:styleId="777">
    <w:name w:val="endnote reference"/>
    <w:uiPriority w:val="99"/>
    <w:unhideWhenUsed/>
    <w:qFormat/>
    <w:rPr>
      <w:vertAlign w:val="superscript"/>
    </w:rPr>
  </w:style>
  <w:style w:type="character" w:styleId="778">
    <w:name w:val="page number"/>
    <w:uiPriority w:val="0"/>
    <w:qFormat/>
  </w:style>
  <w:style w:type="character" w:styleId="779">
    <w:name w:val="Emphasis"/>
    <w:uiPriority w:val="20"/>
    <w:qFormat/>
    <w:rPr>
      <w:i/>
    </w:rPr>
  </w:style>
  <w:style w:type="character" w:styleId="780">
    <w:name w:val="Hyperlink"/>
    <w:uiPriority w:val="0"/>
    <w:qFormat/>
    <w:rPr>
      <w:color w:val="0000ff"/>
      <w:u w:val="single"/>
    </w:rPr>
  </w:style>
  <w:style w:type="character" w:styleId="781">
    <w:name w:val="annotation reference"/>
    <w:uiPriority w:val="99"/>
    <w:semiHidden/>
    <w:qFormat/>
    <w:rPr>
      <w:sz w:val="21"/>
      <w:szCs w:val="21"/>
    </w:rPr>
  </w:style>
  <w:style w:type="character" w:styleId="782">
    <w:name w:val="footnote reference"/>
    <w:uiPriority w:val="99"/>
    <w:unhideWhenUsed/>
    <w:qFormat/>
    <w:rPr>
      <w:vertAlign w:val="superscript"/>
    </w:rPr>
  </w:style>
  <w:style w:type="character" w:styleId="783" w:customStyle="1">
    <w:name w:val="标题 1 Char"/>
    <w:link w:val="784"/>
    <w:uiPriority w:val="99"/>
    <w:qFormat/>
    <w:rPr>
      <w:rFonts w:ascii="楷体_GB2312" w:hAnsi="Times New Roman" w:eastAsia="楷体_GB2312" w:cs="Times New Roman"/>
      <w:sz w:val="28"/>
      <w:szCs w:val="28"/>
    </w:rPr>
  </w:style>
  <w:style w:type="paragraph" w:styleId="784" w:customStyle="1">
    <w:name w:val="Heading 1"/>
    <w:basedOn w:val="737"/>
    <w:next w:val="737"/>
    <w:link w:val="783"/>
    <w:uiPriority w:val="99"/>
    <w:qFormat/>
    <w:pPr>
      <w:jc w:val="center"/>
      <w:keepNext/>
      <w:outlineLvl w:val="0"/>
    </w:pPr>
    <w:rPr>
      <w:rFonts w:ascii="楷体_GB2312" w:eastAsia="楷体_GB2312"/>
      <w:sz w:val="28"/>
      <w:szCs w:val="28"/>
    </w:rPr>
  </w:style>
  <w:style w:type="paragraph" w:styleId="785" w:customStyle="1">
    <w:name w:val="TOC Heading"/>
    <w:uiPriority w:val="39"/>
    <w:unhideWhenUsed/>
    <w:qFormat/>
    <w:rPr>
      <w:rFonts w:ascii="Calibri" w:hAnsi="Calibri" w:eastAsia="宋体" w:cs="Times New Roman"/>
      <w:lang w:val="en-US" w:eastAsia="zh-CN" w:bidi="ar-SA"/>
    </w:rPr>
  </w:style>
  <w:style w:type="paragraph" w:styleId="786" w:customStyle="1">
    <w:name w:val="Heading 2"/>
    <w:basedOn w:val="737"/>
    <w:next w:val="742"/>
    <w:link w:val="820"/>
    <w:uiPriority w:val="0"/>
    <w:qFormat/>
    <w:pPr>
      <w:jc w:val="center"/>
      <w:keepLines/>
      <w:keepNext/>
      <w:spacing w:before="260" w:after="260" w:line="416" w:lineRule="auto"/>
      <w:outlineLvl w:val="1"/>
    </w:pPr>
    <w:rPr>
      <w:rFonts w:ascii="Arial" w:hAnsi="Arial" w:eastAsia="幼圆"/>
      <w:b/>
      <w:bCs/>
      <w:sz w:val="44"/>
      <w:szCs w:val="44"/>
    </w:rPr>
  </w:style>
  <w:style w:type="paragraph" w:styleId="787" w:customStyle="1">
    <w:name w:val="Heading 3"/>
    <w:basedOn w:val="737"/>
    <w:next w:val="742"/>
    <w:link w:val="822"/>
    <w:uiPriority w:val="99"/>
    <w:qFormat/>
    <w:pPr>
      <w:keepLines/>
      <w:keepNext/>
      <w:spacing w:before="260" w:after="260" w:line="416" w:lineRule="auto"/>
      <w:outlineLvl w:val="2"/>
    </w:pPr>
    <w:rPr>
      <w:b/>
      <w:bCs/>
      <w:sz w:val="32"/>
      <w:szCs w:val="32"/>
    </w:rPr>
  </w:style>
  <w:style w:type="paragraph" w:styleId="788" w:customStyle="1">
    <w:name w:val="Heading 4"/>
    <w:basedOn w:val="737"/>
    <w:next w:val="742"/>
    <w:link w:val="823"/>
    <w:uiPriority w:val="99"/>
    <w:qFormat/>
    <w:pPr>
      <w:keepLines/>
      <w:keepNext/>
      <w:spacing w:before="280" w:after="290" w:line="376" w:lineRule="auto"/>
      <w:outlineLvl w:val="3"/>
    </w:pPr>
    <w:rPr>
      <w:rFonts w:ascii="Arial" w:hAnsi="Arial" w:eastAsia="黑体"/>
      <w:b/>
      <w:bCs/>
      <w:sz w:val="28"/>
      <w:szCs w:val="28"/>
    </w:rPr>
  </w:style>
  <w:style w:type="paragraph" w:styleId="789" w:customStyle="1">
    <w:name w:val="Heading 5"/>
    <w:basedOn w:val="737"/>
    <w:next w:val="742"/>
    <w:link w:val="824"/>
    <w:uiPriority w:val="0"/>
    <w:qFormat/>
    <w:pPr>
      <w:keepNext/>
      <w:outlineLvl w:val="4"/>
    </w:pPr>
    <w:rPr>
      <w:rFonts w:ascii="宋体"/>
      <w:color w:val="000000"/>
      <w:sz w:val="28"/>
      <w:szCs w:val="28"/>
    </w:rPr>
  </w:style>
  <w:style w:type="paragraph" w:styleId="790" w:customStyle="1">
    <w:name w:val="Heading 6"/>
    <w:basedOn w:val="737"/>
    <w:next w:val="737"/>
    <w:link w:val="8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1" w:customStyle="1">
    <w:name w:val="Heading 7"/>
    <w:basedOn w:val="737"/>
    <w:next w:val="737"/>
    <w:link w:val="826"/>
    <w:uiPriority w:val="0"/>
    <w:qFormat/>
    <w:pPr>
      <w:numPr>
        <w:ilvl w:val="6"/>
        <w:numId w:val="1"/>
      </w:numPr>
      <w:keepLines/>
      <w:keepNext/>
      <w:spacing w:before="240" w:after="64" w:line="320" w:lineRule="auto"/>
      <w:outlineLvl w:val="6"/>
    </w:pPr>
    <w:rPr>
      <w:b/>
      <w:bCs/>
      <w:sz w:val="24"/>
      <w:szCs w:val="24"/>
    </w:rPr>
  </w:style>
  <w:style w:type="paragraph" w:styleId="792" w:customStyle="1">
    <w:name w:val="Heading 8"/>
    <w:basedOn w:val="737"/>
    <w:next w:val="737"/>
    <w:link w:val="8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3" w:customStyle="1">
    <w:name w:val="Heading 9"/>
    <w:basedOn w:val="737"/>
    <w:next w:val="737"/>
    <w:link w:val="828"/>
    <w:uiPriority w:val="0"/>
    <w:qFormat/>
    <w:pPr>
      <w:numPr>
        <w:ilvl w:val="8"/>
        <w:numId w:val="1"/>
      </w:numPr>
      <w:keepLines/>
      <w:keepNext/>
      <w:spacing w:before="240" w:after="64" w:line="320" w:lineRule="auto"/>
      <w:outlineLvl w:val="8"/>
    </w:pPr>
    <w:rPr>
      <w:rFonts w:ascii="Arial" w:hAnsi="Arial" w:eastAsia="黑体"/>
      <w:sz w:val="20"/>
    </w:rPr>
  </w:style>
  <w:style w:type="paragraph" w:styleId="794" w:customStyle="1">
    <w:name w:val="Caption"/>
    <w:basedOn w:val="737"/>
    <w:next w:val="737"/>
    <w:uiPriority w:val="35"/>
    <w:qFormat/>
    <w:pPr>
      <w:spacing w:line="276" w:lineRule="auto"/>
    </w:pPr>
    <w:rPr>
      <w:b/>
      <w:bCs/>
      <w:color w:val="4f81bd"/>
      <w:sz w:val="18"/>
      <w:szCs w:val="18"/>
    </w:rPr>
  </w:style>
  <w:style w:type="paragraph" w:styleId="795" w:customStyle="1">
    <w:name w:val="Footer"/>
    <w:basedOn w:val="737"/>
    <w:link w:val="839"/>
    <w:uiPriority w:val="99"/>
    <w:qFormat/>
    <w:pPr>
      <w:jc w:val="left"/>
      <w:tabs>
        <w:tab w:val="center" w:pos="4153" w:leader="none"/>
        <w:tab w:val="right" w:pos="8306" w:leader="none"/>
      </w:tabs>
    </w:pPr>
    <w:rPr>
      <w:sz w:val="18"/>
      <w:szCs w:val="18"/>
    </w:rPr>
  </w:style>
  <w:style w:type="paragraph" w:styleId="796" w:customStyle="1">
    <w:name w:val="Header"/>
    <w:basedOn w:val="737"/>
    <w:link w:val="840"/>
    <w:uiPriority w:val="99"/>
    <w:qFormat/>
    <w:pPr>
      <w:jc w:val="center"/>
      <w:tabs>
        <w:tab w:val="center" w:pos="4153" w:leader="none"/>
        <w:tab w:val="right" w:pos="8306" w:leader="none"/>
      </w:tabs>
      <w:pBdr>
        <w:bottom w:val="single" w:color="000000" w:sz="6" w:space="1"/>
      </w:pBdr>
    </w:pPr>
    <w:rPr>
      <w:sz w:val="18"/>
      <w:szCs w:val="18"/>
    </w:rPr>
  </w:style>
  <w:style w:type="paragraph" w:styleId="797" w:customStyle="1">
    <w:name w:val="Heading 11"/>
    <w:basedOn w:val="737"/>
    <w:next w:val="737"/>
    <w:link w:val="886"/>
    <w:uiPriority w:val="9"/>
    <w:qFormat/>
    <w:pPr>
      <w:keepLines/>
      <w:keepNext/>
      <w:spacing w:before="480" w:after="200"/>
      <w:outlineLvl w:val="0"/>
    </w:pPr>
    <w:rPr>
      <w:rFonts w:ascii="Arial" w:hAnsi="Arial" w:eastAsia="Arial"/>
      <w:sz w:val="40"/>
      <w:szCs w:val="40"/>
    </w:rPr>
  </w:style>
  <w:style w:type="paragraph" w:styleId="798" w:customStyle="1">
    <w:name w:val="Heading 21"/>
    <w:basedOn w:val="737"/>
    <w:next w:val="737"/>
    <w:link w:val="887"/>
    <w:uiPriority w:val="9"/>
    <w:unhideWhenUsed/>
    <w:qFormat/>
    <w:pPr>
      <w:keepLines/>
      <w:keepNext/>
      <w:spacing w:before="360" w:after="200"/>
      <w:outlineLvl w:val="1"/>
    </w:pPr>
    <w:rPr>
      <w:rFonts w:ascii="Arial" w:hAnsi="Arial" w:eastAsia="Arial"/>
      <w:sz w:val="34"/>
      <w:szCs w:val="20"/>
    </w:rPr>
  </w:style>
  <w:style w:type="paragraph" w:styleId="799" w:customStyle="1">
    <w:name w:val="Heading 31"/>
    <w:basedOn w:val="737"/>
    <w:next w:val="737"/>
    <w:link w:val="888"/>
    <w:uiPriority w:val="9"/>
    <w:unhideWhenUsed/>
    <w:qFormat/>
    <w:pPr>
      <w:keepLines/>
      <w:keepNext/>
      <w:spacing w:before="320" w:after="200"/>
      <w:outlineLvl w:val="2"/>
    </w:pPr>
    <w:rPr>
      <w:rFonts w:ascii="Arial" w:hAnsi="Arial" w:eastAsia="Arial"/>
      <w:sz w:val="30"/>
      <w:szCs w:val="30"/>
    </w:rPr>
  </w:style>
  <w:style w:type="paragraph" w:styleId="800" w:customStyle="1">
    <w:name w:val="Heading 41"/>
    <w:basedOn w:val="737"/>
    <w:next w:val="737"/>
    <w:link w:val="889"/>
    <w:uiPriority w:val="9"/>
    <w:unhideWhenUsed/>
    <w:qFormat/>
    <w:pPr>
      <w:keepLines/>
      <w:keepNext/>
      <w:spacing w:before="320" w:after="200"/>
      <w:outlineLvl w:val="3"/>
    </w:pPr>
    <w:rPr>
      <w:rFonts w:ascii="Arial" w:hAnsi="Arial" w:eastAsia="Arial"/>
      <w:b/>
      <w:bCs/>
      <w:sz w:val="26"/>
      <w:szCs w:val="26"/>
    </w:rPr>
  </w:style>
  <w:style w:type="paragraph" w:styleId="801" w:customStyle="1">
    <w:name w:val="Heading 51"/>
    <w:basedOn w:val="737"/>
    <w:next w:val="737"/>
    <w:link w:val="890"/>
    <w:uiPriority w:val="9"/>
    <w:unhideWhenUsed/>
    <w:qFormat/>
    <w:pPr>
      <w:keepLines/>
      <w:keepNext/>
      <w:spacing w:before="320" w:after="200"/>
      <w:outlineLvl w:val="4"/>
    </w:pPr>
    <w:rPr>
      <w:rFonts w:ascii="Arial" w:hAnsi="Arial" w:eastAsia="Arial"/>
      <w:b/>
      <w:bCs/>
      <w:sz w:val="24"/>
      <w:szCs w:val="24"/>
    </w:rPr>
  </w:style>
  <w:style w:type="paragraph" w:styleId="802" w:customStyle="1">
    <w:name w:val="Heading 61"/>
    <w:basedOn w:val="737"/>
    <w:next w:val="737"/>
    <w:link w:val="891"/>
    <w:uiPriority w:val="9"/>
    <w:unhideWhenUsed/>
    <w:qFormat/>
    <w:pPr>
      <w:keepLines/>
      <w:keepNext/>
      <w:spacing w:before="320" w:after="200"/>
      <w:outlineLvl w:val="5"/>
    </w:pPr>
    <w:rPr>
      <w:rFonts w:ascii="Arial" w:hAnsi="Arial" w:eastAsia="Arial"/>
      <w:b/>
      <w:bCs/>
      <w:sz w:val="22"/>
      <w:szCs w:val="22"/>
    </w:rPr>
  </w:style>
  <w:style w:type="paragraph" w:styleId="803" w:customStyle="1">
    <w:name w:val="Heading 71"/>
    <w:basedOn w:val="737"/>
    <w:next w:val="737"/>
    <w:link w:val="892"/>
    <w:uiPriority w:val="9"/>
    <w:unhideWhenUsed/>
    <w:qFormat/>
    <w:pPr>
      <w:keepLines/>
      <w:keepNext/>
      <w:spacing w:before="320" w:after="200"/>
      <w:outlineLvl w:val="6"/>
    </w:pPr>
    <w:rPr>
      <w:rFonts w:ascii="Arial" w:hAnsi="Arial" w:eastAsia="Arial"/>
      <w:b/>
      <w:bCs/>
      <w:i/>
      <w:iCs/>
      <w:sz w:val="22"/>
      <w:szCs w:val="22"/>
    </w:rPr>
  </w:style>
  <w:style w:type="paragraph" w:styleId="804" w:customStyle="1">
    <w:name w:val="Heading 81"/>
    <w:basedOn w:val="737"/>
    <w:next w:val="737"/>
    <w:link w:val="893"/>
    <w:uiPriority w:val="9"/>
    <w:unhideWhenUsed/>
    <w:qFormat/>
    <w:pPr>
      <w:keepLines/>
      <w:keepNext/>
      <w:spacing w:before="320" w:after="200"/>
      <w:outlineLvl w:val="7"/>
    </w:pPr>
    <w:rPr>
      <w:rFonts w:ascii="Arial" w:hAnsi="Arial" w:eastAsia="Arial"/>
      <w:i/>
      <w:iCs/>
      <w:sz w:val="22"/>
      <w:szCs w:val="22"/>
    </w:rPr>
  </w:style>
  <w:style w:type="paragraph" w:styleId="805" w:customStyle="1">
    <w:name w:val="Heading 91"/>
    <w:basedOn w:val="737"/>
    <w:next w:val="737"/>
    <w:link w:val="894"/>
    <w:uiPriority w:val="9"/>
    <w:unhideWhenUsed/>
    <w:qFormat/>
    <w:pPr>
      <w:keepLines/>
      <w:keepNext/>
      <w:spacing w:before="320" w:after="200"/>
      <w:outlineLvl w:val="8"/>
    </w:pPr>
    <w:rPr>
      <w:rFonts w:ascii="Arial" w:hAnsi="Arial" w:eastAsia="Arial"/>
      <w:i/>
      <w:iCs/>
    </w:rPr>
  </w:style>
  <w:style w:type="paragraph" w:styleId="806">
    <w:name w:val="List Paragraph"/>
    <w:basedOn w:val="737"/>
    <w:uiPriority w:val="0"/>
    <w:qFormat/>
    <w:pPr>
      <w:contextualSpacing/>
      <w:ind w:left="720"/>
      <w:jc w:val="left"/>
      <w:widowControl/>
    </w:pPr>
    <w:rPr>
      <w:rFonts w:ascii="Calibri" w:hAnsi="Calibri"/>
      <w:sz w:val="24"/>
      <w:szCs w:val="24"/>
      <w:lang w:eastAsia="en-US" w:bidi="en-US"/>
    </w:rPr>
  </w:style>
  <w:style w:type="paragraph" w:styleId="807">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08" w:customStyle="1">
    <w:name w:val="Title Char"/>
    <w:uiPriority w:val="10"/>
    <w:qFormat/>
    <w:rPr>
      <w:sz w:val="48"/>
      <w:szCs w:val="48"/>
    </w:rPr>
  </w:style>
  <w:style w:type="character" w:styleId="809" w:customStyle="1">
    <w:name w:val="Subtitle Char"/>
    <w:uiPriority w:val="11"/>
    <w:qFormat/>
    <w:rPr>
      <w:sz w:val="24"/>
      <w:szCs w:val="24"/>
    </w:rPr>
  </w:style>
  <w:style w:type="paragraph" w:styleId="810">
    <w:name w:val="Quote"/>
    <w:basedOn w:val="737"/>
    <w:next w:val="737"/>
    <w:link w:val="895"/>
    <w:uiPriority w:val="29"/>
    <w:qFormat/>
    <w:pPr>
      <w:ind w:left="720" w:right="720"/>
    </w:pPr>
    <w:rPr>
      <w:rFonts w:ascii="Calibri" w:hAnsi="Calibri"/>
      <w:i/>
      <w:sz w:val="20"/>
      <w:szCs w:val="20"/>
    </w:rPr>
  </w:style>
  <w:style w:type="character" w:styleId="811" w:customStyle="1">
    <w:name w:val="Quote Char"/>
    <w:uiPriority w:val="29"/>
    <w:qFormat/>
    <w:rPr>
      <w:i/>
    </w:rPr>
  </w:style>
  <w:style w:type="paragraph" w:styleId="812">
    <w:name w:val="Intense Quote"/>
    <w:basedOn w:val="737"/>
    <w:next w:val="737"/>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rPr>
  </w:style>
  <w:style w:type="character" w:styleId="813" w:customStyle="1">
    <w:name w:val="Intense Quote Char"/>
    <w:uiPriority w:val="30"/>
    <w:qFormat/>
    <w:rPr>
      <w:i/>
    </w:rPr>
  </w:style>
  <w:style w:type="paragraph" w:styleId="814" w:customStyle="1">
    <w:name w:val="Header1"/>
    <w:basedOn w:val="737"/>
    <w:link w:val="897"/>
    <w:uiPriority w:val="99"/>
    <w:unhideWhenUsed/>
    <w:qFormat/>
    <w:pPr>
      <w:tabs>
        <w:tab w:val="center" w:pos="7143" w:leader="none"/>
        <w:tab w:val="right" w:pos="14287" w:leader="none"/>
      </w:tabs>
    </w:pPr>
  </w:style>
  <w:style w:type="paragraph" w:styleId="815" w:customStyle="1">
    <w:name w:val="Footer1"/>
    <w:basedOn w:val="737"/>
    <w:link w:val="899"/>
    <w:uiPriority w:val="99"/>
    <w:unhideWhenUsed/>
    <w:qFormat/>
    <w:pPr>
      <w:tabs>
        <w:tab w:val="center" w:pos="7143" w:leader="none"/>
        <w:tab w:val="right" w:pos="14287" w:leader="none"/>
      </w:tabs>
    </w:pPr>
  </w:style>
  <w:style w:type="paragraph" w:styleId="816" w:customStyle="1">
    <w:name w:val="Caption1"/>
    <w:basedOn w:val="737"/>
    <w:next w:val="737"/>
    <w:uiPriority w:val="35"/>
    <w:semiHidden/>
    <w:unhideWhenUsed/>
    <w:qFormat/>
    <w:pPr>
      <w:spacing w:line="276" w:lineRule="auto"/>
    </w:pPr>
    <w:rPr>
      <w:b/>
      <w:bCs/>
      <w:color w:val="4f81bd"/>
      <w:sz w:val="18"/>
      <w:szCs w:val="18"/>
    </w:r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标题1"/>
    <w:uiPriority w:val="39"/>
    <w:unhideWhenUsed/>
    <w:qFormat/>
    <w:rPr>
      <w:rFonts w:ascii="Calibri" w:hAnsi="Calibri" w:eastAsia="宋体" w:cs="Times New Roman"/>
      <w:lang w:val="en-US" w:eastAsia="zh-CN" w:bidi="ar-SA"/>
    </w:rPr>
  </w:style>
  <w:style w:type="character" w:styleId="820" w:customStyle="1">
    <w:name w:val="标题 2 Char"/>
    <w:link w:val="786"/>
    <w:uiPriority w:val="0"/>
    <w:qFormat/>
    <w:rPr>
      <w:rFonts w:ascii="Arial" w:hAnsi="Arial" w:eastAsia="幼圆" w:cs="Arial"/>
      <w:b/>
      <w:bCs/>
      <w:sz w:val="44"/>
      <w:szCs w:val="44"/>
    </w:rPr>
  </w:style>
  <w:style w:type="character" w:styleId="821" w:customStyle="1">
    <w:name w:val="正文缩进 Char"/>
    <w:link w:val="742"/>
    <w:uiPriority w:val="0"/>
    <w:qFormat/>
    <w:rPr>
      <w:rFonts w:ascii="Times New Roman" w:hAnsi="Times New Roman" w:eastAsia="宋体" w:cs="Times New Roman"/>
      <w:szCs w:val="21"/>
    </w:rPr>
  </w:style>
  <w:style w:type="character" w:styleId="822" w:customStyle="1">
    <w:name w:val="标题 3 Char"/>
    <w:link w:val="787"/>
    <w:uiPriority w:val="99"/>
    <w:qFormat/>
    <w:rPr>
      <w:rFonts w:ascii="Times New Roman" w:hAnsi="Times New Roman" w:eastAsia="宋体" w:cs="Times New Roman"/>
      <w:b/>
      <w:bCs/>
      <w:sz w:val="32"/>
      <w:szCs w:val="32"/>
    </w:rPr>
  </w:style>
  <w:style w:type="character" w:styleId="823" w:customStyle="1">
    <w:name w:val="标题 4 Char"/>
    <w:link w:val="788"/>
    <w:uiPriority w:val="99"/>
    <w:qFormat/>
    <w:rPr>
      <w:rFonts w:ascii="Arial" w:hAnsi="Arial" w:eastAsia="黑体" w:cs="Arial"/>
      <w:b/>
      <w:bCs/>
      <w:sz w:val="28"/>
      <w:szCs w:val="28"/>
    </w:rPr>
  </w:style>
  <w:style w:type="character" w:styleId="824" w:customStyle="1">
    <w:name w:val="标题 5 Char"/>
    <w:link w:val="789"/>
    <w:uiPriority w:val="0"/>
    <w:qFormat/>
    <w:rPr>
      <w:rFonts w:ascii="宋体" w:hAnsi="Times New Roman" w:eastAsia="宋体" w:cs="Times New Roman"/>
      <w:color w:val="000000"/>
      <w:sz w:val="28"/>
      <w:szCs w:val="28"/>
    </w:rPr>
  </w:style>
  <w:style w:type="character" w:styleId="825" w:customStyle="1">
    <w:name w:val="标题 6 Char"/>
    <w:link w:val="790"/>
    <w:uiPriority w:val="0"/>
    <w:qFormat/>
    <w:rPr>
      <w:rFonts w:ascii="Arial" w:hAnsi="Arial" w:eastAsia="黑体" w:cs="Times New Roman"/>
      <w:b/>
      <w:bCs/>
      <w:sz w:val="24"/>
      <w:szCs w:val="24"/>
    </w:rPr>
  </w:style>
  <w:style w:type="character" w:styleId="826" w:customStyle="1">
    <w:name w:val="标题 7 Char"/>
    <w:link w:val="791"/>
    <w:uiPriority w:val="0"/>
    <w:qFormat/>
    <w:rPr>
      <w:rFonts w:ascii="Times New Roman" w:hAnsi="Times New Roman" w:eastAsia="宋体" w:cs="Times New Roman"/>
      <w:b/>
      <w:bCs/>
      <w:sz w:val="24"/>
      <w:szCs w:val="24"/>
    </w:rPr>
  </w:style>
  <w:style w:type="character" w:styleId="827" w:customStyle="1">
    <w:name w:val="标题 8 Char"/>
    <w:link w:val="792"/>
    <w:uiPriority w:val="0"/>
    <w:qFormat/>
    <w:rPr>
      <w:rFonts w:ascii="Arial" w:hAnsi="Arial" w:eastAsia="黑体" w:cs="Times New Roman"/>
      <w:sz w:val="24"/>
      <w:szCs w:val="24"/>
    </w:rPr>
  </w:style>
  <w:style w:type="character" w:styleId="828" w:customStyle="1">
    <w:name w:val="标题 9 Char"/>
    <w:link w:val="793"/>
    <w:uiPriority w:val="0"/>
    <w:qFormat/>
    <w:rPr>
      <w:rFonts w:ascii="Arial" w:hAnsi="Arial" w:eastAsia="黑体" w:cs="Times New Roman"/>
      <w:szCs w:val="21"/>
    </w:rPr>
  </w:style>
  <w:style w:type="character" w:styleId="829" w:customStyle="1">
    <w:name w:val="文档结构图 Char"/>
    <w:link w:val="743"/>
    <w:uiPriority w:val="0"/>
    <w:semiHidden/>
    <w:qFormat/>
    <w:rPr>
      <w:rFonts w:ascii="Times New Roman" w:hAnsi="Times New Roman" w:eastAsia="宋体" w:cs="Times New Roman"/>
      <w:szCs w:val="21"/>
      <w:shd w:val="clear" w:color="auto" w:fill="000080"/>
    </w:rPr>
  </w:style>
  <w:style w:type="character" w:styleId="830" w:customStyle="1">
    <w:name w:val="批注文字 Char"/>
    <w:link w:val="744"/>
    <w:uiPriority w:val="0"/>
    <w:qFormat/>
    <w:rPr>
      <w:rFonts w:ascii="Times New Roman" w:hAnsi="Times New Roman" w:eastAsia="宋体" w:cs="Times New Roman"/>
      <w:szCs w:val="21"/>
    </w:rPr>
  </w:style>
  <w:style w:type="character" w:styleId="831" w:customStyle="1">
    <w:name w:val="正文文本 3 Char"/>
    <w:link w:val="745"/>
    <w:uiPriority w:val="0"/>
    <w:qFormat/>
    <w:rPr>
      <w:rFonts w:ascii="仿宋_GB2312" w:hAnsi="Arial" w:eastAsia="仿宋_GB2312" w:cs="Times New Roman"/>
      <w:sz w:val="32"/>
      <w:szCs w:val="32"/>
    </w:rPr>
  </w:style>
  <w:style w:type="character" w:styleId="832" w:customStyle="1">
    <w:name w:val="正文文本 Char"/>
    <w:link w:val="746"/>
    <w:uiPriority w:val="0"/>
    <w:qFormat/>
    <w:rPr>
      <w:rFonts w:ascii="楷体_GB2312" w:hAnsi="Arial" w:eastAsia="楷体_GB2312" w:cs="Times New Roman"/>
      <w:sz w:val="28"/>
      <w:szCs w:val="28"/>
    </w:rPr>
  </w:style>
  <w:style w:type="character" w:styleId="833" w:customStyle="1">
    <w:name w:val="正文文本缩进 Char"/>
    <w:link w:val="747"/>
    <w:uiPriority w:val="99"/>
    <w:qFormat/>
    <w:rPr>
      <w:rFonts w:ascii="楷体_GB2312" w:hAnsi="Times New Roman" w:eastAsia="楷体_GB2312" w:cs="Times New Roman"/>
      <w:sz w:val="32"/>
      <w:szCs w:val="32"/>
    </w:rPr>
  </w:style>
  <w:style w:type="character" w:styleId="834" w:customStyle="1">
    <w:name w:val="纯文本 Char"/>
    <w:link w:val="752"/>
    <w:uiPriority w:val="0"/>
    <w:qFormat/>
    <w:rPr>
      <w:rFonts w:ascii="宋体" w:hAnsi="Courier New" w:eastAsia="宋体" w:cs="Courier New"/>
      <w:szCs w:val="21"/>
    </w:rPr>
  </w:style>
  <w:style w:type="character" w:styleId="835" w:customStyle="1">
    <w:name w:val="日期 Char"/>
    <w:link w:val="754"/>
    <w:uiPriority w:val="0"/>
    <w:qFormat/>
    <w:rPr>
      <w:rFonts w:ascii="Times New Roman" w:hAnsi="Times New Roman" w:eastAsia="宋体" w:cs="Times New Roman"/>
      <w:sz w:val="24"/>
      <w:szCs w:val="24"/>
    </w:rPr>
  </w:style>
  <w:style w:type="character" w:styleId="836" w:customStyle="1">
    <w:name w:val="正文文本缩进 2 Char"/>
    <w:link w:val="755"/>
    <w:uiPriority w:val="0"/>
    <w:qFormat/>
    <w:rPr>
      <w:rFonts w:ascii="Arial" w:hAnsi="Arial" w:eastAsia="仿宋_GB2312" w:cs="Arial"/>
      <w:sz w:val="32"/>
      <w:szCs w:val="32"/>
    </w:rPr>
  </w:style>
  <w:style w:type="character" w:styleId="837" w:customStyle="1">
    <w:name w:val="尾注文本 Char"/>
    <w:link w:val="756"/>
    <w:uiPriority w:val="99"/>
    <w:qFormat/>
    <w:rPr>
      <w:rFonts w:ascii="Times New Roman" w:hAnsi="Times New Roman"/>
      <w:szCs w:val="21"/>
    </w:rPr>
  </w:style>
  <w:style w:type="character" w:styleId="838" w:customStyle="1">
    <w:name w:val="批注框文本 Char"/>
    <w:link w:val="757"/>
    <w:uiPriority w:val="99"/>
    <w:semiHidden/>
    <w:qFormat/>
    <w:rPr>
      <w:rFonts w:ascii="Times New Roman" w:hAnsi="Times New Roman" w:eastAsia="宋体" w:cs="Times New Roman"/>
      <w:sz w:val="18"/>
      <w:szCs w:val="18"/>
    </w:rPr>
  </w:style>
  <w:style w:type="character" w:styleId="839" w:customStyle="1">
    <w:name w:val="页脚 Char"/>
    <w:link w:val="795"/>
    <w:uiPriority w:val="99"/>
    <w:qFormat/>
    <w:rPr>
      <w:rFonts w:ascii="Times New Roman" w:hAnsi="Times New Roman" w:eastAsia="宋体" w:cs="Times New Roman"/>
      <w:sz w:val="18"/>
      <w:szCs w:val="18"/>
    </w:rPr>
  </w:style>
  <w:style w:type="character" w:styleId="840" w:customStyle="1">
    <w:name w:val="页眉 Char"/>
    <w:link w:val="796"/>
    <w:uiPriority w:val="99"/>
    <w:qFormat/>
    <w:rPr>
      <w:rFonts w:ascii="Times New Roman" w:hAnsi="Times New Roman" w:eastAsia="宋体" w:cs="Times New Roman"/>
      <w:sz w:val="18"/>
      <w:szCs w:val="18"/>
    </w:rPr>
  </w:style>
  <w:style w:type="character" w:styleId="841" w:customStyle="1">
    <w:name w:val="副标题 Char"/>
    <w:link w:val="760"/>
    <w:uiPriority w:val="11"/>
    <w:qFormat/>
    <w:rPr>
      <w:rFonts w:ascii="Times New Roman" w:hAnsi="Times New Roman"/>
      <w:sz w:val="24"/>
      <w:szCs w:val="24"/>
    </w:rPr>
  </w:style>
  <w:style w:type="character" w:styleId="842" w:customStyle="1">
    <w:name w:val="脚注文本 Char"/>
    <w:link w:val="762"/>
    <w:uiPriority w:val="99"/>
    <w:qFormat/>
    <w:rPr>
      <w:rFonts w:ascii="Times New Roman" w:hAnsi="Times New Roman"/>
      <w:sz w:val="18"/>
      <w:szCs w:val="21"/>
    </w:rPr>
  </w:style>
  <w:style w:type="character" w:styleId="843" w:customStyle="1">
    <w:name w:val="正文文本缩进 3 Char"/>
    <w:link w:val="764"/>
    <w:uiPriority w:val="0"/>
    <w:qFormat/>
    <w:rPr>
      <w:rFonts w:ascii="Arial" w:hAnsi="Arial" w:eastAsia="仿宋_GB2312" w:cs="Arial"/>
      <w:color w:val="ffff00"/>
      <w:sz w:val="32"/>
      <w:szCs w:val="32"/>
    </w:rPr>
  </w:style>
  <w:style w:type="character" w:styleId="844" w:customStyle="1">
    <w:name w:val="正文文本 2 Char"/>
    <w:link w:val="768"/>
    <w:uiPriority w:val="0"/>
    <w:qFormat/>
    <w:rPr>
      <w:rFonts w:ascii="楷体_GB2312" w:hAnsi="Times New Roman" w:eastAsia="楷体_GB2312" w:cs="Times New Roman"/>
      <w:sz w:val="28"/>
      <w:szCs w:val="28"/>
    </w:rPr>
  </w:style>
  <w:style w:type="character" w:styleId="845" w:customStyle="1">
    <w:name w:val="标题 Char"/>
    <w:link w:val="771"/>
    <w:uiPriority w:val="10"/>
    <w:qFormat/>
    <w:rPr>
      <w:rFonts w:ascii="Times New Roman" w:hAnsi="Times New Roman"/>
      <w:sz w:val="48"/>
      <w:szCs w:val="48"/>
    </w:rPr>
  </w:style>
  <w:style w:type="character" w:styleId="846" w:customStyle="1">
    <w:name w:val="批注主题 Char"/>
    <w:link w:val="772"/>
    <w:uiPriority w:val="0"/>
    <w:semiHidden/>
    <w:qFormat/>
    <w:rPr>
      <w:rFonts w:ascii="Times New Roman" w:hAnsi="Times New Roman" w:eastAsia="宋体" w:cs="Times New Roman"/>
      <w:b/>
      <w:bCs/>
      <w:szCs w:val="21"/>
    </w:rPr>
  </w:style>
  <w:style w:type="character" w:styleId="847" w:customStyle="1">
    <w:name w:val="正文首行缩进 Char"/>
    <w:link w:val="773"/>
    <w:uiPriority w:val="0"/>
    <w:qFormat/>
    <w:rPr>
      <w:rFonts w:ascii="仿宋_GB2312" w:hAnsi="Times New Roman" w:eastAsia="仿宋_GB2312" w:cs="Times New Roman"/>
      <w:sz w:val="30"/>
      <w:szCs w:val="30"/>
    </w:rPr>
  </w:style>
  <w:style w:type="character" w:styleId="848" w:customStyle="1">
    <w:name w:val="正文首行缩进 2 Char"/>
    <w:link w:val="774"/>
    <w:uiPriority w:val="99"/>
    <w:qFormat/>
    <w:rPr>
      <w:rFonts w:ascii="宋体" w:hAnsi="宋体" w:eastAsia="宋体" w:cs="Times New Roman"/>
      <w:sz w:val="32"/>
      <w:szCs w:val="20"/>
    </w:rPr>
  </w:style>
  <w:style w:type="character" w:styleId="849" w:customStyle="1">
    <w:name w:val="访问过的超链接"/>
    <w:uiPriority w:val="0"/>
    <w:qFormat/>
    <w:rPr>
      <w:color w:val="800080"/>
      <w:u w:val="single"/>
    </w:rPr>
  </w:style>
  <w:style w:type="character" w:styleId="850" w:customStyle="1">
    <w:name w:val="font5 Char"/>
    <w:uiPriority w:val="0"/>
    <w:qFormat/>
    <w:rPr>
      <w:rFonts w:ascii="宋体" w:hAnsi="宋体" w:eastAsia="宋体"/>
      <w:sz w:val="28"/>
      <w:szCs w:val="28"/>
      <w:lang w:val="en-US" w:eastAsia="zh-CN" w:bidi="ar-SA"/>
    </w:rPr>
  </w:style>
  <w:style w:type="character" w:styleId="851" w:customStyle="1">
    <w:name w:val="二级目录 Char"/>
    <w:link w:val="852"/>
    <w:uiPriority w:val="0"/>
    <w:qFormat/>
    <w:rPr>
      <w:b/>
      <w:sz w:val="30"/>
      <w:szCs w:val="28"/>
      <w:lang w:val="en-US" w:eastAsia="zh-CN" w:bidi="ar-SA"/>
    </w:rPr>
  </w:style>
  <w:style w:type="paragraph" w:styleId="852" w:customStyle="1">
    <w:name w:val="二级目录"/>
    <w:next w:val="737"/>
    <w:link w:val="85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853" w:customStyle="1">
    <w:name w:val="列出段落 Char"/>
    <w:link w:val="854"/>
    <w:uiPriority w:val="0"/>
    <w:qFormat/>
    <w:rPr>
      <w:rFonts w:ascii="Calibri" w:hAnsi="Calibri"/>
      <w:sz w:val="24"/>
      <w:szCs w:val="24"/>
      <w:lang w:eastAsia="en-US" w:bidi="en-US"/>
    </w:rPr>
  </w:style>
  <w:style w:type="paragraph" w:styleId="854" w:customStyle="1">
    <w:name w:val="列出段落1"/>
    <w:basedOn w:val="737"/>
    <w:link w:val="853"/>
    <w:uiPriority w:val="0"/>
    <w:qFormat/>
    <w:pPr>
      <w:contextualSpacing/>
      <w:ind w:left="720"/>
      <w:jc w:val="left"/>
      <w:widowControl/>
    </w:pPr>
    <w:rPr>
      <w:rFonts w:ascii="Calibri" w:hAnsi="Calibri"/>
      <w:sz w:val="24"/>
      <w:szCs w:val="24"/>
      <w:lang w:eastAsia="en-US" w:bidi="en-US"/>
    </w:rPr>
  </w:style>
  <w:style w:type="paragraph" w:styleId="855" w:customStyle="1">
    <w:name w:val="Body Text(ch)"/>
    <w:basedOn w:val="737"/>
    <w:next w:val="746"/>
    <w:uiPriority w:val="0"/>
    <w:qFormat/>
    <w:pPr>
      <w:spacing w:after="120"/>
    </w:pPr>
    <w:rPr>
      <w:rFonts w:ascii="宋体" w:hAnsi="Arial"/>
      <w:bCs/>
      <w:iCs/>
      <w:szCs w:val="24"/>
    </w:rPr>
  </w:style>
  <w:style w:type="paragraph" w:styleId="856" w:customStyle="1">
    <w:name w:val="xl27"/>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7" w:customStyle="1">
    <w:name w:val="xl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8" w:customStyle="1">
    <w:name w:val="Char"/>
    <w:basedOn w:val="737"/>
    <w:uiPriority w:val="0"/>
    <w:qFormat/>
    <w:pPr>
      <w:ind w:firstLine="200"/>
      <w:tabs>
        <w:tab w:val="left" w:pos="360" w:leader="none"/>
      </w:tabs>
    </w:pPr>
    <w:rPr>
      <w:sz w:val="28"/>
      <w:szCs w:val="30"/>
    </w:rPr>
  </w:style>
  <w:style w:type="paragraph" w:styleId="859" w:customStyle="1">
    <w:name w:val="Char11"/>
    <w:basedOn w:val="743"/>
    <w:uiPriority w:val="0"/>
    <w:qFormat/>
    <w:rPr>
      <w:rFonts w:ascii="Tahoma" w:hAnsi="Tahoma"/>
      <w:sz w:val="24"/>
      <w:szCs w:val="24"/>
    </w:rPr>
  </w:style>
  <w:style w:type="paragraph" w:styleId="860" w:customStyle="1">
    <w:name w:val="普通正文"/>
    <w:basedOn w:val="737"/>
    <w:link w:val="861"/>
    <w:uiPriority w:val="99"/>
    <w:qFormat/>
    <w:pPr>
      <w:ind w:firstLine="480"/>
      <w:jc w:val="left"/>
      <w:spacing w:before="120" w:after="120" w:line="360" w:lineRule="auto"/>
    </w:pPr>
    <w:rPr>
      <w:rFonts w:ascii="Arial" w:hAnsi="Arial"/>
      <w:sz w:val="24"/>
      <w:szCs w:val="24"/>
    </w:rPr>
  </w:style>
  <w:style w:type="character" w:styleId="861" w:customStyle="1">
    <w:name w:val="普通正文 Char"/>
    <w:link w:val="860"/>
    <w:uiPriority w:val="99"/>
    <w:qFormat/>
    <w:rPr>
      <w:rFonts w:ascii="Arial" w:hAnsi="Arial"/>
      <w:sz w:val="24"/>
      <w:szCs w:val="24"/>
    </w:rPr>
  </w:style>
  <w:style w:type="paragraph" w:styleId="862" w:customStyle="1">
    <w:name w:val="table_lines"/>
    <w:basedOn w:val="737"/>
    <w:uiPriority w:val="0"/>
    <w:qFormat/>
    <w:pPr>
      <w:jc w:val="left"/>
      <w:widowControl/>
    </w:pPr>
    <w:rPr>
      <w:sz w:val="20"/>
      <w:szCs w:val="20"/>
      <w:lang w:val="de-DE" w:eastAsia="de-DE"/>
    </w:rPr>
  </w:style>
  <w:style w:type="paragraph" w:styleId="86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864" w:customStyle="1">
    <w:name w:val="font7"/>
    <w:basedOn w:val="737"/>
    <w:uiPriority w:val="0"/>
    <w:qFormat/>
    <w:pPr>
      <w:jc w:val="left"/>
      <w:spacing w:before="100" w:beforeAutospacing="1" w:after="100" w:afterAutospacing="1"/>
      <w:widowControl/>
    </w:pPr>
    <w:rPr>
      <w:rFonts w:hint="eastAsia" w:ascii="宋体" w:hAnsi="宋体"/>
      <w:sz w:val="18"/>
      <w:szCs w:val="18"/>
    </w:rPr>
  </w:style>
  <w:style w:type="paragraph" w:styleId="865" w:customStyle="1">
    <w:name w:val="Char Char Char Char"/>
    <w:basedOn w:val="743"/>
    <w:uiPriority w:val="0"/>
    <w:qFormat/>
    <w:pPr>
      <w:spacing w:line="360" w:lineRule="auto"/>
    </w:pPr>
    <w:rPr>
      <w:rFonts w:ascii="Tahoma" w:hAnsi="Tahoma"/>
      <w:sz w:val="24"/>
      <w:szCs w:val="24"/>
    </w:rPr>
  </w:style>
  <w:style w:type="paragraph" w:styleId="866" w:customStyle="1">
    <w:name w:val="4"/>
    <w:basedOn w:val="737"/>
    <w:next w:val="764"/>
    <w:uiPriority w:val="0"/>
    <w:qFormat/>
    <w:pPr>
      <w:ind w:firstLine="420"/>
      <w:spacing w:line="360" w:lineRule="auto"/>
    </w:pPr>
    <w:rPr>
      <w:color w:val="ff0000"/>
      <w:sz w:val="24"/>
      <w:szCs w:val="24"/>
    </w:rPr>
  </w:style>
  <w:style w:type="paragraph" w:styleId="867"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868" w:customStyle="1">
    <w:name w:val="Char Char Char Char Char Char Char Char Char Char"/>
    <w:basedOn w:val="737"/>
    <w:uiPriority w:val="0"/>
    <w:qFormat/>
    <w:pPr>
      <w:spacing w:line="360" w:lineRule="auto"/>
    </w:pPr>
    <w:rPr>
      <w:sz w:val="24"/>
      <w:szCs w:val="20"/>
    </w:rPr>
  </w:style>
  <w:style w:type="paragraph" w:styleId="869" w:customStyle="1">
    <w:name w:val="样式1"/>
    <w:basedOn w:val="737"/>
    <w:uiPriority w:val="0"/>
    <w:qFormat/>
    <w:pPr>
      <w:numPr>
        <w:ilvl w:val="0"/>
        <w:numId w:val="3"/>
      </w:numPr>
    </w:pPr>
    <w:rPr>
      <w:rFonts w:ascii="宋体" w:hAnsi="宋体"/>
    </w:rPr>
  </w:style>
  <w:style w:type="paragraph" w:styleId="870" w:customStyle="1">
    <w:name w:val="font6"/>
    <w:basedOn w:val="737"/>
    <w:uiPriority w:val="0"/>
    <w:qFormat/>
    <w:pPr>
      <w:jc w:val="left"/>
      <w:spacing w:before="100" w:beforeAutospacing="1" w:after="100" w:afterAutospacing="1"/>
      <w:widowControl/>
    </w:pPr>
    <w:rPr>
      <w:rFonts w:hint="eastAsia" w:ascii="宋体" w:hAnsi="宋体"/>
      <w:sz w:val="28"/>
      <w:szCs w:val="28"/>
      <w:u w:val="single"/>
    </w:rPr>
  </w:style>
  <w:style w:type="paragraph" w:styleId="871" w:customStyle="1">
    <w:name w:val="xl25"/>
    <w:basedOn w:val="73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2" w:customStyle="1">
    <w:name w:val="图标"/>
    <w:basedOn w:val="737"/>
    <w:next w:val="73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3" w:customStyle="1">
    <w:name w:val="标题3"/>
    <w:basedOn w:val="737"/>
    <w:next w:val="737"/>
    <w:uiPriority w:val="0"/>
    <w:qFormat/>
    <w:pPr>
      <w:ind w:firstLine="624"/>
      <w:spacing w:line="590" w:lineRule="atLeast"/>
    </w:pPr>
    <w:rPr>
      <w:rFonts w:ascii="方正黑体_GBK" w:eastAsia="方正黑体_GBK"/>
      <w:sz w:val="32"/>
      <w:szCs w:val="32"/>
    </w:rPr>
  </w:style>
  <w:style w:type="paragraph" w:styleId="874" w:customStyle="1">
    <w:name w:val="xl24"/>
    <w:basedOn w:val="7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5" w:customStyle="1">
    <w:name w:val="xl29"/>
    <w:basedOn w:val="73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6" w:customStyle="1">
    <w:name w:val="Char Char Char Char Char Char Char Char"/>
    <w:basedOn w:val="737"/>
    <w:uiPriority w:val="0"/>
    <w:qFormat/>
    <w:pPr>
      <w:jc w:val="left"/>
      <w:spacing w:after="160" w:line="240" w:lineRule="exact"/>
      <w:widowControl/>
    </w:pPr>
    <w:rPr>
      <w:rFonts w:ascii="Verdana" w:hAnsi="Verdana"/>
      <w:sz w:val="20"/>
      <w:szCs w:val="20"/>
      <w:lang w:eastAsia="en-US"/>
    </w:rPr>
  </w:style>
  <w:style w:type="paragraph" w:styleId="877" w:customStyle="1">
    <w:name w:val="xl2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8" w:customStyle="1">
    <w:name w:val="Char Char Char Char Char Char Char Char11"/>
    <w:basedOn w:val="737"/>
    <w:uiPriority w:val="0"/>
    <w:qFormat/>
    <w:pPr>
      <w:jc w:val="left"/>
      <w:spacing w:after="160" w:line="240" w:lineRule="exact"/>
      <w:widowControl/>
    </w:pPr>
    <w:rPr>
      <w:rFonts w:ascii="Verdana" w:hAnsi="Verdana"/>
      <w:sz w:val="20"/>
      <w:szCs w:val="20"/>
      <w:lang w:eastAsia="en-US"/>
    </w:rPr>
  </w:style>
  <w:style w:type="paragraph" w:styleId="879" w:customStyle="1">
    <w:name w:val="xl30"/>
    <w:basedOn w:val="737"/>
    <w:uiPriority w:val="0"/>
    <w:qFormat/>
    <w:pPr>
      <w:jc w:val="center"/>
      <w:spacing w:before="100" w:beforeAutospacing="1" w:after="100" w:afterAutospacing="1"/>
      <w:widowControl/>
    </w:pPr>
    <w:rPr>
      <w:rFonts w:ascii="宋体" w:hAnsi="宋体"/>
      <w:b/>
      <w:bCs/>
      <w:sz w:val="36"/>
      <w:szCs w:val="36"/>
    </w:rPr>
  </w:style>
  <w:style w:type="paragraph" w:styleId="880" w:customStyle="1">
    <w:name w:val="Char Char Char Char11"/>
    <w:basedOn w:val="743"/>
    <w:uiPriority w:val="0"/>
    <w:qFormat/>
    <w:pPr>
      <w:spacing w:line="360" w:lineRule="auto"/>
    </w:pPr>
    <w:rPr>
      <w:rFonts w:ascii="Tahoma" w:hAnsi="Tahoma"/>
      <w:sz w:val="24"/>
      <w:szCs w:val="24"/>
    </w:rPr>
  </w:style>
  <w:style w:type="paragraph" w:styleId="881" w:customStyle="1">
    <w:name w:val="table_1stline"/>
    <w:basedOn w:val="737"/>
    <w:uiPriority w:val="0"/>
    <w:qFormat/>
    <w:pPr>
      <w:jc w:val="left"/>
      <w:spacing w:before="120"/>
      <w:widowControl/>
    </w:pPr>
    <w:rPr>
      <w:bCs/>
      <w:sz w:val="20"/>
      <w:szCs w:val="20"/>
      <w:lang w:val="de-DE" w:eastAsia="de-DE"/>
    </w:rPr>
  </w:style>
  <w:style w:type="paragraph" w:styleId="882" w:customStyle="1">
    <w:name w:val="font5"/>
    <w:basedOn w:val="737"/>
    <w:uiPriority w:val="0"/>
    <w:qFormat/>
    <w:pPr>
      <w:jc w:val="left"/>
      <w:spacing w:before="100" w:beforeAutospacing="1" w:after="100" w:afterAutospacing="1"/>
      <w:widowControl/>
    </w:pPr>
    <w:rPr>
      <w:rFonts w:hint="eastAsia" w:ascii="宋体" w:hAnsi="宋体"/>
      <w:sz w:val="28"/>
      <w:szCs w:val="28"/>
    </w:rPr>
  </w:style>
  <w:style w:type="paragraph" w:styleId="883" w:customStyle="1">
    <w:name w:val="标题1"/>
    <w:basedOn w:val="737"/>
    <w:next w:val="73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4" w:customStyle="1">
    <w:name w:val="修订1"/>
    <w:uiPriority w:val="99"/>
    <w:semiHidden/>
    <w:qFormat/>
    <w:rPr>
      <w:rFonts w:ascii="Times New Roman" w:hAnsi="Times New Roman" w:eastAsia="宋体" w:cs="Times New Roman"/>
      <w:sz w:val="21"/>
      <w:szCs w:val="21"/>
      <w:lang w:val="en-US" w:eastAsia="zh-CN" w:bidi="ar-SA"/>
    </w:rPr>
  </w:style>
  <w:style w:type="paragraph" w:styleId="885" w:customStyle="1">
    <w:name w:val="索引 41"/>
    <w:basedOn w:val="737"/>
    <w:next w:val="737"/>
    <w:uiPriority w:val="0"/>
    <w:semiHidden/>
    <w:qFormat/>
    <w:pPr>
      <w:ind w:left="1260"/>
    </w:pPr>
    <w:rPr>
      <w:rFonts w:ascii="Calibri" w:hAnsi="Calibri" w:eastAsia="Calibri" w:cs="宋体"/>
      <w:sz w:val="20"/>
      <w:lang w:val="zh-CN"/>
    </w:rPr>
  </w:style>
  <w:style w:type="character" w:styleId="886" w:customStyle="1">
    <w:name w:val="Heading 1 Char"/>
    <w:link w:val="797"/>
    <w:uiPriority w:val="9"/>
    <w:qFormat/>
    <w:rPr>
      <w:rFonts w:ascii="Arial" w:hAnsi="Arial" w:eastAsia="Arial" w:cs="Arial"/>
      <w:sz w:val="40"/>
      <w:szCs w:val="40"/>
    </w:rPr>
  </w:style>
  <w:style w:type="character" w:styleId="887" w:customStyle="1">
    <w:name w:val="Heading 2 Char"/>
    <w:link w:val="798"/>
    <w:uiPriority w:val="9"/>
    <w:qFormat/>
    <w:rPr>
      <w:rFonts w:ascii="Arial" w:hAnsi="Arial" w:eastAsia="Arial" w:cs="Arial"/>
      <w:sz w:val="34"/>
    </w:rPr>
  </w:style>
  <w:style w:type="character" w:styleId="888" w:customStyle="1">
    <w:name w:val="Heading 3 Char"/>
    <w:link w:val="799"/>
    <w:uiPriority w:val="9"/>
    <w:qFormat/>
    <w:rPr>
      <w:rFonts w:ascii="Arial" w:hAnsi="Arial" w:eastAsia="Arial" w:cs="Arial"/>
      <w:sz w:val="30"/>
      <w:szCs w:val="30"/>
    </w:rPr>
  </w:style>
  <w:style w:type="character" w:styleId="889" w:customStyle="1">
    <w:name w:val="Heading 4 Char"/>
    <w:link w:val="800"/>
    <w:uiPriority w:val="9"/>
    <w:qFormat/>
    <w:rPr>
      <w:rFonts w:ascii="Arial" w:hAnsi="Arial" w:eastAsia="Arial" w:cs="Arial"/>
      <w:b/>
      <w:bCs/>
      <w:sz w:val="26"/>
      <w:szCs w:val="26"/>
    </w:rPr>
  </w:style>
  <w:style w:type="character" w:styleId="890" w:customStyle="1">
    <w:name w:val="Heading 5 Char"/>
    <w:link w:val="801"/>
    <w:uiPriority w:val="9"/>
    <w:qFormat/>
    <w:rPr>
      <w:rFonts w:ascii="Arial" w:hAnsi="Arial" w:eastAsia="Arial" w:cs="Arial"/>
      <w:b/>
      <w:bCs/>
      <w:sz w:val="24"/>
      <w:szCs w:val="24"/>
    </w:rPr>
  </w:style>
  <w:style w:type="character" w:styleId="891" w:customStyle="1">
    <w:name w:val="Heading 6 Char"/>
    <w:link w:val="802"/>
    <w:uiPriority w:val="9"/>
    <w:qFormat/>
    <w:rPr>
      <w:rFonts w:ascii="Arial" w:hAnsi="Arial" w:eastAsia="Arial" w:cs="Arial"/>
      <w:b/>
      <w:bCs/>
      <w:sz w:val="22"/>
      <w:szCs w:val="22"/>
    </w:rPr>
  </w:style>
  <w:style w:type="character" w:styleId="892" w:customStyle="1">
    <w:name w:val="Heading 7 Char"/>
    <w:link w:val="803"/>
    <w:uiPriority w:val="9"/>
    <w:qFormat/>
    <w:rPr>
      <w:rFonts w:ascii="Arial" w:hAnsi="Arial" w:eastAsia="Arial" w:cs="Arial"/>
      <w:b/>
      <w:bCs/>
      <w:i/>
      <w:iCs/>
      <w:sz w:val="22"/>
      <w:szCs w:val="22"/>
    </w:rPr>
  </w:style>
  <w:style w:type="character" w:styleId="893" w:customStyle="1">
    <w:name w:val="Heading 8 Char"/>
    <w:link w:val="804"/>
    <w:uiPriority w:val="9"/>
    <w:qFormat/>
    <w:rPr>
      <w:rFonts w:ascii="Arial" w:hAnsi="Arial" w:eastAsia="Arial" w:cs="Arial"/>
      <w:i/>
      <w:iCs/>
      <w:sz w:val="22"/>
      <w:szCs w:val="22"/>
    </w:rPr>
  </w:style>
  <w:style w:type="character" w:styleId="894" w:customStyle="1">
    <w:name w:val="Heading 9 Char"/>
    <w:link w:val="805"/>
    <w:uiPriority w:val="9"/>
    <w:qFormat/>
    <w:rPr>
      <w:rFonts w:ascii="Arial" w:hAnsi="Arial" w:eastAsia="Arial" w:cs="Arial"/>
      <w:i/>
      <w:iCs/>
      <w:sz w:val="21"/>
      <w:szCs w:val="21"/>
    </w:rPr>
  </w:style>
  <w:style w:type="character" w:styleId="895" w:customStyle="1">
    <w:name w:val="引用 Char"/>
    <w:link w:val="810"/>
    <w:uiPriority w:val="29"/>
    <w:qFormat/>
    <w:rPr>
      <w:rFonts w:ascii="Times New Roman" w:hAnsi="Times New Roman"/>
      <w:i/>
      <w:sz w:val="21"/>
      <w:szCs w:val="21"/>
    </w:rPr>
  </w:style>
  <w:style w:type="character" w:styleId="896" w:customStyle="1">
    <w:name w:val="明显引用 Char"/>
    <w:link w:val="812"/>
    <w:uiPriority w:val="30"/>
    <w:qFormat/>
    <w:rPr>
      <w:rFonts w:ascii="Times New Roman" w:hAnsi="Times New Roman"/>
      <w:i/>
      <w:sz w:val="21"/>
      <w:szCs w:val="21"/>
      <w:shd w:val="clear" w:color="auto" w:fill="f2f2f2"/>
    </w:rPr>
  </w:style>
  <w:style w:type="character" w:styleId="897" w:customStyle="1">
    <w:name w:val="Header Char"/>
    <w:link w:val="814"/>
    <w:uiPriority w:val="99"/>
    <w:qFormat/>
  </w:style>
  <w:style w:type="character" w:styleId="898" w:customStyle="1">
    <w:name w:val="Footer Char"/>
    <w:uiPriority w:val="99"/>
    <w:qFormat/>
  </w:style>
  <w:style w:type="character" w:styleId="899" w:customStyle="1">
    <w:name w:val="Caption Char"/>
    <w:link w:val="815"/>
    <w:uiPriority w:val="99"/>
    <w:qFormat/>
  </w:style>
  <w:style w:type="table" w:styleId="900" w:customStyle="1">
    <w:name w:val="Table Grid Light"/>
    <w:uiPriority w:val="59"/>
    <w:qFormat/>
    <w:rPr>
      <w:rFonts w:ascii="Times New Roman" w:hAnsi="Times New Roman"/>
    </w:rPr>
    <w:tblPr>
      <w:tblLayout w:type="fixed"/>
      <w:tblCellMar>
        <w:left w:w="0" w:type="dxa"/>
        <w:top w:w="0" w:type="dxa"/>
        <w:right w:w="0" w:type="dxa"/>
        <w:bottom w:w="0" w:type="dxa"/>
      </w:tblCellMar>
    </w:tblPr>
  </w:style>
  <w:style w:type="table" w:styleId="901" w:customStyle="1">
    <w:name w:val="Plain Table 1"/>
    <w:uiPriority w:val="59"/>
    <w:qFormat/>
    <w:rPr>
      <w:rFonts w:ascii="Times New Roman" w:hAnsi="Times New Roman"/>
    </w:rPr>
    <w:tblPr>
      <w:tblLayout w:type="fixed"/>
      <w:tblCellMar>
        <w:left w:w="0" w:type="dxa"/>
        <w:top w:w="0" w:type="dxa"/>
        <w:right w:w="0" w:type="dxa"/>
        <w:bottom w:w="0" w:type="dxa"/>
      </w:tblCellMar>
    </w:tblPr>
  </w:style>
  <w:style w:type="table" w:styleId="902" w:customStyle="1">
    <w:name w:val="Plain Table 2"/>
    <w:uiPriority w:val="59"/>
    <w:qFormat/>
    <w:rPr>
      <w:rFonts w:ascii="Times New Roman" w:hAnsi="Times New Roman"/>
    </w:rPr>
    <w:tblPr>
      <w:tblLayout w:type="fixed"/>
      <w:tblCellMar>
        <w:left w:w="0" w:type="dxa"/>
        <w:top w:w="0" w:type="dxa"/>
        <w:right w:w="0" w:type="dxa"/>
        <w:bottom w:w="0" w:type="dxa"/>
      </w:tblCellMar>
    </w:tblPr>
  </w:style>
  <w:style w:type="table" w:styleId="903" w:customStyle="1">
    <w:name w:val="Plain Table 3"/>
    <w:uiPriority w:val="99"/>
    <w:qFormat/>
    <w:rPr>
      <w:rFonts w:ascii="Times New Roman" w:hAnsi="Times New Roman"/>
    </w:rPr>
    <w:tblPr>
      <w:tblLayout w:type="fixed"/>
      <w:tblCellMar>
        <w:left w:w="0" w:type="dxa"/>
        <w:top w:w="0" w:type="dxa"/>
        <w:right w:w="0" w:type="dxa"/>
        <w:bottom w:w="0" w:type="dxa"/>
      </w:tblCellMar>
    </w:tblPr>
  </w:style>
  <w:style w:type="table" w:styleId="904" w:customStyle="1">
    <w:name w:val="Plain Table 4"/>
    <w:uiPriority w:val="99"/>
    <w:qFormat/>
    <w:rPr>
      <w:rFonts w:ascii="Times New Roman" w:hAnsi="Times New Roman"/>
    </w:rPr>
    <w:tblPr>
      <w:tblLayout w:type="fixed"/>
      <w:tblCellMar>
        <w:left w:w="0" w:type="dxa"/>
        <w:top w:w="0" w:type="dxa"/>
        <w:right w:w="0" w:type="dxa"/>
        <w:bottom w:w="0" w:type="dxa"/>
      </w:tblCellMar>
    </w:tblPr>
  </w:style>
  <w:style w:type="table" w:styleId="905" w:customStyle="1">
    <w:name w:val="Plain Table 5"/>
    <w:uiPriority w:val="99"/>
    <w:qFormat/>
    <w:rPr>
      <w:rFonts w:ascii="Times New Roman" w:hAnsi="Times New Roman"/>
    </w:rPr>
    <w:tblPr>
      <w:tblLayout w:type="fixed"/>
      <w:tblCellMar>
        <w:left w:w="0" w:type="dxa"/>
        <w:top w:w="0" w:type="dxa"/>
        <w:right w:w="0" w:type="dxa"/>
        <w:bottom w:w="0" w:type="dxa"/>
      </w:tblCellMar>
    </w:tblPr>
  </w:style>
  <w:style w:type="table" w:styleId="906" w:customStyle="1">
    <w:name w:val="Grid Table 1 Light"/>
    <w:uiPriority w:val="99"/>
    <w:qFormat/>
    <w:rPr>
      <w:rFonts w:ascii="Times New Roman" w:hAnsi="Times New Roman"/>
    </w:rPr>
    <w:tblPr>
      <w:tblLayout w:type="fixed"/>
      <w:tblCellMar>
        <w:left w:w="0" w:type="dxa"/>
        <w:top w:w="0" w:type="dxa"/>
        <w:right w:w="0" w:type="dxa"/>
        <w:bottom w:w="0" w:type="dxa"/>
      </w:tblCellMar>
    </w:tblPr>
  </w:style>
  <w:style w:type="table" w:styleId="907" w:customStyle="1">
    <w:name w:val="Grid Table 1 Light - Accent 1"/>
    <w:uiPriority w:val="99"/>
    <w:qFormat/>
    <w:rPr>
      <w:rFonts w:ascii="Times New Roman" w:hAnsi="Times New Roman"/>
    </w:rPr>
    <w:tblPr>
      <w:tblLayout w:type="fixed"/>
      <w:tblCellMar>
        <w:left w:w="0" w:type="dxa"/>
        <w:top w:w="0" w:type="dxa"/>
        <w:right w:w="0" w:type="dxa"/>
        <w:bottom w:w="0" w:type="dxa"/>
      </w:tblCellMar>
    </w:tblPr>
  </w:style>
  <w:style w:type="table" w:styleId="908" w:customStyle="1">
    <w:name w:val="Grid Table 1 Light - Accent 2"/>
    <w:uiPriority w:val="99"/>
    <w:qFormat/>
    <w:rPr>
      <w:rFonts w:ascii="Times New Roman" w:hAnsi="Times New Roman"/>
    </w:rPr>
    <w:tblPr>
      <w:tblLayout w:type="fixed"/>
      <w:tblCellMar>
        <w:left w:w="0" w:type="dxa"/>
        <w:top w:w="0" w:type="dxa"/>
        <w:right w:w="0" w:type="dxa"/>
        <w:bottom w:w="0" w:type="dxa"/>
      </w:tblCellMar>
    </w:tblPr>
  </w:style>
  <w:style w:type="table" w:styleId="909" w:customStyle="1">
    <w:name w:val="Grid Table 1 Light - Accent 3"/>
    <w:uiPriority w:val="99"/>
    <w:qFormat/>
    <w:rPr>
      <w:rFonts w:ascii="Times New Roman" w:hAnsi="Times New Roman"/>
    </w:rPr>
    <w:tblPr>
      <w:tblLayout w:type="fixed"/>
      <w:tblCellMar>
        <w:left w:w="0" w:type="dxa"/>
        <w:top w:w="0" w:type="dxa"/>
        <w:right w:w="0" w:type="dxa"/>
        <w:bottom w:w="0" w:type="dxa"/>
      </w:tblCellMar>
    </w:tblPr>
  </w:style>
  <w:style w:type="table" w:styleId="910" w:customStyle="1">
    <w:name w:val="Grid Table 1 Light - Accent 4"/>
    <w:uiPriority w:val="99"/>
    <w:qFormat/>
    <w:rPr>
      <w:rFonts w:ascii="Times New Roman" w:hAnsi="Times New Roman"/>
    </w:rPr>
    <w:tblPr>
      <w:tblLayout w:type="fixed"/>
      <w:tblCellMar>
        <w:left w:w="0" w:type="dxa"/>
        <w:top w:w="0" w:type="dxa"/>
        <w:right w:w="0" w:type="dxa"/>
        <w:bottom w:w="0" w:type="dxa"/>
      </w:tblCellMar>
    </w:tblPr>
  </w:style>
  <w:style w:type="table" w:styleId="911" w:customStyle="1">
    <w:name w:val="Grid Table 1 Light - Accent 5"/>
    <w:uiPriority w:val="99"/>
    <w:qFormat/>
    <w:rPr>
      <w:rFonts w:ascii="Times New Roman" w:hAnsi="Times New Roman"/>
    </w:rPr>
    <w:tblPr>
      <w:tblLayout w:type="fixed"/>
      <w:tblCellMar>
        <w:left w:w="0" w:type="dxa"/>
        <w:top w:w="0" w:type="dxa"/>
        <w:right w:w="0" w:type="dxa"/>
        <w:bottom w:w="0" w:type="dxa"/>
      </w:tblCellMar>
    </w:tblPr>
  </w:style>
  <w:style w:type="table" w:styleId="912" w:customStyle="1">
    <w:name w:val="Grid Table 1 Light - Accent 6"/>
    <w:uiPriority w:val="99"/>
    <w:qFormat/>
    <w:rPr>
      <w:rFonts w:ascii="Times New Roman" w:hAnsi="Times New Roman"/>
    </w:rPr>
    <w:tblPr>
      <w:tblLayout w:type="fixed"/>
      <w:tblCellMar>
        <w:left w:w="0" w:type="dxa"/>
        <w:top w:w="0" w:type="dxa"/>
        <w:right w:w="0" w:type="dxa"/>
        <w:bottom w:w="0" w:type="dxa"/>
      </w:tblCellMar>
    </w:tblPr>
  </w:style>
  <w:style w:type="table" w:styleId="913" w:customStyle="1">
    <w:name w:val="Grid Table 2"/>
    <w:uiPriority w:val="99"/>
    <w:qFormat/>
    <w:rPr>
      <w:rFonts w:ascii="Times New Roman" w:hAnsi="Times New Roman"/>
    </w:rPr>
    <w:tblPr>
      <w:tblLayout w:type="fixed"/>
      <w:tblCellMar>
        <w:left w:w="0" w:type="dxa"/>
        <w:top w:w="0" w:type="dxa"/>
        <w:right w:w="0" w:type="dxa"/>
        <w:bottom w:w="0" w:type="dxa"/>
      </w:tblCellMar>
    </w:tblPr>
  </w:style>
  <w:style w:type="table" w:styleId="914" w:customStyle="1">
    <w:name w:val="Grid Table 2 - Accent 1"/>
    <w:uiPriority w:val="99"/>
    <w:qFormat/>
    <w:rPr>
      <w:rFonts w:ascii="Times New Roman" w:hAnsi="Times New Roman"/>
    </w:rPr>
    <w:tblPr>
      <w:tblLayout w:type="fixed"/>
      <w:tblCellMar>
        <w:left w:w="0" w:type="dxa"/>
        <w:top w:w="0" w:type="dxa"/>
        <w:right w:w="0" w:type="dxa"/>
        <w:bottom w:w="0" w:type="dxa"/>
      </w:tblCellMar>
    </w:tblPr>
  </w:style>
  <w:style w:type="table" w:styleId="915" w:customStyle="1">
    <w:name w:val="Grid Table 2 - Accent 2"/>
    <w:uiPriority w:val="99"/>
    <w:qFormat/>
    <w:rPr>
      <w:rFonts w:ascii="Times New Roman" w:hAnsi="Times New Roman"/>
    </w:rPr>
    <w:tblPr>
      <w:tblLayout w:type="fixed"/>
      <w:tblCellMar>
        <w:left w:w="0" w:type="dxa"/>
        <w:top w:w="0" w:type="dxa"/>
        <w:right w:w="0" w:type="dxa"/>
        <w:bottom w:w="0" w:type="dxa"/>
      </w:tblCellMar>
    </w:tblPr>
  </w:style>
  <w:style w:type="table" w:styleId="916" w:customStyle="1">
    <w:name w:val="Grid Table 2 - Accent 3"/>
    <w:uiPriority w:val="99"/>
    <w:qFormat/>
    <w:rPr>
      <w:rFonts w:ascii="Times New Roman" w:hAnsi="Times New Roman"/>
    </w:rPr>
    <w:tblPr>
      <w:tblLayout w:type="fixed"/>
      <w:tblCellMar>
        <w:left w:w="0" w:type="dxa"/>
        <w:top w:w="0" w:type="dxa"/>
        <w:right w:w="0" w:type="dxa"/>
        <w:bottom w:w="0" w:type="dxa"/>
      </w:tblCellMar>
    </w:tblPr>
  </w:style>
  <w:style w:type="table" w:styleId="917" w:customStyle="1">
    <w:name w:val="Grid Table 2 - Accent 4"/>
    <w:uiPriority w:val="99"/>
    <w:qFormat/>
    <w:rPr>
      <w:rFonts w:ascii="Times New Roman" w:hAnsi="Times New Roman"/>
    </w:rPr>
    <w:tblPr>
      <w:tblLayout w:type="fixed"/>
      <w:tblCellMar>
        <w:left w:w="0" w:type="dxa"/>
        <w:top w:w="0" w:type="dxa"/>
        <w:right w:w="0" w:type="dxa"/>
        <w:bottom w:w="0" w:type="dxa"/>
      </w:tblCellMar>
    </w:tblPr>
  </w:style>
  <w:style w:type="table" w:styleId="918" w:customStyle="1">
    <w:name w:val="Grid Table 2 - Accent 5"/>
    <w:uiPriority w:val="99"/>
    <w:qFormat/>
    <w:rPr>
      <w:rFonts w:ascii="Times New Roman" w:hAnsi="Times New Roman"/>
    </w:rPr>
    <w:tblPr>
      <w:tblLayout w:type="fixed"/>
      <w:tblCellMar>
        <w:left w:w="0" w:type="dxa"/>
        <w:top w:w="0" w:type="dxa"/>
        <w:right w:w="0" w:type="dxa"/>
        <w:bottom w:w="0" w:type="dxa"/>
      </w:tblCellMar>
    </w:tblPr>
  </w:style>
  <w:style w:type="table" w:styleId="919" w:customStyle="1">
    <w:name w:val="Grid Table 2 - Accent 6"/>
    <w:uiPriority w:val="99"/>
    <w:qFormat/>
    <w:rPr>
      <w:rFonts w:ascii="Times New Roman" w:hAnsi="Times New Roman"/>
    </w:rPr>
    <w:tblPr>
      <w:tblLayout w:type="fixed"/>
      <w:tblCellMar>
        <w:left w:w="0" w:type="dxa"/>
        <w:top w:w="0" w:type="dxa"/>
        <w:right w:w="0" w:type="dxa"/>
        <w:bottom w:w="0" w:type="dxa"/>
      </w:tblCellMar>
    </w:tblPr>
  </w:style>
  <w:style w:type="table" w:styleId="920" w:customStyle="1">
    <w:name w:val="Grid Table 3"/>
    <w:uiPriority w:val="99"/>
    <w:qFormat/>
    <w:rPr>
      <w:rFonts w:ascii="Times New Roman" w:hAnsi="Times New Roman"/>
    </w:rPr>
    <w:tblPr>
      <w:tblLayout w:type="fixed"/>
      <w:tblCellMar>
        <w:left w:w="0" w:type="dxa"/>
        <w:top w:w="0" w:type="dxa"/>
        <w:right w:w="0" w:type="dxa"/>
        <w:bottom w:w="0" w:type="dxa"/>
      </w:tblCellMar>
    </w:tblPr>
  </w:style>
  <w:style w:type="table" w:styleId="921" w:customStyle="1">
    <w:name w:val="Grid Table 3 - Accent 1"/>
    <w:uiPriority w:val="99"/>
    <w:qFormat/>
    <w:rPr>
      <w:rFonts w:ascii="Times New Roman" w:hAnsi="Times New Roman"/>
    </w:rPr>
    <w:tblPr>
      <w:tblLayout w:type="fixed"/>
      <w:tblCellMar>
        <w:left w:w="0" w:type="dxa"/>
        <w:top w:w="0" w:type="dxa"/>
        <w:right w:w="0" w:type="dxa"/>
        <w:bottom w:w="0" w:type="dxa"/>
      </w:tblCellMar>
    </w:tblPr>
  </w:style>
  <w:style w:type="table" w:styleId="922" w:customStyle="1">
    <w:name w:val="Grid Table 3 - Accent 2"/>
    <w:uiPriority w:val="99"/>
    <w:qFormat/>
    <w:rPr>
      <w:rFonts w:ascii="Times New Roman" w:hAnsi="Times New Roman"/>
    </w:rPr>
    <w:tblPr>
      <w:tblLayout w:type="fixed"/>
      <w:tblCellMar>
        <w:left w:w="0" w:type="dxa"/>
        <w:top w:w="0" w:type="dxa"/>
        <w:right w:w="0" w:type="dxa"/>
        <w:bottom w:w="0" w:type="dxa"/>
      </w:tblCellMar>
    </w:tblPr>
  </w:style>
  <w:style w:type="table" w:styleId="923" w:customStyle="1">
    <w:name w:val="Grid Table 3 - Accent 3"/>
    <w:uiPriority w:val="99"/>
    <w:qFormat/>
    <w:rPr>
      <w:rFonts w:ascii="Times New Roman" w:hAnsi="Times New Roman"/>
    </w:rPr>
    <w:tblPr>
      <w:tblLayout w:type="fixed"/>
      <w:tblCellMar>
        <w:left w:w="0" w:type="dxa"/>
        <w:top w:w="0" w:type="dxa"/>
        <w:right w:w="0" w:type="dxa"/>
        <w:bottom w:w="0" w:type="dxa"/>
      </w:tblCellMar>
    </w:tblPr>
  </w:style>
  <w:style w:type="table" w:styleId="924" w:customStyle="1">
    <w:name w:val="Grid Table 3 - Accent 4"/>
    <w:uiPriority w:val="99"/>
    <w:qFormat/>
    <w:rPr>
      <w:rFonts w:ascii="Times New Roman" w:hAnsi="Times New Roman"/>
    </w:rPr>
    <w:tblPr>
      <w:tblLayout w:type="fixed"/>
      <w:tblCellMar>
        <w:left w:w="0" w:type="dxa"/>
        <w:top w:w="0" w:type="dxa"/>
        <w:right w:w="0" w:type="dxa"/>
        <w:bottom w:w="0" w:type="dxa"/>
      </w:tblCellMar>
    </w:tblPr>
  </w:style>
  <w:style w:type="table" w:styleId="925" w:customStyle="1">
    <w:name w:val="Grid Table 3 - Accent 5"/>
    <w:uiPriority w:val="99"/>
    <w:qFormat/>
    <w:rPr>
      <w:rFonts w:ascii="Times New Roman" w:hAnsi="Times New Roman"/>
    </w:rPr>
    <w:tblPr>
      <w:tblLayout w:type="fixed"/>
      <w:tblCellMar>
        <w:left w:w="0" w:type="dxa"/>
        <w:top w:w="0" w:type="dxa"/>
        <w:right w:w="0" w:type="dxa"/>
        <w:bottom w:w="0" w:type="dxa"/>
      </w:tblCellMar>
    </w:tblPr>
  </w:style>
  <w:style w:type="table" w:styleId="926" w:customStyle="1">
    <w:name w:val="Grid Table 3 - Accent 6"/>
    <w:uiPriority w:val="99"/>
    <w:qFormat/>
    <w:rPr>
      <w:rFonts w:ascii="Times New Roman" w:hAnsi="Times New Roman"/>
    </w:rPr>
    <w:tblPr>
      <w:tblLayout w:type="fixed"/>
      <w:tblCellMar>
        <w:left w:w="0" w:type="dxa"/>
        <w:top w:w="0" w:type="dxa"/>
        <w:right w:w="0" w:type="dxa"/>
        <w:bottom w:w="0" w:type="dxa"/>
      </w:tblCellMar>
    </w:tblPr>
  </w:style>
  <w:style w:type="table" w:styleId="927" w:customStyle="1">
    <w:name w:val="Grid Table 4"/>
    <w:uiPriority w:val="59"/>
    <w:qFormat/>
    <w:rPr>
      <w:rFonts w:ascii="Times New Roman" w:hAnsi="Times New Roman"/>
    </w:rPr>
    <w:tblPr>
      <w:tblLayout w:type="fixed"/>
      <w:tblCellMar>
        <w:left w:w="0" w:type="dxa"/>
        <w:top w:w="0" w:type="dxa"/>
        <w:right w:w="0" w:type="dxa"/>
        <w:bottom w:w="0" w:type="dxa"/>
      </w:tblCellMar>
    </w:tblPr>
  </w:style>
  <w:style w:type="table" w:styleId="928" w:customStyle="1">
    <w:name w:val="Grid Table 4 - Accent 1"/>
    <w:uiPriority w:val="59"/>
    <w:qFormat/>
    <w:rPr>
      <w:rFonts w:ascii="Times New Roman" w:hAnsi="Times New Roman"/>
    </w:rPr>
    <w:tblPr>
      <w:tblLayout w:type="fixed"/>
      <w:tblCellMar>
        <w:left w:w="0" w:type="dxa"/>
        <w:top w:w="0" w:type="dxa"/>
        <w:right w:w="0" w:type="dxa"/>
        <w:bottom w:w="0" w:type="dxa"/>
      </w:tblCellMar>
    </w:tblPr>
  </w:style>
  <w:style w:type="table" w:styleId="929" w:customStyle="1">
    <w:name w:val="Grid Table 4 - Accent 2"/>
    <w:uiPriority w:val="59"/>
    <w:qFormat/>
    <w:rPr>
      <w:rFonts w:ascii="Times New Roman" w:hAnsi="Times New Roman"/>
    </w:rPr>
    <w:tblPr>
      <w:tblLayout w:type="fixed"/>
      <w:tblCellMar>
        <w:left w:w="0" w:type="dxa"/>
        <w:top w:w="0" w:type="dxa"/>
        <w:right w:w="0" w:type="dxa"/>
        <w:bottom w:w="0" w:type="dxa"/>
      </w:tblCellMar>
    </w:tblPr>
  </w:style>
  <w:style w:type="table" w:styleId="930" w:customStyle="1">
    <w:name w:val="Grid Table 4 - Accent 3"/>
    <w:uiPriority w:val="59"/>
    <w:qFormat/>
    <w:rPr>
      <w:rFonts w:ascii="Times New Roman" w:hAnsi="Times New Roman"/>
    </w:rPr>
    <w:tblPr>
      <w:tblLayout w:type="fixed"/>
      <w:tblCellMar>
        <w:left w:w="0" w:type="dxa"/>
        <w:top w:w="0" w:type="dxa"/>
        <w:right w:w="0" w:type="dxa"/>
        <w:bottom w:w="0" w:type="dxa"/>
      </w:tblCellMar>
    </w:tblPr>
  </w:style>
  <w:style w:type="table" w:styleId="931" w:customStyle="1">
    <w:name w:val="Grid Table 4 - Accent 4"/>
    <w:uiPriority w:val="59"/>
    <w:qFormat/>
    <w:rPr>
      <w:rFonts w:ascii="Times New Roman" w:hAnsi="Times New Roman"/>
    </w:rPr>
    <w:tblPr>
      <w:tblLayout w:type="fixed"/>
      <w:tblCellMar>
        <w:left w:w="0" w:type="dxa"/>
        <w:top w:w="0" w:type="dxa"/>
        <w:right w:w="0" w:type="dxa"/>
        <w:bottom w:w="0" w:type="dxa"/>
      </w:tblCellMar>
    </w:tblPr>
  </w:style>
  <w:style w:type="table" w:styleId="932" w:customStyle="1">
    <w:name w:val="Grid Table 4 - Accent 5"/>
    <w:uiPriority w:val="59"/>
    <w:qFormat/>
    <w:rPr>
      <w:rFonts w:ascii="Times New Roman" w:hAnsi="Times New Roman"/>
    </w:rPr>
    <w:tblPr>
      <w:tblLayout w:type="fixed"/>
      <w:tblCellMar>
        <w:left w:w="0" w:type="dxa"/>
        <w:top w:w="0" w:type="dxa"/>
        <w:right w:w="0" w:type="dxa"/>
        <w:bottom w:w="0" w:type="dxa"/>
      </w:tblCellMar>
    </w:tblPr>
  </w:style>
  <w:style w:type="table" w:styleId="933" w:customStyle="1">
    <w:name w:val="Grid Table 4 - Accent 6"/>
    <w:uiPriority w:val="59"/>
    <w:qFormat/>
    <w:rPr>
      <w:rFonts w:ascii="Times New Roman" w:hAnsi="Times New Roman"/>
    </w:rPr>
    <w:tblPr>
      <w:tblLayout w:type="fixed"/>
      <w:tblCellMar>
        <w:left w:w="0" w:type="dxa"/>
        <w:top w:w="0" w:type="dxa"/>
        <w:right w:w="0" w:type="dxa"/>
        <w:bottom w:w="0" w:type="dxa"/>
      </w:tblCellMar>
    </w:tblPr>
  </w:style>
  <w:style w:type="table" w:styleId="934" w:customStyle="1">
    <w:name w:val="Grid Table 5 Dark"/>
    <w:uiPriority w:val="99"/>
    <w:qFormat/>
    <w:rPr>
      <w:rFonts w:ascii="Times New Roman" w:hAnsi="Times New Roman"/>
    </w:rPr>
    <w:tblPr>
      <w:tblLayout w:type="fixed"/>
      <w:tblCellMar>
        <w:left w:w="0" w:type="dxa"/>
        <w:top w:w="0" w:type="dxa"/>
        <w:right w:w="0" w:type="dxa"/>
        <w:bottom w:w="0" w:type="dxa"/>
      </w:tblCellMar>
    </w:tblPr>
  </w:style>
  <w:style w:type="table" w:styleId="935" w:customStyle="1">
    <w:name w:val="Grid Table 5 Dark- Accent 1"/>
    <w:uiPriority w:val="99"/>
    <w:qFormat/>
    <w:rPr>
      <w:rFonts w:ascii="Times New Roman" w:hAnsi="Times New Roman"/>
    </w:rPr>
    <w:tblPr>
      <w:tblLayout w:type="fixed"/>
      <w:tblCellMar>
        <w:left w:w="0" w:type="dxa"/>
        <w:top w:w="0" w:type="dxa"/>
        <w:right w:w="0" w:type="dxa"/>
        <w:bottom w:w="0" w:type="dxa"/>
      </w:tblCellMar>
    </w:tblPr>
  </w:style>
  <w:style w:type="table" w:styleId="936" w:customStyle="1">
    <w:name w:val="Grid Table 5 Dark - Accent 2"/>
    <w:uiPriority w:val="99"/>
    <w:qFormat/>
    <w:rPr>
      <w:rFonts w:ascii="Times New Roman" w:hAnsi="Times New Roman"/>
    </w:rPr>
    <w:tblPr>
      <w:tblLayout w:type="fixed"/>
      <w:tblCellMar>
        <w:left w:w="0" w:type="dxa"/>
        <w:top w:w="0" w:type="dxa"/>
        <w:right w:w="0" w:type="dxa"/>
        <w:bottom w:w="0" w:type="dxa"/>
      </w:tblCellMar>
    </w:tblPr>
  </w:style>
  <w:style w:type="table" w:styleId="937" w:customStyle="1">
    <w:name w:val="Grid Table 5 Dark - Accent 3"/>
    <w:uiPriority w:val="99"/>
    <w:qFormat/>
    <w:rPr>
      <w:rFonts w:ascii="Times New Roman" w:hAnsi="Times New Roman"/>
    </w:rPr>
    <w:tblPr>
      <w:tblLayout w:type="fixed"/>
      <w:tblCellMar>
        <w:left w:w="0" w:type="dxa"/>
        <w:top w:w="0" w:type="dxa"/>
        <w:right w:w="0" w:type="dxa"/>
        <w:bottom w:w="0" w:type="dxa"/>
      </w:tblCellMar>
    </w:tblPr>
  </w:style>
  <w:style w:type="table" w:styleId="938" w:customStyle="1">
    <w:name w:val="Grid Table 5 Dark- Accent 4"/>
    <w:uiPriority w:val="99"/>
    <w:qFormat/>
    <w:rPr>
      <w:rFonts w:ascii="Times New Roman" w:hAnsi="Times New Roman"/>
    </w:rPr>
    <w:tblPr>
      <w:tblLayout w:type="fixed"/>
      <w:tblCellMar>
        <w:left w:w="0" w:type="dxa"/>
        <w:top w:w="0" w:type="dxa"/>
        <w:right w:w="0" w:type="dxa"/>
        <w:bottom w:w="0" w:type="dxa"/>
      </w:tblCellMar>
    </w:tblPr>
  </w:style>
  <w:style w:type="table" w:styleId="939" w:customStyle="1">
    <w:name w:val="Grid Table 5 Dark - Accent 5"/>
    <w:uiPriority w:val="99"/>
    <w:qFormat/>
    <w:rPr>
      <w:rFonts w:ascii="Times New Roman" w:hAnsi="Times New Roman"/>
    </w:rPr>
    <w:tblPr>
      <w:tblLayout w:type="fixed"/>
      <w:tblCellMar>
        <w:left w:w="0" w:type="dxa"/>
        <w:top w:w="0" w:type="dxa"/>
        <w:right w:w="0" w:type="dxa"/>
        <w:bottom w:w="0" w:type="dxa"/>
      </w:tblCellMar>
    </w:tblPr>
  </w:style>
  <w:style w:type="table" w:styleId="940" w:customStyle="1">
    <w:name w:val="Grid Table 5 Dark - Accent 6"/>
    <w:uiPriority w:val="99"/>
    <w:qFormat/>
    <w:rPr>
      <w:rFonts w:ascii="Times New Roman" w:hAnsi="Times New Roman"/>
    </w:rPr>
    <w:tblPr>
      <w:tblLayout w:type="fixed"/>
      <w:tblCellMar>
        <w:left w:w="0" w:type="dxa"/>
        <w:top w:w="0" w:type="dxa"/>
        <w:right w:w="0" w:type="dxa"/>
        <w:bottom w:w="0" w:type="dxa"/>
      </w:tblCellMar>
    </w:tblPr>
  </w:style>
  <w:style w:type="table" w:styleId="941" w:customStyle="1">
    <w:name w:val="Grid Table 6 Colorful"/>
    <w:uiPriority w:val="99"/>
    <w:qFormat/>
    <w:rPr>
      <w:rFonts w:ascii="Times New Roman" w:hAnsi="Times New Roman"/>
    </w:rPr>
    <w:tblPr>
      <w:tblLayout w:type="fixed"/>
      <w:tblCellMar>
        <w:left w:w="0" w:type="dxa"/>
        <w:top w:w="0" w:type="dxa"/>
        <w:right w:w="0" w:type="dxa"/>
        <w:bottom w:w="0" w:type="dxa"/>
      </w:tblCellMar>
    </w:tblPr>
  </w:style>
  <w:style w:type="table" w:styleId="942" w:customStyle="1">
    <w:name w:val="Grid Table 6 Colorful - Accent 1"/>
    <w:uiPriority w:val="99"/>
    <w:qFormat/>
    <w:rPr>
      <w:rFonts w:ascii="Times New Roman" w:hAnsi="Times New Roman"/>
    </w:rPr>
    <w:tblPr>
      <w:tblLayout w:type="fixed"/>
      <w:tblCellMar>
        <w:left w:w="0" w:type="dxa"/>
        <w:top w:w="0" w:type="dxa"/>
        <w:right w:w="0" w:type="dxa"/>
        <w:bottom w:w="0" w:type="dxa"/>
      </w:tblCellMar>
    </w:tblPr>
  </w:style>
  <w:style w:type="table" w:styleId="943" w:customStyle="1">
    <w:name w:val="Grid Table 6 Colorful - Accent 2"/>
    <w:uiPriority w:val="99"/>
    <w:qFormat/>
    <w:rPr>
      <w:rFonts w:ascii="Times New Roman" w:hAnsi="Times New Roman"/>
    </w:rPr>
    <w:tblPr>
      <w:tblLayout w:type="fixed"/>
      <w:tblCellMar>
        <w:left w:w="0" w:type="dxa"/>
        <w:top w:w="0" w:type="dxa"/>
        <w:right w:w="0" w:type="dxa"/>
        <w:bottom w:w="0" w:type="dxa"/>
      </w:tblCellMar>
    </w:tblPr>
  </w:style>
  <w:style w:type="table" w:styleId="944" w:customStyle="1">
    <w:name w:val="Grid Table 6 Colorful - Accent 3"/>
    <w:uiPriority w:val="99"/>
    <w:qFormat/>
    <w:rPr>
      <w:rFonts w:ascii="Times New Roman" w:hAnsi="Times New Roman"/>
    </w:rPr>
    <w:tblPr>
      <w:tblLayout w:type="fixed"/>
      <w:tblCellMar>
        <w:left w:w="0" w:type="dxa"/>
        <w:top w:w="0" w:type="dxa"/>
        <w:right w:w="0" w:type="dxa"/>
        <w:bottom w:w="0" w:type="dxa"/>
      </w:tblCellMar>
    </w:tblPr>
  </w:style>
  <w:style w:type="table" w:styleId="945" w:customStyle="1">
    <w:name w:val="Grid Table 6 Colorful - Accent 4"/>
    <w:uiPriority w:val="99"/>
    <w:qFormat/>
    <w:rPr>
      <w:rFonts w:ascii="Times New Roman" w:hAnsi="Times New Roman"/>
    </w:rPr>
    <w:tblPr>
      <w:tblLayout w:type="fixed"/>
      <w:tblCellMar>
        <w:left w:w="0" w:type="dxa"/>
        <w:top w:w="0" w:type="dxa"/>
        <w:right w:w="0" w:type="dxa"/>
        <w:bottom w:w="0" w:type="dxa"/>
      </w:tblCellMar>
    </w:tblPr>
  </w:style>
  <w:style w:type="table" w:styleId="946" w:customStyle="1">
    <w:name w:val="Grid Table 6 Colorful - Accent 5"/>
    <w:uiPriority w:val="99"/>
    <w:qFormat/>
    <w:rPr>
      <w:rFonts w:ascii="Times New Roman" w:hAnsi="Times New Roman"/>
    </w:rPr>
    <w:tblPr>
      <w:tblLayout w:type="fixed"/>
      <w:tblCellMar>
        <w:left w:w="0" w:type="dxa"/>
        <w:top w:w="0" w:type="dxa"/>
        <w:right w:w="0" w:type="dxa"/>
        <w:bottom w:w="0" w:type="dxa"/>
      </w:tblCellMar>
    </w:tblPr>
  </w:style>
  <w:style w:type="table" w:styleId="947" w:customStyle="1">
    <w:name w:val="Grid Table 6 Colorful - Accent 6"/>
    <w:uiPriority w:val="99"/>
    <w:qFormat/>
    <w:rPr>
      <w:rFonts w:ascii="Times New Roman" w:hAnsi="Times New Roman"/>
    </w:rPr>
    <w:tblPr>
      <w:tblLayout w:type="fixed"/>
      <w:tblCellMar>
        <w:left w:w="0" w:type="dxa"/>
        <w:top w:w="0" w:type="dxa"/>
        <w:right w:w="0" w:type="dxa"/>
        <w:bottom w:w="0" w:type="dxa"/>
      </w:tblCellMar>
    </w:tblPr>
  </w:style>
  <w:style w:type="table" w:styleId="948" w:customStyle="1">
    <w:name w:val="Grid Table 7 Colorful"/>
    <w:uiPriority w:val="99"/>
    <w:qFormat/>
    <w:rPr>
      <w:rFonts w:ascii="Times New Roman" w:hAnsi="Times New Roman"/>
    </w:rPr>
    <w:tblPr>
      <w:tblLayout w:type="fixed"/>
      <w:tblCellMar>
        <w:left w:w="0" w:type="dxa"/>
        <w:top w:w="0" w:type="dxa"/>
        <w:right w:w="0" w:type="dxa"/>
        <w:bottom w:w="0" w:type="dxa"/>
      </w:tblCellMar>
    </w:tblPr>
  </w:style>
  <w:style w:type="table" w:styleId="949" w:customStyle="1">
    <w:name w:val="Grid Table 7 Colorful - Accent 1"/>
    <w:uiPriority w:val="99"/>
    <w:qFormat/>
    <w:rPr>
      <w:rFonts w:ascii="Times New Roman" w:hAnsi="Times New Roman"/>
    </w:rPr>
    <w:tblPr>
      <w:tblLayout w:type="fixed"/>
      <w:tblCellMar>
        <w:left w:w="0" w:type="dxa"/>
        <w:top w:w="0" w:type="dxa"/>
        <w:right w:w="0" w:type="dxa"/>
        <w:bottom w:w="0" w:type="dxa"/>
      </w:tblCellMar>
    </w:tblPr>
  </w:style>
  <w:style w:type="table" w:styleId="950" w:customStyle="1">
    <w:name w:val="Grid Table 7 Colorful - Accent 2"/>
    <w:uiPriority w:val="99"/>
    <w:qFormat/>
    <w:rPr>
      <w:rFonts w:ascii="Times New Roman" w:hAnsi="Times New Roman"/>
    </w:rPr>
    <w:tblPr>
      <w:tblLayout w:type="fixed"/>
      <w:tblCellMar>
        <w:left w:w="0" w:type="dxa"/>
        <w:top w:w="0" w:type="dxa"/>
        <w:right w:w="0" w:type="dxa"/>
        <w:bottom w:w="0" w:type="dxa"/>
      </w:tblCellMar>
    </w:tblPr>
  </w:style>
  <w:style w:type="table" w:styleId="951" w:customStyle="1">
    <w:name w:val="Grid Table 7 Colorful - Accent 3"/>
    <w:uiPriority w:val="99"/>
    <w:qFormat/>
    <w:rPr>
      <w:rFonts w:ascii="Times New Roman" w:hAnsi="Times New Roman"/>
    </w:rPr>
    <w:tblPr>
      <w:tblLayout w:type="fixed"/>
      <w:tblCellMar>
        <w:left w:w="0" w:type="dxa"/>
        <w:top w:w="0" w:type="dxa"/>
        <w:right w:w="0" w:type="dxa"/>
        <w:bottom w:w="0" w:type="dxa"/>
      </w:tblCellMar>
    </w:tblPr>
  </w:style>
  <w:style w:type="table" w:styleId="952" w:customStyle="1">
    <w:name w:val="Grid Table 7 Colorful - Accent 4"/>
    <w:uiPriority w:val="99"/>
    <w:qFormat/>
    <w:rPr>
      <w:rFonts w:ascii="Times New Roman" w:hAnsi="Times New Roman"/>
    </w:rPr>
    <w:tblPr>
      <w:tblLayout w:type="fixed"/>
      <w:tblCellMar>
        <w:left w:w="0" w:type="dxa"/>
        <w:top w:w="0" w:type="dxa"/>
        <w:right w:w="0" w:type="dxa"/>
        <w:bottom w:w="0" w:type="dxa"/>
      </w:tblCellMar>
    </w:tblPr>
  </w:style>
  <w:style w:type="table" w:styleId="953" w:customStyle="1">
    <w:name w:val="Grid Table 7 Colorful - Accent 5"/>
    <w:uiPriority w:val="99"/>
    <w:qFormat/>
    <w:rPr>
      <w:rFonts w:ascii="Times New Roman" w:hAnsi="Times New Roman"/>
    </w:rPr>
    <w:tblPr>
      <w:tblLayout w:type="fixed"/>
      <w:tblCellMar>
        <w:left w:w="0" w:type="dxa"/>
        <w:top w:w="0" w:type="dxa"/>
        <w:right w:w="0" w:type="dxa"/>
        <w:bottom w:w="0" w:type="dxa"/>
      </w:tblCellMar>
    </w:tblPr>
  </w:style>
  <w:style w:type="table" w:styleId="954" w:customStyle="1">
    <w:name w:val="Grid Table 7 Colorful - Accent 6"/>
    <w:uiPriority w:val="99"/>
    <w:qFormat/>
    <w:rPr>
      <w:rFonts w:ascii="Times New Roman" w:hAnsi="Times New Roman"/>
    </w:rPr>
    <w:tblPr>
      <w:tblLayout w:type="fixed"/>
      <w:tblCellMar>
        <w:left w:w="0" w:type="dxa"/>
        <w:top w:w="0" w:type="dxa"/>
        <w:right w:w="0" w:type="dxa"/>
        <w:bottom w:w="0" w:type="dxa"/>
      </w:tblCellMar>
    </w:tblPr>
  </w:style>
  <w:style w:type="table" w:styleId="955" w:customStyle="1">
    <w:name w:val="List Table 1 Light"/>
    <w:uiPriority w:val="99"/>
    <w:qFormat/>
    <w:rPr>
      <w:rFonts w:ascii="Times New Roman" w:hAnsi="Times New Roman"/>
    </w:rPr>
    <w:tblPr>
      <w:tblLayout w:type="fixed"/>
      <w:tblCellMar>
        <w:left w:w="0" w:type="dxa"/>
        <w:top w:w="0" w:type="dxa"/>
        <w:right w:w="0" w:type="dxa"/>
        <w:bottom w:w="0" w:type="dxa"/>
      </w:tblCellMar>
    </w:tblPr>
  </w:style>
  <w:style w:type="table" w:styleId="956" w:customStyle="1">
    <w:name w:val="List Table 1 Light - Accent 1"/>
    <w:uiPriority w:val="99"/>
    <w:qFormat/>
    <w:rPr>
      <w:rFonts w:ascii="Times New Roman" w:hAnsi="Times New Roman"/>
    </w:rPr>
    <w:tblPr>
      <w:tblLayout w:type="fixed"/>
      <w:tblCellMar>
        <w:left w:w="0" w:type="dxa"/>
        <w:top w:w="0" w:type="dxa"/>
        <w:right w:w="0" w:type="dxa"/>
        <w:bottom w:w="0" w:type="dxa"/>
      </w:tblCellMar>
    </w:tblPr>
  </w:style>
  <w:style w:type="table" w:styleId="957" w:customStyle="1">
    <w:name w:val="List Table 1 Light - Accent 2"/>
    <w:uiPriority w:val="99"/>
    <w:qFormat/>
    <w:rPr>
      <w:rFonts w:ascii="Times New Roman" w:hAnsi="Times New Roman"/>
    </w:rPr>
    <w:tblPr>
      <w:tblLayout w:type="fixed"/>
      <w:tblCellMar>
        <w:left w:w="0" w:type="dxa"/>
        <w:top w:w="0" w:type="dxa"/>
        <w:right w:w="0" w:type="dxa"/>
        <w:bottom w:w="0" w:type="dxa"/>
      </w:tblCellMar>
    </w:tblPr>
  </w:style>
  <w:style w:type="table" w:styleId="958" w:customStyle="1">
    <w:name w:val="List Table 1 Light - Accent 3"/>
    <w:uiPriority w:val="99"/>
    <w:qFormat/>
    <w:rPr>
      <w:rFonts w:ascii="Times New Roman" w:hAnsi="Times New Roman"/>
    </w:rPr>
    <w:tblPr>
      <w:tblLayout w:type="fixed"/>
      <w:tblCellMar>
        <w:left w:w="0" w:type="dxa"/>
        <w:top w:w="0" w:type="dxa"/>
        <w:right w:w="0" w:type="dxa"/>
        <w:bottom w:w="0" w:type="dxa"/>
      </w:tblCellMar>
    </w:tblPr>
  </w:style>
  <w:style w:type="table" w:styleId="959" w:customStyle="1">
    <w:name w:val="List Table 1 Light - Accent 4"/>
    <w:uiPriority w:val="99"/>
    <w:qFormat/>
    <w:rPr>
      <w:rFonts w:ascii="Times New Roman" w:hAnsi="Times New Roman"/>
    </w:rPr>
    <w:tblPr>
      <w:tblLayout w:type="fixed"/>
      <w:tblCellMar>
        <w:left w:w="0" w:type="dxa"/>
        <w:top w:w="0" w:type="dxa"/>
        <w:right w:w="0" w:type="dxa"/>
        <w:bottom w:w="0" w:type="dxa"/>
      </w:tblCellMar>
    </w:tblPr>
  </w:style>
  <w:style w:type="table" w:styleId="960" w:customStyle="1">
    <w:name w:val="List Table 1 Light - Accent 5"/>
    <w:uiPriority w:val="99"/>
    <w:qFormat/>
    <w:rPr>
      <w:rFonts w:ascii="Times New Roman" w:hAnsi="Times New Roman"/>
    </w:rPr>
    <w:tblPr>
      <w:tblLayout w:type="fixed"/>
      <w:tblCellMar>
        <w:left w:w="0" w:type="dxa"/>
        <w:top w:w="0" w:type="dxa"/>
        <w:right w:w="0" w:type="dxa"/>
        <w:bottom w:w="0" w:type="dxa"/>
      </w:tblCellMar>
    </w:tblPr>
  </w:style>
  <w:style w:type="table" w:styleId="961" w:customStyle="1">
    <w:name w:val="List Table 1 Light - Accent 6"/>
    <w:uiPriority w:val="99"/>
    <w:qFormat/>
    <w:rPr>
      <w:rFonts w:ascii="Times New Roman" w:hAnsi="Times New Roman"/>
    </w:rPr>
    <w:tblPr>
      <w:tblLayout w:type="fixed"/>
      <w:tblCellMar>
        <w:left w:w="0" w:type="dxa"/>
        <w:top w:w="0" w:type="dxa"/>
        <w:right w:w="0" w:type="dxa"/>
        <w:bottom w:w="0" w:type="dxa"/>
      </w:tblCellMar>
    </w:tblPr>
  </w:style>
  <w:style w:type="table" w:styleId="962" w:customStyle="1">
    <w:name w:val="List Table 2"/>
    <w:uiPriority w:val="99"/>
    <w:qFormat/>
    <w:rPr>
      <w:rFonts w:ascii="Times New Roman" w:hAnsi="Times New Roman"/>
    </w:rPr>
    <w:tblPr>
      <w:tblLayout w:type="fixed"/>
      <w:tblCellMar>
        <w:left w:w="0" w:type="dxa"/>
        <w:top w:w="0" w:type="dxa"/>
        <w:right w:w="0" w:type="dxa"/>
        <w:bottom w:w="0" w:type="dxa"/>
      </w:tblCellMar>
    </w:tblPr>
  </w:style>
  <w:style w:type="table" w:styleId="963" w:customStyle="1">
    <w:name w:val="List Table 2 - Accent 1"/>
    <w:uiPriority w:val="99"/>
    <w:qFormat/>
    <w:rPr>
      <w:rFonts w:ascii="Times New Roman" w:hAnsi="Times New Roman"/>
    </w:rPr>
    <w:tblPr>
      <w:tblLayout w:type="fixed"/>
      <w:tblCellMar>
        <w:left w:w="0" w:type="dxa"/>
        <w:top w:w="0" w:type="dxa"/>
        <w:right w:w="0" w:type="dxa"/>
        <w:bottom w:w="0" w:type="dxa"/>
      </w:tblCellMar>
    </w:tblPr>
  </w:style>
  <w:style w:type="table" w:styleId="964" w:customStyle="1">
    <w:name w:val="List Table 2 - Accent 2"/>
    <w:uiPriority w:val="99"/>
    <w:qFormat/>
    <w:rPr>
      <w:rFonts w:ascii="Times New Roman" w:hAnsi="Times New Roman"/>
    </w:rPr>
    <w:tblPr>
      <w:tblLayout w:type="fixed"/>
      <w:tblCellMar>
        <w:left w:w="0" w:type="dxa"/>
        <w:top w:w="0" w:type="dxa"/>
        <w:right w:w="0" w:type="dxa"/>
        <w:bottom w:w="0" w:type="dxa"/>
      </w:tblCellMar>
    </w:tblPr>
  </w:style>
  <w:style w:type="table" w:styleId="965" w:customStyle="1">
    <w:name w:val="List Table 2 - Accent 3"/>
    <w:uiPriority w:val="99"/>
    <w:qFormat/>
    <w:rPr>
      <w:rFonts w:ascii="Times New Roman" w:hAnsi="Times New Roman"/>
    </w:rPr>
    <w:tblPr>
      <w:tblLayout w:type="fixed"/>
      <w:tblCellMar>
        <w:left w:w="0" w:type="dxa"/>
        <w:top w:w="0" w:type="dxa"/>
        <w:right w:w="0" w:type="dxa"/>
        <w:bottom w:w="0" w:type="dxa"/>
      </w:tblCellMar>
    </w:tblPr>
  </w:style>
  <w:style w:type="table" w:styleId="966" w:customStyle="1">
    <w:name w:val="List Table 2 - Accent 4"/>
    <w:uiPriority w:val="99"/>
    <w:qFormat/>
    <w:rPr>
      <w:rFonts w:ascii="Times New Roman" w:hAnsi="Times New Roman"/>
    </w:rPr>
    <w:tblPr>
      <w:tblLayout w:type="fixed"/>
      <w:tblCellMar>
        <w:left w:w="0" w:type="dxa"/>
        <w:top w:w="0" w:type="dxa"/>
        <w:right w:w="0" w:type="dxa"/>
        <w:bottom w:w="0" w:type="dxa"/>
      </w:tblCellMar>
    </w:tblPr>
  </w:style>
  <w:style w:type="table" w:styleId="967" w:customStyle="1">
    <w:name w:val="List Table 2 - Accent 5"/>
    <w:uiPriority w:val="99"/>
    <w:qFormat/>
    <w:rPr>
      <w:rFonts w:ascii="Times New Roman" w:hAnsi="Times New Roman"/>
    </w:rPr>
    <w:tblPr>
      <w:tblLayout w:type="fixed"/>
      <w:tblCellMar>
        <w:left w:w="0" w:type="dxa"/>
        <w:top w:w="0" w:type="dxa"/>
        <w:right w:w="0" w:type="dxa"/>
        <w:bottom w:w="0" w:type="dxa"/>
      </w:tblCellMar>
    </w:tblPr>
  </w:style>
  <w:style w:type="table" w:styleId="968" w:customStyle="1">
    <w:name w:val="List Table 2 - Accent 6"/>
    <w:uiPriority w:val="99"/>
    <w:qFormat/>
    <w:rPr>
      <w:rFonts w:ascii="Times New Roman" w:hAnsi="Times New Roman"/>
    </w:rPr>
    <w:tblPr>
      <w:tblLayout w:type="fixed"/>
      <w:tblCellMar>
        <w:left w:w="0" w:type="dxa"/>
        <w:top w:w="0" w:type="dxa"/>
        <w:right w:w="0" w:type="dxa"/>
        <w:bottom w:w="0" w:type="dxa"/>
      </w:tblCellMar>
    </w:tblPr>
  </w:style>
  <w:style w:type="table" w:styleId="969" w:customStyle="1">
    <w:name w:val="List Table 3"/>
    <w:uiPriority w:val="99"/>
    <w:qFormat/>
    <w:rPr>
      <w:rFonts w:ascii="Times New Roman" w:hAnsi="Times New Roman"/>
    </w:rPr>
    <w:tblPr>
      <w:tblLayout w:type="fixed"/>
      <w:tblCellMar>
        <w:left w:w="0" w:type="dxa"/>
        <w:top w:w="0" w:type="dxa"/>
        <w:right w:w="0" w:type="dxa"/>
        <w:bottom w:w="0" w:type="dxa"/>
      </w:tblCellMar>
    </w:tblPr>
  </w:style>
  <w:style w:type="table" w:styleId="970" w:customStyle="1">
    <w:name w:val="List Table 3 - Accent 1"/>
    <w:uiPriority w:val="99"/>
    <w:qFormat/>
    <w:rPr>
      <w:rFonts w:ascii="Times New Roman" w:hAnsi="Times New Roman"/>
    </w:rPr>
    <w:tblPr>
      <w:tblLayout w:type="fixed"/>
      <w:tblCellMar>
        <w:left w:w="0" w:type="dxa"/>
        <w:top w:w="0" w:type="dxa"/>
        <w:right w:w="0" w:type="dxa"/>
        <w:bottom w:w="0" w:type="dxa"/>
      </w:tblCellMar>
    </w:tblPr>
  </w:style>
  <w:style w:type="table" w:styleId="971" w:customStyle="1">
    <w:name w:val="List Table 3 - Accent 2"/>
    <w:uiPriority w:val="99"/>
    <w:qFormat/>
    <w:rPr>
      <w:rFonts w:ascii="Times New Roman" w:hAnsi="Times New Roman"/>
    </w:rPr>
    <w:tblPr>
      <w:tblLayout w:type="fixed"/>
      <w:tblCellMar>
        <w:left w:w="0" w:type="dxa"/>
        <w:top w:w="0" w:type="dxa"/>
        <w:right w:w="0" w:type="dxa"/>
        <w:bottom w:w="0" w:type="dxa"/>
      </w:tblCellMar>
    </w:tblPr>
  </w:style>
  <w:style w:type="table" w:styleId="972" w:customStyle="1">
    <w:name w:val="List Table 3 - Accent 3"/>
    <w:uiPriority w:val="99"/>
    <w:qFormat/>
    <w:rPr>
      <w:rFonts w:ascii="Times New Roman" w:hAnsi="Times New Roman"/>
    </w:rPr>
    <w:tblPr>
      <w:tblLayout w:type="fixed"/>
      <w:tblCellMar>
        <w:left w:w="0" w:type="dxa"/>
        <w:top w:w="0" w:type="dxa"/>
        <w:right w:w="0" w:type="dxa"/>
        <w:bottom w:w="0" w:type="dxa"/>
      </w:tblCellMar>
    </w:tblPr>
  </w:style>
  <w:style w:type="table" w:styleId="973" w:customStyle="1">
    <w:name w:val="List Table 3 - Accent 4"/>
    <w:uiPriority w:val="99"/>
    <w:qFormat/>
    <w:rPr>
      <w:rFonts w:ascii="Times New Roman" w:hAnsi="Times New Roman"/>
    </w:rPr>
    <w:tblPr>
      <w:tblLayout w:type="fixed"/>
      <w:tblCellMar>
        <w:left w:w="0" w:type="dxa"/>
        <w:top w:w="0" w:type="dxa"/>
        <w:right w:w="0" w:type="dxa"/>
        <w:bottom w:w="0" w:type="dxa"/>
      </w:tblCellMar>
    </w:tblPr>
  </w:style>
  <w:style w:type="table" w:styleId="974" w:customStyle="1">
    <w:name w:val="List Table 3 - Accent 5"/>
    <w:uiPriority w:val="99"/>
    <w:qFormat/>
    <w:rPr>
      <w:rFonts w:ascii="Times New Roman" w:hAnsi="Times New Roman"/>
    </w:rPr>
    <w:tblPr>
      <w:tblLayout w:type="fixed"/>
      <w:tblCellMar>
        <w:left w:w="0" w:type="dxa"/>
        <w:top w:w="0" w:type="dxa"/>
        <w:right w:w="0" w:type="dxa"/>
        <w:bottom w:w="0" w:type="dxa"/>
      </w:tblCellMar>
    </w:tblPr>
  </w:style>
  <w:style w:type="table" w:styleId="975" w:customStyle="1">
    <w:name w:val="List Table 3 - Accent 6"/>
    <w:uiPriority w:val="99"/>
    <w:qFormat/>
    <w:rPr>
      <w:rFonts w:ascii="Times New Roman" w:hAnsi="Times New Roman"/>
    </w:rPr>
    <w:tblPr>
      <w:tblLayout w:type="fixed"/>
      <w:tblCellMar>
        <w:left w:w="0" w:type="dxa"/>
        <w:top w:w="0" w:type="dxa"/>
        <w:right w:w="0" w:type="dxa"/>
        <w:bottom w:w="0" w:type="dxa"/>
      </w:tblCellMar>
    </w:tblPr>
  </w:style>
  <w:style w:type="table" w:styleId="976" w:customStyle="1">
    <w:name w:val="List Table 4"/>
    <w:uiPriority w:val="99"/>
    <w:qFormat/>
    <w:rPr>
      <w:rFonts w:ascii="Times New Roman" w:hAnsi="Times New Roman"/>
    </w:rPr>
    <w:tblPr>
      <w:tblLayout w:type="fixed"/>
      <w:tblCellMar>
        <w:left w:w="0" w:type="dxa"/>
        <w:top w:w="0" w:type="dxa"/>
        <w:right w:w="0" w:type="dxa"/>
        <w:bottom w:w="0" w:type="dxa"/>
      </w:tblCellMar>
    </w:tblPr>
  </w:style>
  <w:style w:type="table" w:styleId="977" w:customStyle="1">
    <w:name w:val="List Table 4 - Accent 1"/>
    <w:uiPriority w:val="99"/>
    <w:qFormat/>
    <w:rPr>
      <w:rFonts w:ascii="Times New Roman" w:hAnsi="Times New Roman"/>
    </w:rPr>
    <w:tblPr>
      <w:tblLayout w:type="fixed"/>
      <w:tblCellMar>
        <w:left w:w="0" w:type="dxa"/>
        <w:top w:w="0" w:type="dxa"/>
        <w:right w:w="0" w:type="dxa"/>
        <w:bottom w:w="0" w:type="dxa"/>
      </w:tblCellMar>
    </w:tblPr>
  </w:style>
  <w:style w:type="table" w:styleId="978" w:customStyle="1">
    <w:name w:val="List Table 4 - Accent 2"/>
    <w:uiPriority w:val="99"/>
    <w:qFormat/>
    <w:rPr>
      <w:rFonts w:ascii="Times New Roman" w:hAnsi="Times New Roman"/>
    </w:rPr>
    <w:tblPr>
      <w:tblLayout w:type="fixed"/>
      <w:tblCellMar>
        <w:left w:w="0" w:type="dxa"/>
        <w:top w:w="0" w:type="dxa"/>
        <w:right w:w="0" w:type="dxa"/>
        <w:bottom w:w="0" w:type="dxa"/>
      </w:tblCellMar>
    </w:tblPr>
  </w:style>
  <w:style w:type="table" w:styleId="979" w:customStyle="1">
    <w:name w:val="List Table 4 - Accent 3"/>
    <w:uiPriority w:val="99"/>
    <w:qFormat/>
    <w:rPr>
      <w:rFonts w:ascii="Times New Roman" w:hAnsi="Times New Roman"/>
    </w:rPr>
    <w:tblPr>
      <w:tblLayout w:type="fixed"/>
      <w:tblCellMar>
        <w:left w:w="0" w:type="dxa"/>
        <w:top w:w="0" w:type="dxa"/>
        <w:right w:w="0" w:type="dxa"/>
        <w:bottom w:w="0" w:type="dxa"/>
      </w:tblCellMar>
    </w:tblPr>
  </w:style>
  <w:style w:type="table" w:styleId="980" w:customStyle="1">
    <w:name w:val="List Table 4 - Accent 4"/>
    <w:uiPriority w:val="99"/>
    <w:qFormat/>
    <w:rPr>
      <w:rFonts w:ascii="Times New Roman" w:hAnsi="Times New Roman"/>
    </w:rPr>
    <w:tblPr>
      <w:tblLayout w:type="fixed"/>
      <w:tblCellMar>
        <w:left w:w="0" w:type="dxa"/>
        <w:top w:w="0" w:type="dxa"/>
        <w:right w:w="0" w:type="dxa"/>
        <w:bottom w:w="0" w:type="dxa"/>
      </w:tblCellMar>
    </w:tblPr>
  </w:style>
  <w:style w:type="table" w:styleId="981" w:customStyle="1">
    <w:name w:val="List Table 4 - Accent 5"/>
    <w:uiPriority w:val="99"/>
    <w:qFormat/>
    <w:rPr>
      <w:rFonts w:ascii="Times New Roman" w:hAnsi="Times New Roman"/>
    </w:rPr>
    <w:tblPr>
      <w:tblLayout w:type="fixed"/>
      <w:tblCellMar>
        <w:left w:w="0" w:type="dxa"/>
        <w:top w:w="0" w:type="dxa"/>
        <w:right w:w="0" w:type="dxa"/>
        <w:bottom w:w="0" w:type="dxa"/>
      </w:tblCellMar>
    </w:tblPr>
  </w:style>
  <w:style w:type="table" w:styleId="982" w:customStyle="1">
    <w:name w:val="List Table 4 - Accent 6"/>
    <w:uiPriority w:val="99"/>
    <w:qFormat/>
    <w:rPr>
      <w:rFonts w:ascii="Times New Roman" w:hAnsi="Times New Roman"/>
    </w:rPr>
    <w:tblPr>
      <w:tblLayout w:type="fixed"/>
      <w:tblCellMar>
        <w:left w:w="0" w:type="dxa"/>
        <w:top w:w="0" w:type="dxa"/>
        <w:right w:w="0" w:type="dxa"/>
        <w:bottom w:w="0" w:type="dxa"/>
      </w:tblCellMar>
    </w:tblPr>
  </w:style>
  <w:style w:type="table" w:styleId="983" w:customStyle="1">
    <w:name w:val="List Table 5 Dark"/>
    <w:uiPriority w:val="99"/>
    <w:qFormat/>
    <w:rPr>
      <w:rFonts w:ascii="Times New Roman" w:hAnsi="Times New Roman"/>
    </w:rPr>
    <w:tblPr>
      <w:tblLayout w:type="fixed"/>
      <w:tblCellMar>
        <w:left w:w="0" w:type="dxa"/>
        <w:top w:w="0" w:type="dxa"/>
        <w:right w:w="0" w:type="dxa"/>
        <w:bottom w:w="0" w:type="dxa"/>
      </w:tblCellMar>
    </w:tblPr>
  </w:style>
  <w:style w:type="table" w:styleId="984" w:customStyle="1">
    <w:name w:val="List Table 5 Dark - Accent 1"/>
    <w:uiPriority w:val="99"/>
    <w:qFormat/>
    <w:rPr>
      <w:rFonts w:ascii="Times New Roman" w:hAnsi="Times New Roman"/>
    </w:rPr>
    <w:tblPr>
      <w:tblLayout w:type="fixed"/>
      <w:tblCellMar>
        <w:left w:w="0" w:type="dxa"/>
        <w:top w:w="0" w:type="dxa"/>
        <w:right w:w="0" w:type="dxa"/>
        <w:bottom w:w="0" w:type="dxa"/>
      </w:tblCellMar>
    </w:tblPr>
  </w:style>
  <w:style w:type="table" w:styleId="985" w:customStyle="1">
    <w:name w:val="List Table 5 Dark - Accent 2"/>
    <w:uiPriority w:val="99"/>
    <w:qFormat/>
    <w:rPr>
      <w:rFonts w:ascii="Times New Roman" w:hAnsi="Times New Roman"/>
    </w:rPr>
    <w:tblPr>
      <w:tblLayout w:type="fixed"/>
      <w:tblCellMar>
        <w:left w:w="0" w:type="dxa"/>
        <w:top w:w="0" w:type="dxa"/>
        <w:right w:w="0" w:type="dxa"/>
        <w:bottom w:w="0" w:type="dxa"/>
      </w:tblCellMar>
    </w:tblPr>
  </w:style>
  <w:style w:type="table" w:styleId="986" w:customStyle="1">
    <w:name w:val="List Table 5 Dark - Accent 3"/>
    <w:uiPriority w:val="99"/>
    <w:qFormat/>
    <w:rPr>
      <w:rFonts w:ascii="Times New Roman" w:hAnsi="Times New Roman"/>
    </w:rPr>
    <w:tblPr>
      <w:tblLayout w:type="fixed"/>
      <w:tblCellMar>
        <w:left w:w="0" w:type="dxa"/>
        <w:top w:w="0" w:type="dxa"/>
        <w:right w:w="0" w:type="dxa"/>
        <w:bottom w:w="0" w:type="dxa"/>
      </w:tblCellMar>
    </w:tblPr>
  </w:style>
  <w:style w:type="table" w:styleId="987" w:customStyle="1">
    <w:name w:val="List Table 5 Dark - Accent 4"/>
    <w:uiPriority w:val="99"/>
    <w:qFormat/>
    <w:rPr>
      <w:rFonts w:ascii="Times New Roman" w:hAnsi="Times New Roman"/>
    </w:rPr>
    <w:tblPr>
      <w:tblLayout w:type="fixed"/>
      <w:tblCellMar>
        <w:left w:w="0" w:type="dxa"/>
        <w:top w:w="0" w:type="dxa"/>
        <w:right w:w="0" w:type="dxa"/>
        <w:bottom w:w="0" w:type="dxa"/>
      </w:tblCellMar>
    </w:tblPr>
  </w:style>
  <w:style w:type="table" w:styleId="988" w:customStyle="1">
    <w:name w:val="List Table 5 Dark - Accent 5"/>
    <w:uiPriority w:val="99"/>
    <w:qFormat/>
    <w:rPr>
      <w:rFonts w:ascii="Times New Roman" w:hAnsi="Times New Roman"/>
    </w:rPr>
    <w:tblPr>
      <w:tblLayout w:type="fixed"/>
      <w:tblCellMar>
        <w:left w:w="0" w:type="dxa"/>
        <w:top w:w="0" w:type="dxa"/>
        <w:right w:w="0" w:type="dxa"/>
        <w:bottom w:w="0" w:type="dxa"/>
      </w:tblCellMar>
    </w:tblPr>
  </w:style>
  <w:style w:type="table" w:styleId="989" w:customStyle="1">
    <w:name w:val="List Table 5 Dark - Accent 6"/>
    <w:uiPriority w:val="99"/>
    <w:qFormat/>
    <w:rPr>
      <w:rFonts w:ascii="Times New Roman" w:hAnsi="Times New Roman"/>
    </w:rPr>
    <w:tblPr>
      <w:tblLayout w:type="fixed"/>
      <w:tblCellMar>
        <w:left w:w="0" w:type="dxa"/>
        <w:top w:w="0" w:type="dxa"/>
        <w:right w:w="0" w:type="dxa"/>
        <w:bottom w:w="0" w:type="dxa"/>
      </w:tblCellMar>
    </w:tblPr>
  </w:style>
  <w:style w:type="table" w:styleId="990" w:customStyle="1">
    <w:name w:val="List Table 6 Colorful"/>
    <w:uiPriority w:val="99"/>
    <w:qFormat/>
    <w:rPr>
      <w:rFonts w:ascii="Times New Roman" w:hAnsi="Times New Roman"/>
    </w:rPr>
    <w:tblPr>
      <w:tblLayout w:type="fixed"/>
      <w:tblCellMar>
        <w:left w:w="0" w:type="dxa"/>
        <w:top w:w="0" w:type="dxa"/>
        <w:right w:w="0" w:type="dxa"/>
        <w:bottom w:w="0" w:type="dxa"/>
      </w:tblCellMar>
    </w:tblPr>
  </w:style>
  <w:style w:type="table" w:styleId="991" w:customStyle="1">
    <w:name w:val="List Table 6 Colorful - Accent 1"/>
    <w:uiPriority w:val="99"/>
    <w:qFormat/>
    <w:rPr>
      <w:rFonts w:ascii="Times New Roman" w:hAnsi="Times New Roman"/>
    </w:rPr>
    <w:tblPr>
      <w:tblLayout w:type="fixed"/>
      <w:tblCellMar>
        <w:left w:w="0" w:type="dxa"/>
        <w:top w:w="0" w:type="dxa"/>
        <w:right w:w="0" w:type="dxa"/>
        <w:bottom w:w="0" w:type="dxa"/>
      </w:tblCellMar>
    </w:tblPr>
  </w:style>
  <w:style w:type="table" w:styleId="992" w:customStyle="1">
    <w:name w:val="List Table 6 Colorful - Accent 2"/>
    <w:uiPriority w:val="99"/>
    <w:qFormat/>
    <w:rPr>
      <w:rFonts w:ascii="Times New Roman" w:hAnsi="Times New Roman"/>
    </w:rPr>
    <w:tblPr>
      <w:tblLayout w:type="fixed"/>
      <w:tblCellMar>
        <w:left w:w="0" w:type="dxa"/>
        <w:top w:w="0" w:type="dxa"/>
        <w:right w:w="0" w:type="dxa"/>
        <w:bottom w:w="0" w:type="dxa"/>
      </w:tblCellMar>
    </w:tblPr>
  </w:style>
  <w:style w:type="table" w:styleId="993" w:customStyle="1">
    <w:name w:val="List Table 6 Colorful - Accent 3"/>
    <w:uiPriority w:val="99"/>
    <w:qFormat/>
    <w:rPr>
      <w:rFonts w:ascii="Times New Roman" w:hAnsi="Times New Roman"/>
    </w:rPr>
    <w:tblPr>
      <w:tblLayout w:type="fixed"/>
      <w:tblCellMar>
        <w:left w:w="0" w:type="dxa"/>
        <w:top w:w="0" w:type="dxa"/>
        <w:right w:w="0" w:type="dxa"/>
        <w:bottom w:w="0" w:type="dxa"/>
      </w:tblCellMar>
    </w:tblPr>
  </w:style>
  <w:style w:type="table" w:styleId="994" w:customStyle="1">
    <w:name w:val="List Table 6 Colorful - Accent 4"/>
    <w:uiPriority w:val="99"/>
    <w:qFormat/>
    <w:rPr>
      <w:rFonts w:ascii="Times New Roman" w:hAnsi="Times New Roman"/>
    </w:rPr>
    <w:tblPr>
      <w:tblLayout w:type="fixed"/>
      <w:tblCellMar>
        <w:left w:w="0" w:type="dxa"/>
        <w:top w:w="0" w:type="dxa"/>
        <w:right w:w="0" w:type="dxa"/>
        <w:bottom w:w="0" w:type="dxa"/>
      </w:tblCellMar>
    </w:tblPr>
  </w:style>
  <w:style w:type="table" w:styleId="995" w:customStyle="1">
    <w:name w:val="List Table 6 Colorful - Accent 5"/>
    <w:uiPriority w:val="99"/>
    <w:qFormat/>
    <w:rPr>
      <w:rFonts w:ascii="Times New Roman" w:hAnsi="Times New Roman"/>
    </w:rPr>
    <w:tblPr>
      <w:tblLayout w:type="fixed"/>
      <w:tblCellMar>
        <w:left w:w="0" w:type="dxa"/>
        <w:top w:w="0" w:type="dxa"/>
        <w:right w:w="0" w:type="dxa"/>
        <w:bottom w:w="0" w:type="dxa"/>
      </w:tblCellMar>
    </w:tblPr>
  </w:style>
  <w:style w:type="table" w:styleId="996" w:customStyle="1">
    <w:name w:val="List Table 6 Colorful - Accent 6"/>
    <w:uiPriority w:val="99"/>
    <w:qFormat/>
    <w:rPr>
      <w:rFonts w:ascii="Times New Roman" w:hAnsi="Times New Roman"/>
    </w:rPr>
    <w:tblPr>
      <w:tblLayout w:type="fixed"/>
      <w:tblCellMar>
        <w:left w:w="0" w:type="dxa"/>
        <w:top w:w="0" w:type="dxa"/>
        <w:right w:w="0" w:type="dxa"/>
        <w:bottom w:w="0" w:type="dxa"/>
      </w:tblCellMar>
    </w:tblPr>
  </w:style>
  <w:style w:type="table" w:styleId="997" w:customStyle="1">
    <w:name w:val="List Table 7 Colorful"/>
    <w:uiPriority w:val="99"/>
    <w:qFormat/>
    <w:rPr>
      <w:rFonts w:ascii="Times New Roman" w:hAnsi="Times New Roman"/>
    </w:rPr>
    <w:tblPr>
      <w:tblLayout w:type="fixed"/>
      <w:tblCellMar>
        <w:left w:w="0" w:type="dxa"/>
        <w:top w:w="0" w:type="dxa"/>
        <w:right w:w="0" w:type="dxa"/>
        <w:bottom w:w="0" w:type="dxa"/>
      </w:tblCellMar>
    </w:tblPr>
  </w:style>
  <w:style w:type="table" w:styleId="998" w:customStyle="1">
    <w:name w:val="List Table 7 Colorful - Accent 1"/>
    <w:uiPriority w:val="99"/>
    <w:qFormat/>
    <w:rPr>
      <w:rFonts w:ascii="Times New Roman" w:hAnsi="Times New Roman"/>
    </w:rPr>
    <w:tblPr>
      <w:tblLayout w:type="fixed"/>
      <w:tblCellMar>
        <w:left w:w="0" w:type="dxa"/>
        <w:top w:w="0" w:type="dxa"/>
        <w:right w:w="0" w:type="dxa"/>
        <w:bottom w:w="0" w:type="dxa"/>
      </w:tblCellMar>
    </w:tblPr>
  </w:style>
  <w:style w:type="table" w:styleId="999" w:customStyle="1">
    <w:name w:val="List Table 7 Colorful - Accent 2"/>
    <w:uiPriority w:val="99"/>
    <w:qFormat/>
    <w:rPr>
      <w:rFonts w:ascii="Times New Roman" w:hAnsi="Times New Roman"/>
    </w:rPr>
    <w:tblPr>
      <w:tblLayout w:type="fixed"/>
      <w:tblCellMar>
        <w:left w:w="0" w:type="dxa"/>
        <w:top w:w="0" w:type="dxa"/>
        <w:right w:w="0" w:type="dxa"/>
        <w:bottom w:w="0" w:type="dxa"/>
      </w:tblCellMar>
    </w:tblPr>
  </w:style>
  <w:style w:type="table" w:styleId="1000" w:customStyle="1">
    <w:name w:val="List Table 7 Colorful - Accent 3"/>
    <w:uiPriority w:val="99"/>
    <w:qFormat/>
    <w:rPr>
      <w:rFonts w:ascii="Times New Roman" w:hAnsi="Times New Roman"/>
    </w:rPr>
    <w:tblPr>
      <w:tblLayout w:type="fixed"/>
      <w:tblCellMar>
        <w:left w:w="0" w:type="dxa"/>
        <w:top w:w="0" w:type="dxa"/>
        <w:right w:w="0" w:type="dxa"/>
        <w:bottom w:w="0" w:type="dxa"/>
      </w:tblCellMar>
    </w:tblPr>
  </w:style>
  <w:style w:type="table" w:styleId="1001" w:customStyle="1">
    <w:name w:val="List Table 7 Colorful - Accent 4"/>
    <w:uiPriority w:val="99"/>
    <w:qFormat/>
    <w:rPr>
      <w:rFonts w:ascii="Times New Roman" w:hAnsi="Times New Roman"/>
    </w:rPr>
    <w:tblPr>
      <w:tblLayout w:type="fixed"/>
      <w:tblCellMar>
        <w:left w:w="0" w:type="dxa"/>
        <w:top w:w="0" w:type="dxa"/>
        <w:right w:w="0" w:type="dxa"/>
        <w:bottom w:w="0" w:type="dxa"/>
      </w:tblCellMar>
    </w:tblPr>
  </w:style>
  <w:style w:type="table" w:styleId="1002" w:customStyle="1">
    <w:name w:val="List Table 7 Colorful - Accent 5"/>
    <w:uiPriority w:val="99"/>
    <w:qFormat/>
    <w:rPr>
      <w:rFonts w:ascii="Times New Roman" w:hAnsi="Times New Roman"/>
    </w:rPr>
    <w:tblPr>
      <w:tblLayout w:type="fixed"/>
      <w:tblCellMar>
        <w:left w:w="0" w:type="dxa"/>
        <w:top w:w="0" w:type="dxa"/>
        <w:right w:w="0" w:type="dxa"/>
        <w:bottom w:w="0" w:type="dxa"/>
      </w:tblCellMar>
    </w:tblPr>
  </w:style>
  <w:style w:type="table" w:styleId="1003" w:customStyle="1">
    <w:name w:val="List Table 7 Colorful - Accent 6"/>
    <w:uiPriority w:val="99"/>
    <w:qFormat/>
    <w:rPr>
      <w:rFonts w:ascii="Times New Roman" w:hAnsi="Times New Roman"/>
    </w:rPr>
    <w:tblPr>
      <w:tblLayout w:type="fixed"/>
      <w:tblCellMar>
        <w:left w:w="0" w:type="dxa"/>
        <w:top w:w="0" w:type="dxa"/>
        <w:right w:w="0" w:type="dxa"/>
        <w:bottom w:w="0" w:type="dxa"/>
      </w:tblCellMar>
    </w:tblPr>
  </w:style>
  <w:style w:type="table" w:styleId="1004" w:customStyle="1">
    <w:name w:val="Lined - Accent"/>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05" w:customStyle="1">
    <w:name w:val="Lined - Accent 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06" w:customStyle="1">
    <w:name w:val="Lined - Accent 2"/>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07" w:customStyle="1">
    <w:name w:val="Lined - Accent 3"/>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08" w:customStyle="1">
    <w:name w:val="Lined - Accent 4"/>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09" w:customStyle="1">
    <w:name w:val="Lined - Accent 5"/>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0" w:customStyle="1">
    <w:name w:val="Lined - Accent 6"/>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1" w:customStyle="1">
    <w:name w:val="Bordered &amp; Lined - Accent"/>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2" w:customStyle="1">
    <w:name w:val="Bordered &amp; Lined - Accent 1"/>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3" w:customStyle="1">
    <w:name w:val="Bordered &amp; Lined - Accent 2"/>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4" w:customStyle="1">
    <w:name w:val="Bordered &amp; Lined - Accent 3"/>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5" w:customStyle="1">
    <w:name w:val="Bordered &amp; Lined - Accent 4"/>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6" w:customStyle="1">
    <w:name w:val="Bordered &amp; Lined - Accent 5"/>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7" w:customStyle="1">
    <w:name w:val="Bordered &amp; Lined - Accent 6"/>
    <w:uiPriority w:val="99"/>
    <w:qFormat/>
    <w:rPr>
      <w:rFonts w:ascii="Times New Roman" w:hAnsi="Times New Roman"/>
      <w:color w:val="404040"/>
    </w:rPr>
    <w:tblPr>
      <w:tblLayout w:type="fixed"/>
      <w:tblCellMar>
        <w:left w:w="0" w:type="dxa"/>
        <w:top w:w="0" w:type="dxa"/>
        <w:right w:w="0" w:type="dxa"/>
        <w:bottom w:w="0" w:type="dxa"/>
      </w:tblCellMar>
    </w:tblPr>
  </w:style>
  <w:style w:type="table" w:styleId="1018" w:customStyle="1">
    <w:name w:val="Bordered"/>
    <w:uiPriority w:val="99"/>
    <w:qFormat/>
    <w:rPr>
      <w:rFonts w:ascii="Times New Roman" w:hAnsi="Times New Roman"/>
    </w:rPr>
    <w:tblPr>
      <w:tblLayout w:type="fixed"/>
      <w:tblCellMar>
        <w:left w:w="0" w:type="dxa"/>
        <w:top w:w="0" w:type="dxa"/>
        <w:right w:w="0" w:type="dxa"/>
        <w:bottom w:w="0" w:type="dxa"/>
      </w:tblCellMar>
    </w:tblPr>
  </w:style>
  <w:style w:type="table" w:styleId="1019" w:customStyle="1">
    <w:name w:val="Bordered - Accent 1"/>
    <w:uiPriority w:val="99"/>
    <w:qFormat/>
    <w:rPr>
      <w:rFonts w:ascii="Times New Roman" w:hAnsi="Times New Roman"/>
    </w:rPr>
    <w:tblPr>
      <w:tblLayout w:type="fixed"/>
      <w:tblCellMar>
        <w:left w:w="0" w:type="dxa"/>
        <w:top w:w="0" w:type="dxa"/>
        <w:right w:w="0" w:type="dxa"/>
        <w:bottom w:w="0" w:type="dxa"/>
      </w:tblCellMar>
    </w:tblPr>
  </w:style>
  <w:style w:type="table" w:styleId="1020" w:customStyle="1">
    <w:name w:val="Bordered - Accent 2"/>
    <w:uiPriority w:val="99"/>
    <w:qFormat/>
    <w:rPr>
      <w:rFonts w:ascii="Times New Roman" w:hAnsi="Times New Roman"/>
    </w:rPr>
    <w:tblPr>
      <w:tblLayout w:type="fixed"/>
      <w:tblCellMar>
        <w:left w:w="0" w:type="dxa"/>
        <w:top w:w="0" w:type="dxa"/>
        <w:right w:w="0" w:type="dxa"/>
        <w:bottom w:w="0" w:type="dxa"/>
      </w:tblCellMar>
    </w:tblPr>
  </w:style>
  <w:style w:type="table" w:styleId="1021" w:customStyle="1">
    <w:name w:val="Bordered - Accent 3"/>
    <w:uiPriority w:val="99"/>
    <w:qFormat/>
    <w:rPr>
      <w:rFonts w:ascii="Times New Roman" w:hAnsi="Times New Roman"/>
    </w:rPr>
    <w:tblPr>
      <w:tblLayout w:type="fixed"/>
      <w:tblCellMar>
        <w:left w:w="0" w:type="dxa"/>
        <w:top w:w="0" w:type="dxa"/>
        <w:right w:w="0" w:type="dxa"/>
        <w:bottom w:w="0" w:type="dxa"/>
      </w:tblCellMar>
    </w:tblPr>
  </w:style>
  <w:style w:type="table" w:styleId="1022" w:customStyle="1">
    <w:name w:val="Bordered - Accent 4"/>
    <w:uiPriority w:val="99"/>
    <w:qFormat/>
    <w:rPr>
      <w:rFonts w:ascii="Times New Roman" w:hAnsi="Times New Roman"/>
    </w:rPr>
    <w:tblPr>
      <w:tblLayout w:type="fixed"/>
      <w:tblCellMar>
        <w:left w:w="0" w:type="dxa"/>
        <w:top w:w="0" w:type="dxa"/>
        <w:right w:w="0" w:type="dxa"/>
        <w:bottom w:w="0" w:type="dxa"/>
      </w:tblCellMar>
    </w:tblPr>
  </w:style>
  <w:style w:type="table" w:styleId="1023" w:customStyle="1">
    <w:name w:val="Bordered - Accent 5"/>
    <w:uiPriority w:val="99"/>
    <w:qFormat/>
    <w:rPr>
      <w:rFonts w:ascii="Times New Roman" w:hAnsi="Times New Roman"/>
    </w:rPr>
    <w:tblPr>
      <w:tblLayout w:type="fixed"/>
      <w:tblCellMar>
        <w:left w:w="0" w:type="dxa"/>
        <w:top w:w="0" w:type="dxa"/>
        <w:right w:w="0" w:type="dxa"/>
        <w:bottom w:w="0" w:type="dxa"/>
      </w:tblCellMar>
    </w:tblPr>
  </w:style>
  <w:style w:type="table" w:styleId="1024" w:customStyle="1">
    <w:name w:val="Bordered - Accent 6"/>
    <w:uiPriority w:val="99"/>
    <w:qFormat/>
    <w:rPr>
      <w:rFonts w:ascii="Times New Roman" w:hAnsi="Times New Roman"/>
    </w:rPr>
    <w:tblPr>
      <w:tblLayout w:type="fixed"/>
      <w:tblCellMar>
        <w:left w:w="0" w:type="dxa"/>
        <w:top w:w="0" w:type="dxa"/>
        <w:right w:w="0" w:type="dxa"/>
        <w:bottom w:w="0" w:type="dxa"/>
      </w:tblCellMar>
    </w:tblPr>
  </w:style>
  <w:style w:type="paragraph" w:styleId="1025" w:customStyle="1">
    <w:name w:val="TOC 标题11"/>
    <w:uiPriority w:val="39"/>
    <w:unhideWhenUsed/>
    <w:qFormat/>
    <w:rPr>
      <w:rFonts w:ascii="Times New Roman" w:hAnsi="Times New Roman" w:eastAsia="宋体" w:cs="Times New Roman"/>
      <w:lang w:val="en-US" w:eastAsia="zh-CN" w:bidi="ar-SA"/>
    </w:rPr>
  </w:style>
  <w:style w:type="character" w:styleId="1026" w:customStyle="1">
    <w:name w:val="已访问的超链接1"/>
    <w:uiPriority w:val="0"/>
    <w:qFormat/>
    <w:rPr>
      <w:color w:val="800080"/>
      <w:u w:val="single"/>
    </w:rPr>
  </w:style>
  <w:style w:type="paragraph" w:styleId="1027" w:customStyle="1">
    <w:name w:val="Char1"/>
    <w:basedOn w:val="743"/>
    <w:uiPriority w:val="0"/>
    <w:qFormat/>
    <w:rPr>
      <w:rFonts w:ascii="Tahoma" w:hAnsi="Tahoma"/>
      <w:sz w:val="24"/>
      <w:szCs w:val="24"/>
    </w:rPr>
  </w:style>
  <w:style w:type="paragraph" w:styleId="1028" w:customStyle="1">
    <w:name w:val="Char Char Char Char Char Char Char Char Char Char1"/>
    <w:basedOn w:val="737"/>
    <w:uiPriority w:val="0"/>
    <w:qFormat/>
    <w:pPr>
      <w:spacing w:line="360" w:lineRule="auto"/>
    </w:pPr>
    <w:rPr>
      <w:sz w:val="24"/>
      <w:szCs w:val="20"/>
    </w:rPr>
  </w:style>
  <w:style w:type="paragraph" w:styleId="1029" w:customStyle="1">
    <w:name w:val="Char Char Char Char Char Char Char Char1"/>
    <w:basedOn w:val="737"/>
    <w:uiPriority w:val="0"/>
    <w:qFormat/>
    <w:pPr>
      <w:jc w:val="left"/>
      <w:spacing w:after="160" w:line="240" w:lineRule="exact"/>
      <w:widowControl/>
    </w:pPr>
    <w:rPr>
      <w:rFonts w:ascii="Verdana" w:hAnsi="Verdana"/>
      <w:sz w:val="20"/>
      <w:szCs w:val="20"/>
      <w:lang w:eastAsia="en-US"/>
    </w:rPr>
  </w:style>
  <w:style w:type="paragraph" w:styleId="1030" w:customStyle="1">
    <w:name w:val="Char Char Char Char1"/>
    <w:basedOn w:val="743"/>
    <w:uiPriority w:val="0"/>
    <w:qFormat/>
    <w:pPr>
      <w:spacing w:line="360" w:lineRule="auto"/>
    </w:pPr>
    <w:rPr>
      <w:rFonts w:ascii="Tahoma" w:hAnsi="Tahoma"/>
      <w:sz w:val="24"/>
      <w:szCs w:val="24"/>
    </w:rPr>
  </w:style>
  <w:style w:type="paragraph" w:styleId="1031" w:customStyle="1">
    <w:name w:val="修订11"/>
    <w:uiPriority w:val="99"/>
    <w:semiHidden/>
    <w:qFormat/>
    <w:rPr>
      <w:rFonts w:ascii="Times New Roman" w:hAnsi="Times New Roman" w:eastAsia="宋体" w:cs="Times New Roman"/>
      <w:sz w:val="21"/>
      <w:szCs w:val="21"/>
      <w:lang w:val="en-US" w:eastAsia="zh-CN" w:bidi="ar-SA"/>
    </w:rPr>
  </w:style>
  <w:style w:type="paragraph" w:styleId="1032" w:customStyle="1">
    <w:name w:val="列出段落2"/>
    <w:basedOn w:val="737"/>
    <w:uiPriority w:val="99"/>
    <w:unhideWhenUsed/>
    <w:qFormat/>
    <w:pPr>
      <w:ind w:firstLine="420"/>
    </w:pPr>
    <w:rPr>
      <w:szCs w:val="24"/>
    </w:rPr>
  </w:style>
  <w:style w:type="paragraph" w:styleId="1033" w:customStyle="1">
    <w:name w:val="纯文本1"/>
    <w:basedOn w:val="737"/>
    <w:uiPriority w:val="99"/>
    <w:qFormat/>
    <w:rPr>
      <w:rFonts w:ascii="宋体" w:hAnsi="Courier New" w:eastAsia="楷体_GB2312" w:cs="宋体"/>
      <w:sz w:val="26"/>
      <w:szCs w:val="26"/>
    </w:rPr>
  </w:style>
  <w:style w:type="paragraph" w:styleId="1034" w:customStyle="1">
    <w:name w:val="二级标题"/>
    <w:basedOn w:val="737"/>
    <w:uiPriority w:val="99"/>
    <w:qFormat/>
    <w:pPr>
      <w:ind w:firstLine="420"/>
      <w:spacing w:line="560" w:lineRule="exact"/>
    </w:pPr>
    <w:rPr>
      <w:rFonts w:eastAsia="仿宋_GB2312"/>
      <w:b/>
      <w:bCs/>
      <w:color w:val="000000"/>
      <w:sz w:val="28"/>
      <w:szCs w:val="28"/>
    </w:rPr>
  </w:style>
  <w:style w:type="paragraph" w:styleId="1035"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036" w:customStyle="1">
    <w:name w:val="Normal_45"/>
    <w:uiPriority w:val="99"/>
    <w:qFormat/>
    <w:pPr>
      <w:jc w:val="both"/>
      <w:spacing w:before="120" w:after="240"/>
    </w:pPr>
    <w:rPr>
      <w:rFonts w:ascii="Times New Roman" w:hAnsi="Times New Roman" w:eastAsia="宋体" w:cs="Times New Roman"/>
      <w:sz w:val="22"/>
      <w:szCs w:val="22"/>
      <w:lang w:val="en-US" w:eastAsia="en-US" w:bidi="ar-SA"/>
    </w:rPr>
  </w:style>
  <w:style w:type="paragraph" w:styleId="1037" w:customStyle="1">
    <w:name w:val="Normal_48"/>
    <w:uiPriority w:val="99"/>
    <w:qFormat/>
    <w:pPr>
      <w:jc w:val="both"/>
      <w:spacing w:before="120" w:after="240"/>
    </w:pPr>
    <w:rPr>
      <w:rFonts w:ascii="Times New Roman" w:hAnsi="Times New Roman" w:eastAsia="宋体" w:cs="Times New Roman"/>
      <w:sz w:val="22"/>
      <w:szCs w:val="22"/>
      <w:lang w:val="en-US" w:eastAsia="en-US" w:bidi="ar-SA"/>
    </w:rPr>
  </w:style>
  <w:style w:type="paragraph" w:styleId="1038" w:customStyle="1">
    <w:name w:val="Table Paragraph"/>
    <w:basedOn w:val="737"/>
    <w:uiPriority w:val="99"/>
    <w:qFormat/>
    <w:rPr>
      <w:rFonts w:ascii="宋体" w:hAnsi="宋体" w:cs="宋体"/>
      <w:lang w:val="zh-CN"/>
    </w:rPr>
  </w:style>
  <w:style w:type="character" w:styleId="1039" w:customStyle="1">
    <w:name w:val="正文文本 字符1"/>
    <w:uiPriority w:val="99"/>
    <w:qFormat/>
    <w:rPr>
      <w:rFonts w:ascii="楷体_GB2312" w:hAnsi="Arial" w:eastAsia="楷体_GB2312" w:cs="Times New Roman"/>
      <w:sz w:val="28"/>
      <w:szCs w:val="28"/>
      <w:lang w:val="zh-CN"/>
    </w:rPr>
  </w:style>
  <w:style w:type="paragraph" w:styleId="1040" w:customStyle="1">
    <w:name w:val="普通(网站)1"/>
    <w:basedOn w:val="737"/>
    <w:uiPriority w:val="0"/>
    <w:qFormat/>
    <w:pPr>
      <w:jc w:val="left"/>
      <w:spacing w:before="100" w:beforeAutospacing="1" w:after="100" w:afterAutospacing="1"/>
    </w:pPr>
    <w:rPr>
      <w:rFonts w:ascii="Calibri" w:hAnsi="Calibri"/>
      <w:sz w:val="24"/>
      <w:szCs w:val="24"/>
    </w:rPr>
  </w:style>
  <w:style w:type="paragraph" w:styleId="104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2" w:customStyle="1">
    <w:name w:val="biaoge"/>
    <w:basedOn w:val="737"/>
    <w:uiPriority w:val="0"/>
    <w:qFormat/>
  </w:style>
  <w:style w:type="character" w:styleId="1043" w:customStyle="1">
    <w:name w:val="qk-md-text"/>
    <w:uiPriority w:val="0"/>
    <w:qFormat/>
  </w:style>
  <w:style w:type="character" w:styleId="1044" w:customStyle="1">
    <w:name w:val="font51"/>
    <w:basedOn w:val="738"/>
    <w:uiPriority w:val="0"/>
    <w:qFormat/>
    <w:rPr>
      <w:rFonts w:hint="eastAsia" w:ascii="宋体" w:hAnsi="宋体" w:eastAsia="宋体" w:cs="宋体"/>
      <w:color w:val="000000"/>
      <w:sz w:val="16"/>
      <w:szCs w:val="16"/>
      <w:u w:val="none"/>
    </w:rPr>
  </w:style>
  <w:style w:type="character" w:styleId="1045" w:customStyle="1">
    <w:name w:val="font71"/>
    <w:basedOn w:val="738"/>
    <w:uiPriority w:val="0"/>
    <w:qFormat/>
    <w:rPr>
      <w:rFonts w:hint="eastAsia" w:ascii="宋体" w:hAnsi="宋体" w:eastAsia="宋体" w:cs="宋体"/>
      <w:color w:val="e36c0a"/>
      <w:sz w:val="16"/>
      <w:szCs w:val="16"/>
      <w:u w:val="none"/>
    </w:rPr>
  </w:style>
  <w:style w:type="paragraph" w:styleId="1046" w:customStyle="1">
    <w:name w:val="批注文字1"/>
    <w:basedOn w:val="737"/>
    <w:uiPriority w:val="0"/>
    <w:semiHidden/>
    <w:qFormat/>
    <w:pPr>
      <w:jc w:val="left"/>
      <w:spacing w:line="440" w:lineRule="exact"/>
    </w:pPr>
  </w:style>
  <w:style w:type="numbering" w:styleId="11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3</cp:revision>
  <dcterms:created xsi:type="dcterms:W3CDTF">2026-08-24T03:44:00Z</dcterms:created>
  <dcterms:modified xsi:type="dcterms:W3CDTF">2026-08-24T08:05:39Z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eyJoZGlkIjoiZWVjY2U3NTE2NzhiNzRjOWNiZGM5Y2ViMzNhNzYyYTEiLCJ1c2VySWQiOiIzMjY3MzIxODgifQ==</vt:lpwstr>
  </property>
  <property fmtid="{D5CDD505-2E9C-101B-9397-08002B2CF9AE}" pid="3" name="KSOProductBuildVer">
    <vt:lpwstr>2052-...</vt:lpwstr>
  </property>
  <property fmtid="{D5CDD505-2E9C-101B-9397-08002B2CF9AE}" pid="4" name="ICV">
    <vt:lpwstr>2412EEEAA5CD483E9D52D3416606AD34_13</vt:lpwstr>
  </property>
</Properties>
</file>