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53"/>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953"/>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953"/>
        <w:ind w:firstLine="0"/>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53"/>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53"/>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JSZC-320200-XWJC-G2026-0064</w:t>
      </w:r>
      <w:r/>
    </w:p>
    <w:p>
      <w:pPr>
        <w:ind w:left="3515" w:hanging="160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江南大学附属医院螺旋断层放射治疗系统（TOMO）项目（第二次）</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江南大学附属医院</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pStyle w:val="95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3"/>
        <w:ind w:firstLine="0"/>
        <w:jc w:val="center"/>
        <w:spacing w:before="0" w:after="0"/>
        <w:rPr>
          <w:rFonts w:hint="eastAsia"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采购代理机构：无锡市卫生健康综合服务中心</w:t>
      </w:r>
      <w:r/>
    </w:p>
    <w:p>
      <w:pPr>
        <w:pStyle w:val="953"/>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九</w:t>
      </w:r>
      <w:r>
        <w:rPr>
          <w:rFonts w:hint="eastAsia" w:ascii="黑体" w:hAnsi="华文中宋" w:eastAsia="黑体"/>
          <w:bCs/>
          <w:color w:val="auto"/>
          <w:sz w:val="32"/>
          <w:szCs w:val="32"/>
          <w:highlight w:val="none"/>
        </w:rPr>
        <w:t xml:space="preserve">月</w:t>
      </w:r>
      <w:r/>
    </w:p>
    <w:p>
      <w:pPr>
        <w:pStyle w:val="953"/>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ascii="黑体" w:hAnsi="华文中宋" w:eastAsia="黑体"/>
          <w:bCs/>
          <w:color w:val="auto"/>
          <w:sz w:val="44"/>
          <w:szCs w:val="44"/>
          <w:highlight w:val="none"/>
        </w:rPr>
        <w:t xml:space="preserve"> </w:t>
      </w:r>
      <w:r>
        <w:rPr>
          <w:rFonts w:hint="eastAsia" w:ascii="黑体" w:hAnsi="黑体" w:eastAsia="黑体"/>
          <w:color w:val="auto"/>
          <w:sz w:val="36"/>
          <w:szCs w:val="36"/>
          <w:highlight w:val="none"/>
        </w:rPr>
        <w:t xml:space="preserve"> 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投标邀请----------------------------------（4）</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采购需求---------------------------------（28）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评标方法与评标标准-----------------------（43）</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投标文件内容与格式-----------------------（50）</w:t>
      </w:r>
      <w:r/>
    </w:p>
    <w:p>
      <w:pPr>
        <w:jc w:val="center"/>
        <w:spacing w:line="500" w:lineRule="exact"/>
        <w:tabs>
          <w:tab w:val="left" w:pos="1440" w:leader="none"/>
        </w:tabs>
        <w:rPr>
          <w:rFonts w:ascii="黑体" w:hAnsi="Showcard Gothic" w:eastAsia="黑体"/>
          <w:color w:val="auto"/>
          <w:sz w:val="30"/>
          <w:szCs w:val="30"/>
          <w:highlight w:val="none"/>
        </w:rPr>
        <w:outlineLvl w:val="0"/>
      </w:pPr>
      <w:r>
        <w:rPr>
          <w:rFonts w:ascii="黑体" w:hAnsi="Showcard Gothic" w:eastAsia="黑体"/>
          <w:color w:val="auto"/>
          <w:sz w:val="30"/>
          <w:szCs w:val="30"/>
          <w:highlight w:val="none"/>
        </w:rPr>
        <w:br w:type="page" w:clear="all"/>
      </w:r>
      <w:r/>
    </w:p>
    <w:p>
      <w:pPr>
        <w:pStyle w:val="722"/>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auto"/>
          <w:sz w:val="36"/>
          <w:szCs w:val="36"/>
          <w:highlight w:val="none"/>
          <w:shd w:val="clear" w:color="auto" w:fill="ffffff"/>
        </w:rPr>
      </w:pP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22"/>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697"/>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97"/>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一、串标情形</w:t>
      </w:r>
      <w:r/>
    </w:p>
    <w:p>
      <w:pPr>
        <w:pStyle w:val="722"/>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22"/>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22"/>
        <w:ind w:firstLine="560"/>
        <w:spacing w:before="0" w:beforeAutospacing="0" w:after="0" w:afterAutospacing="0" w:line="560" w:lineRule="exact"/>
        <w:shd w:val="clear" w:color="auto" w:fill="ffffff"/>
        <w:tabs>
          <w:tab w:val="left" w:pos="8751" w:leader="none"/>
        </w:tabs>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rPr>
          <w:color w:val="auto"/>
          <w:highlight w:val="none"/>
        </w:rPr>
        <w:tab/>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2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697"/>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二、后果 </w:t>
      </w:r>
      <w:r/>
    </w:p>
    <w:p>
      <w:pPr>
        <w:pStyle w:val="697"/>
        <w:ind w:firstLine="560"/>
        <w:spacing w:line="5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shd w:val="clear" w:color="auto" w:fill="ffffff"/>
        </w:rPr>
        <w:t xml:space="preserve">按照《</w:t>
      </w:r>
      <w:r>
        <w:rPr>
          <w:rFonts w:hint="eastAsia" w:ascii="方正仿宋_GB2312" w:hAnsi="方正仿宋_GB2312" w:eastAsia="方正仿宋_GB2312" w:cs="方正仿宋_GB2312"/>
          <w:color w:val="auto"/>
          <w:highlight w:val="none"/>
          <w:shd w:val="clear" w:color="auto" w:fill="ffffff"/>
          <w:lang w:eastAsia="zh-CN"/>
        </w:rPr>
        <w:t xml:space="preserve">中华人民共和国政府采购法</w:t>
      </w:r>
      <w:r>
        <w:rPr>
          <w:rFonts w:hint="eastAsia" w:ascii="方正仿宋_GB2312" w:hAnsi="方正仿宋_GB2312" w:eastAsia="方正仿宋_GB2312" w:cs="方正仿宋_GB2312"/>
          <w:color w:val="auto"/>
          <w:highlight w:val="none"/>
          <w:shd w:val="clear" w:color="auto" w:fill="ffffff"/>
        </w:rPr>
        <w:t xml:space="preserve">》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22"/>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22"/>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pStyle w:val="767"/>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767"/>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767"/>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767"/>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767"/>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767"/>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江南大学附属医院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u w:val="single"/>
          <w:lang w:eastAsia="zh-CN"/>
        </w:rPr>
        <w:t xml:space="preserve">江南大学附属医院螺旋断层放射治疗系统（TOMO）项目（第二次）</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JSZC-320200-XWJC-G2026-0064</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江南大学附属医院螺旋断层放射治疗系统（TOMO）项目（第二次）</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日1</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81"/>
        <w:ind w:firstLine="452"/>
        <w:keepLines w:val="0"/>
        <w:keepNext w:val="0"/>
        <w:spacing w:before="0" w:after="0" w:line="500" w:lineRule="exact"/>
        <w:rPr>
          <w:color w:val="auto"/>
          <w:sz w:val="30"/>
          <w:szCs w:val="30"/>
          <w:highlight w:val="none"/>
        </w:rPr>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JSZC-320200-XWJC-G2026-0064</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江南大学附属医院螺旋断层放射治疗系统（TOMO）项目（第二次）</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3.项目预</w:t>
      </w:r>
      <w:r>
        <w:rPr>
          <w:rFonts w:hint="eastAsia" w:ascii="宋体" w:hAnsi="宋体" w:cs="宋体"/>
          <w:color w:val="auto"/>
          <w:sz w:val="24"/>
          <w:szCs w:val="24"/>
          <w:highlight w:val="none"/>
        </w:rPr>
        <w:t xml:space="preserve">算金额：</w:t>
      </w:r>
      <w:r>
        <w:rPr>
          <w:rFonts w:hint="eastAsia" w:ascii="宋体" w:hAnsi="宋体" w:cs="宋体"/>
          <w:color w:val="auto"/>
          <w:sz w:val="24"/>
          <w:szCs w:val="24"/>
          <w:highlight w:val="none"/>
          <w:lang w:val="en-US" w:eastAsia="zh-CN"/>
        </w:rPr>
        <w:t xml:space="preserve">4800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1套）</w:t>
      </w:r>
      <w:r/>
    </w:p>
    <w:p>
      <w:pPr>
        <w:ind w:firstLine="480"/>
        <w:spacing w:line="5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4.项目最高限价：</w:t>
      </w:r>
      <w:r>
        <w:rPr>
          <w:rFonts w:hint="eastAsia" w:ascii="宋体" w:hAnsi="宋体" w:cs="宋体"/>
          <w:color w:val="auto"/>
          <w:sz w:val="24"/>
          <w:szCs w:val="24"/>
          <w:highlight w:val="none"/>
          <w:lang w:val="en-US" w:eastAsia="zh-CN"/>
        </w:rPr>
        <w:t xml:space="preserve">4537</w:t>
      </w:r>
      <w:r>
        <w:rPr>
          <w:rFonts w:hint="eastAsia" w:ascii="宋体" w:hAnsi="宋体" w:cs="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681"/>
        <w:ind w:firstLine="452"/>
        <w:keepLines w:val="0"/>
        <w:keepNext w:val="0"/>
        <w:spacing w:before="0" w:after="0" w:line="500" w:lineRule="exact"/>
        <w:rPr>
          <w:color w:val="auto"/>
          <w:sz w:val="30"/>
          <w:szCs w:val="30"/>
          <w:highlight w:val="none"/>
        </w:rPr>
      </w:pPr>
      <w:r/>
      <w:bookmarkStart w:id="12" w:name="_Toc35393791"/>
      <w:r/>
      <w:bookmarkStart w:id="13" w:name="_Toc28359003"/>
      <w:r/>
      <w:bookmarkStart w:id="14" w:name="_Toc28359080"/>
      <w:r/>
      <w:bookmarkStart w:id="15" w:name="_Toc35393622"/>
      <w:r/>
      <w:bookmarkStart w:id="16" w:name="_Toc38985264"/>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5393623"/>
      <w:r/>
      <w:bookmarkStart w:id="19" w:name="_Toc38985265"/>
      <w:r/>
      <w:bookmarkStart w:id="20" w:name="_Toc35393792"/>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681"/>
        <w:ind w:firstLine="452"/>
        <w:keepLines w:val="0"/>
        <w:keepNext w:val="0"/>
        <w:spacing w:before="0" w:after="0" w:line="5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pStyle w:val="681"/>
        <w:ind w:firstLine="452"/>
        <w:keepLines w:val="0"/>
        <w:keepNext w:val="0"/>
        <w:spacing w:before="0" w:after="0" w:line="500" w:lineRule="exact"/>
        <w:rPr>
          <w:rFonts w:hint="eastAsia"/>
          <w:lang w:val="en-US" w:eastAsia="zh-CN"/>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供应商及所投产品的制造商应具备投标产品有效期内的《辐射安全许可证》（若投标产品已进行豁免备案，供应商仅需提供备案证明）（上传证明文件并加盖公章）</w:t>
      </w:r>
      <w:r/>
    </w:p>
    <w:p>
      <w:pPr>
        <w:pStyle w:val="681"/>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36"/>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81"/>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lang w:eastAsia="zh-CN"/>
        </w:rPr>
        <w:t xml:space="preserve">2026年</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eastAsia="zh-CN"/>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lang w:eastAsia="zh-CN"/>
        </w:rPr>
        <w:t xml:space="preserve">点</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81"/>
        <w:ind w:firstLine="452"/>
        <w:keepLines w:val="0"/>
        <w:keepNext w:val="0"/>
        <w:spacing w:before="0" w:after="0" w:line="500" w:lineRule="exact"/>
        <w:rPr>
          <w:color w:val="auto"/>
          <w:sz w:val="30"/>
          <w:szCs w:val="30"/>
          <w:highlight w:val="none"/>
        </w:rPr>
      </w:pPr>
      <w:r/>
      <w:bookmarkStart w:id="27" w:name="_Toc28359007"/>
      <w:r/>
      <w:bookmarkStart w:id="28" w:name="_Toc35393794"/>
      <w:r/>
      <w:bookmarkStart w:id="29" w:name="_Toc38985267"/>
      <w:r/>
      <w:bookmarkStart w:id="30" w:name="_Toc35393625"/>
      <w:r/>
      <w:bookmarkStart w:id="31" w:name="_Toc2835908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681"/>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81"/>
        <w:ind w:firstLine="452"/>
        <w:keepLines w:val="0"/>
        <w:keepNext w:val="0"/>
        <w:spacing w:before="0" w:after="0" w:line="500" w:lineRule="exact"/>
        <w:rPr>
          <w:color w:val="auto"/>
          <w:sz w:val="30"/>
          <w:szCs w:val="30"/>
          <w:highlight w:val="none"/>
        </w:rPr>
      </w:pPr>
      <w:r/>
      <w:bookmarkStart w:id="35" w:name="_Toc28359008"/>
      <w:r/>
      <w:bookmarkStart w:id="36" w:name="_Toc35393627"/>
      <w:r/>
      <w:bookmarkStart w:id="37" w:name="_Toc35393796"/>
      <w:r/>
      <w:bookmarkStart w:id="38" w:name="_Toc38985269"/>
      <w:r/>
      <w:bookmarkStart w:id="39" w:name="_Toc28359085"/>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江南大学附属医院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cs="宋体"/>
          <w:sz w:val="24"/>
          <w:szCs w:val="24"/>
          <w:highlight w:val="none"/>
          <w:lang w:val="en-US" w:eastAsia="zh-CN"/>
        </w:rPr>
        <w:t xml:space="preserve">无锡市滨湖区和风路1000号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000000"/>
          <w:sz w:val="24"/>
          <w:szCs w:val="24"/>
          <w:highlight w:val="none"/>
          <w:lang w:val="en-US" w:eastAsia="zh-CN"/>
        </w:rPr>
        <w:t xml:space="preserve">林</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eastAsia="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000000"/>
          <w:sz w:val="24"/>
          <w:szCs w:val="24"/>
          <w:highlight w:val="none"/>
          <w:lang w:val="en-US" w:eastAsia="zh-CN"/>
        </w:rPr>
        <w:t xml:space="preserve">胡</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681"/>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1040"/>
        <w:ind w:left="808" w:hanging="428"/>
        <w:jc w:val="both"/>
        <w:keepLines w:val="0"/>
        <w:keepNext w:val="0"/>
        <w:spacing w:before="0" w:after="0" w:line="500" w:lineRule="exact"/>
        <w:rPr>
          <w:color w:val="auto"/>
          <w:sz w:val="30"/>
          <w:szCs w:val="30"/>
          <w:highlight w:val="none"/>
        </w:rPr>
      </w:pPr>
      <w:r/>
      <w:bookmarkStart w:id="47" w:name="_Toc120614214"/>
      <w:r/>
      <w:bookmarkStart w:id="48" w:name="_Toc513029203"/>
      <w:r/>
      <w:bookmarkStart w:id="49" w:name="_Toc16938519"/>
      <w:r/>
      <w:bookmarkStart w:id="50" w:name="_Toc20823275"/>
      <w:r/>
      <w:bookmarkStart w:id="51" w:name="_Toc479757207"/>
      <w:r/>
      <w:bookmarkStart w:id="52" w:name="_Toc16938558"/>
      <w:r/>
      <w:bookmarkStart w:id="53" w:name="_Toc20823314"/>
      <w:r/>
      <w:bookmarkStart w:id="54" w:name="_Toc120614221"/>
      <w:r/>
      <w:bookmarkStart w:id="55" w:name="_Toc513029242"/>
      <w:r>
        <w:rPr>
          <w:rFonts w:hint="eastAsia"/>
          <w:color w:val="auto"/>
          <w:sz w:val="30"/>
          <w:szCs w:val="30"/>
          <w:highlight w:val="none"/>
          <w:lang w:eastAsia="zh-CN"/>
        </w:rPr>
        <w:t xml:space="preserve">一、总则</w:t>
      </w:r>
      <w:bookmarkEnd w:id="47"/>
      <w:r/>
      <w:bookmarkEnd w:id="48"/>
      <w:r/>
      <w:bookmarkEnd w:id="49"/>
      <w:r/>
      <w:bookmarkEnd w:id="50"/>
      <w:r/>
      <w:r/>
    </w:p>
    <w:p>
      <w:pPr>
        <w:pStyle w:val="1067"/>
        <w:ind w:firstLine="422"/>
        <w:keepLines w:val="0"/>
        <w:keepNext w:val="0"/>
        <w:spacing w:before="0" w:after="0" w:line="500" w:lineRule="exact"/>
        <w:rPr>
          <w:rFonts w:ascii="宋体" w:hAnsi="宋体" w:eastAsia="宋体"/>
          <w:bCs w:val="0"/>
          <w:color w:val="auto"/>
          <w:highlight w:val="none"/>
        </w:rPr>
      </w:pPr>
      <w:r/>
      <w:bookmarkStart w:id="56" w:name="_Hlt16619475"/>
      <w:r/>
      <w:bookmarkEnd w:id="56"/>
      <w:r/>
      <w:bookmarkStart w:id="57" w:name="_Toc20823276"/>
      <w:r/>
      <w:bookmarkStart w:id="58" w:name="_Toc16938520"/>
      <w:r/>
      <w:bookmarkStart w:id="59" w:name="_Toc513029204"/>
      <w:r>
        <w:rPr>
          <w:rFonts w:hint="eastAsia" w:ascii="宋体" w:hAnsi="宋体" w:eastAsia="宋体"/>
          <w:bCs w:val="0"/>
          <w:color w:val="auto"/>
          <w:highlight w:val="none"/>
          <w:lang w:eastAsia="zh-CN"/>
        </w:rPr>
        <w:t xml:space="preserve">1.招标方式</w:t>
      </w:r>
      <w:bookmarkEnd w:id="57"/>
      <w:r/>
      <w:bookmarkEnd w:id="58"/>
      <w:r/>
      <w:bookmarkEnd w:id="59"/>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067"/>
        <w:ind w:firstLine="422"/>
        <w:keepLines w:val="0"/>
        <w:keepNext w:val="0"/>
        <w:spacing w:before="0" w:after="0" w:line="500" w:lineRule="exact"/>
        <w:rPr>
          <w:rFonts w:ascii="宋体" w:hAnsi="宋体" w:eastAsia="宋体"/>
          <w:bCs w:val="0"/>
          <w:color w:val="auto"/>
          <w:highlight w:val="none"/>
        </w:rPr>
      </w:pPr>
      <w:r/>
      <w:bookmarkStart w:id="60" w:name="_Toc20823277"/>
      <w:r/>
      <w:bookmarkStart w:id="61" w:name="_Toc16938521"/>
      <w:r/>
      <w:bookmarkStart w:id="62" w:name="_Toc513029205"/>
      <w:r>
        <w:rPr>
          <w:rFonts w:hint="eastAsia" w:ascii="宋体" w:hAnsi="宋体" w:eastAsia="宋体"/>
          <w:bCs w:val="0"/>
          <w:color w:val="auto"/>
          <w:highlight w:val="none"/>
          <w:lang w:eastAsia="zh-CN"/>
        </w:rPr>
        <w:t xml:space="preserve">2.</w:t>
      </w:r>
      <w:bookmarkEnd w:id="60"/>
      <w:r/>
      <w:bookmarkEnd w:id="61"/>
      <w:r/>
      <w:bookmarkEnd w:id="62"/>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67"/>
        <w:ind w:firstLine="422"/>
        <w:keepLines w:val="0"/>
        <w:keepNext w:val="0"/>
        <w:spacing w:before="0" w:after="0" w:line="500" w:lineRule="exact"/>
        <w:rPr>
          <w:rFonts w:ascii="宋体" w:hAnsi="宋体" w:eastAsia="宋体"/>
          <w:bCs w:val="0"/>
          <w:color w:val="auto"/>
          <w:highlight w:val="none"/>
        </w:rPr>
      </w:pPr>
      <w:r/>
      <w:bookmarkStart w:id="63" w:name="_Toc20823278"/>
      <w:r/>
      <w:bookmarkStart w:id="64" w:name="_Toc513029206"/>
      <w:r/>
      <w:bookmarkStart w:id="65" w:name="_Toc16938522"/>
      <w:r>
        <w:rPr>
          <w:rFonts w:hint="eastAsia" w:ascii="宋体" w:hAnsi="宋体" w:eastAsia="宋体"/>
          <w:bCs w:val="0"/>
          <w:color w:val="auto"/>
          <w:highlight w:val="none"/>
          <w:lang w:eastAsia="zh-CN"/>
        </w:rPr>
        <w:t xml:space="preserve">3.适用法律</w:t>
      </w:r>
      <w:bookmarkEnd w:id="63"/>
      <w:r/>
      <w:bookmarkEnd w:id="64"/>
      <w:r/>
      <w:bookmarkEnd w:id="65"/>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1067"/>
        <w:ind w:firstLine="422"/>
        <w:keepLines w:val="0"/>
        <w:keepNext w:val="0"/>
        <w:spacing w:before="0" w:after="0" w:line="500" w:lineRule="exact"/>
        <w:rPr>
          <w:rFonts w:ascii="宋体" w:hAnsi="宋体" w:eastAsia="宋体"/>
          <w:bCs w:val="0"/>
          <w:color w:val="auto"/>
          <w:highlight w:val="none"/>
        </w:rPr>
      </w:pPr>
      <w:r/>
      <w:bookmarkStart w:id="66" w:name="_Toc20823279"/>
      <w:r/>
      <w:bookmarkStart w:id="67" w:name="_Toc513029207"/>
      <w:r/>
      <w:bookmarkStart w:id="68" w:name="_Toc462564067"/>
      <w:r/>
      <w:bookmarkStart w:id="69" w:name="_Toc16938523"/>
      <w:r>
        <w:rPr>
          <w:rFonts w:hint="eastAsia" w:ascii="宋体" w:hAnsi="宋体" w:eastAsia="宋体"/>
          <w:bCs w:val="0"/>
          <w:color w:val="auto"/>
          <w:highlight w:val="none"/>
          <w:lang w:eastAsia="zh-CN"/>
        </w:rPr>
        <w:t xml:space="preserve">4.投标费用</w:t>
      </w:r>
      <w:bookmarkEnd w:id="66"/>
      <w:r/>
      <w:bookmarkEnd w:id="67"/>
      <w:r/>
      <w:bookmarkEnd w:id="68"/>
      <w:r/>
      <w:bookmarkEnd w:id="69"/>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1067"/>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40"/>
        <w:ind w:left="808" w:hanging="428"/>
        <w:jc w:val="both"/>
        <w:keepLines w:val="0"/>
        <w:keepNext w:val="0"/>
        <w:spacing w:before="0" w:after="0" w:line="500" w:lineRule="exact"/>
        <w:rPr>
          <w:color w:val="auto"/>
          <w:sz w:val="30"/>
          <w:szCs w:val="30"/>
          <w:highlight w:val="none"/>
        </w:rPr>
      </w:pPr>
      <w:r/>
      <w:bookmarkStart w:id="70" w:name="_Toc513029209"/>
      <w:r/>
      <w:bookmarkStart w:id="71" w:name="_Toc16938525"/>
      <w:r/>
      <w:bookmarkStart w:id="72" w:name="_Toc120614215"/>
      <w:r/>
      <w:bookmarkStart w:id="73" w:name="_Toc20823281"/>
      <w:r>
        <w:rPr>
          <w:rFonts w:hint="eastAsia"/>
          <w:color w:val="auto"/>
          <w:sz w:val="30"/>
          <w:szCs w:val="30"/>
          <w:highlight w:val="none"/>
          <w:lang w:eastAsia="zh-CN"/>
        </w:rPr>
        <w:t xml:space="preserve">二、招标文件</w:t>
      </w:r>
      <w:bookmarkEnd w:id="70"/>
      <w:r/>
      <w:bookmarkEnd w:id="71"/>
      <w:r/>
      <w:bookmarkEnd w:id="72"/>
      <w:r/>
      <w:bookmarkEnd w:id="73"/>
      <w:r/>
      <w:r/>
    </w:p>
    <w:p>
      <w:pPr>
        <w:pStyle w:val="1067"/>
        <w:ind w:firstLine="422"/>
        <w:keepLines w:val="0"/>
        <w:keepNext w:val="0"/>
        <w:spacing w:before="0" w:after="0" w:line="500" w:lineRule="exact"/>
        <w:rPr>
          <w:rFonts w:ascii="宋体" w:hAnsi="宋体" w:eastAsia="宋体"/>
          <w:bCs w:val="0"/>
          <w:color w:val="auto"/>
          <w:highlight w:val="none"/>
        </w:rPr>
      </w:pPr>
      <w:r/>
      <w:bookmarkStart w:id="74" w:name="_Toc16938526"/>
      <w:r/>
      <w:bookmarkStart w:id="75" w:name="_Toc513029210"/>
      <w:r/>
      <w:bookmarkStart w:id="76" w:name="_Toc20823282"/>
      <w:r>
        <w:rPr>
          <w:rFonts w:hint="eastAsia" w:ascii="宋体" w:hAnsi="宋体" w:eastAsia="宋体"/>
          <w:bCs w:val="0"/>
          <w:color w:val="auto"/>
          <w:highlight w:val="none"/>
          <w:lang w:eastAsia="zh-CN"/>
        </w:rPr>
        <w:t xml:space="preserve">6.招标文件构成</w:t>
      </w:r>
      <w:bookmarkEnd w:id="74"/>
      <w:r/>
      <w:bookmarkEnd w:id="75"/>
      <w:r/>
      <w:bookmarkEnd w:id="76"/>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67"/>
        <w:ind w:firstLine="422"/>
        <w:keepLines w:val="0"/>
        <w:keepNext w:val="0"/>
        <w:spacing w:before="0" w:after="0" w:line="500" w:lineRule="exact"/>
        <w:rPr>
          <w:rFonts w:ascii="宋体" w:hAnsi="宋体" w:eastAsia="宋体"/>
          <w:bCs w:val="0"/>
          <w:color w:val="auto"/>
          <w:highlight w:val="none"/>
        </w:rPr>
      </w:pPr>
      <w:r/>
      <w:bookmarkStart w:id="77" w:name="_Toc513029211"/>
      <w:r/>
      <w:bookmarkStart w:id="78" w:name="_Toc20823283"/>
      <w:r/>
      <w:bookmarkStart w:id="79" w:name="_Toc462564070"/>
      <w:r/>
      <w:bookmarkStart w:id="80" w:name="_Toc16938527"/>
      <w:r>
        <w:rPr>
          <w:rFonts w:hint="eastAsia" w:ascii="宋体" w:hAnsi="宋体" w:eastAsia="宋体"/>
          <w:bCs w:val="0"/>
          <w:color w:val="auto"/>
          <w:highlight w:val="none"/>
          <w:lang w:eastAsia="zh-CN"/>
        </w:rPr>
        <w:t xml:space="preserve">7.招标文件的澄清</w:t>
      </w:r>
      <w:bookmarkEnd w:id="77"/>
      <w:r/>
      <w:bookmarkEnd w:id="78"/>
      <w:r/>
      <w:bookmarkEnd w:id="79"/>
      <w:r/>
      <w:bookmarkEnd w:id="80"/>
      <w:r/>
      <w:r/>
    </w:p>
    <w:p>
      <w:pPr>
        <w:ind w:firstLine="480"/>
        <w:spacing w:line="500" w:lineRule="exact"/>
        <w:rPr>
          <w:rFonts w:ascii="宋体" w:hAnsi="宋体"/>
          <w:bCs/>
          <w:color w:val="auto"/>
          <w:sz w:val="24"/>
          <w:highlight w:val="none"/>
        </w:rPr>
      </w:pPr>
      <w:r/>
      <w:bookmarkStart w:id="81" w:name="_Toc20823284"/>
      <w:r/>
      <w:bookmarkStart w:id="82" w:name="_Toc513029212"/>
      <w:r/>
      <w:bookmarkStart w:id="83" w:name="_Toc16938528"/>
      <w:r/>
      <w:bookmarkStart w:id="84"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1067"/>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81"/>
      <w:r/>
      <w:bookmarkEnd w:id="82"/>
      <w:r/>
      <w:bookmarkEnd w:id="83"/>
      <w:r/>
      <w:bookmarkEnd w:id="84"/>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40"/>
        <w:ind w:left="808" w:hanging="428"/>
        <w:jc w:val="both"/>
        <w:keepLines w:val="0"/>
        <w:keepNext w:val="0"/>
        <w:spacing w:before="0" w:after="0" w:line="500" w:lineRule="exact"/>
        <w:rPr>
          <w:color w:val="auto"/>
          <w:sz w:val="30"/>
          <w:szCs w:val="30"/>
          <w:highlight w:val="none"/>
        </w:rPr>
      </w:pPr>
      <w:r/>
      <w:bookmarkStart w:id="85" w:name="_Toc120614216"/>
      <w:r/>
      <w:bookmarkStart w:id="86" w:name="_Toc513029213"/>
      <w:r/>
      <w:bookmarkStart w:id="87" w:name="_Toc462564072"/>
      <w:r/>
      <w:bookmarkStart w:id="88" w:name="_Toc20823285"/>
      <w:r/>
      <w:bookmarkStart w:id="89" w:name="_Toc16938529"/>
      <w:r>
        <w:rPr>
          <w:rFonts w:hint="eastAsia"/>
          <w:color w:val="auto"/>
          <w:sz w:val="30"/>
          <w:szCs w:val="30"/>
          <w:highlight w:val="none"/>
          <w:lang w:eastAsia="zh-CN"/>
        </w:rPr>
        <w:t xml:space="preserve">三、投标文件的编制</w:t>
      </w:r>
      <w:bookmarkEnd w:id="85"/>
      <w:r/>
      <w:bookmarkEnd w:id="86"/>
      <w:r/>
      <w:bookmarkEnd w:id="87"/>
      <w:r/>
      <w:bookmarkEnd w:id="88"/>
      <w:r/>
      <w:bookmarkEnd w:id="89"/>
      <w:r/>
      <w:r/>
    </w:p>
    <w:p>
      <w:pPr>
        <w:pStyle w:val="1067"/>
        <w:ind w:firstLine="422"/>
        <w:keepLines w:val="0"/>
        <w:keepNext w:val="0"/>
        <w:spacing w:before="0" w:after="0" w:line="500" w:lineRule="exact"/>
        <w:rPr>
          <w:rFonts w:ascii="宋体" w:hAnsi="宋体" w:eastAsia="宋体"/>
          <w:bCs w:val="0"/>
          <w:color w:val="auto"/>
          <w:highlight w:val="none"/>
        </w:rPr>
      </w:pPr>
      <w:r/>
      <w:bookmarkStart w:id="90" w:name="_Toc16938530"/>
      <w:r/>
      <w:bookmarkStart w:id="91" w:name="_Toc513029214"/>
      <w:r/>
      <w:bookmarkStart w:id="92" w:name="_Toc462564073"/>
      <w:r/>
      <w:bookmarkStart w:id="93" w:name="_Toc20823286"/>
      <w:r>
        <w:rPr>
          <w:rFonts w:hint="eastAsia" w:ascii="宋体" w:hAnsi="宋体" w:eastAsia="宋体"/>
          <w:bCs w:val="0"/>
          <w:color w:val="auto"/>
          <w:highlight w:val="none"/>
          <w:lang w:eastAsia="zh-CN"/>
        </w:rPr>
        <w:t xml:space="preserve">9.投标文件的语言及度量衡单位</w:t>
      </w:r>
      <w:bookmarkEnd w:id="90"/>
      <w:r/>
      <w:bookmarkEnd w:id="91"/>
      <w:r/>
      <w:bookmarkEnd w:id="92"/>
      <w:r/>
      <w:bookmarkEnd w:id="93"/>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4" w:name="_Toc16938531"/>
      <w:r/>
      <w:bookmarkStart w:id="95" w:name="_Toc513029215"/>
      <w:r/>
      <w:bookmarkStart w:id="96" w:name="_Toc462564074"/>
      <w:r/>
      <w:bookmarkStart w:id="97" w:name="_Toc20823287"/>
      <w:r>
        <w:rPr>
          <w:rFonts w:hint="eastAsia" w:ascii="宋体" w:hAnsi="宋体" w:eastAsia="宋体"/>
          <w:bCs w:val="0"/>
          <w:color w:val="auto"/>
          <w:highlight w:val="none"/>
          <w:lang w:eastAsia="zh-CN"/>
        </w:rPr>
        <w:t xml:space="preserve">10.投标文件构成</w:t>
      </w:r>
      <w:bookmarkEnd w:id="94"/>
      <w:r/>
      <w:bookmarkEnd w:id="95"/>
      <w:r/>
      <w:bookmarkEnd w:id="96"/>
      <w:r/>
      <w:bookmarkEnd w:id="97"/>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8" w:name="_Hlt26668975"/>
      <w:r/>
      <w:bookmarkEnd w:id="98"/>
      <w:r/>
      <w:bookmarkStart w:id="99" w:name="_Hlt26954838"/>
      <w:r/>
      <w:bookmarkEnd w:id="99"/>
      <w:r/>
      <w:bookmarkStart w:id="100" w:name="_Hlt26670360"/>
      <w:r/>
      <w:bookmarkEnd w:id="100"/>
      <w:r/>
      <w:bookmarkStart w:id="101" w:name="_Toc49090509"/>
      <w:r/>
      <w:bookmarkStart w:id="102" w:name="_Toc14577357"/>
      <w:r/>
      <w:bookmarkStart w:id="103" w:name="_Toc49090507"/>
      <w:r/>
      <w:bookmarkStart w:id="104" w:name="_Toc14577354"/>
      <w:r/>
      <w:bookmarkStart w:id="105" w:name="_Toc513029216"/>
      <w:r/>
      <w:bookmarkStart w:id="106" w:name="_Toc513029219"/>
      <w:r>
        <w:rPr>
          <w:rFonts w:hint="eastAsia" w:ascii="宋体" w:hAnsi="宋体" w:eastAsia="宋体"/>
          <w:bCs w:val="0"/>
          <w:color w:val="auto"/>
          <w:highlight w:val="none"/>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keepLines w:val="0"/>
        <w:keepNext w:val="0"/>
        <w:pageBreakBefore w:val="0"/>
        <w:spacing w:line="500" w:lineRule="exact"/>
        <w:widowControl w:val="off"/>
        <w:rPr>
          <w:rFonts w:ascii="宋体" w:hAnsi="宋体"/>
          <w:bCs/>
          <w:color w:val="auto"/>
          <w:sz w:val="24"/>
          <w:highlight w:val="none"/>
        </w:rPr>
      </w:pPr>
      <w:r/>
      <w:bookmarkStart w:id="107" w:name="_Toc14577355"/>
      <w:r/>
      <w:bookmarkStart w:id="108"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9" w:name="_Toc14577359"/>
      <w:r/>
      <w:bookmarkStart w:id="110"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7"/>
      <w:r/>
      <w:bookmarkEnd w:id="108"/>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1" w:name="_Hlt26954840"/>
      <w:r/>
      <w:bookmarkEnd w:id="111"/>
      <w:r>
        <w:rPr>
          <w:rFonts w:hint="eastAsia" w:ascii="宋体" w:hAnsi="宋体"/>
          <w:color w:val="auto"/>
          <w:sz w:val="24"/>
          <w:highlight w:val="none"/>
        </w:rPr>
        <w:t xml:space="preserve">标人应按照招标文件规定格式填报</w:t>
      </w:r>
      <w:bookmarkStart w:id="112" w:name="_Hlt26670399"/>
      <w:r/>
      <w:bookmarkEnd w:id="112"/>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3" w:name="_Hlt26954848"/>
      <w:r/>
      <w:bookmarkEnd w:id="113"/>
      <w:r/>
      <w:bookmarkStart w:id="114" w:name="_Hlt26670425"/>
      <w:r/>
      <w:bookmarkEnd w:id="114"/>
      <w:r/>
      <w:bookmarkStart w:id="115" w:name="_Hlt26670403"/>
      <w:r/>
      <w:bookmarkEnd w:id="115"/>
      <w:r/>
      <w:bookmarkStart w:id="116" w:name="_Hlt26668983"/>
      <w:r/>
      <w:bookmarkEnd w:id="116"/>
      <w:r/>
      <w:bookmarkStart w:id="117" w:name="_Hlt26670482"/>
      <w:r/>
      <w:bookmarkEnd w:id="117"/>
      <w:r/>
      <w:bookmarkStart w:id="118" w:name="_Hlt26954844"/>
      <w:r/>
      <w:bookmarkEnd w:id="118"/>
      <w:r/>
      <w:bookmarkStart w:id="119" w:name="_Hlt26670486"/>
      <w:r/>
      <w:bookmarkEnd w:id="119"/>
      <w:r/>
      <w:bookmarkStart w:id="120" w:name="_Hlt26954842"/>
      <w:r/>
      <w:bookmarkEnd w:id="120"/>
      <w:r/>
      <w:bookmarkStart w:id="121" w:name="_Hlt26954846"/>
      <w:r/>
      <w:bookmarkEnd w:id="121"/>
      <w:r/>
      <w:bookmarkStart w:id="122" w:name="_Hlt26954731"/>
      <w:r/>
      <w:bookmarkEnd w:id="122"/>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3" w:name="_Hlt26954734"/>
      <w:r/>
      <w:bookmarkEnd w:id="123"/>
      <w:r/>
      <w:bookmarkStart w:id="124" w:name="_Hlt26670489"/>
      <w:r/>
      <w:bookmarkEnd w:id="124"/>
      <w:r/>
      <w:bookmarkStart w:id="125" w:name="_Hlt26954850"/>
      <w:r/>
      <w:bookmarkEnd w:id="125"/>
      <w:r/>
      <w:bookmarkStart w:id="126" w:name="_Toc49090511"/>
      <w:r/>
      <w:bookmarkStart w:id="127" w:name="_Toc14577360"/>
      <w:r>
        <w:rPr>
          <w:rFonts w:hint="eastAsia" w:ascii="宋体" w:hAnsi="宋体" w:eastAsia="宋体"/>
          <w:bCs w:val="0"/>
          <w:color w:val="auto"/>
          <w:highlight w:val="none"/>
          <w:lang w:eastAsia="zh-CN"/>
        </w:rPr>
        <w:t xml:space="preserve">15.投标有效期</w:t>
      </w:r>
      <w:bookmarkEnd w:id="126"/>
      <w:r/>
      <w:bookmarkEnd w:id="12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040"/>
        <w:ind w:left="808" w:hanging="428"/>
        <w:jc w:val="both"/>
        <w:keepLines w:val="0"/>
        <w:keepNext w:val="0"/>
        <w:pageBreakBefore w:val="0"/>
        <w:spacing w:before="0" w:after="0" w:line="500" w:lineRule="exact"/>
        <w:widowControl w:val="off"/>
        <w:rPr>
          <w:color w:val="auto"/>
          <w:sz w:val="30"/>
          <w:szCs w:val="30"/>
          <w:highlight w:val="none"/>
        </w:rPr>
      </w:pPr>
      <w:r/>
      <w:bookmarkStart w:id="128" w:name="_Hlt26954739"/>
      <w:r/>
      <w:bookmarkEnd w:id="128"/>
      <w:r/>
      <w:bookmarkStart w:id="129" w:name="_Hlt26954852"/>
      <w:r/>
      <w:bookmarkEnd w:id="129"/>
      <w:r/>
      <w:bookmarkStart w:id="130" w:name="_Toc120614217"/>
      <w:r/>
      <w:bookmarkStart w:id="131" w:name="_Toc16938540"/>
      <w:r/>
      <w:bookmarkStart w:id="132" w:name="_Toc513029224"/>
      <w:r/>
      <w:bookmarkStart w:id="133" w:name="_Toc20823296"/>
      <w:r>
        <w:rPr>
          <w:rFonts w:hint="eastAsia"/>
          <w:color w:val="auto"/>
          <w:sz w:val="30"/>
          <w:szCs w:val="30"/>
          <w:highlight w:val="none"/>
          <w:lang w:eastAsia="zh-CN"/>
        </w:rPr>
        <w:t xml:space="preserve">四、投标文件的递交</w:t>
      </w:r>
      <w:bookmarkEnd w:id="130"/>
      <w:r/>
      <w:bookmarkEnd w:id="131"/>
      <w:r/>
      <w:bookmarkEnd w:id="132"/>
      <w:r/>
      <w:bookmarkEnd w:id="133"/>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4" w:name="_Toc513029225"/>
      <w:r/>
      <w:bookmarkStart w:id="135" w:name="_Toc16938541"/>
      <w:r/>
      <w:bookmarkStart w:id="136" w:name="_Toc462564084"/>
      <w:r/>
      <w:bookmarkStart w:id="137" w:name="_Toc20823297"/>
      <w:r>
        <w:rPr>
          <w:rFonts w:hint="eastAsia" w:ascii="宋体" w:hAnsi="宋体" w:eastAsia="宋体"/>
          <w:bCs w:val="0"/>
          <w:color w:val="auto"/>
          <w:highlight w:val="none"/>
          <w:lang w:eastAsia="zh-CN"/>
        </w:rPr>
        <w:t xml:space="preserve">17.投标文件</w:t>
      </w:r>
      <w:bookmarkEnd w:id="134"/>
      <w:r/>
      <w:bookmarkEnd w:id="135"/>
      <w:r/>
      <w:bookmarkEnd w:id="136"/>
      <w:r/>
      <w:bookmarkEnd w:id="137"/>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68"/>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8" w:name="_Toc513029226"/>
      <w:r/>
      <w:bookmarkStart w:id="139" w:name="_Toc16938542"/>
      <w:r/>
      <w:bookmarkStart w:id="140" w:name="_Toc20823298"/>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8"/>
      <w:r/>
      <w:bookmarkEnd w:id="139"/>
      <w:r/>
      <w:bookmarkEnd w:id="140"/>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1" w:name="_Toc513029227"/>
      <w:r/>
      <w:bookmarkStart w:id="142" w:name="_Toc20823299"/>
      <w:r/>
      <w:bookmarkStart w:id="143" w:name="_Toc16938543"/>
      <w:r>
        <w:rPr>
          <w:rFonts w:hint="eastAsia" w:ascii="宋体" w:hAnsi="宋体" w:eastAsia="宋体"/>
          <w:bCs w:val="0"/>
          <w:color w:val="auto"/>
          <w:highlight w:val="none"/>
          <w:lang w:eastAsia="zh-CN"/>
        </w:rPr>
        <w:t xml:space="preserve">19.投标文件</w:t>
      </w:r>
      <w:bookmarkEnd w:id="141"/>
      <w:r/>
      <w:bookmarkEnd w:id="142"/>
      <w:r/>
      <w:bookmarkEnd w:id="143"/>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4" w:name="_Toc20823300"/>
      <w:r/>
      <w:bookmarkStart w:id="145" w:name="_Toc16938544"/>
      <w:r/>
      <w:bookmarkStart w:id="146" w:name="_Toc513029228"/>
      <w:r>
        <w:rPr>
          <w:rFonts w:hint="eastAsia" w:ascii="宋体" w:hAnsi="宋体" w:eastAsia="宋体"/>
          <w:bCs w:val="0"/>
          <w:color w:val="auto"/>
          <w:highlight w:val="none"/>
          <w:lang w:eastAsia="zh-CN"/>
        </w:rPr>
        <w:t xml:space="preserve">20.投标文件的撤回和修改</w:t>
      </w:r>
      <w:bookmarkEnd w:id="144"/>
      <w:r/>
      <w:bookmarkEnd w:id="145"/>
      <w:r/>
      <w:bookmarkEnd w:id="146"/>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1040"/>
        <w:ind w:left="808" w:hanging="428"/>
        <w:jc w:val="both"/>
        <w:keepLines w:val="0"/>
        <w:keepNext w:val="0"/>
        <w:pageBreakBefore w:val="0"/>
        <w:spacing w:before="0" w:after="0" w:line="500" w:lineRule="exact"/>
        <w:widowControl w:val="off"/>
        <w:rPr>
          <w:color w:val="auto"/>
          <w:sz w:val="30"/>
          <w:szCs w:val="30"/>
          <w:highlight w:val="none"/>
        </w:rPr>
      </w:pPr>
      <w:r/>
      <w:bookmarkStart w:id="147" w:name="_Toc20823301"/>
      <w:r/>
      <w:bookmarkStart w:id="148" w:name="_Toc120614218"/>
      <w:r/>
      <w:bookmarkStart w:id="149" w:name="_Toc16938545"/>
      <w:r/>
      <w:bookmarkStart w:id="150" w:name="_Toc513029229"/>
      <w:r>
        <w:rPr>
          <w:rFonts w:hint="eastAsia"/>
          <w:color w:val="auto"/>
          <w:sz w:val="30"/>
          <w:szCs w:val="30"/>
          <w:highlight w:val="none"/>
          <w:lang w:eastAsia="zh-CN"/>
        </w:rPr>
        <w:t xml:space="preserve">五、开标与评标</w:t>
      </w:r>
      <w:bookmarkEnd w:id="147"/>
      <w:r/>
      <w:bookmarkEnd w:id="148"/>
      <w:r/>
      <w:bookmarkEnd w:id="149"/>
      <w:r/>
      <w:bookmarkEnd w:id="150"/>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1" w:name="_Toc16938546"/>
      <w:r/>
      <w:bookmarkStart w:id="152" w:name="_Toc20823302"/>
      <w:r/>
      <w:bookmarkStart w:id="153" w:name="_Toc513029230"/>
      <w:r>
        <w:rPr>
          <w:rFonts w:hint="eastAsia" w:ascii="宋体" w:hAnsi="宋体" w:eastAsia="宋体"/>
          <w:bCs w:val="0"/>
          <w:color w:val="auto"/>
          <w:highlight w:val="none"/>
          <w:lang w:eastAsia="zh-CN"/>
        </w:rPr>
        <w:t xml:space="preserve">21.开标</w:t>
      </w:r>
      <w:bookmarkEnd w:id="151"/>
      <w:r/>
      <w:bookmarkEnd w:id="152"/>
      <w:r/>
      <w:bookmarkEnd w:id="153"/>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4" w:name="_Toc513029231"/>
      <w:r/>
      <w:bookmarkStart w:id="155" w:name="_Toc20823303"/>
      <w:r/>
      <w:bookmarkStart w:id="156"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54"/>
      <w:r/>
      <w:bookmarkEnd w:id="155"/>
      <w:r/>
      <w:bookmarkEnd w:id="156"/>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7" w:name="_Toc513029232"/>
      <w:r/>
      <w:bookmarkStart w:id="158" w:name="_Toc16938548"/>
      <w:r/>
      <w:bookmarkStart w:id="159" w:name="_Toc20823304"/>
      <w:r>
        <w:rPr>
          <w:rFonts w:hint="eastAsia" w:ascii="宋体" w:hAnsi="宋体" w:eastAsia="宋体"/>
          <w:bCs w:val="0"/>
          <w:color w:val="auto"/>
          <w:highlight w:val="none"/>
          <w:lang w:eastAsia="zh-CN"/>
        </w:rPr>
        <w:t xml:space="preserve">24.投标文件的澄清</w:t>
      </w:r>
      <w:bookmarkEnd w:id="157"/>
      <w:r/>
      <w:bookmarkEnd w:id="158"/>
      <w:r/>
      <w:bookmarkEnd w:id="159"/>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0" w:name="_Toc16938549"/>
      <w:r/>
      <w:bookmarkStart w:id="161" w:name="_Toc513029233"/>
      <w:r/>
      <w:bookmarkStart w:id="162" w:name="_Toc20823305"/>
      <w:r>
        <w:rPr>
          <w:rFonts w:hint="eastAsia" w:ascii="宋体" w:hAnsi="宋体" w:eastAsia="宋体"/>
          <w:bCs w:val="0"/>
          <w:color w:val="auto"/>
          <w:highlight w:val="none"/>
          <w:lang w:eastAsia="zh-CN"/>
        </w:rPr>
        <w:t xml:space="preserve">25.对投标文件的初审</w:t>
      </w:r>
      <w:bookmarkEnd w:id="160"/>
      <w:r/>
      <w:bookmarkEnd w:id="161"/>
      <w:r/>
      <w:bookmarkEnd w:id="16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63" w:name="_Toc513029234"/>
      <w:r/>
      <w:bookmarkStart w:id="164" w:name="_Toc20823306"/>
      <w:r/>
      <w:bookmarkStart w:id="165"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63"/>
      <w:r/>
      <w:bookmarkEnd w:id="164"/>
      <w:r/>
      <w:bookmarkEnd w:id="165"/>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6" w:name="_Toc20823307"/>
      <w:r/>
      <w:bookmarkStart w:id="167" w:name="_Toc513029235"/>
      <w:r/>
      <w:bookmarkStart w:id="168"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1040"/>
        <w:ind w:left="808" w:hanging="428"/>
        <w:jc w:val="both"/>
        <w:keepLines w:val="0"/>
        <w:keepNext w:val="0"/>
        <w:pageBreakBefore w:val="0"/>
        <w:spacing w:before="0" w:after="0" w:line="500" w:lineRule="exact"/>
        <w:widowControl w:val="off"/>
        <w:rPr>
          <w:color w:val="auto"/>
          <w:sz w:val="30"/>
          <w:szCs w:val="30"/>
          <w:highlight w:val="none"/>
        </w:rPr>
      </w:pPr>
      <w:r/>
      <w:bookmarkStart w:id="169" w:name="_Toc120614219"/>
      <w:r>
        <w:rPr>
          <w:rFonts w:hint="eastAsia"/>
          <w:color w:val="auto"/>
          <w:sz w:val="30"/>
          <w:szCs w:val="30"/>
          <w:highlight w:val="none"/>
          <w:lang w:eastAsia="zh-CN"/>
        </w:rPr>
        <w:t xml:space="preserve">六、</w:t>
      </w:r>
      <w:bookmarkEnd w:id="166"/>
      <w:r/>
      <w:bookmarkEnd w:id="167"/>
      <w:r/>
      <w:bookmarkEnd w:id="168"/>
      <w:r>
        <w:rPr>
          <w:rFonts w:hint="eastAsia"/>
          <w:color w:val="auto"/>
          <w:sz w:val="30"/>
          <w:szCs w:val="30"/>
          <w:highlight w:val="none"/>
          <w:lang w:eastAsia="zh-CN"/>
        </w:rPr>
        <w:t xml:space="preserve">定标</w:t>
      </w:r>
      <w:bookmarkEnd w:id="169"/>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0" w:name="_Toc513029238"/>
      <w:r/>
      <w:bookmarkStart w:id="171" w:name="_Toc20823310"/>
      <w:r/>
      <w:bookmarkStart w:id="172" w:name="_Toc16938554"/>
      <w:r>
        <w:rPr>
          <w:rFonts w:hint="eastAsia" w:ascii="宋体" w:hAnsi="宋体" w:eastAsia="宋体"/>
          <w:bCs w:val="0"/>
          <w:color w:val="auto"/>
          <w:highlight w:val="none"/>
          <w:lang w:eastAsia="zh-CN"/>
        </w:rPr>
        <w:t xml:space="preserve">27</w:t>
      </w:r>
      <w:bookmarkEnd w:id="170"/>
      <w:r>
        <w:rPr>
          <w:rFonts w:hint="eastAsia" w:ascii="宋体" w:hAnsi="宋体" w:eastAsia="宋体"/>
          <w:bCs w:val="0"/>
          <w:color w:val="auto"/>
          <w:highlight w:val="none"/>
          <w:lang w:eastAsia="zh-CN"/>
        </w:rPr>
        <w:t xml:space="preserve">.确定</w:t>
      </w:r>
      <w:bookmarkEnd w:id="171"/>
      <w:r/>
      <w:bookmarkEnd w:id="172"/>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73"/>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40"/>
        <w:ind w:left="808" w:hanging="428"/>
        <w:jc w:val="both"/>
        <w:keepLines w:val="0"/>
        <w:keepNext w:val="0"/>
        <w:pageBreakBefore w:val="0"/>
        <w:spacing w:before="0" w:after="0" w:line="500" w:lineRule="exact"/>
        <w:widowControl w:val="off"/>
        <w:rPr>
          <w:color w:val="auto"/>
          <w:sz w:val="30"/>
          <w:szCs w:val="30"/>
          <w:highlight w:val="none"/>
        </w:rPr>
      </w:pPr>
      <w:r/>
      <w:bookmarkStart w:id="174" w:name="_Toc120614220"/>
      <w:r/>
      <w:bookmarkStart w:id="175" w:name="_Toc16938552"/>
      <w:r/>
      <w:bookmarkStart w:id="176" w:name="_Toc513029236"/>
      <w:r/>
      <w:bookmarkStart w:id="177" w:name="_Toc20823308"/>
      <w:r>
        <w:rPr>
          <w:rFonts w:hint="eastAsia"/>
          <w:color w:val="auto"/>
          <w:sz w:val="30"/>
          <w:szCs w:val="30"/>
          <w:highlight w:val="none"/>
          <w:lang w:eastAsia="zh-CN"/>
        </w:rPr>
        <w:t xml:space="preserve">七、授予合同</w:t>
      </w:r>
      <w:bookmarkEnd w:id="174"/>
      <w:r/>
      <w:bookmarkEnd w:id="175"/>
      <w:r/>
      <w:bookmarkEnd w:id="176"/>
      <w:r/>
      <w:bookmarkEnd w:id="177"/>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8" w:name="_Toc16938553"/>
      <w:r/>
      <w:bookmarkStart w:id="179" w:name="_Toc20823309"/>
      <w:r/>
      <w:bookmarkStart w:id="180" w:name="_Toc513029237"/>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1067"/>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8"/>
      <w:r/>
      <w:bookmarkEnd w:id="179"/>
      <w:r/>
      <w:bookmarkEnd w:id="180"/>
      <w:r/>
      <w:r/>
    </w:p>
    <w:p>
      <w:pPr>
        <w:pStyle w:val="682"/>
        <w:ind w:firstLine="422"/>
        <w:jc w:val="center"/>
        <w:keepLines w:val="0"/>
        <w:keepNext w:val="0"/>
        <w:spacing w:before="0" w:after="0" w:line="500" w:lineRule="exact"/>
        <w:rPr>
          <w:rFonts w:ascii="黑体"/>
          <w:bCs w:val="0"/>
          <w:color w:val="auto"/>
          <w:sz w:val="36"/>
          <w:szCs w:val="36"/>
          <w:highlight w:val="none"/>
        </w:rPr>
      </w:pPr>
      <w:r>
        <w:rPr>
          <w:rFonts w:ascii="宋体" w:hAnsi="宋体"/>
          <w:color w:val="auto"/>
          <w:sz w:val="24"/>
          <w:highlight w:val="none"/>
          <w:shd w:val="clear" w:color="ffffff" w:fill="d9d9d9"/>
        </w:rPr>
        <w:br w:type="page" w:clear="all"/>
      </w:r>
      <w:r>
        <w:rPr>
          <w:rFonts w:hint="eastAsia" w:ascii="黑体"/>
          <w:color w:val="auto"/>
          <w:sz w:val="36"/>
          <w:szCs w:val="36"/>
          <w:highlight w:val="none"/>
        </w:rPr>
        <w:t xml:space="preserve">第三章  合同</w:t>
      </w:r>
      <w:bookmarkEnd w:id="51"/>
      <w:r/>
      <w:bookmarkEnd w:id="52"/>
      <w:r/>
      <w:bookmarkEnd w:id="53"/>
      <w:r/>
      <w:bookmarkEnd w:id="54"/>
      <w:r/>
      <w:bookmarkEnd w:id="55"/>
      <w:r>
        <w:rPr>
          <w:rFonts w:hint="eastAsia" w:ascii="黑体"/>
          <w:color w:val="auto"/>
          <w:sz w:val="36"/>
          <w:szCs w:val="36"/>
          <w:highlight w:val="none"/>
        </w:rPr>
        <w:t xml:space="preserve">文本</w:t>
      </w:r>
      <w:r/>
    </w:p>
    <w:p>
      <w:pPr>
        <w:keepLines w:val="0"/>
        <w:keepNext w:val="0"/>
        <w:pageBreakBefore w:val="0"/>
        <w:spacing w:line="500" w:lineRule="exact"/>
        <w:widowControl w:val="off"/>
        <w:rPr>
          <w:rFonts w:hint="eastAsia" w:ascii="宋体" w:hAnsi="宋体" w:eastAsia="宋体" w:cs="宋体"/>
          <w:bCs/>
          <w:color w:val="auto"/>
          <w:sz w:val="24"/>
          <w:szCs w:val="24"/>
        </w:rPr>
      </w:pPr>
      <w:r/>
      <w:bookmarkStart w:id="181" w:name="_Hlt16619369"/>
      <w:r/>
      <w:bookmarkEnd w:id="181"/>
      <w:r/>
      <w:bookmarkStart w:id="182" w:name="_Hlt16619350"/>
      <w:r/>
      <w:bookmarkStart w:id="183" w:name="_Toc16938590"/>
      <w:r/>
      <w:bookmarkStart w:id="184" w:name="_Toc20823346"/>
      <w:r/>
      <w:bookmarkStart w:id="185" w:name="_Toc120614244"/>
      <w:r/>
      <w:bookmarkStart w:id="186" w:name="_Toc479757211"/>
      <w:r/>
      <w:bookmarkStart w:id="187" w:name="_Toc462564139"/>
      <w:r>
        <w:rPr>
          <w:rFonts w:hint="eastAsia" w:ascii="宋体" w:hAnsi="宋体" w:eastAsia="宋体" w:cs="宋体"/>
          <w:bCs/>
          <w:color w:val="auto"/>
          <w:sz w:val="24"/>
          <w:szCs w:val="24"/>
        </w:rPr>
        <w:t xml:space="preserve">项目名称：</w:t>
      </w:r>
      <w:r/>
    </w:p>
    <w:p>
      <w:pPr>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甲方：（采购人）_________</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乙方：（成交方）_________</w:t>
      </w:r>
      <w:r/>
    </w:p>
    <w:p>
      <w:pPr>
        <w:ind w:firstLine="480"/>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甲、乙双方根据无锡市卫生健康综合服务中心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项目招标的结果，签署本合同。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采购内容：货物名称、规格型号、数量、单价、成交总价</w:t>
      </w:r>
      <w:r/>
    </w:p>
    <w:tbl>
      <w:tblPr>
        <w:tblStyle w:val="7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7"/>
        <w:gridCol w:w="1635"/>
        <w:gridCol w:w="1798"/>
        <w:gridCol w:w="1651"/>
        <w:gridCol w:w="1399"/>
        <w:gridCol w:w="1671"/>
      </w:tblGrid>
      <w:tr>
        <w:trPr/>
        <w:tc>
          <w:tcPr>
            <w:tcW w:w="178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6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生产厂家</w:t>
            </w:r>
            <w:r/>
          </w:p>
        </w:tc>
        <w:tc>
          <w:tcPr>
            <w:tcW w:w="182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规格型号</w:t>
            </w:r>
            <w:r/>
          </w:p>
        </w:tc>
        <w:tc>
          <w:tcPr>
            <w:tcW w:w="167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40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W w:w="168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成交总价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r>
      <w:tr>
        <w:trPr/>
        <w:tc>
          <w:tcPr>
            <w:tcW w:w="178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7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8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gridSpan w:val="4"/>
            <w:tcW w:w="694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总计（大写）：</w:t>
            </w:r>
            <w:r/>
          </w:p>
        </w:tc>
        <w:tc>
          <w:tcPr>
            <w:gridSpan w:val="2"/>
            <w:tcW w:w="309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（小写）：</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以上价格均为含税价格。</w:t>
      </w:r>
      <w:r/>
    </w:p>
    <w:p>
      <w:pPr>
        <w:ind w:firstLine="480"/>
        <w:keepLines w:val="0"/>
        <w:keepNext w:val="0"/>
        <w:pageBreakBefore w:val="0"/>
        <w:spacing w:line="500" w:lineRule="exact"/>
        <w:widowControl w:val="off"/>
        <w:rPr>
          <w:rFonts w:hint="eastAsia" w:ascii="宋体" w:hAnsi="宋体" w:eastAsia="宋体" w:cs="宋体"/>
          <w:i/>
          <w:iCs/>
          <w:color w:val="auto"/>
          <w:sz w:val="24"/>
          <w:szCs w:val="24"/>
        </w:rPr>
      </w:pPr>
      <w:r>
        <w:rPr>
          <w:rFonts w:hint="eastAsia" w:ascii="宋体" w:hAnsi="宋体" w:eastAsia="宋体" w:cs="宋体"/>
          <w:color w:val="auto"/>
          <w:sz w:val="24"/>
          <w:szCs w:val="24"/>
        </w:rPr>
        <w:t xml:space="preserve">1.2 标的质量与检验：</w:t>
      </w:r>
      <w:r>
        <w:rPr>
          <w:rFonts w:hint="eastAsia" w:ascii="宋体" w:hAnsi="宋体" w:eastAsia="宋体" w:cs="宋体"/>
          <w:i/>
          <w:iCs/>
          <w:color w:val="auto"/>
          <w:sz w:val="24"/>
          <w:szCs w:val="24"/>
        </w:rPr>
        <w:t xml:space="preserve"> </w:t>
      </w:r>
      <w:r/>
    </w:p>
    <w:p>
      <w:pPr>
        <w:ind w:firstLine="480"/>
        <w:keepLines w:val="0"/>
        <w:keepNext w:val="0"/>
        <w:pageBreakBefore w:val="0"/>
        <w:spacing w:line="500" w:lineRule="exact"/>
        <w:widowControl w:val="off"/>
        <w:tabs>
          <w:tab w:val="left" w:pos="525"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1.2.1乙方应严格按照招标文件的有关规定和乙方投标文件提供合格的货物及服务。</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keepLines w:val="0"/>
        <w:keepNext w:val="0"/>
        <w:pageBreakBefore w:val="0"/>
        <w:spacing w:line="500" w:lineRule="exact"/>
        <w:widowControl w:val="off"/>
        <w:tabs>
          <w:tab w:val="left" w:pos="420"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1.2.3货物的到货验收包括：数量、外观、质量、性能、随机备件、装箱单、质量证书等随机资料及包装完整无破损。</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1.2.4货物和系统调试验收标准：按行业通行标准、厂方出厂标准、招标文件要求和乙方投标文件的承诺，并不低于国家相关标准。</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1.2.5货物运到甲方指定地点并经甲方验证签收后，由于甲方保管不善造成的质量问题，乙方应负责修理，但有关费用由甲方承担。</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1.3履行时间（交货或完工期限）：</w:t>
      </w:r>
      <w:r>
        <w:rPr>
          <w:rFonts w:hint="eastAsia" w:ascii="宋体" w:hAnsi="宋体" w:eastAsia="宋体" w:cs="宋体"/>
          <w:color w:val="auto"/>
          <w:sz w:val="24"/>
          <w:szCs w:val="24"/>
          <w:highlight w:val="none"/>
        </w:rPr>
        <w:t xml:space="preserve">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天内，交货并完成安装调试。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1.4履行地点：</w:t>
      </w:r>
      <w:r>
        <w:rPr>
          <w:rFonts w:hint="eastAsia" w:ascii="宋体" w:hAnsi="宋体" w:eastAsia="宋体" w:cs="宋体"/>
          <w:color w:val="auto"/>
          <w:sz w:val="24"/>
          <w:szCs w:val="24"/>
          <w:highlight w:val="none"/>
          <w:lang w:val="en-US" w:eastAsia="zh-CN"/>
        </w:rPr>
        <w:t xml:space="preserve">江南大学附属医院肿瘤放疗科</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1.5履行方式：由乙方负责办理运输及装卸，直接送至甲方指定地点，并负责安装、调试、使用维护培训、售后服务等，所有费用由乙方承担。</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1.5.1交货条件：</w:t>
      </w:r>
      <w:r/>
    </w:p>
    <w:p>
      <w:pPr>
        <w:ind w:firstLine="480"/>
        <w:keepLines w:val="0"/>
        <w:keepNext w:val="0"/>
        <w:pageBreakBefore w:val="0"/>
        <w:spacing w:line="500" w:lineRule="exact"/>
        <w:widowControl w:val="off"/>
        <w:tabs>
          <w:tab w:val="left" w:pos="42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1.5.1.1乙方在验收时应先用信函、传真、电子邮件等书面方式通知甲方。</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1.5.1.3货物交货时，所有货物必须带有装箱单、</w:t>
      </w:r>
      <w:r>
        <w:rPr>
          <w:rFonts w:hint="eastAsia" w:ascii="宋体" w:hAnsi="宋体" w:eastAsia="宋体" w:cs="宋体"/>
          <w:color w:val="auto"/>
          <w:sz w:val="24"/>
          <w:szCs w:val="24"/>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eastAsia="宋体" w:cs="宋体"/>
          <w:bCs/>
          <w:color w:val="auto"/>
          <w:sz w:val="24"/>
          <w:szCs w:val="24"/>
        </w:rPr>
        <w:t xml:space="preserve">。其他附件所有部件必须原包装。</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1.5.1.4运输及到货地点：由乙方负责办理运输并承担所有费用，直接送到甲方指定地点，即：以合同书上的地点为准。</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 安装调试及售后服务：</w:t>
      </w:r>
      <w:r/>
    </w:p>
    <w:p>
      <w:pPr>
        <w:ind w:firstLine="480"/>
        <w:keepLines w:val="0"/>
        <w:keepNext w:val="0"/>
        <w:pageBreakBefore w:val="0"/>
        <w:spacing w:line="500" w:lineRule="exact"/>
        <w:widowControl w:val="off"/>
        <w:tabs>
          <w:tab w:val="left" w:pos="525" w:leader="none"/>
          <w:tab w:val="left" w:pos="840" w:leader="none"/>
          <w:tab w:val="left" w:pos="945"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1.5.2.1乙方负责本项目的安装和调试，并保证其提供的货物符合国家、行业、地方、招投标文件及合同规定的质量、性能和标准，并正确且安全地安装。</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1.5.2.2乙方提供的服务全部按照国家有关法律法规规章和“三包”规定以及按照招标文件要求和乙方投标文件中的承诺执行。</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1.5.2.3超过质保期的机器设备，终身维修，维修只收配件费，供方必须以低于市场价的80％优惠提供，具体由双方协商再定。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1.5.2.4甲方应向乙方现场调试的技术人员及维修人员提供方便条件，有关费用由乙方负责。</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1.5.2.5甲方如要求乙方提供招标文件及乙方投标文件以外的其他服务，其费用另定。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w:t>
      </w:r>
      <w:r>
        <w:rPr>
          <w:rFonts w:hint="eastAsia" w:ascii="宋体" w:hAnsi="宋体" w:eastAsia="宋体" w:cs="宋体"/>
          <w:color w:val="auto"/>
          <w:sz w:val="24"/>
          <w:szCs w:val="24"/>
          <w:shd w:val="clear" w:color="auto" w:fill="ffffff"/>
          <w:lang w:bidi="ar"/>
        </w:rPr>
        <w:t xml:space="preserve">6乙方承诺免费开放该设备的所有数字化接口，并由乙方配合与医院信息系统相连接。乙方承诺该设备软件终身免费升级。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 包装方式：</w:t>
      </w:r>
      <w:r>
        <w:rPr>
          <w:rFonts w:hint="eastAsia" w:ascii="宋体" w:hAnsi="宋体" w:eastAsia="宋体" w:cs="宋体"/>
          <w:iCs/>
          <w:color w:val="auto"/>
          <w:sz w:val="24"/>
          <w:szCs w:val="24"/>
          <w:u w:val="single"/>
        </w:rPr>
        <w:t xml:space="preserve">箱板包装。</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二、合同金额</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2.1本合同含税金额为（大写）： _____________圆（______元）人民币。</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3.1乙方应按招标文件规定的时间向甲方提供使用货物(包含与货物相关的服务)的有关技术资料。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5.1 乙方保证所交付的货物（包含与货物相关的服务）的所有权完全属于乙方且无任何抵押、查封等产权瑕疵。</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6.1履约保证金缴纳金额：中标金额的10%。</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6.1.1履约保证金的缴纳时间：</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在合同生效后进行缴纳。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6.1.2缴纳形式：银行保函等非现金形式缴纳。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6.2履约保证金的退付时间：本项目验收合格后。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6.2.1退付办法：原路退还，或履约保函到期自动失效。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6.2.2履约保证金不予退还的情形：</w:t>
      </w:r>
      <w:r/>
    </w:p>
    <w:p>
      <w:pPr>
        <w:ind w:firstLine="480"/>
        <w:keepLines w:val="0"/>
        <w:keepNext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①乙方根本违约，导致合同目的无法实现的（根本违约的具体情形包括但不限于：逾期交付超过30日、产品经更换后仍无法满足使用要求等）</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en-US" w:eastAsia="zh-CN"/>
        </w:rPr>
        <w:t xml:space="preserve">乙方提供的产品/服务因严重质量问题导致人身伤害或重大财产损失的。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③因乙方原因给甲方造成经济损失，且损失金额超过履约保证金金额的，甲方有权扣除与损失相当的保证金。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6.2.3逾期退还履约保证金的违约责任：承担履约保证金金额千分之二/天的违约金。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6.2.4乙方向甲方支付赔偿金或违约金的，甲方有权在应付款或履约保证金中直接扣除。</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7.3乙方如有转包或未经甲方同意的分包行为，甲方有权给予终止合同。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八、合同款项支付</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8.1合同款项的支付方式及进度安排</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合同签订后30日内预付合同金额30%，货到现场安装、调试、培训、初步验收试运行3个月后30日内付款60%，试运行12个月后30日内正式验收合格后无息支付10%余款。（如果</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z w:val="24"/>
          <w:szCs w:val="24"/>
        </w:rPr>
        <w:t xml:space="preserve">为中小企业，按《保障中小企业款项支付条例》(国令第 802号)相关要求执行。）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8.2</w:t>
      </w:r>
      <w:r>
        <w:rPr>
          <w:rFonts w:hint="eastAsia" w:ascii="宋体" w:hAnsi="宋体" w:eastAsia="宋体" w:cs="宋体"/>
          <w:color w:val="auto"/>
          <w:sz w:val="24"/>
          <w:szCs w:val="24"/>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8.3乙方应在甲方付款前向甲方交付符合要求的发票，乙方逾期交付发票的，甲方有权延迟付款。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九、税费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ind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十、质量保修范围和质保期及售后服务</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10.1乙方应按招标文件规定的货物性能、技术要求、质量标准向甲方提供未经使用的全新产品。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⑴更换：由乙方承担所发生的全部费用。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⑵贬值处理：由甲乙双方合议定价。</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10.3如在使用过程中发生质量问题或故障，乙方在接到甲方通知后在_________小时内到达甲方现场。</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10.4在质保期内，乙方应对货物出现的质量及安全问题负责处理解决并承担一切费用。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10.5上述的货物免费质保期为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年（自交货验收合格之日起计），因人为因素出现的故障不在免费保修范围内。超过质保期的机器设备，终身维修，维修只收配件费，供方必须以低于市场价的80％优惠提供，具体</w:t>
      </w:r>
      <w:r>
        <w:rPr>
          <w:rFonts w:hint="eastAsia" w:ascii="宋体" w:hAnsi="宋体" w:eastAsia="宋体" w:cs="宋体"/>
          <w:bCs/>
          <w:color w:val="auto"/>
          <w:sz w:val="24"/>
          <w:szCs w:val="24"/>
        </w:rPr>
        <w:t xml:space="preserve">由双方协商再定。</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十一、项目验收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11.5甲方成立验收小组，按照采购合同的约定对乙方的履约情况进行验收。验收时间、验收标准见招标文件验收内容，</w:t>
      </w:r>
      <w:r>
        <w:rPr>
          <w:rFonts w:hint="eastAsia" w:ascii="宋体" w:hAnsi="宋体" w:eastAsia="宋体" w:cs="宋体"/>
          <w:bCs/>
          <w:color w:val="auto"/>
          <w:sz w:val="24"/>
          <w:szCs w:val="24"/>
        </w:rPr>
        <w:t xml:space="preserve">要求进口产品到货日期距仪器生产日期不超过一年，国产产品不超过半年（以铭牌或说明书确认）</w:t>
      </w:r>
      <w:r>
        <w:rPr>
          <w:rFonts w:hint="eastAsia" w:ascii="宋体" w:hAnsi="宋体" w:eastAsia="宋体" w:cs="宋体"/>
          <w:color w:val="auto"/>
          <w:sz w:val="24"/>
          <w:szCs w:val="24"/>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十二、货物的包装、发运及运输</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12.2使用说明书、质量检验证明书、随配附件和工具以及清单一并附于货物内。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12.3乙方在货物发运手续办理完毕后24小时内或货到甲方48小时前通知甲方，以准备接货。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12.4货物在验收合格前发生的风险均由乙方负责。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12.5货物在规定的交付期限内由乙方送达甲方指定的地点视为交付，乙方同时需通知甲方货物已送达。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十三、违约责任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13.1甲方无正当理由拒收货物的，甲方向乙方偿付拒收货款总值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13.2甲方无故逾期验收和办理货款支付手续的,甲方应按逾期付款总额每日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十四、不可抗力事件处理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14.3不可抗力事件延续120天以上，双方应通过友好协商，确定是否继续履行合同。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十五、解决争议的方法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十六、合同生效及其他</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16.2本合同未尽事宜，遵照《中华人民共和国民法典》《中华人民共和国政府采购法》有关条文执行。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16.3 本合同正本一式四份，具有同等法律效力，甲方三份、乙方一份。</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十七、合同附件（注：可按需添加附件）</w:t>
      </w:r>
      <w:r/>
    </w:p>
    <w:p>
      <w:pPr>
        <w:keepLines w:val="0"/>
        <w:keepNext w:val="0"/>
        <w:pageBreakBefore w:val="0"/>
        <w:spacing w:line="500" w:lineRule="exact"/>
        <w:widowControl w:val="off"/>
        <w:tabs>
          <w:tab w:val="left" w:pos="94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hanging="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甲方：江南大学附属医院                  乙方：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地址：无锡市滨湖区和风路 1000 号        地址：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法定代表人或授权代表：                  法定代表人或授权代表：</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2026年    月   日                       2026年    月   日</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乙方户名：</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                                      乙方开户银行：</w:t>
      </w:r>
      <w:r/>
    </w:p>
    <w:p>
      <w:pPr>
        <w:ind w:firstLine="4080"/>
        <w:keepLines w:val="0"/>
        <w:keepNext w:val="0"/>
        <w:pageBreakBefore w:val="0"/>
        <w:spacing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乙方账号：</w:t>
      </w:r>
      <w:r/>
    </w:p>
    <w:p>
      <w:pPr>
        <w:ind w:firstLine="480"/>
        <w:spacing w:line="400" w:lineRule="exact"/>
        <w:rPr>
          <w:rFonts w:hint="eastAsia" w:ascii="宋体" w:hAnsi="宋体"/>
          <w:sz w:val="22"/>
          <w:szCs w:val="22"/>
          <w:highlight w:val="none"/>
          <w:lang w:val="en-US" w:eastAsia="zh-CN"/>
        </w:rPr>
      </w:pPr>
      <w:r>
        <w:rPr>
          <w:rFonts w:hint="eastAsia" w:ascii="宋体" w:hAnsi="宋体"/>
          <w:sz w:val="22"/>
          <w:szCs w:val="22"/>
          <w:highlight w:val="none"/>
          <w:lang w:val="en-US" w:eastAsia="zh-CN"/>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eastAsia="黑体"/>
          <w:color w:val="auto"/>
          <w:sz w:val="44"/>
          <w:szCs w:val="44"/>
          <w:highlight w:val="none"/>
        </w:rPr>
      </w:pPr>
      <w:r>
        <w:rPr>
          <w:rFonts w:hint="eastAsia" w:ascii="黑体" w:eastAsia="黑体"/>
          <w:bCs/>
          <w:color w:val="auto"/>
          <w:sz w:val="36"/>
          <w:szCs w:val="36"/>
          <w:highlight w:val="none"/>
        </w:rPr>
        <w:t xml:space="preserve">第</w:t>
      </w:r>
      <w:bookmarkEnd w:id="182"/>
      <w:r>
        <w:rPr>
          <w:rFonts w:hint="eastAsia" w:ascii="黑体" w:eastAsia="黑体"/>
          <w:bCs/>
          <w:color w:val="auto"/>
          <w:sz w:val="36"/>
          <w:szCs w:val="36"/>
          <w:highlight w:val="none"/>
        </w:rPr>
        <w:t xml:space="preserve">四章 采购需求</w:t>
      </w:r>
      <w:bookmarkEnd w:id="183"/>
      <w:r/>
      <w:bookmarkEnd w:id="184"/>
      <w:r/>
      <w:bookmarkEnd w:id="185"/>
      <w:r/>
      <w:r/>
    </w:p>
    <w:p>
      <w:pPr>
        <w:ind w:firstLine="480"/>
        <w:spacing w:line="360" w:lineRule="auto"/>
        <w:rPr>
          <w:rFonts w:hint="eastAsia" w:ascii="宋体" w:hAnsi="宋体"/>
          <w:bCs/>
          <w:color w:val="auto"/>
          <w:sz w:val="24"/>
          <w:szCs w:val="24"/>
          <w:highlight w:val="none"/>
        </w:rPr>
      </w:pPr>
      <w:r/>
      <w:bookmarkStart w:id="188" w:name="_Toc26554093"/>
      <w:r/>
      <w:bookmarkStart w:id="189" w:name="_Toc49090575"/>
      <w:r>
        <w:rPr>
          <w:rFonts w:hint="eastAsia" w:ascii="宋体" w:hAnsi="宋体"/>
          <w:bCs/>
          <w:color w:val="auto"/>
          <w:sz w:val="24"/>
          <w:szCs w:val="24"/>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ascii="宋体" w:hAnsi="宋体"/>
          <w:bCs/>
          <w:color w:val="auto"/>
          <w:sz w:val="24"/>
          <w:szCs w:val="24"/>
          <w:highlight w:val="none"/>
        </w:rPr>
        <w:t xml:space="preserve"> 工业</w:t>
      </w:r>
      <w:r>
        <w:rPr>
          <w:rFonts w:hint="eastAsia" w:ascii="宋体" w:hAnsi="宋体"/>
          <w:bCs/>
          <w:color w:val="auto"/>
          <w:sz w:val="24"/>
          <w:szCs w:val="24"/>
          <w:highlight w:val="none"/>
        </w:rPr>
        <w:t xml:space="preserve">（制造业）</w:t>
      </w:r>
      <w:r/>
    </w:p>
    <w:p>
      <w:pPr>
        <w:ind w:firstLine="480"/>
        <w:spacing w:line="360" w:lineRule="auto"/>
        <w:rPr>
          <w:rFonts w:hint="eastAsia"/>
          <w:color w:val="auto"/>
          <w:highlight w:val="none"/>
        </w:rPr>
      </w:pPr>
      <w:r>
        <w:rPr>
          <w:rFonts w:hint="eastAsia" w:ascii="宋体" w:hAnsi="宋体"/>
          <w:bCs/>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螺旋断层放射治疗系统（TOMO）</w:t>
      </w:r>
      <w:r>
        <w:rPr>
          <w:rFonts w:hint="eastAsia" w:ascii="宋体" w:hAnsi="宋体"/>
          <w:bCs/>
          <w:color w:val="auto"/>
          <w:sz w:val="24"/>
          <w:szCs w:val="24"/>
          <w:highlight w:val="none"/>
        </w:rPr>
        <w:t xml:space="preserve">为核心产品。</w:t>
      </w:r>
      <w:r/>
    </w:p>
    <w:p>
      <w:pPr>
        <w:ind w:firstLine="600"/>
        <w:jc w:val="left"/>
        <w:spacing w:line="360" w:lineRule="auto"/>
        <w:rPr>
          <w:rFonts w:hint="eastAsia" w:ascii="黑体" w:hAnsi="黑体" w:eastAsia="黑体"/>
          <w:color w:val="auto"/>
          <w:sz w:val="30"/>
          <w:szCs w:val="30"/>
          <w:highlight w:val="none"/>
          <w:u w:val="none"/>
        </w:rPr>
      </w:pPr>
      <w:r>
        <w:rPr>
          <w:rFonts w:hint="eastAsia" w:ascii="黑体" w:hAnsi="黑体" w:eastAsia="黑体"/>
          <w:color w:val="auto"/>
          <w:sz w:val="30"/>
          <w:szCs w:val="30"/>
          <w:highlight w:val="none"/>
          <w:u w:val="none"/>
        </w:rPr>
        <w:t xml:space="preserve">第一部分  项目技术要求</w:t>
      </w:r>
      <w:r/>
    </w:p>
    <w:p>
      <w:pPr>
        <w:ind w:firstLine="480"/>
        <w:jc w:val="left"/>
        <w:keepLines w:val="0"/>
        <w:keepNext w:val="0"/>
        <w:pageBreakBefore w:val="0"/>
        <w:spacing w:line="360" w:lineRule="auto"/>
        <w:rPr>
          <w:rFonts w:hint="default" w:ascii="宋体" w:hAnsi="宋体" w:eastAsia="宋体"/>
          <w:color w:val="000000" w:themeColor="text1"/>
          <w:sz w:val="24"/>
          <w:szCs w:val="24"/>
          <w:highlight w:val="white"/>
          <w:u w:val="single"/>
          <w:lang w:val="en-US" w:eastAsia="zh-CN"/>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eastAsia="宋体"/>
          <w:color w:val="000000" w:themeColor="text1"/>
          <w:sz w:val="24"/>
          <w:szCs w:val="24"/>
          <w:highlight w:val="white"/>
          <w:u w:val="single"/>
          <w14:textFill>
            <w14:solidFill>
              <w14:schemeClr w14:val="tx1"/>
            </w14:solidFill>
          </w14:textFill>
        </w:rPr>
        <w:t xml:space="preserve">★号指标不满足即无效标书。</w:t>
      </w:r>
      <w:r/>
    </w:p>
    <w:p>
      <w:pPr>
        <w:ind w:firstLine="602"/>
        <w:keepLines w:val="0"/>
        <w:keepNext w:val="0"/>
        <w:pageBreakBefore w:val="0"/>
        <w:spacing w:line="360" w:lineRule="auto"/>
        <w:rPr>
          <w:rFonts w:hint="eastAsia" w:ascii="宋体" w:hAnsi="宋体" w:cs="宋体" w:eastAsiaTheme="minorEastAsia"/>
          <w:b/>
          <w:bCs/>
          <w:color w:val="auto"/>
          <w:sz w:val="24"/>
          <w:szCs w:val="24"/>
          <w:highlight w:val="none"/>
          <w:u w:val="none"/>
          <w:lang w:val="en-US" w:eastAsia="zh-CN"/>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689"/>
        <w:tblW w:w="100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1"/>
        <w:gridCol w:w="7488"/>
        <w:gridCol w:w="1040"/>
      </w:tblGrid>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bookmarkStart w:id="190" w:name="OLE_LINK2"/>
            <w:r>
              <w:rPr>
                <w:rFonts w:hint="eastAsia" w:ascii="宋体" w:hAnsi="宋体" w:eastAsia="宋体" w:cs="宋体"/>
                <w:b w:val="0"/>
                <w:bCs/>
                <w:sz w:val="24"/>
                <w:szCs w:val="24"/>
              </w:rPr>
              <w:t xml:space="preserve">序号</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配置</w:t>
            </w:r>
            <w:r>
              <w:rPr>
                <w:rFonts w:hint="eastAsia" w:ascii="宋体" w:hAnsi="宋体" w:eastAsia="宋体" w:cs="宋体"/>
                <w:b w:val="0"/>
                <w:bCs/>
                <w:sz w:val="24"/>
                <w:szCs w:val="24"/>
                <w:lang w:eastAsia="zh-CN"/>
              </w:rPr>
              <w:t xml:space="preserve">名称</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数量</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螺旋断层放射治疗主机系统</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一体化数字滑环机架</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1.2</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高精度机架定位驱动系统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1.3</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FFF高剂量率双能加速管系统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31"/>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1.4</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螺旋断层专用射频系统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1.5</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初级准直器</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90"/>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1.6</w:t>
            </w:r>
            <w:r/>
          </w:p>
        </w:tc>
        <w:tc>
          <w:tcPr>
            <w:tcW w:w="7488"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color w:val="auto"/>
                <w:sz w:val="24"/>
                <w:szCs w:val="24"/>
                <w:lang w:val="en-US" w:eastAsia="zh-CN"/>
              </w:rPr>
              <w:t xml:space="preserve">多叶准直器系统（MLC）</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1.7</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高稳定剂量率控制系统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1.8</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一体化控制单元</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1.9</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射线自主屏蔽系统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1.10</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智能双循环温度控制系统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系统联锁和安全机制</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治疗实施控制中心</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集成化治疗实施控制台</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治疗实施控制工作站</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同步治疗床</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9"/>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3.1</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高精度步进治疗床</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3.2</w:t>
            </w:r>
            <w:r/>
          </w:p>
        </w:tc>
        <w:tc>
          <w:tcPr>
            <w:tcW w:w="7488" w:type="dxa"/>
            <w:vAlign w:val="top"/>
            <w:textDirection w:val="lrTb"/>
            <w:noWrap w:val="false"/>
          </w:tcPr>
          <w:p>
            <w:pPr>
              <w:spacing w:line="288" w:lineRule="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 xml:space="preserve">治疗床板</w:t>
            </w:r>
            <w:r>
              <w:rPr>
                <w:rFonts w:hint="eastAsia" w:ascii="宋体" w:hAnsi="宋体" w:cs="宋体"/>
                <w:b w:val="0"/>
                <w:bCs/>
                <w:color w:val="auto"/>
                <w:sz w:val="24"/>
                <w:szCs w:val="24"/>
                <w:lang w:val="en-US" w:eastAsia="zh-CN"/>
              </w:rPr>
              <w:t xml:space="preserve"> </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治疗床防碰撞系统 </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3.4</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高精度同步患者支撑系统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患者支撑系统控制执行器</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color w:val="auto"/>
                <w:sz w:val="24"/>
                <w:szCs w:val="24"/>
              </w:rPr>
              <w:t xml:space="preserve">MVCT三维影像引</w:t>
            </w:r>
            <w:r>
              <w:rPr>
                <w:rFonts w:hint="eastAsia" w:ascii="宋体" w:hAnsi="宋体" w:eastAsia="宋体" w:cs="宋体"/>
                <w:b w:val="0"/>
                <w:bCs/>
                <w:sz w:val="24"/>
                <w:szCs w:val="24"/>
              </w:rPr>
              <w:t xml:space="preserve">导系统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扇形束扫描模式</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影像重建模块</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4.3</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高分辨率MVCT探测器</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千伏级螺旋CT影像引导系统</w:t>
            </w:r>
            <w:r/>
          </w:p>
        </w:tc>
        <w:tc>
          <w:tcPr>
            <w:tcW w:w="1040"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5.1</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TOMO专用KV级X线球管</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5.2</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TOMO专用KV发生装置</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TOMO专用KVCT探测器</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TOMO专用KV准直组件</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5.5</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KV扇形束螺旋扫描及重建模块</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5.6</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DICOM影像输出模块</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治疗执行模式</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螺旋断层治疗模式</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立体定向放射治疗</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高精度薄层治疗模块</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6.4</w:t>
            </w:r>
            <w:r/>
          </w:p>
        </w:tc>
        <w:tc>
          <w:tcPr>
            <w:tcW w:w="7488"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 xml:space="preserve">单次治疗范围拓展模块</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w:t>
            </w:r>
            <w:r/>
          </w:p>
        </w:tc>
        <w:tc>
          <w:tcPr>
            <w:tcW w:w="7488"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治疗计划系统</w:t>
            </w:r>
            <w:r>
              <w:rPr>
                <w:rFonts w:hint="eastAsia" w:ascii="宋体" w:hAnsi="宋体" w:eastAsia="宋体" w:cs="宋体"/>
                <w:b w:val="0"/>
                <w:bCs/>
                <w:sz w:val="24"/>
                <w:szCs w:val="24"/>
                <w:lang w:val="en-US" w:eastAsia="zh-CN"/>
              </w:rPr>
              <w:t xml:space="preserve">  </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治疗计划系统</w:t>
            </w:r>
            <w:r>
              <w:rPr>
                <w:rFonts w:hint="eastAsia" w:ascii="宋体" w:hAnsi="宋体" w:eastAsia="宋体" w:cs="宋体"/>
                <w:b w:val="0"/>
                <w:bCs/>
                <w:sz w:val="24"/>
                <w:szCs w:val="24"/>
              </w:rPr>
              <w:t xml:space="preserve">硬件</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治疗计划管理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7.2.1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创建计划</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7.2.2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加载计划和删除计划</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7.2.3</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多任务并行处理支持功能</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7.2.4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治疗计划报告</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计划影像管理工具</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全局工具</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3D可视化</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影像查看 </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90"/>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影像数据导出</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7.3.5</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加载影像</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7.3.6</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DICOM RT结构集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7.3.7</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MVCT/</w:t>
            </w:r>
            <w:r>
              <w:rPr>
                <w:rFonts w:hint="eastAsia" w:ascii="宋体" w:hAnsi="宋体" w:eastAsia="宋体" w:cs="宋体"/>
                <w:b w:val="0"/>
                <w:bCs/>
                <w:color w:val="auto"/>
                <w:sz w:val="24"/>
                <w:szCs w:val="24"/>
                <w:lang w:val="en-US" w:eastAsia="zh-CN"/>
              </w:rPr>
              <w:t xml:space="preserve">K</w:t>
            </w:r>
            <w:r>
              <w:rPr>
                <w:rFonts w:hint="eastAsia" w:ascii="宋体" w:hAnsi="宋体" w:eastAsia="宋体" w:cs="宋体"/>
                <w:b w:val="0"/>
                <w:bCs/>
                <w:color w:val="auto"/>
                <w:sz w:val="24"/>
                <w:szCs w:val="24"/>
              </w:rPr>
              <w:t xml:space="preserve">VCT</w:t>
            </w:r>
            <w:r>
              <w:rPr>
                <w:rFonts w:hint="eastAsia" w:ascii="宋体" w:hAnsi="宋体" w:eastAsia="宋体" w:cs="宋体"/>
                <w:b w:val="0"/>
                <w:bCs/>
                <w:color w:val="auto"/>
                <w:sz w:val="24"/>
                <w:szCs w:val="24"/>
                <w:lang w:val="en-US" w:eastAsia="zh-CN"/>
              </w:rPr>
              <w:t xml:space="preserve">的</w:t>
            </w:r>
            <w:r>
              <w:rPr>
                <w:rFonts w:hint="eastAsia" w:ascii="宋体" w:hAnsi="宋体" w:eastAsia="宋体" w:cs="宋体"/>
                <w:b w:val="0"/>
                <w:bCs/>
                <w:color w:val="auto"/>
                <w:sz w:val="24"/>
                <w:szCs w:val="24"/>
              </w:rPr>
              <w:t xml:space="preserve">加载配准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7.3.8</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纵向重新采样</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7.3.9</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支持使用MRI创建标准治疗计划</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7.3.10</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计划恢复系统</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7.3.11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影像融合与配准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7.3.12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color w:val="auto"/>
                <w:sz w:val="24"/>
                <w:szCs w:val="24"/>
              </w:rPr>
              <w:t xml:space="preserve">种子点配准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7.3.13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刚性影像配准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勾画工具</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轮廓勾画</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创建VOI</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自动内插勾画</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标准勾画工具</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7.4.5</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VOI运算</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7.5</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Tomo计划优化</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7.5.1</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螺旋断层计划优化</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7.6</w:t>
            </w:r>
            <w:r/>
          </w:p>
        </w:tc>
        <w:tc>
          <w:tcPr>
            <w:tcW w:w="7488" w:type="dxa"/>
            <w:vAlign w:val="top"/>
            <w:textDirection w:val="lrTb"/>
            <w:noWrap w:val="false"/>
          </w:tcPr>
          <w:p>
            <w:pPr>
              <w:spacing w:line="288" w:lineRule="auto"/>
              <w:rPr>
                <w:rFonts w:hint="default" w:ascii="宋体" w:hAnsi="宋体" w:eastAsia="宋体" w:cs="宋体"/>
                <w:b w:val="0"/>
                <w:bCs/>
                <w:color w:val="auto"/>
                <w:sz w:val="24"/>
                <w:szCs w:val="24"/>
                <w:lang w:val="en-US"/>
              </w:rPr>
            </w:pPr>
            <w:r>
              <w:rPr>
                <w:rFonts w:hint="eastAsia" w:ascii="宋体" w:hAnsi="宋体" w:cs="宋体"/>
                <w:i w:val="0"/>
                <w:iCs w:val="0"/>
                <w:color w:val="auto"/>
                <w:sz w:val="24"/>
                <w:szCs w:val="24"/>
                <w:highlight w:val="none"/>
                <w:u w:val="none"/>
                <w:lang w:val="en-US" w:eastAsia="zh-CN" w:bidi="ar"/>
              </w:rPr>
              <w:t xml:space="preserve">GPU加速计算优化系统</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7.7</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Tomo计划评估</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7.7.1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计划评估</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7.7.2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多层面评估</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集成化数据管理系统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服务器硬件</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数据管理功能模块</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DICOM数据管理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患者记录存档和恢复</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8.2.3</w:t>
            </w:r>
            <w:r/>
          </w:p>
        </w:tc>
        <w:tc>
          <w:tcPr>
            <w:tcW w:w="7488"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DICOM输入接口</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DICOM输出接口</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8.2.5</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影像查看和导入</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8.2.6</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系统管理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8.2.7</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患者管理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8.2.8</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系统网络</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辅助设备</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9.1</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PDU电源稳定及UPS不间断电源</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9.2</w:t>
            </w:r>
            <w:r/>
          </w:p>
        </w:tc>
        <w:tc>
          <w:tcPr>
            <w:tcW w:w="7488"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治疗</w:t>
            </w:r>
            <w:r>
              <w:rPr>
                <w:rFonts w:hint="eastAsia" w:ascii="宋体" w:hAnsi="宋体" w:eastAsia="宋体" w:cs="宋体"/>
                <w:b w:val="0"/>
                <w:bCs/>
                <w:color w:val="auto"/>
                <w:sz w:val="24"/>
                <w:szCs w:val="24"/>
              </w:rPr>
              <w:t xml:space="preserve">报告</w:t>
            </w:r>
            <w:r>
              <w:rPr>
                <w:rFonts w:hint="eastAsia" w:ascii="宋体" w:hAnsi="宋体" w:eastAsia="宋体" w:cs="宋体"/>
                <w:b w:val="0"/>
                <w:bCs/>
                <w:color w:val="auto"/>
                <w:sz w:val="24"/>
                <w:szCs w:val="24"/>
                <w:lang w:val="en-US" w:eastAsia="zh-CN"/>
              </w:rPr>
              <w:t xml:space="preserve">图文输出设备</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9.3</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集成式降噪对讲系统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激光灯定位系统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10</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质控设备</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10.1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TOMO专用标准QA工具包</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10.2</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TOMO专用高级QA工具包</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10.3</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TQA标准版全自动质控系统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10.4</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胶片剂量分析软件包及扫描仪系统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11</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其他高级配置</w:t>
            </w:r>
            <w:bookmarkEnd w:id="190"/>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11.</w:t>
            </w:r>
            <w:r>
              <w:rPr>
                <w:rFonts w:hint="eastAsia" w:ascii="宋体" w:hAnsi="宋体" w:eastAsia="宋体" w:cs="宋体"/>
                <w:b w:val="0"/>
                <w:bCs/>
                <w:sz w:val="24"/>
                <w:szCs w:val="24"/>
                <w:highlight w:val="none"/>
                <w:lang w:val="en-US" w:eastAsia="zh-CN"/>
              </w:rPr>
              <w:t xml:space="preserve">1</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TQA高级自动化机器质控系统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90"/>
        </w:trPr>
        <w:tc>
          <w:tcPr>
            <w:tcW w:w="1531" w:type="dxa"/>
            <w:vAlign w:val="top"/>
            <w:textDirection w:val="lrTb"/>
            <w:noWrap w:val="false"/>
          </w:tcPr>
          <w:p>
            <w:pPr>
              <w:spacing w:line="288"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11.</w:t>
            </w:r>
            <w:r>
              <w:rPr>
                <w:rFonts w:hint="eastAsia" w:ascii="宋体" w:hAnsi="宋体" w:eastAsia="宋体" w:cs="宋体"/>
                <w:b w:val="0"/>
                <w:bCs/>
                <w:sz w:val="24"/>
                <w:szCs w:val="24"/>
                <w:highlight w:val="none"/>
                <w:lang w:val="en-US" w:eastAsia="zh-CN"/>
              </w:rPr>
              <w:t xml:space="preserve">2</w:t>
            </w:r>
            <w:r/>
          </w:p>
        </w:tc>
        <w:tc>
          <w:tcPr>
            <w:tcW w:w="7488" w:type="dxa"/>
            <w:vAlign w:val="top"/>
            <w:textDirection w:val="lrTb"/>
            <w:noWrap w:val="false"/>
          </w:tcPr>
          <w:p>
            <w:pPr>
              <w:spacing w:line="288"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DICOM RT剂量输出软件包</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33"/>
        </w:trPr>
        <w:tc>
          <w:tcPr>
            <w:tcW w:w="1531" w:type="dxa"/>
            <w:vAlign w:val="top"/>
            <w:textDirection w:val="lrTb"/>
            <w:noWrap w:val="false"/>
          </w:tcPr>
          <w:p>
            <w:pPr>
              <w:spacing w:line="288"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11.3</w:t>
            </w:r>
            <w:r/>
          </w:p>
        </w:tc>
        <w:tc>
          <w:tcPr>
            <w:tcW w:w="7488" w:type="dxa"/>
            <w:vAlign w:val="top"/>
            <w:textDirection w:val="lrTb"/>
            <w:noWrap w:val="false"/>
          </w:tcPr>
          <w:p>
            <w:pPr>
              <w:spacing w:line="288" w:lineRule="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空气压缩机系统</w:t>
            </w:r>
            <w:r/>
          </w:p>
        </w:tc>
        <w:tc>
          <w:tcPr>
            <w:tcW w:w="1040" w:type="dxa"/>
            <w:vAlign w:val="top"/>
            <w:textDirection w:val="lrTb"/>
            <w:noWrap w:val="false"/>
          </w:tcPr>
          <w:p>
            <w:pPr>
              <w:spacing w:line="288" w:lineRule="auto"/>
              <w:rPr>
                <w:rFonts w:hint="eastAsia" w:ascii="宋体" w:hAnsi="宋体" w:eastAsia="宋体" w:cs="宋体"/>
                <w:b w:val="0"/>
                <w:bCs/>
                <w:sz w:val="24"/>
                <w:szCs w:val="24"/>
                <w:highlight w:val="none"/>
                <w:lang w:val="en-US" w:eastAsia="en-US" w:bidi="ar-SA"/>
              </w:rPr>
            </w:pPr>
            <w:r>
              <w:rPr>
                <w:rFonts w:hint="eastAsia" w:ascii="宋体" w:hAnsi="宋体" w:eastAsia="宋体" w:cs="宋体"/>
                <w:b w:val="0"/>
                <w:bCs/>
                <w:sz w:val="24"/>
                <w:szCs w:val="24"/>
                <w:highlight w:val="none"/>
              </w:rPr>
              <w:t xml:space="preserve">1</w:t>
            </w:r>
            <w:r/>
          </w:p>
        </w:tc>
      </w:tr>
      <w:tr>
        <w:trPr>
          <w:trHeight w:val="90"/>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w:t>
            </w:r>
            <w:r>
              <w:rPr>
                <w:rFonts w:hint="eastAsia" w:ascii="宋体" w:hAnsi="宋体" w:eastAsia="宋体" w:cs="宋体"/>
                <w:b w:val="0"/>
                <w:bCs/>
                <w:sz w:val="24"/>
                <w:szCs w:val="24"/>
                <w:lang w:val="en-US" w:eastAsia="zh-CN"/>
              </w:rPr>
              <w:t xml:space="preserve">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多模态变形影像配准</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highlight w:val="none"/>
                <w:lang w:val="en-US"/>
              </w:rPr>
            </w:pPr>
            <w:r>
              <w:rPr>
                <w:rFonts w:hint="eastAsia" w:ascii="宋体" w:hAnsi="宋体" w:eastAsia="宋体" w:cs="宋体"/>
                <w:b w:val="0"/>
                <w:bCs/>
                <w:sz w:val="24"/>
                <w:szCs w:val="24"/>
                <w:highlight w:val="none"/>
                <w:lang w:eastAsia="zh-CN"/>
              </w:rPr>
              <w:t xml:space="preserve">11.</w:t>
            </w:r>
            <w:r>
              <w:rPr>
                <w:rFonts w:hint="eastAsia" w:ascii="宋体" w:hAnsi="宋体" w:eastAsia="宋体" w:cs="宋体"/>
                <w:b w:val="0"/>
                <w:bCs/>
                <w:sz w:val="24"/>
                <w:szCs w:val="24"/>
                <w:highlight w:val="none"/>
                <w:lang w:val="en-US" w:eastAsia="zh-CN"/>
              </w:rPr>
              <w:t xml:space="preserve">5</w:t>
            </w:r>
            <w:r/>
          </w:p>
        </w:tc>
        <w:tc>
          <w:tcPr>
            <w:tcW w:w="7488" w:type="dxa"/>
            <w:vAlign w:val="top"/>
            <w:textDirection w:val="lrTb"/>
            <w:noWrap w:val="false"/>
          </w:tcPr>
          <w:p>
            <w:pPr>
              <w:spacing w:line="288"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碳纤维固定床板</w:t>
            </w:r>
            <w:r/>
          </w:p>
        </w:tc>
        <w:tc>
          <w:tcPr>
            <w:tcW w:w="1040"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w:t>
            </w:r>
            <w:r>
              <w:rPr>
                <w:rFonts w:hint="eastAsia" w:ascii="宋体" w:hAnsi="宋体" w:eastAsia="宋体" w:cs="宋体"/>
                <w:b w:val="0"/>
                <w:bCs/>
                <w:sz w:val="24"/>
                <w:szCs w:val="24"/>
                <w:lang w:val="en-US" w:eastAsia="zh-CN"/>
              </w:rPr>
              <w:t xml:space="preserve">6</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 xml:space="preserve">晨检仪</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w:t>
            </w:r>
            <w:r>
              <w:rPr>
                <w:rFonts w:hint="eastAsia" w:ascii="宋体" w:hAnsi="宋体" w:eastAsia="宋体" w:cs="宋体"/>
                <w:b w:val="0"/>
                <w:bCs/>
                <w:sz w:val="24"/>
                <w:szCs w:val="24"/>
              </w:rPr>
              <w:t xml:space="preserve">7</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放疗信息系统（含3台网页版医生工作站软硬件，无</w:t>
            </w:r>
            <w:r>
              <w:rPr>
                <w:rFonts w:hint="eastAsia" w:ascii="宋体" w:hAnsi="宋体" w:eastAsia="宋体" w:cs="宋体"/>
                <w:b w:val="0"/>
                <w:bCs/>
                <w:color w:val="auto"/>
                <w:sz w:val="24"/>
                <w:szCs w:val="24"/>
                <w:lang w:val="en-US" w:eastAsia="zh-CN"/>
              </w:rPr>
              <w:t xml:space="preserve">license</w:t>
            </w:r>
            <w:r>
              <w:rPr>
                <w:rFonts w:hint="eastAsia" w:ascii="宋体" w:hAnsi="宋体" w:eastAsia="宋体" w:cs="宋体"/>
                <w:b w:val="0"/>
                <w:bCs/>
                <w:color w:val="auto"/>
                <w:sz w:val="24"/>
                <w:szCs w:val="24"/>
                <w:lang w:eastAsia="zh-CN"/>
              </w:rPr>
              <w:t xml:space="preserve">限制）</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11.8</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 xml:space="preserve">TPS计划系统</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含TOMO计划、直线加速器计划、TOMO自适应、直线加速器自适应、SFRT模块</w:t>
            </w:r>
            <w:r>
              <w:rPr>
                <w:rFonts w:hint="eastAsia" w:ascii="宋体" w:hAnsi="宋体" w:eastAsia="宋体" w:cs="宋体"/>
                <w:b w:val="0"/>
                <w:bCs/>
                <w:color w:val="auto"/>
                <w:sz w:val="24"/>
                <w:szCs w:val="24"/>
                <w:lang w:eastAsia="zh-CN"/>
              </w:rPr>
              <w:t xml:space="preserve">）</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11.9</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光学体表追踪系统（含治疗端、模拟端）</w:t>
            </w:r>
            <w:r/>
          </w:p>
        </w:tc>
        <w:tc>
          <w:tcPr>
            <w:tcW w:w="1040"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w:t>
            </w: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eastAsia="zh-CN"/>
              </w:rPr>
              <w:t xml:space="preserve">0</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射线报警仪</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w:t>
            </w: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eastAsia="zh-CN"/>
              </w:rPr>
              <w:t xml:space="preserve">1</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X、γ个人剂量仪</w:t>
            </w:r>
            <w:r/>
          </w:p>
        </w:tc>
        <w:tc>
          <w:tcPr>
            <w:tcW w:w="1040"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 xml:space="preserve">11.</w:t>
            </w: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eastAsia="zh-CN"/>
              </w:rPr>
              <w:t xml:space="preserve">2</w:t>
            </w:r>
            <w:r/>
          </w:p>
        </w:tc>
        <w:tc>
          <w:tcPr>
            <w:tcW w:w="7488"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 xml:space="preserve">精密空调</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r>
    </w:tbl>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olor w:val="auto"/>
          <w:sz w:val="24"/>
          <w:szCs w:val="24"/>
        </w:rPr>
        <w:t xml:space="preserve">★</w:t>
      </w:r>
      <w:r>
        <w:rPr>
          <w:rFonts w:hint="eastAsia" w:ascii="宋体" w:hAnsi="宋体" w:cs="宋体"/>
          <w:b/>
          <w:bCs/>
          <w:color w:val="auto"/>
          <w:sz w:val="24"/>
          <w:szCs w:val="24"/>
          <w:lang w:bidi="ar"/>
        </w:rPr>
        <w:t xml:space="preserve">备注：</w:t>
      </w:r>
      <w:r>
        <w:rPr>
          <w:rFonts w:hint="eastAsia" w:ascii="宋体" w:hAnsi="宋体" w:cs="宋体"/>
          <w:b/>
          <w:bCs/>
          <w:color w:val="auto"/>
          <w:sz w:val="24"/>
          <w:szCs w:val="24"/>
        </w:rPr>
        <w:t xml:space="preserve">所配软件为投标机型最新软件版本，主机所有软件及功能模块须全部开放（含选配）</w:t>
      </w:r>
      <w:r>
        <w:rPr>
          <w:rFonts w:hint="eastAsia" w:ascii="宋体" w:hAnsi="宋体" w:cs="宋体"/>
          <w:b/>
          <w:bCs/>
          <w:color w:val="auto"/>
          <w:sz w:val="24"/>
          <w:szCs w:val="24"/>
          <w:lang w:bidi="ar"/>
        </w:rPr>
        <w:t xml:space="preserve">，提供相应承诺并盖章（格式自拟）</w:t>
      </w:r>
      <w:r>
        <w:rPr>
          <w:rFonts w:hint="eastAsia" w:ascii="宋体" w:hAnsi="宋体" w:eastAsia="宋体" w:cs="宋体"/>
          <w:b/>
          <w:bCs/>
          <w:color w:val="auto"/>
          <w:sz w:val="24"/>
          <w:szCs w:val="24"/>
          <w:lang w:eastAsia="zh-CN" w:bidi="ar"/>
        </w:rPr>
        <w:t xml:space="preserve">。</w:t>
      </w:r>
      <w:r/>
    </w:p>
    <w:p>
      <w:pPr>
        <w:ind w:firstLine="482"/>
        <w:keepLines w:val="0"/>
        <w:keepNext w:val="0"/>
        <w:pageBreakBefore w:val="0"/>
        <w:spacing w:line="360" w:lineRule="auto"/>
        <w:rPr>
          <w:rFonts w:hint="eastAsia" w:ascii="宋体" w:hAnsi="宋体" w:eastAsia="宋体" w:cs="宋体"/>
          <w:b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★二、技术参数：</w:t>
      </w:r>
      <w:r/>
    </w:p>
    <w:tbl>
      <w:tblPr>
        <w:tblStyle w:val="689"/>
        <w:tblW w:w="1009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6"/>
        <w:gridCol w:w="3562"/>
        <w:gridCol w:w="5280"/>
      </w:tblGrid>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放射治疗系统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主机核心结构基本要求</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设备类型</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所投设备须具备螺旋CT成像功能</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机架结构</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环形机架，可支持加速器射束绕机架中心360度连续旋转</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加速管类型</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驻波</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加速</w:t>
            </w:r>
            <w:r>
              <w:rPr>
                <w:rFonts w:hint="eastAsia" w:ascii="宋体" w:hAnsi="宋体" w:eastAsia="宋体" w:cs="宋体"/>
                <w:i w:val="0"/>
                <w:iCs w:val="0"/>
                <w:color w:val="auto"/>
                <w:sz w:val="24"/>
                <w:szCs w:val="24"/>
                <w:highlight w:val="none"/>
                <w:u w:val="none"/>
                <w:lang w:val="en-US" w:eastAsia="zh-CN" w:bidi="ar"/>
              </w:rPr>
              <w:t xml:space="preserve">器去均整块技术（FFF模式）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微波功率系统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磁控管</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微波功率</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≥3MW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一次摆位长靶区照射范围（长×宽）</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≥100cm×40cm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一次摆位多靶区照射能力</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治疗模式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具备螺旋断层放疗模式</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计算机控制系统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数字化</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治疗安全性</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加速器治疗系统及成像系统等移动部</w:t>
            </w:r>
            <w:r>
              <w:rPr>
                <w:rFonts w:hint="eastAsia" w:ascii="宋体" w:hAnsi="宋体" w:eastAsia="宋体" w:cs="宋体"/>
                <w:i w:val="0"/>
                <w:iCs w:val="0"/>
                <w:color w:val="auto"/>
                <w:sz w:val="24"/>
                <w:szCs w:val="24"/>
                <w:highlight w:val="none"/>
                <w:u w:val="none"/>
                <w:lang w:val="en-US" w:eastAsia="zh-CN" w:bidi="ar"/>
              </w:rPr>
              <w:t xml:space="preserve">件应隐藏于机架中，避免与治疗床或患者的碰撞风险</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射束屏蔽系统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机架内应安装射束屏蔽系统以降低机房内散射线保护患者，并降低机房射线防护要求</w:t>
            </w:r>
            <w:r/>
          </w:p>
        </w:tc>
      </w:tr>
      <w:tr>
        <w:trPr>
          <w:trHeight w:val="434"/>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电子枪</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p>
        </w:tc>
      </w:tr>
      <w:tr>
        <w:trPr>
          <w:trHeight w:val="468"/>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X线射线束特性</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X线能量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≥6MV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在水下1.5cm处的标称剂量率（等中心）</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≥850MU/min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X线剂量率稳定性（在2min内变化）</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靶</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一体化固定靶</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射野半影</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X线泄漏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在垂直于射野中心轴并通过等中心的平面内，最大射野外，辐射≤0.3%；射野内，准直器闭合时，辐射≤0.5%</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剂量监测系统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yellow"/>
                <w:u w:val="none"/>
              </w:rPr>
            </w:pPr>
            <w:r>
              <w:rPr>
                <w:rFonts w:hint="eastAsia" w:ascii="宋体" w:hAnsi="宋体" w:eastAsia="宋体" w:cs="宋体"/>
                <w:b/>
                <w:bCs/>
                <w:i w:val="0"/>
                <w:iCs w:val="0"/>
                <w:color w:val="000000"/>
                <w:sz w:val="24"/>
                <w:szCs w:val="24"/>
                <w:highlight w:val="yellow"/>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电离室结构</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采用独立双通道全封闭电离室</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电离室剂量精度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电离室剂量线性度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设备安全连锁系统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具有多重安全联锁装置</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多叶准直器系统（MLC）</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叶片数量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≥60片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叶片驱动机制</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气动式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单个叶片在等中心平面的最小投影宽度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≤6.5mm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单个叶片运动能力</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可完全穿过射野中线至对侧，头脚方向无旋转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叶片开闭状态切换</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≤30ms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叶片间漏射</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叶片的验证</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实时的叶片开关状态验证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叶片调强时可产生的</w:t>
            </w:r>
            <w:r>
              <w:rPr>
                <w:rFonts w:hint="eastAsia" w:ascii="宋体" w:hAnsi="宋体" w:eastAsia="宋体" w:cs="宋体"/>
                <w:i w:val="0"/>
                <w:iCs w:val="0"/>
                <w:color w:val="auto"/>
                <w:sz w:val="24"/>
                <w:szCs w:val="24"/>
                <w:highlight w:val="none"/>
                <w:u w:val="none"/>
                <w:lang w:val="en-US" w:eastAsia="zh-CN" w:bidi="ar"/>
              </w:rPr>
              <w:t xml:space="preserve">最小射野（IMRT分辨率）（在等</w:t>
            </w:r>
            <w:r>
              <w:rPr>
                <w:rFonts w:hint="eastAsia" w:ascii="宋体" w:hAnsi="宋体" w:eastAsia="宋体" w:cs="宋体"/>
                <w:i w:val="0"/>
                <w:iCs w:val="0"/>
                <w:color w:val="000000"/>
                <w:sz w:val="24"/>
                <w:szCs w:val="24"/>
                <w:highlight w:val="none"/>
                <w:u w:val="none"/>
                <w:lang w:val="en-US" w:eastAsia="zh-CN" w:bidi="ar"/>
              </w:rPr>
              <w:t xml:space="preserve">中心处）</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≤25mm×6.25mm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等中心射野尺寸</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1.0cm×0.625cm 至 5.0cm×40cm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cs="宋体"/>
                <w:i w:val="0"/>
                <w:iCs w:val="0"/>
                <w:color w:val="000000"/>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准直器调</w:t>
            </w:r>
            <w:r>
              <w:rPr>
                <w:rFonts w:hint="eastAsia" w:ascii="宋体" w:hAnsi="宋体" w:eastAsia="宋体" w:cs="宋体"/>
                <w:i w:val="0"/>
                <w:iCs w:val="0"/>
                <w:color w:val="auto"/>
                <w:sz w:val="24"/>
                <w:szCs w:val="24"/>
                <w:highlight w:val="none"/>
                <w:u w:val="none"/>
                <w:lang w:val="en-US" w:eastAsia="zh-CN" w:bidi="ar"/>
              </w:rPr>
              <w:t xml:space="preserve">制挡数</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叶片厚度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初级准直器厚度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≥120mm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铅门</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铅⻔可围绕靶区伴随性打开或关闭，以减少头尾⽅向的剂量半影。每个铅门均使用伺服电机和线性致动器提供动力，伺服电机由运动控制器和伺服放大器驱动。可根据辐射实施系统的要求快速准确地移动每个铅⻔</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机械运动系统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机架孔径</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≥85cm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机架旋转</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可沿同一方向360°连续旋转运动</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机架旋转精度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等中心精度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源轴距（SAD）</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≥85cm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机架最大旋转速度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≥10RPM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等中心高度（距离治疗室地面）</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≤113cm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strike w:val="0"/>
                <w:color w:val="auto"/>
                <w:sz w:val="24"/>
                <w:szCs w:val="24"/>
                <w:highlight w:val="none"/>
                <w:u w:val="none"/>
                <w:lang w:val="en-US" w:eastAsia="zh-CN" w:bidi="ar"/>
              </w:rPr>
              <w:t xml:space="preserve">同步治疗床</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运动控制</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调速电机控制，可无级调速运动</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负载能力</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≥200kg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治疗床面板</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碳纤维</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床面运动方式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可在垂直、前后、左右六个方向运动</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床面最大运动速度（Y轴方向）</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≥70mm/s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治疗床运动重复性精度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≤±0.5mm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治疗床运动定位精度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垂直最大移动距离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≥425mm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前后（水平）最大移动范围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≥2200mm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rPr>
                <w:rFonts w:hint="eastAsia" w:ascii="宋体" w:hAnsi="宋体" w:cs="宋体"/>
                <w:i w:val="0"/>
                <w:iCs w:val="0"/>
                <w:color w:val="auto"/>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左右移动范围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≥±30mm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手动控制</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除了由电机控制运动之外，提供的治疗床运动均能由手动方式控制</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MVCT三维影像引导系统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影像引导系统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MV螺旋CT</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成像射束类型</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扇形束</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探测器类型</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电离室</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成像分辨率</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≥512×512</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空间（对比）分辨率</w:t>
            </w:r>
            <w:r>
              <w:rPr>
                <w:rFonts w:hint="eastAsia" w:ascii="宋体" w:hAnsi="宋体" w:eastAsia="宋体" w:cs="宋体"/>
                <w:i w:val="0"/>
                <w:iCs w:val="0"/>
                <w:color w:val="auto"/>
                <w:sz w:val="24"/>
                <w:szCs w:val="24"/>
                <w:highlight w:val="none"/>
                <w:u w:val="none"/>
                <w:lang w:val="en-US" w:eastAsia="zh-CN" w:bidi="ar"/>
              </w:rPr>
              <w:t xml:space="preserve">(IEC Xf×Zf)</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≤1.6mm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密度分辨率（软组织对比度）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30mm</w:t>
            </w:r>
            <w:r>
              <w:rPr>
                <w:rFonts w:hint="eastAsia" w:ascii="宋体" w:hAnsi="宋体" w:eastAsia="宋体" w:cs="宋体"/>
                <w:i w:val="0"/>
                <w:iCs w:val="0"/>
                <w:color w:val="auto"/>
                <w:sz w:val="24"/>
                <w:szCs w:val="24"/>
                <w:highlight w:val="none"/>
                <w:u w:val="none"/>
                <w:lang w:val="en-US" w:eastAsia="zh-CN" w:bidi="ar"/>
              </w:rPr>
              <w:t xml:space="preserve">物体时）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图像噪声</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图像均匀性</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≤25HU</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等中心处FOV</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≥39cm</w:t>
            </w:r>
            <w:r/>
          </w:p>
        </w:tc>
      </w:tr>
      <w:tr>
        <w:trPr>
          <w:trHeight w:val="90"/>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成像射线束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default" w:ascii="宋体" w:hAnsi="宋体" w:eastAsia="宋体" w:cs="宋体"/>
                <w:i w:val="0"/>
                <w:iCs w:val="0"/>
                <w:color w:val="000000"/>
                <w:sz w:val="24"/>
                <w:szCs w:val="24"/>
                <w:highlight w:val="none"/>
                <w:u w:val="none"/>
                <w:lang w:val="en-US"/>
              </w:rPr>
            </w:pPr>
            <w:r>
              <w:rPr>
                <w:rFonts w:hint="default" w:ascii="宋体" w:hAnsi="宋体" w:eastAsia="宋体" w:cs="宋体"/>
                <w:i w:val="0"/>
                <w:iCs w:val="0"/>
                <w:color w:val="000000"/>
                <w:sz w:val="24"/>
                <w:szCs w:val="24"/>
                <w:highlight w:val="none"/>
                <w:u w:val="none"/>
                <w:lang w:val="en-US"/>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7.10.1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X线能量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≤3.5MV</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w:t>
            </w:r>
            <w:r>
              <w:rPr>
                <w:rFonts w:hint="eastAsia" w:ascii="宋体" w:hAnsi="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可用扫描厚度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至少包含1mm、2mm、3mm、4mm、6mm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w:t>
            </w:r>
            <w:r>
              <w:rPr>
                <w:rFonts w:hint="eastAsia" w:ascii="宋体" w:hAnsi="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患者接收单次MVCT的剂量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≤3cGy</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图像配准方式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手动或自动，软组织或骨性配准</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图像重建算法</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滤波反投影</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图像重建时间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实时，在图像采集时逐层重建</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源到探测器的距离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≥140cm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b w:val="0"/>
                <w:bCs/>
                <w:color w:val="auto"/>
                <w:sz w:val="24"/>
                <w:szCs w:val="24"/>
                <w:highlight w:val="none"/>
                <w:lang w:eastAsia="zh-CN"/>
              </w:rPr>
              <w:t xml:space="preserve">千伏级螺旋CT影像引导系统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auto"/>
                <w:sz w:val="24"/>
                <w:szCs w:val="24"/>
                <w:highlight w:val="yellow"/>
                <w:u w:val="none"/>
              </w:rPr>
            </w:pPr>
            <w:r>
              <w:rPr>
                <w:rFonts w:hint="eastAsia" w:ascii="宋体" w:hAnsi="宋体" w:eastAsia="宋体" w:cs="宋体"/>
                <w:b/>
                <w:bCs/>
                <w:i w:val="0"/>
                <w:iCs w:val="0"/>
                <w:color w:val="auto"/>
                <w:sz w:val="24"/>
                <w:szCs w:val="24"/>
                <w:highlight w:val="yellow"/>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成像方式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连续螺旋断层成像</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热容量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≥1.5MHu</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热交换器</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≥2.4kW（油—空气）</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X射线管电压</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至少包含100kV、120kV、140kV</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X射线管电流</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至少包含80mA、100mA、125mA、160mA、200mA</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过滤器</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≥1mm厚度的铝</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焦点大小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≤0.6mm×0.6mm和≤1.2mm×1.2mm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焦点到等中心距离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≥1040mm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探测器</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碘化铯平板探测器</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rPr>
                <w:rFonts w:hint="eastAsia" w:ascii="宋体" w:hAnsi="宋体" w:cs="宋体"/>
                <w:i w:val="0"/>
                <w:iCs w:val="0"/>
                <w:color w:val="auto"/>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像素矩阵(IEC Xf×Zf)</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≥512×512 像素</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探测器有效面积</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≥432mm×432mm（在2880×2880 像素）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探测器有效面积在等中心处投影</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≥288mm×288mm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每个像素点</w:t>
            </w:r>
            <w:r>
              <w:rPr>
                <w:rFonts w:hint="eastAsia" w:ascii="宋体" w:hAnsi="宋体" w:cs="宋体"/>
                <w:i w:val="0"/>
                <w:iCs w:val="0"/>
                <w:color w:val="auto"/>
                <w:sz w:val="24"/>
                <w:szCs w:val="24"/>
                <w:highlight w:val="none"/>
                <w:u w:val="none"/>
                <w:lang w:val="en-US" w:eastAsia="zh-CN" w:bidi="ar"/>
              </w:rPr>
              <w:t xml:space="preserve">尺寸</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0.15mm×0.15mm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等中心到探测器距离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≥512mm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影像显示模式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持续扫描，实时影像重建与显示</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单次采集曝光时间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≤5ms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单次最大扫描长度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≥25cm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视野大小(FOV)</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≥44cm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最大扫描速度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≥0.44cm/sec</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rPr>
                <w:rFonts w:hint="eastAsia" w:ascii="宋体" w:hAnsi="宋体" w:cs="宋体"/>
                <w:i w:val="0"/>
                <w:iCs w:val="0"/>
                <w:color w:val="auto"/>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影像均匀性</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≤±25HU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低对比度分辨率</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≤2%（20mm物体时）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螺旋断层调强功能</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螺旋断层调强放疗模式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治疗中机架连续螺旋运动，射线从360°方向经超高速二元光栅调制后对肿瘤靶区实施照射</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治疗床运动方式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治疗过程中，治疗床搭载患者匀速步进运动，速度由计划自动设置</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单次计划最大照射范围（长×宽）</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≥100cm×40cm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激光定位灯</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固定激光灯≥2个，可移动激光定位灯≥5个</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定位精度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≤±0.25mm</w:t>
            </w:r>
            <w:r/>
          </w:p>
        </w:tc>
      </w:tr>
      <w:tr>
        <w:trPr>
          <w:trHeight w:val="286"/>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定位范围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≥0cm</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40cm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移动速度范围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≥0.2mm/s</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100mm/s</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计算机控制系统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71"/>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操作工作站</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工作站硬件配置</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内存</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≥32GB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硬盘</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≥240GB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显示器尺寸</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≥20英寸</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网络接口</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≥2个千兆以太网口</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软件功能要求</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图像采集/重建</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最短可以≤6秒完成机架旋转360度、采集图像并同步进行图像重建</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图像处理</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具有视图管理工具栏,包括：窗宽/窗位调节,放大/缩小，编辑/处理等</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图像配准</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可以手动和自动进行计划CT图像和验证MV/KVCT图像配准</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操作监控系统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全数字化控制系统，实时监控加速器主要参数</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治疗计划系统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计划工作站</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工作站数量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1套</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工作站硬件配置</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内存</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≥48GB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硬盘</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≥240GB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显示器尺寸</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≥24英寸</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网络接口</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≥1个千兆以太网口</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软件功能要求</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轮廓勾画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具备各器官轮廓勾画或修改等功能</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创建VOI</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系统支持计划中创建≥200个VOI，单个VOI 可同时包含实体轮廓和空心轮廓</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自动内插勾画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在影像层上创建一个轮廓，在另一个非相邻影像层上创建一个轮廓，系统将使用线性内插自动插值中间轮廓</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勾画笔</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线段勾画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圆形工具</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碰撞工具</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030"/>
                <w:rFonts w:hint="eastAsia" w:ascii="宋体" w:hAnsi="宋体" w:eastAsia="宋体" w:cs="宋体"/>
                <w:color w:val="auto"/>
                <w:sz w:val="24"/>
                <w:szCs w:val="24"/>
                <w:highlight w:val="none"/>
                <w:lang w:val="en-US" w:eastAsia="zh-CN" w:bidi="ar"/>
              </w:rPr>
              <w:t xml:space="preserve">3D</w:t>
            </w:r>
            <w:r>
              <w:rPr>
                <w:rStyle w:val="1035"/>
                <w:rFonts w:hint="eastAsia" w:ascii="宋体" w:hAnsi="宋体" w:eastAsia="宋体" w:cs="宋体"/>
                <w:color w:val="auto"/>
                <w:sz w:val="24"/>
                <w:szCs w:val="24"/>
                <w:highlight w:val="none"/>
                <w:lang w:val="en-US" w:eastAsia="zh-CN" w:bidi="ar"/>
              </w:rPr>
              <w:t xml:space="preserve">魔术勾画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030"/>
                <w:rFonts w:hint="eastAsia" w:ascii="宋体" w:hAnsi="宋体" w:eastAsia="宋体" w:cs="宋体"/>
                <w:color w:val="auto"/>
                <w:sz w:val="24"/>
                <w:szCs w:val="24"/>
                <w:highlight w:val="none"/>
                <w:lang w:val="en-US" w:eastAsia="zh-CN" w:bidi="ar"/>
              </w:rPr>
              <w:t xml:space="preserve">2D</w:t>
            </w:r>
            <w:r>
              <w:rPr>
                <w:rStyle w:val="1035"/>
                <w:rFonts w:hint="eastAsia" w:ascii="宋体" w:hAnsi="宋体" w:eastAsia="宋体" w:cs="宋体"/>
                <w:color w:val="auto"/>
                <w:sz w:val="24"/>
                <w:szCs w:val="24"/>
                <w:highlight w:val="none"/>
                <w:lang w:val="en-US" w:eastAsia="zh-CN" w:bidi="ar"/>
              </w:rPr>
              <w:t xml:space="preserve">魔术勾画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030"/>
                <w:rFonts w:hint="eastAsia" w:ascii="宋体" w:hAnsi="宋体" w:eastAsia="宋体" w:cs="宋体"/>
                <w:color w:val="auto"/>
                <w:sz w:val="24"/>
                <w:szCs w:val="24"/>
                <w:highlight w:val="none"/>
                <w:lang w:val="en-US" w:eastAsia="zh-CN" w:bidi="ar"/>
              </w:rPr>
              <w:t xml:space="preserve">移动和调整控制</w:t>
            </w:r>
            <w:r>
              <w:rPr>
                <w:rStyle w:val="1035"/>
                <w:rFonts w:hint="eastAsia" w:ascii="宋体" w:hAnsi="宋体" w:eastAsia="宋体" w:cs="宋体"/>
                <w:color w:val="auto"/>
                <w:sz w:val="24"/>
                <w:szCs w:val="24"/>
                <w:highlight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1.3.1.10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030"/>
                <w:rFonts w:hint="eastAsia" w:ascii="宋体" w:hAnsi="宋体" w:eastAsia="宋体" w:cs="宋体"/>
                <w:color w:val="auto"/>
                <w:sz w:val="24"/>
                <w:szCs w:val="24"/>
                <w:highlight w:val="none"/>
                <w:lang w:val="en-US" w:eastAsia="zh-CN" w:bidi="ar"/>
              </w:rPr>
              <w:t xml:space="preserve">VOI</w:t>
            </w:r>
            <w:r>
              <w:rPr>
                <w:rStyle w:val="1035"/>
                <w:rFonts w:hint="eastAsia" w:ascii="宋体" w:hAnsi="宋体" w:eastAsia="宋体" w:cs="宋体"/>
                <w:color w:val="auto"/>
                <w:sz w:val="24"/>
                <w:szCs w:val="24"/>
                <w:highlight w:val="none"/>
                <w:lang w:val="en-US" w:eastAsia="zh-CN" w:bidi="ar"/>
              </w:rPr>
              <w:t xml:space="preserve">运算</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处理现有VOI和创建新VOI的工具，可按顺序分步进行多个VOI运算以生成复杂结果</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图像配准功能</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支持CT、PET、MR等图像配准</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035"/>
                <w:rFonts w:hint="eastAsia" w:ascii="宋体" w:hAnsi="宋体" w:eastAsia="宋体" w:cs="宋体"/>
                <w:color w:val="auto"/>
                <w:sz w:val="24"/>
                <w:szCs w:val="24"/>
                <w:highlight w:val="none"/>
                <w:lang w:val="en-US" w:eastAsia="zh-CN" w:bidi="ar"/>
              </w:rPr>
              <w:t xml:space="preserve">种子点配准</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通过放置和修改种子点，不使用强度数据。执行配准变换时，通过旋转和平移最大限度地缩小相应种子点之间的RMS距离</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刚性影像配准</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基于图像数据的相对强度应用计算，将来自两个图像的公共信息最大化到一个体积中，并对主影像系列和次级影像系列执行自动配准</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计划设计</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逆向调强计划</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射野宽度选择</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螺距值选择</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高/低剂量百分体积约束函数</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多叶光栅MLC动态调强</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根据调强计划自动生成子野序列和机架旋转速度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剂量算法</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卷积CCC算法</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计划视图工具</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四视窗显示</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横断面、矢状面、冠状面视图</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视窗属性可变</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显示选择</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改变颜色、透明度和虚实；开关轮廓；窗宽、窗位调节</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患者方向</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显示绝对剂量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所有显示可旋转和放大</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叠加算法逐点修正CT密度值</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患者模型的三维体积重建</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支持非等层厚方式、非等层间距扫描方式、分次检查合并功能</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患者录入和轮廓勾画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逐点和连续勾画</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实时交互显示</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图像灰度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可任意调整</w:t>
            </w:r>
            <w:r>
              <w:rPr>
                <w:rFonts w:hint="eastAsia" w:ascii="宋体" w:hAnsi="宋体" w:eastAsia="宋体" w:cs="宋体"/>
                <w:i w:val="0"/>
                <w:iCs w:val="0"/>
                <w:color w:val="auto"/>
                <w:sz w:val="24"/>
                <w:szCs w:val="24"/>
                <w:highlight w:val="none"/>
                <w:u w:val="none"/>
                <w:lang w:val="en-US" w:eastAsia="zh-CN" w:bidi="ar"/>
              </w:rPr>
              <w:t xml:space="preserve">，预设≥3种</w:t>
            </w:r>
            <w:r>
              <w:rPr>
                <w:rFonts w:hint="eastAsia" w:ascii="宋体" w:hAnsi="宋体" w:eastAsia="宋体" w:cs="宋体"/>
                <w:i w:val="0"/>
                <w:iCs w:val="0"/>
                <w:color w:val="000000"/>
                <w:sz w:val="24"/>
                <w:szCs w:val="24"/>
                <w:highlight w:val="none"/>
                <w:u w:val="none"/>
                <w:lang w:val="en-US" w:eastAsia="zh-CN" w:bidi="ar"/>
              </w:rPr>
              <w:t xml:space="preserve">窗宽窗位</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计划输出</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支持硬拷贝到打印机/绘图仪</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计划评估</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可以进行DVH的计算和显示，包括：积分和微分DVH的计算，能同时显示单/多个器官的DVH</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调强图像显示与处理</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具有视图管理工具栏、图像编辑功能和定位匹配功能</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剂量验证</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可以实现剂量验证功能，即对实际照射的剂量分布与理论的剂量分布进行评估和分析</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治疗计划模型的建立</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出厂前完成加速器的数据采集拟合和建模的工作</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GPU加速计算优化系统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使用高性能GPU图形处理硬件，更快速、更便捷的交互设计治疗计划</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网络连接与传输</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DICOM 3.0接口</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系统可接受符合DICOM3.0协议的CT图像</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DICOM-RT接口</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系统可接受第三方系统（TPS）的轮廓线等数据</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集成化数据管理系统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硬件配置</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内存</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≥32GB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操作系统和应用软件</w:t>
            </w:r>
            <w:r>
              <w:rPr>
                <w:rFonts w:hint="eastAsia" w:ascii="宋体" w:hAnsi="宋体" w:cs="宋体"/>
                <w:i w:val="0"/>
                <w:iCs w:val="0"/>
                <w:color w:val="auto"/>
                <w:sz w:val="24"/>
                <w:szCs w:val="24"/>
                <w:highlight w:val="none"/>
                <w:u w:val="none"/>
                <w:lang w:val="en-US" w:eastAsia="zh-CN" w:bidi="ar"/>
              </w:rPr>
              <w:t xml:space="preserve">硬盘空间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ascii="宋体" w:hAnsi="宋体"/>
                <w:color w:val="auto"/>
                <w:sz w:val="24"/>
                <w:szCs w:val="24"/>
                <w:highlight w:val="none"/>
              </w:rPr>
              <w:t xml:space="preserve">2TB</w:t>
            </w:r>
            <w:r/>
          </w:p>
        </w:tc>
      </w:tr>
      <w:tr>
        <w:trPr>
          <w:trHeight w:val="286"/>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患者数据</w:t>
            </w:r>
            <w:r>
              <w:rPr>
                <w:rFonts w:hint="eastAsia" w:ascii="宋体" w:hAnsi="宋体" w:cs="宋体"/>
                <w:i w:val="0"/>
                <w:iCs w:val="0"/>
                <w:color w:val="auto"/>
                <w:sz w:val="24"/>
                <w:szCs w:val="24"/>
                <w:highlight w:val="none"/>
                <w:u w:val="none"/>
                <w:lang w:val="en-US" w:eastAsia="zh-CN" w:bidi="ar"/>
              </w:rPr>
              <w:t xml:space="preserve">硬盘空间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≥2TB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备份数据</w:t>
            </w:r>
            <w:r>
              <w:rPr>
                <w:rFonts w:hint="eastAsia" w:ascii="宋体" w:hAnsi="宋体" w:cs="宋体"/>
                <w:i w:val="0"/>
                <w:iCs w:val="0"/>
                <w:color w:val="auto"/>
                <w:sz w:val="24"/>
                <w:szCs w:val="24"/>
                <w:highlight w:val="none"/>
                <w:u w:val="none"/>
                <w:lang w:val="en-US" w:eastAsia="zh-CN" w:bidi="ar"/>
              </w:rPr>
              <w:t xml:space="preserve">硬盘空间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≥8TB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网络端口</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≥2个千兆端口</w:t>
            </w:r>
            <w:r/>
          </w:p>
        </w:tc>
      </w:tr>
      <w:tr>
        <w:trPr>
          <w:trHeight w:val="90"/>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软件功能要求</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影像浏览和输入</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浏览存储的DICOM影像列表</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删除已存储的DICOM影像序列</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从硬盘下载DICOM影像序列</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导入并关联已存储患者的DICOM影像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注册新的影像设备</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通⽤连接端⼝包</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提供授权许可，将特定的治疗实施系统连接到肿瘤信息管理系统，⽤于治疗预约排程、治疗记录传输等</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系统数据管理工具</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浏览系统事件</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管理DICOM Hosts</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浏览和设计系统登录和链接政策</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管理密码锁</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管理系统备份和数据库事件</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生成和升级组织架构信息</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现实和管理数据存储路径</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注册扫描仪</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浏览数据档案</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患者数据存储/恢复</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浏览激活患者和已归档患者记录</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储存/恢复患者记录</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输入、覆盖、下载和删除患者数据</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浏览患者记录的追踪记录</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其他功能</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高级TQ</w:t>
            </w:r>
            <w:r>
              <w:rPr>
                <w:rFonts w:hint="eastAsia" w:ascii="宋体" w:hAnsi="宋体" w:cs="宋体"/>
                <w:i w:val="0"/>
                <w:iCs w:val="0"/>
                <w:color w:val="auto"/>
                <w:sz w:val="24"/>
                <w:szCs w:val="24"/>
                <w:highlight w:val="none"/>
                <w:u w:val="none"/>
                <w:lang w:val="en-US" w:eastAsia="zh-CN" w:bidi="ar"/>
              </w:rPr>
              <w:t xml:space="preserve">A</w:t>
            </w:r>
            <w:r>
              <w:rPr>
                <w:rFonts w:hint="eastAsia" w:ascii="宋体" w:hAnsi="宋体" w:eastAsia="宋体" w:cs="宋体"/>
                <w:i w:val="0"/>
                <w:iCs w:val="0"/>
                <w:color w:val="auto"/>
                <w:sz w:val="24"/>
                <w:szCs w:val="24"/>
                <w:highlight w:val="none"/>
                <w:u w:val="none"/>
                <w:lang w:val="en-US" w:eastAsia="zh-CN" w:bidi="ar"/>
              </w:rPr>
              <w:t xml:space="preserve">软件包</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提供集成的自动机器质控功能，支持每日执行及存储以下质控数据：基础剂量、空气扫描、系统监控模块、多叶光栅状态、激光对准精度、射野宽带、动态铅门状态以及水箱剖面分析</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多模态变形影像配准</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形变融合允许平滑⾮刚性转换以捕捉基础解剖结构的变形</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支持CT-MR，CT-CT和CT-MVCT之间的图像</w:t>
            </w:r>
            <w:r>
              <w:rPr>
                <w:rFonts w:hint="eastAsia" w:ascii="宋体" w:hAnsi="宋体" w:cs="宋体"/>
                <w:i w:val="0"/>
                <w:iCs w:val="0"/>
                <w:color w:val="auto"/>
                <w:sz w:val="24"/>
                <w:szCs w:val="24"/>
                <w:highlight w:val="none"/>
                <w:u w:val="none"/>
                <w:lang w:val="en-US" w:eastAsia="zh-CN" w:bidi="ar"/>
              </w:rPr>
              <w:t xml:space="preserve">配准</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DICOM RT剂量输出软件包</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可将</w:t>
            </w:r>
            <w:r>
              <w:rPr>
                <w:rFonts w:hint="eastAsia" w:ascii="宋体" w:hAnsi="宋体" w:eastAsia="宋体" w:cs="宋体"/>
                <w:i w:val="0"/>
                <w:iCs w:val="0"/>
                <w:color w:val="auto"/>
                <w:sz w:val="24"/>
                <w:szCs w:val="24"/>
                <w:highlight w:val="none"/>
                <w:u w:val="none"/>
                <w:lang w:val="en-US" w:eastAsia="zh-CN" w:bidi="ar"/>
              </w:rPr>
              <w:t xml:space="preserve">TOMO</w:t>
            </w:r>
            <w:r>
              <w:rPr>
                <w:rFonts w:hint="eastAsia" w:ascii="宋体" w:hAnsi="宋体" w:cs="宋体"/>
                <w:i w:val="0"/>
                <w:iCs w:val="0"/>
                <w:color w:val="auto"/>
                <w:sz w:val="24"/>
                <w:szCs w:val="24"/>
                <w:highlight w:val="none"/>
                <w:u w:val="none"/>
                <w:lang w:val="en-US" w:eastAsia="zh-CN" w:bidi="ar"/>
              </w:rPr>
              <w:t xml:space="preserve">优化完成的计划和剂量分布输出到第三⽅评估系统进⾏分析和叠加，支持将</w:t>
            </w:r>
            <w:r>
              <w:rPr>
                <w:rFonts w:hint="eastAsia" w:ascii="宋体" w:hAnsi="宋体" w:eastAsia="宋体" w:cs="宋体"/>
                <w:i w:val="0"/>
                <w:iCs w:val="0"/>
                <w:color w:val="auto"/>
                <w:sz w:val="24"/>
                <w:szCs w:val="24"/>
                <w:highlight w:val="none"/>
                <w:u w:val="none"/>
                <w:lang w:val="en-US" w:eastAsia="zh-CN" w:bidi="ar"/>
              </w:rPr>
              <w:t xml:space="preserve">下列DICOM对象导出到第三方系统以及临床/研究数据库：DICOM-CT图像集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DICOM-RT剂量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DICOM-RT结构集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DICOM-RT治疗记录</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DICOM-RT计划</w:t>
            </w:r>
            <w:r/>
          </w:p>
        </w:tc>
      </w:tr>
    </w:tbl>
    <w:p>
      <w:pPr>
        <w:pStyle w:val="777"/>
        <w:numPr>
          <w:ilvl w:val="0"/>
          <w:numId w:val="0"/>
        </w:numPr>
        <w:ind w:left="400" w:firstLine="480"/>
        <w:spacing w:before="156" w:after="156" w:line="360" w:lineRule="auto"/>
        <w:rPr>
          <w:rFonts w:hint="eastAsia" w:ascii="宋体" w:hAnsi="宋体"/>
          <w:bCs/>
          <w:sz w:val="24"/>
          <w:szCs w:val="24"/>
          <w:u w:val="single"/>
        </w:rPr>
      </w:pPr>
      <w:r>
        <w:rPr>
          <w:rFonts w:hint="eastAsia" w:ascii="宋体" w:hAnsi="宋体"/>
          <w:bCs/>
          <w:sz w:val="24"/>
          <w:szCs w:val="24"/>
          <w:u w:val="single"/>
        </w:rPr>
      </w:r>
      <w:r/>
    </w:p>
    <w:p>
      <w:pPr>
        <w:ind w:firstLine="602"/>
        <w:spacing w:line="360" w:lineRule="auto"/>
        <w:tabs>
          <w:tab w:val="left" w:pos="525" w:leader="none"/>
          <w:tab w:val="left" w:pos="630" w:leader="none"/>
          <w:tab w:val="left" w:pos="735" w:leader="none"/>
          <w:tab w:val="left" w:pos="945" w:leader="none"/>
        </w:tabs>
        <w:rPr>
          <w:rFonts w:ascii="宋体" w:hAnsi="宋体"/>
          <w:bCs/>
          <w:sz w:val="24"/>
          <w:szCs w:val="24"/>
          <w:u w:val="single"/>
        </w:rPr>
      </w:pPr>
      <w:r>
        <w:rPr>
          <w:rFonts w:hint="eastAsia" w:ascii="宋体" w:hAnsi="宋体"/>
          <w:bCs/>
          <w:sz w:val="24"/>
          <w:szCs w:val="24"/>
          <w:u w:val="single"/>
        </w:rPr>
        <w:t xml:space="preserve">★三、商务需求：</w:t>
      </w:r>
      <w:r/>
    </w:p>
    <w:p>
      <w:pPr>
        <w:ind w:firstLine="602"/>
        <w:spacing w:line="360" w:lineRule="auto"/>
        <w:rPr>
          <w:rFonts w:ascii="宋体" w:hAnsi="宋体"/>
          <w:bCs/>
          <w:sz w:val="24"/>
          <w:szCs w:val="24"/>
        </w:rPr>
      </w:pPr>
      <w:r>
        <w:rPr>
          <w:rFonts w:hint="eastAsia" w:ascii="宋体" w:hAnsi="宋体"/>
          <w:bCs/>
          <w:sz w:val="24"/>
          <w:szCs w:val="24"/>
        </w:rPr>
        <w:t xml:space="preserve">1.维修保证：</w:t>
      </w:r>
      <w:r/>
    </w:p>
    <w:p>
      <w:pPr>
        <w:ind w:firstLine="602"/>
        <w:spacing w:line="360" w:lineRule="auto"/>
        <w:rPr>
          <w:rFonts w:ascii="宋体" w:hAnsi="宋体"/>
          <w:bCs/>
          <w:sz w:val="24"/>
          <w:szCs w:val="24"/>
          <w:highlight w:val="none"/>
        </w:rPr>
      </w:pPr>
      <w:r>
        <w:rPr>
          <w:rFonts w:hint="eastAsia" w:ascii="宋体" w:hAnsi="宋体"/>
          <w:bCs/>
          <w:sz w:val="24"/>
          <w:szCs w:val="24"/>
        </w:rPr>
        <w:t xml:space="preserve">1.1原厂免费质保期≥</w:t>
      </w:r>
      <w:r>
        <w:rPr>
          <w:rFonts w:hint="eastAsia" w:ascii="宋体" w:hAnsi="宋体"/>
          <w:bCs/>
          <w:sz w:val="24"/>
          <w:szCs w:val="24"/>
          <w:lang w:val="en-US" w:eastAsia="zh-CN"/>
        </w:rPr>
        <w:t xml:space="preserve">1</w:t>
      </w:r>
      <w:r>
        <w:rPr>
          <w:rFonts w:hint="eastAsia" w:ascii="宋体" w:hAnsi="宋体"/>
          <w:bCs/>
          <w:sz w:val="24"/>
          <w:szCs w:val="24"/>
        </w:rPr>
        <w:t xml:space="preserve">年。</w:t>
      </w:r>
      <w:r/>
    </w:p>
    <w:p>
      <w:pPr>
        <w:ind w:firstLine="602"/>
        <w:spacing w:line="360" w:lineRule="auto"/>
        <w:rPr>
          <w:rFonts w:ascii="宋体" w:hAnsi="宋体"/>
          <w:bCs/>
          <w:sz w:val="24"/>
          <w:szCs w:val="24"/>
        </w:rPr>
      </w:pPr>
      <w:r>
        <w:rPr>
          <w:rFonts w:hint="eastAsia" w:ascii="宋体" w:hAnsi="宋体"/>
          <w:bCs/>
          <w:sz w:val="24"/>
          <w:szCs w:val="24"/>
          <w:highlight w:val="none"/>
        </w:rPr>
        <w:t xml:space="preserve">1.2在保质期内，故障发生后，要求供方在接报后2小时之内响应，12小时之</w:t>
      </w:r>
      <w:r>
        <w:rPr>
          <w:rFonts w:hint="eastAsia" w:ascii="宋体" w:hAnsi="宋体"/>
          <w:bCs/>
          <w:sz w:val="24"/>
          <w:szCs w:val="24"/>
        </w:rPr>
        <w:t xml:space="preserve">内到达现场排除故障；须提供故障不能排除时的解决方案；免费质保期后，设备终身维修，维修只收配件费，供方必须以低于市场价的80％优惠提供。免费质保期后，TOMO设备全保年维保费≤330万元（提供承诺书，格式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2.交货时间：合同生效之日起</w:t>
      </w:r>
      <w:r>
        <w:rPr>
          <w:rFonts w:hint="eastAsia" w:ascii="宋体" w:hAnsi="宋体"/>
          <w:bCs/>
          <w:sz w:val="24"/>
          <w:szCs w:val="24"/>
          <w:lang w:val="en-US" w:eastAsia="zh-CN"/>
        </w:rPr>
        <w:t xml:space="preserve">30</w:t>
      </w:r>
      <w:r>
        <w:rPr>
          <w:rFonts w:hint="eastAsia" w:ascii="宋体" w:hAnsi="宋体"/>
          <w:bCs/>
          <w:sz w:val="24"/>
          <w:szCs w:val="24"/>
        </w:rPr>
        <w:t xml:space="preserve">天内。</w:t>
      </w:r>
      <w:r/>
    </w:p>
    <w:p>
      <w:pPr>
        <w:ind w:firstLine="602"/>
        <w:spacing w:line="360" w:lineRule="auto"/>
        <w:rPr>
          <w:rFonts w:ascii="宋体" w:hAnsi="宋体"/>
          <w:bCs/>
          <w:sz w:val="24"/>
          <w:szCs w:val="24"/>
        </w:rPr>
      </w:pPr>
      <w:r>
        <w:rPr>
          <w:rFonts w:hint="eastAsia" w:ascii="宋体" w:hAnsi="宋体"/>
          <w:bCs/>
          <w:sz w:val="24"/>
          <w:szCs w:val="24"/>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履约验收主体：江南大学附属医院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履约验收时间：按合同约定完成全部货物的供货，安装调试、培训完成具备验收条件后的5个工作日内组织验收。</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方式：江南大学附属医院组织成立验收小组，按照合同约定内容制定履约验收方案并组织现场实物验收及资料验收。如有必要，需方可委托第三方专业机构及专家参与验收，相关意见将作为验收单的参考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以铭牌或说明书确认)。</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5.交货条件： </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产品交货时，包装完整无破损，还必须提供以下材料： </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 装箱单 </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(2) 产品质检合格证明</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(3) 若为进口产品，供方需要提供进口商品检验检疫证明和报关单</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 使用说明书及操作手册（电子版、纸质版同时提供）</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 单价10万元以上的设备需提供设备操作、保养的视频资料</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6.运输及到货地点：由供方负责办理运输及装卸，直接送至江南大学附属医院肿瘤放疗科，所有费用由供方承担。</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医院。</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8.付款方式：</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合同签订后30日内预付合同金额30%，货到现场安装、调试、培训、初步验收试运行3个月后30日内付款60%，试运行12个月后30日内正式验收合格后无息支付10%余款。（如果中标人为中小企业，按《保障中小企业款项支付条例》(国令第 802号)相关要求执行。）</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10.具备数字化接口的设备应承诺免费开放该接口，由供应商配合与医院信息系统（如HIS，RIS，PACS，LIS等）相连接并承担相应费用（提供承诺书，格式自拟，须加盖投标人公章）。</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11.具有汉字字库、中文支持的系统及中文文档的设备应免费提供该系统，暂不具备的应承诺如日后具备此系统后免费向用户提供（提供承诺书，格式自拟，须加盖投标人公章）。</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12.设备使用年限内（本次所投产品的年限≥10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pStyle w:val="698"/>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13.供应商承担设备与医院设备实时监控系统相连的相关费用，达到医院实时监控要求。支持DICOM通信协议；或主机具备HDMI、DVI、SDI等主流视频输出口；或开放文件共享端口，支持任意一项或多项通信协议，如：smb、ssh、ftp、http、https等，允许获取故障日志、运营日志、参数日志等数据。（提供承诺书，格式自拟，须加盖投标人公章）。</w:t>
      </w:r>
      <w:r/>
    </w:p>
    <w:p>
      <w:pPr>
        <w:pStyle w:val="698"/>
        <w:ind w:left="0" w:firstLine="600"/>
        <w:keepLines w:val="0"/>
        <w:keepNext w:val="0"/>
        <w:pageBreakBefore w:val="0"/>
        <w:spacing w:line="336" w:lineRule="auto"/>
        <w:rPr>
          <w:rFonts w:asci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u w:val="none"/>
        </w:rPr>
      </w:pPr>
      <w:r>
        <w:rPr>
          <w:rFonts w:hint="eastAsia" w:ascii="宋体" w:hAnsi="宋体"/>
          <w:bCs/>
          <w:color w:val="auto"/>
          <w:sz w:val="24"/>
          <w:highlight w:val="none"/>
          <w:u w:val="none"/>
        </w:rPr>
        <w:t xml:space="preserve">8.本章中标注“★”的条款为本项目的实质性条款，投标人不满足的，将按照无效投标处理。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bCs/>
          <w:color w:val="auto"/>
          <w:sz w:val="24"/>
          <w:highlight w:val="none"/>
          <w:u w:val="none"/>
          <w:lang w:val="en-US" w:eastAsia="zh-CN"/>
        </w:rPr>
        <w:t xml:space="preserve">9.</w:t>
      </w:r>
      <w:r>
        <w:rPr>
          <w:rFonts w:hint="eastAsia" w:ascii="宋体" w:hAnsi="宋体"/>
          <w:bCs/>
          <w:color w:val="auto"/>
          <w:sz w:val="24"/>
          <w:highlight w:val="none"/>
          <w:u w:val="none"/>
        </w:rPr>
        <w:t xml:space="preserve">本项目采购人不统一组织现场查勘，供应商可根据投标需要自行联系采购人开展现场查勘（联系人：谢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bookmarkStart w:id="191" w:name="_Toc120614281"/>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53"/>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53"/>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53"/>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53"/>
        <w:spacing w:before="0" w:after="0" w:line="500" w:lineRule="exact"/>
        <w:rPr>
          <w:rStyle w:val="736"/>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53"/>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53"/>
        <w:spacing w:before="0" w:after="0" w:line="500" w:lineRule="exact"/>
        <w:rPr>
          <w:rFonts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53"/>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联合体各方均为小型、微型企业（残疾人福利单位、监狱企业）的，联合体享受10%价格扣除，用扣除后的价格参与评审。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采购本国产品的支持政策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b/>
          <w:color w:val="auto"/>
          <w:sz w:val="28"/>
          <w:szCs w:val="28"/>
          <w:highlight w:val="none"/>
        </w:rPr>
      </w:pPr>
      <w:r>
        <w:rPr>
          <w:rFonts w:hint="eastAsia" w:ascii="宋体" w:hAnsi="宋体"/>
          <w:bCs/>
          <w:color w:val="auto"/>
          <w:sz w:val="24"/>
          <w:szCs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color w:val="auto"/>
          <w:sz w:val="24"/>
          <w:szCs w:val="24"/>
          <w:highlight w:val="none"/>
        </w:rPr>
        <w:br w:type="page" w:clear="all"/>
      </w:r>
      <w:r>
        <w:rPr>
          <w:rFonts w:hint="eastAsia" w:ascii="宋体" w:hAnsi="宋体"/>
          <w:b/>
          <w:color w:val="auto"/>
          <w:sz w:val="28"/>
          <w:szCs w:val="28"/>
          <w:highlight w:val="none"/>
        </w:rPr>
        <w:t xml:space="preserve">   二、评分标准</w:t>
      </w:r>
      <w:r/>
    </w:p>
    <w:p>
      <w:pPr>
        <w:ind w:firstLine="482"/>
        <w:spacing w:line="360" w:lineRule="auto"/>
        <w:tabs>
          <w:tab w:val="left" w:pos="945" w:leader="none"/>
          <w:tab w:val="left" w:pos="1155" w:leader="none"/>
          <w:tab w:val="left" w:pos="3823" w:leader="none"/>
        </w:tabs>
        <w:rPr>
          <w:rFonts w:hint="eastAsia" w:ascii="宋体" w:hAnsi="宋体"/>
          <w:b/>
          <w:color w:val="auto"/>
          <w:sz w:val="28"/>
          <w:szCs w:val="28"/>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第一部分：商务标部分（88分）</w:t>
      </w:r>
      <w:r>
        <w:rPr>
          <w:rFonts w:hint="eastAsia" w:ascii="宋体" w:hAnsi="宋体"/>
          <w:color w:val="auto"/>
          <w:sz w:val="24"/>
          <w:szCs w:val="24"/>
          <w:highlight w:val="none"/>
        </w:rPr>
        <w:t xml:space="preserve">：</w:t>
      </w:r>
      <w:r/>
    </w:p>
    <w:p>
      <w:pPr>
        <w:numPr>
          <w:ilvl w:val="0"/>
          <w:numId w:val="0"/>
        </w:numPr>
        <w:ind w:firstLine="482"/>
        <w:keepLines w:val="0"/>
        <w:keepNext w:val="0"/>
        <w:pageBreakBefore w:val="0"/>
        <w:spacing w:line="440" w:lineRule="exact"/>
        <w:widowControl w:val="off"/>
        <w:rPr>
          <w:rFonts w:ascii="宋体" w:hAnsi="宋体" w:cs="宋体"/>
          <w:b/>
          <w:bCs/>
          <w:color w:val="auto"/>
          <w:sz w:val="24"/>
          <w:szCs w:val="24"/>
          <w:highlight w:val="none"/>
        </w:rPr>
        <w:outlineLvl w:val="0"/>
      </w:pPr>
      <w:r>
        <w:rPr>
          <w:rFonts w:hint="default"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rPr>
        <w:t xml:space="preserve">价</w:t>
      </w:r>
      <w:r>
        <w:rPr>
          <w:rFonts w:hint="eastAsia" w:ascii="宋体" w:hAnsi="宋体" w:eastAsia="宋体" w:cs="宋体"/>
          <w:b/>
          <w:bCs/>
          <w:color w:val="auto"/>
          <w:sz w:val="24"/>
          <w:szCs w:val="24"/>
          <w:highlight w:val="none"/>
          <w:lang w:val="en-US" w:eastAsia="zh-CN" w:bidi="ar-SA"/>
        </w:rPr>
        <w:t xml:space="preserve">格（</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以进入评标程序、满足招标文件要求且报价最低的投标报价为评标基准价（须未超过采购预算价），其价格分为满分</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分。其他投标人的价格分统一按照下列公式计算：</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投标报价得分=（评标基准价/投标报价）×</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保留两位小数</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5"/>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产品技术部分（</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numPr>
          <w:ilvl w:val="0"/>
          <w:numId w:val="0"/>
        </w:numPr>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cs="宋体"/>
          <w:b/>
          <w:bCs/>
          <w:color w:val="auto"/>
          <w:sz w:val="24"/>
          <w:szCs w:val="24"/>
          <w:highlight w:val="none"/>
          <w:lang w:val="en-US" w:eastAsia="zh-CN" w:bidi="ar-SA"/>
        </w:rPr>
        <w:t xml:space="preserve">    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689"/>
        <w:tblW w:w="9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7257"/>
        <w:gridCol w:w="710"/>
        <w:gridCol w:w="710"/>
      </w:tblGrid>
      <w:tr>
        <w:trPr>
          <w:jc w:val="center"/>
          <w:trHeight w:val="730"/>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72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技术评分标准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评分下限</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评分上限</w:t>
            </w:r>
            <w:r/>
          </w:p>
        </w:tc>
      </w:tr>
      <w:tr>
        <w:trPr>
          <w:jc w:val="center"/>
          <w:trHeight w:val="1122"/>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一次摆位长靶区照射范围（长×宽）：≥120cm×40cm，得2分；达到：≥130cm×40cm，得4分，其他不得分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X线泄漏：在垂直于射野中心轴并通过等中心的平面内，最大射野外，辐射≤0.1%，得2分；射野内，准直器闭合时，辐射≤0.25%，得2分，其他不得分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初级准直器厚度：≥125mm，得1分；达到：≥135mm，得3分，其他不得分 </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r>
      <w:tr>
        <w:trPr>
          <w:jc w:val="center"/>
          <w:trHeight w:val="801"/>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ascii="Segoe UI" w:hAnsi="Segoe UI" w:eastAsia="Segoe UI" w:cs="Segoe UI"/>
                <w:i w:val="0"/>
                <w:iCs w:val="0"/>
                <w:caps w:val="0"/>
                <w:color w:val="auto"/>
                <w:spacing w:val="0"/>
                <w:sz w:val="24"/>
                <w:szCs w:val="24"/>
                <w:highlight w:val="none"/>
                <w:shd w:val="clear" w:color="auto" w:fill="ffffff"/>
              </w:rPr>
              <w:t xml:space="preserve">射束屏蔽系统</w:t>
            </w:r>
            <w:r>
              <w:rPr>
                <w:rFonts w:hint="eastAsia" w:ascii="宋体" w:hAnsi="宋体" w:eastAsia="宋体" w:cs="宋体"/>
                <w:color w:val="auto"/>
                <w:sz w:val="24"/>
                <w:szCs w:val="24"/>
                <w:highlight w:val="none"/>
                <w:lang w:eastAsia="zh-CN"/>
              </w:rPr>
              <w:t xml:space="preserve">厚度：≥140mm，得2分；达到：≥150mm，得4分，其他不得分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p>
        </w:tc>
        <w:tc>
          <w:tcPr>
            <w:tcW w:w="7257" w:type="dxa"/>
            <w:vAlign w:val="center"/>
            <w:textDirection w:val="lrTb"/>
            <w:noWrap w:val="false"/>
          </w:tcPr>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射束停止连锁系统：≥4种，得2分；达到：≥6种，得3分，其他不得分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r>
      <w:tr>
        <w:trPr>
          <w:jc w:val="center"/>
          <w:trHeight w:val="1155"/>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治疗床床面最大运动速度（Y轴方向）：≥80mm/s，得2分；达到：≥100mm/s，得4分，其他不得分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治疗床前后（水平）最大移动范围：≥2250mm，得2分；达到：≥2270mm，得3分，其他不得分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多叶准直器系统（MLC）：叶片数量：≥62片，得2分；达到：≥64片，得3分，其他不得分   </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多叶准直器系统（MLC）：位置传感器数量≥1个，得1分；达到：≥2个，得2分，其他不得分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w:t>
            </w:r>
            <w:r/>
          </w:p>
        </w:tc>
        <w:tc>
          <w:tcPr>
            <w:tcW w:w="7257" w:type="dxa"/>
            <w:vAlign w:val="center"/>
            <w:textDirection w:val="lrTb"/>
            <w:noWrap w:val="false"/>
          </w:tcPr>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辐射等中心精度：≤1mm，得2分；达到：≤0.25mm，得4分，其他不得分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W w:w="7257" w:type="dxa"/>
            <w:vAlign w:val="center"/>
            <w:textDirection w:val="lrTb"/>
            <w:noWrap w:val="false"/>
          </w:tcPr>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光子束出束响应时间：≤1秒，得2分，其他不得分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机架定位磁盘所包含的通过编码器数量：≥500000个，得2分；达到：≥550000个，得4分，其他不得分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r>
    </w:tbl>
    <w:p>
      <w:pPr>
        <w:numPr>
          <w:ilvl w:val="0"/>
          <w:numId w:val="0"/>
        </w:numPr>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outlineLvl w:val="0"/>
      </w:pPr>
      <w:r>
        <w:rPr>
          <w:rFonts w:hint="default" w:ascii="宋体" w:hAnsi="宋体" w:eastAsia="宋体" w:cs="宋体"/>
          <w:b/>
          <w:color w:val="auto"/>
          <w:sz w:val="24"/>
          <w:szCs w:val="24"/>
          <w:highlight w:val="none"/>
          <w:lang w:val="en-US" w:eastAsia="zh-CN" w:bidi="ar-SA"/>
        </w:rPr>
      </w:r>
      <w:r/>
    </w:p>
    <w:p>
      <w:pPr>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3.</w:t>
      </w:r>
      <w:r>
        <w:rPr>
          <w:rFonts w:hint="default" w:ascii="宋体" w:hAnsi="宋体" w:eastAsia="宋体" w:cs="宋体"/>
          <w:b/>
          <w:bCs/>
          <w:color w:val="auto"/>
          <w:sz w:val="24"/>
          <w:szCs w:val="24"/>
          <w:highlight w:val="none"/>
          <w:lang w:val="en-US" w:eastAsia="zh-CN" w:bidi="ar-SA"/>
        </w:rPr>
        <w:t xml:space="preserve">售后和服务能力（</w:t>
      </w:r>
      <w:r>
        <w:rPr>
          <w:rFonts w:hint="eastAsia" w:ascii="宋体" w:hAnsi="宋体" w:cs="宋体"/>
          <w:b/>
          <w:bCs/>
          <w:color w:val="auto"/>
          <w:sz w:val="24"/>
          <w:szCs w:val="24"/>
          <w:highlight w:val="none"/>
          <w:lang w:val="en-US" w:eastAsia="zh-CN" w:bidi="ar-SA"/>
        </w:rPr>
        <w:t xml:space="preserve">8</w:t>
      </w:r>
      <w:r>
        <w:rPr>
          <w:rFonts w:hint="default" w:ascii="宋体" w:hAnsi="宋体" w:eastAsia="宋体" w:cs="宋体"/>
          <w:b/>
          <w:bCs/>
          <w:color w:val="auto"/>
          <w:sz w:val="24"/>
          <w:szCs w:val="24"/>
          <w:highlight w:val="none"/>
          <w:lang w:val="en-US" w:eastAsia="zh-CN" w:bidi="ar-SA"/>
        </w:rPr>
        <w:t xml:space="preserve">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rPr>
        <w:t xml:space="preserve">质保期（3分）：原厂免费质保</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年为基准，每增加一年得1分，最多不超过3分。提供《质量保证及售后服务承诺书》（参考格式）。</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销售业绩及客户评价比较（3分）：从2024年1月来主要业绩，提供投标人与终端用户签订的与本次招标采购项目同类产品（本项目核心产品）的完整销售合同复印件，有一例得1.5分，最高不超过3分。（提供合同复印件并加盖投标人电子公章）。</w:t>
      </w:r>
      <w:r/>
    </w:p>
    <w:p>
      <w:pPr>
        <w:numPr>
          <w:ilvl w:val="0"/>
          <w:numId w:val="0"/>
        </w:num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政策性因素（2分）</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3.3.1 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分）（不得有体现投标人身份的内容）</w:t>
      </w:r>
      <w:bookmarkEnd w:id="186"/>
      <w:r/>
      <w:bookmarkEnd w:id="187"/>
      <w:r/>
      <w:bookmarkEnd w:id="188"/>
      <w:r/>
      <w:bookmarkEnd w:id="189"/>
      <w:r/>
      <w:bookmarkEnd w:id="191"/>
      <w:r/>
      <w:r/>
    </w:p>
    <w:p>
      <w:pPr>
        <w:pStyle w:val="726"/>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1.服务方案体系（6分）：投标人保障采购项目能够达到招标文件设定的使用和运行状态提供下列方案：</w:t>
      </w:r>
      <w:r/>
    </w:p>
    <w:p>
      <w:pPr>
        <w:pStyle w:val="726"/>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运输配送、安装方案，调试、培训方案（2分）：提供完整、合理的运输配送和安装方案，明确运输流程、时效保障、货物防护措施，可落地性强，安装施工流程、安全规范、质量控制措施，实施条件完备，提供完整的调试、</w:t>
      </w:r>
      <w:r>
        <w:rPr>
          <w:rFonts w:hint="eastAsia" w:ascii="宋体" w:hAnsi="宋体" w:eastAsia="宋体" w:cs="宋体"/>
          <w:color w:val="auto"/>
          <w:sz w:val="24"/>
          <w:szCs w:val="24"/>
          <w:highlight w:val="none"/>
          <w:lang w:val="en-US" w:eastAsia="zh-CN" w:bidi="ar-SA"/>
        </w:rPr>
        <w:t xml:space="preserve">培训方案，明确调试流程、调试标准、问题处置措施，流程科学规范，明确培训对象、培训内容、培训方式、培训时效，贴合项目实际需求，得2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1分；未提供方案、方案内容缺失、无法落地、内容不合理或缺乏可操作性，未提供方案、方案内容缺失、调试流程不合理或培训不符合项目需求，得0分。</w:t>
      </w:r>
      <w:r/>
    </w:p>
    <w:p>
      <w:pPr>
        <w:pStyle w:val="726"/>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咨询（技术支持）方案，维护巡检方案（2分）：提供完整的咨询（技术支持）方案，明确服务渠道、响应方式、服务时效，技术支持能力充足，提供完整的维护巡检方案，明确巡检周期、巡检内容、维护措施、责任分工，可操作性强，得2分；提供基本完整的咨询（技术支持）方案，服务渠道、响应方式基本明确，具备基础技术支持能力，提供基本完整的维护巡检方案，巡检周期、内容基本明确，具备一定可操作性，得1分；未提供方案、方案内容不完善或服务保障不足，未提供方案、方案内容缺失或无法落地，得0分。</w:t>
      </w:r>
      <w:r/>
    </w:p>
    <w:p>
      <w:pPr>
        <w:pStyle w:val="726"/>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维修方案，应急保障方案（2分）：提供完整的维修方案，明确维修流程、维修时限、配件保障、维修团队安排，维修服务能力充足，提供完整的应急保障方案，明确应急预警机制、处置流程、应急资源、应对措施，能有效应对突发状况，得2分；提供基本完整的维修方案，维修流程、时限基本明确，具备基础维修服务能力，提供基本完整的应急保障方案，应急处置流程、措施基本合理，能应对简单突发状况，得1分；未提供方案、方案内容不合理或维修保障缺失，未提供方案、方案内容不完善或无法应对突发状况，得0分。</w:t>
      </w:r>
      <w:r/>
    </w:p>
    <w:p>
      <w:pPr>
        <w:pStyle w:val="726"/>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2.服务保障体系（6分）：</w:t>
      </w:r>
      <w:r/>
    </w:p>
    <w:p>
      <w:pPr>
        <w:pStyle w:val="726"/>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保障服务方案的实施而设立服务机构（2分）：设立专门的服务机构，明确机构职能、运营机制，具有完善的服务细则和规范的管理制度，完全匹配服务方案实施需求，得2分；设立服务机构，明确基本职能，具有基本的服务细则和管理制度，基本满足服务方案实施需求，得1分；未设立服务机构或服务机构无明确职能、无相应的服务细则和管理制度、无法保障服务方案实施，得0分。</w:t>
      </w:r>
      <w:r/>
    </w:p>
    <w:p>
      <w:pPr>
        <w:pStyle w:val="726"/>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配备相应服务人员和设施装备（2分）：配备足额、专业的服务人员，明确人员岗位职责、资质证书、从业经验，人员配置完全满足项目需求，配备齐全的设施装备，明确装备名称、规格、数量、维护情况，装备性能完全匹配项目实施要求，得2分；配备基本足额的服务人员，明确岗位职责，具备基础从业能力，基本满足项目需求，配备基本齐全的设施装备，能满足基础项目实施需求，装备维护基本到位，得1分；未配备服务人员或人员数量不足、无相应资质，无法满足项目需求，未配备设施装备或装备数量不足、性能不达标，无法保障项目实施，得0分。</w:t>
      </w:r>
      <w:r/>
    </w:p>
    <w:p>
      <w:pPr>
        <w:pStyle w:val="726"/>
        <w:ind w:firstLine="468"/>
        <w:rPr>
          <w:rFonts w:hint="default" w:eastAsia="宋体"/>
          <w:highlight w:val="none"/>
          <w:lang w:val="en-US" w:eastAsia="zh-CN"/>
        </w:rPr>
      </w:pPr>
      <w:r>
        <w:rPr>
          <w:rFonts w:hint="eastAsia" w:ascii="宋体" w:hAnsi="宋体" w:eastAsia="宋体" w:cs="宋体"/>
          <w:color w:val="auto"/>
          <w:sz w:val="24"/>
          <w:szCs w:val="24"/>
          <w:highlight w:val="none"/>
          <w:lang w:val="en-US" w:eastAsia="zh-CN" w:bidi="ar-SA"/>
        </w:rPr>
        <w:t xml:space="preserve">2.3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pStyle w:val="698"/>
        <w:ind w:left="0" w:firstLine="0"/>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第六章投标文件内容与格式</w:t>
      </w:r>
      <w:r/>
    </w:p>
    <w:p>
      <w:pPr>
        <w:pStyle w:val="953"/>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2" w:name="_Hlt26955039"/>
      <w:r/>
      <w:bookmarkEnd w:id="192"/>
      <w:r/>
      <w:bookmarkStart w:id="193" w:name="_Hlt26671244"/>
      <w:r/>
      <w:bookmarkEnd w:id="193"/>
      <w:r/>
      <w:bookmarkStart w:id="194" w:name="_Toc26554094"/>
      <w:r/>
      <w:bookmarkStart w:id="195" w:name="_Toc120614282"/>
      <w:r/>
      <w:bookmarkStart w:id="196" w:name="_Toc49090576"/>
      <w:r>
        <w:rPr>
          <w:rFonts w:hint="eastAsia" w:cs="Arial"/>
          <w:b/>
          <w:color w:val="000000" w:themeColor="text1"/>
          <w:sz w:val="30"/>
          <w:szCs w:val="30"/>
          <w:highlight w:val="none"/>
          <w14:textFill>
            <w14:solidFill>
              <w14:schemeClr w14:val="tx1"/>
            </w14:solidFill>
          </w14:textFill>
        </w:rPr>
        <w:t xml:space="preserve">第一部分投标文件内容</w:t>
      </w:r>
      <w:r/>
    </w:p>
    <w:p>
      <w:pPr>
        <w:pStyle w:val="953"/>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68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53"/>
              <w:ind w:firstLine="0"/>
              <w:jc w:val="center"/>
              <w:spacing w:before="0" w:after="0" w:line="240" w:lineRule="auto"/>
              <w:rPr>
                <w:rFonts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953"/>
              <w:jc w:val="center"/>
              <w:spacing w:before="0" w:after="0" w:line="240" w:lineRule="auto"/>
              <w:rPr>
                <w:rFonts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953"/>
              <w:ind w:firstLine="0"/>
              <w:jc w:val="center"/>
              <w:spacing w:before="0" w:after="0" w:line="240" w:lineRule="auto"/>
              <w:rPr>
                <w:rFonts w:ascii="宋体" w:hAnsi="宋体" w:cs="宋体"/>
                <w:b/>
                <w:highlight w:val="none"/>
              </w:rPr>
            </w:pPr>
            <w:r>
              <w:rPr>
                <w:rFonts w:hint="eastAsia" w:ascii="宋体" w:hAnsi="宋体" w:cs="宋体"/>
                <w:b/>
                <w:highlight w:val="none"/>
              </w:rPr>
              <w:t xml:space="preserve">审查因素</w:t>
            </w:r>
            <w:r/>
          </w:p>
        </w:tc>
      </w:tr>
      <w:tr>
        <w:trPr>
          <w:cantSplit/>
          <w:jc w:val="center"/>
          <w:trHeight w:val="1335"/>
        </w:trPr>
        <w:tc>
          <w:tcPr>
            <w:tcW w:w="719" w:type="dxa"/>
            <w:vAlign w:val="center"/>
            <w:textDirection w:val="lrTb"/>
            <w:noWrap w:val="false"/>
          </w:tcPr>
          <w:p>
            <w:pPr>
              <w:pStyle w:val="953"/>
              <w:ind w:firstLine="0"/>
              <w:jc w:val="center"/>
              <w:spacing w:before="0" w:after="0" w:line="240" w:lineRule="auto"/>
              <w:rPr>
                <w:rFonts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953"/>
              <w:ind w:firstLine="0"/>
              <w:jc w:val="both"/>
              <w:spacing w:before="0" w:after="0" w:line="240" w:lineRule="auto"/>
              <w:rPr>
                <w:rFonts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w:t>
            </w:r>
            <w:r>
              <w:rPr>
                <w:rFonts w:hint="eastAsia" w:ascii="宋体" w:hAnsi="宋体" w:cs="宋体"/>
                <w:highlight w:val="none"/>
                <w:lang w:eastAsia="zh-CN"/>
              </w:rPr>
              <w:t xml:space="preserve">如</w:t>
            </w:r>
            <w:r>
              <w:rPr>
                <w:rFonts w:hint="eastAsia" w:ascii="宋体" w:hAnsi="宋体" w:cs="宋体"/>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53"/>
              <w:ind w:firstLine="0"/>
              <w:spacing w:before="0" w:after="0" w:line="240" w:lineRule="auto"/>
              <w:rPr>
                <w:rFonts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53"/>
              <w:ind w:firstLine="0"/>
              <w:jc w:val="center"/>
              <w:spacing w:before="0" w:after="0" w:line="240" w:lineRule="auto"/>
              <w:rPr>
                <w:rFonts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953"/>
              <w:ind w:firstLine="0"/>
              <w:jc w:val="both"/>
              <w:spacing w:before="0" w:after="0" w:line="240" w:lineRule="auto"/>
              <w:rPr>
                <w:rFonts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953"/>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684"/>
        </w:trPr>
        <w:tc>
          <w:tcPr>
            <w:tcW w:w="719" w:type="dxa"/>
            <w:vAlign w:val="center"/>
            <w:textDirection w:val="lrTb"/>
            <w:noWrap w:val="false"/>
          </w:tcPr>
          <w:p>
            <w:pPr>
              <w:pStyle w:val="953"/>
              <w:ind w:firstLine="0"/>
              <w:jc w:val="center"/>
              <w:spacing w:before="0" w:after="0" w:line="240" w:lineRule="auto"/>
              <w:rPr>
                <w:rFonts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953"/>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64"/>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953"/>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963"/>
        </w:trPr>
        <w:tc>
          <w:tcPr>
            <w:tcW w:w="719" w:type="dxa"/>
            <w:vAlign w:val="center"/>
            <w:textDirection w:val="lrTb"/>
            <w:noWrap w:val="false"/>
          </w:tcPr>
          <w:p>
            <w:pPr>
              <w:pStyle w:val="953"/>
              <w:ind w:firstLine="0"/>
              <w:jc w:val="center"/>
              <w:spacing w:before="0" w:after="0" w:line="240" w:lineRule="auto"/>
              <w:rPr>
                <w:rFonts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953"/>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53"/>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023"/>
        </w:trPr>
        <w:tc>
          <w:tcPr>
            <w:tcW w:w="719" w:type="dxa"/>
            <w:vAlign w:val="center"/>
            <w:textDirection w:val="lrTb"/>
            <w:noWrap w:val="false"/>
          </w:tcPr>
          <w:p>
            <w:pPr>
              <w:pStyle w:val="953"/>
              <w:ind w:firstLine="0"/>
              <w:jc w:val="center"/>
              <w:spacing w:before="0" w:after="0" w:line="240" w:lineRule="auto"/>
              <w:rPr>
                <w:rFonts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953"/>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53"/>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53"/>
              <w:ind w:firstLine="0"/>
              <w:jc w:val="center"/>
              <w:spacing w:before="0" w:after="0" w:line="240" w:lineRule="auto"/>
              <w:rPr>
                <w:rFonts w:ascii="宋体" w:hAnsi="宋体" w:cs="宋体"/>
                <w:highlight w:val="none"/>
              </w:rPr>
            </w:pPr>
            <w:r>
              <w:rPr>
                <w:rFonts w:hint="eastAsia" w:ascii="宋体" w:hAnsi="宋体" w:cs="宋体"/>
                <w:highlight w:val="none"/>
              </w:rPr>
              <w:t xml:space="preserve">6</w:t>
            </w:r>
            <w:r/>
          </w:p>
        </w:tc>
        <w:tc>
          <w:tcPr>
            <w:tcBorders>
              <w:bottom w:val="single" w:color="000000" w:sz="4" w:space="0"/>
            </w:tcBorders>
            <w:tcW w:w="6104" w:type="dxa"/>
            <w:vAlign w:val="center"/>
            <w:textDirection w:val="lrTb"/>
            <w:noWrap w:val="false"/>
          </w:tcPr>
          <w:p>
            <w:pPr>
              <w:pStyle w:val="953"/>
              <w:ind w:firstLine="0"/>
              <w:jc w:val="both"/>
              <w:spacing w:before="0" w:after="0" w:line="240" w:lineRule="auto"/>
              <w:rPr>
                <w:rFonts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953"/>
              <w:ind w:firstLine="0"/>
              <w:spacing w:before="0" w:after="0" w:line="240" w:lineRule="auto"/>
              <w:rPr>
                <w:rFonts w:ascii="宋体" w:hAnsi="宋体" w:cs="宋体"/>
                <w:highlight w:val="none"/>
              </w:rPr>
            </w:pPr>
            <w:r>
              <w:rPr>
                <w:rFonts w:ascii="宋体" w:hAnsi="宋体" w:cs="宋体"/>
                <w:highlight w:val="none"/>
              </w:rPr>
            </w:r>
            <w:r/>
          </w:p>
        </w:tc>
      </w:tr>
      <w:tr>
        <w:trPr>
          <w:jc w:val="center"/>
          <w:trHeight w:val="700"/>
        </w:trPr>
        <w:tc>
          <w:tcPr>
            <w:tcW w:w="719" w:type="dxa"/>
            <w:vAlign w:val="center"/>
            <w:textDirection w:val="lrTb"/>
            <w:noWrap w:val="false"/>
          </w:tcPr>
          <w:p>
            <w:pPr>
              <w:pStyle w:val="953"/>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953"/>
              <w:ind w:firstLine="0"/>
              <w:spacing w:before="0" w:after="0" w:line="240" w:lineRule="auto"/>
              <w:rPr>
                <w:rFonts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953"/>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53"/>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953"/>
              <w:ind w:firstLine="0"/>
              <w:jc w:val="both"/>
              <w:spacing w:before="0" w:after="0" w:line="240" w:lineRule="auto"/>
              <w:rPr>
                <w:rFonts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953"/>
              <w:ind w:firstLine="0"/>
              <w:spacing w:before="0" w:after="0" w:line="240" w:lineRule="auto"/>
              <w:rPr>
                <w:rFonts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953"/>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953"/>
              <w:ind w:firstLine="0"/>
              <w:spacing w:before="0" w:after="0" w:line="240" w:lineRule="auto"/>
              <w:rPr>
                <w:rFonts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53"/>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53"/>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953"/>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53"/>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53"/>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53"/>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53"/>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53"/>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53"/>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53"/>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53"/>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53"/>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53"/>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53"/>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53"/>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53"/>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53"/>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53"/>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53"/>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53"/>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953"/>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53"/>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953"/>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53"/>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53"/>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953"/>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53"/>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第二部分投标文件格式</w:t>
      </w:r>
      <w:r/>
    </w:p>
    <w:p>
      <w:pPr>
        <w:pStyle w:val="953"/>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投标文件</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JSZC-320200-XWJC-G2026-0064</w:t>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江南大学附属医院螺旋断层放射治疗系统（TOMO）项目（第二次）</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51"/>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JSZC-320200-XWJC-G2026-0064</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51"/>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51"/>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51"/>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51"/>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51"/>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51"/>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51"/>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p>
    <w:p>
      <w:pPr>
        <w:pStyle w:val="951"/>
        <w:ind w:firstLine="0"/>
        <w:spacing w:line="360" w:lineRule="auto"/>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951"/>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951"/>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951"/>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eastAsia="宋体" w:cs="宋体"/>
          <w:color w:val="000000"/>
          <w:sz w:val="24"/>
        </w:rPr>
        <w:t xml:space="preserve">当被授权人为法定代表人（或上述情况的单位负责人）时，被授权人相关内容填报未法定代表人（或上述情况的单位负责人）信息，“被授权人签字”处可不用再重复签字或盖章。</w:t>
      </w:r>
      <w:r/>
    </w:p>
    <w:p>
      <w:pPr>
        <w:pStyle w:val="951"/>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951"/>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none"/>
          <w:lang w:val="en-US" w:eastAsia="zh-CN"/>
          <w14:textFill>
            <w14:solidFill>
              <w14:schemeClr w14:val="tx1"/>
            </w14:solidFill>
          </w14:textFill>
        </w:rPr>
        <w:t xml:space="preserve">他</w:t>
      </w:r>
      <w:r>
        <w:rPr>
          <w:rFonts w:hint="eastAsia" w:ascii="宋体" w:hAnsi="宋体"/>
          <w:bCs/>
          <w:color w:val="000000" w:themeColor="text1"/>
          <w:sz w:val="24"/>
          <w:szCs w:val="24"/>
          <w:highlight w:val="none"/>
          <w14:textFill>
            <w14:solidFill>
              <w14:schemeClr w14:val="tx1"/>
            </w14:solidFill>
          </w14:textFill>
        </w:rPr>
        <w:t xml:space="preserve">可在中国大陆有效居留的许可证明。</w:t>
      </w:r>
      <w:r/>
    </w:p>
    <w:p>
      <w:pPr>
        <w:pStyle w:val="951"/>
        <w:ind w:firstLine="0"/>
        <w:rPr>
          <w:rFonts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7" w:name="报价方关于资格的声明函（格式）"/>
      <w:r/>
      <w:bookmarkEnd w:id="197"/>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JSZC-320200-XWJC-G2026-0064</w:t>
      </w:r>
      <w:r>
        <w:rPr>
          <w:rFonts w:hint="eastAsia" w:ascii="宋体" w:hAnsi="宋体"/>
          <w:bCs/>
          <w:color w:val="000000" w:themeColor="text1"/>
          <w:sz w:val="24"/>
          <w:szCs w:val="24"/>
          <w:highlight w:val="none"/>
          <w14:textFill>
            <w14:solidFill>
              <w14:schemeClr w14:val="tx1"/>
            </w14:solidFill>
          </w14:textFill>
        </w:rPr>
        <w:t xml:space="preserve">进行投标，并</w:t>
      </w:r>
      <w:r>
        <w:rPr>
          <w:rFonts w:hint="eastAsia" w:ascii="宋体" w:hAnsi="宋体"/>
          <w:bCs/>
          <w:color w:val="000000" w:themeColor="text1"/>
          <w:sz w:val="24"/>
          <w:szCs w:val="24"/>
          <w:highlight w:val="none"/>
          <w:lang w:val="en-US" w:eastAsia="zh-CN"/>
          <w14:textFill>
            <w14:solidFill>
              <w14:schemeClr w14:val="tx1"/>
            </w14:solidFill>
          </w14:textFill>
        </w:rPr>
        <w:t xml:space="preserve">做</w:t>
      </w:r>
      <w:r>
        <w:rPr>
          <w:rFonts w:hint="eastAsia" w:ascii="宋体" w:hAnsi="宋体"/>
          <w:bCs/>
          <w:color w:val="000000" w:themeColor="text1"/>
          <w:sz w:val="24"/>
          <w:szCs w:val="24"/>
          <w:highlight w:val="non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none"/>
          <w:lang w:val="en-US" w:eastAsia="zh-CN"/>
          <w14:textFill>
            <w14:solidFill>
              <w14:schemeClr w14:val="tx1"/>
            </w14:solidFill>
          </w14:textFill>
        </w:rPr>
        <w:t xml:space="preserve">可</w:t>
      </w:r>
      <w:r>
        <w:rPr>
          <w:rFonts w:hint="eastAsia"/>
          <w:color w:val="000000" w:themeColor="text1"/>
          <w:highlight w:val="non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p>
    <w:p>
      <w:pPr>
        <w:pStyle w:val="722"/>
        <w:ind w:firstLine="420"/>
        <w:spacing w:before="0" w:beforeAutospacing="0" w:after="0" w:afterAutospacing="0" w:line="0" w:lineRule="atLeast"/>
        <w:rPr>
          <w:rFonts w:ascii="方正魏碑_GBK" w:hAnsi="方正魏碑_GBK" w:eastAsia="方正魏碑_GBK" w:cs="方正魏碑_GBK"/>
          <w:color w:val="ff0000"/>
          <w:highlight w:val="cyan"/>
        </w:rPr>
      </w:pPr>
      <w:r>
        <w:rPr>
          <w:rFonts w:ascii="方正魏碑_GBK" w:hAnsi="方正魏碑_GBK" w:eastAsia="方正魏碑_GBK" w:cs="方正魏碑_GBK"/>
          <w:color w:val="ff0000"/>
          <w:highlight w:val="cyan"/>
        </w:rPr>
      </w:r>
      <w:r/>
    </w:p>
    <w:p>
      <w:pPr>
        <w:pStyle w:val="722"/>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729"/>
          <w:rFonts w:hint="eastAsia" w:cs="宋体"/>
          <w:i w:val="0"/>
          <w:iCs w:val="0"/>
          <w:caps w:val="0"/>
          <w:color w:val="333333"/>
          <w:spacing w:val="0"/>
          <w:sz w:val="30"/>
          <w:szCs w:val="30"/>
          <w:shd w:val="clear" w:color="auto" w:fill="ffffff"/>
          <w:lang w:val="en-US" w:eastAsia="zh-CN"/>
        </w:rPr>
        <w:t xml:space="preserve">关</w:t>
      </w:r>
      <w:r>
        <w:rPr>
          <w:rStyle w:val="729"/>
          <w:rFonts w:hint="eastAsia" w:ascii="宋体" w:hAnsi="宋体" w:eastAsia="宋体" w:cs="宋体"/>
          <w:i w:val="0"/>
          <w:iCs w:val="0"/>
          <w:caps w:val="0"/>
          <w:color w:val="333333"/>
          <w:spacing w:val="0"/>
          <w:sz w:val="30"/>
          <w:szCs w:val="30"/>
          <w:shd w:val="clear" w:color="auto" w:fill="ffffff"/>
        </w:rPr>
        <w:t xml:space="preserve">于符合本国产品标准的声明函</w:t>
      </w:r>
      <w:r/>
    </w:p>
    <w:p>
      <w:pPr>
        <w:pStyle w:val="722"/>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722"/>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2"/>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73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73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3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73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3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22"/>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73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73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3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33"/>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22"/>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722"/>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22"/>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22"/>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722"/>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p>
    <w:p>
      <w:pPr>
        <w:pStyle w:val="722"/>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22"/>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22"/>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p>
    <w:p>
      <w:pPr>
        <w:pStyle w:val="722"/>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722"/>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722"/>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722"/>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722"/>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keepLines w:val="0"/>
        <w:keepNext w:val="0"/>
        <w:pageBreakBefore w:val="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3"/>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七</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keepLines w:val="0"/>
        <w:keepNext w:val="0"/>
        <w:pageBreakBefore w:val="0"/>
        <w:spacing w:line="360" w:lineRule="auto"/>
        <w:widowControl w:val="off"/>
        <w:rPr>
          <w:rFonts w:ascii="宋体"/>
          <w:bCs/>
          <w:color w:val="auto"/>
          <w:sz w:val="24"/>
          <w:szCs w:val="24"/>
          <w:highlight w:val="none"/>
        </w:rPr>
      </w:pPr>
      <w:r>
        <w:rPr>
          <w:rFonts w:ascii="宋体"/>
          <w:bCs/>
          <w:color w:val="auto"/>
          <w:sz w:val="24"/>
          <w:szCs w:val="24"/>
          <w:highlight w:val="none"/>
        </w:rPr>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JSZC-320200-XWJC-G2026-0064</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065"/>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jc w:val="left"/>
        <w:keepLines w:val="0"/>
        <w:keepNext w:val="0"/>
        <w:pageBreakBefore w:val="0"/>
        <w:spacing w:line="360" w:lineRule="auto"/>
        <w:widowControl w:val="off"/>
        <w:rPr>
          <w:b/>
          <w:color w:val="000000" w:themeColor="text1"/>
          <w:sz w:val="30"/>
          <w:szCs w:val="30"/>
          <w:highlight w:val="none"/>
          <w14:textFill>
            <w14:solidFill>
              <w14:schemeClr w14:val="tx1"/>
            </w14:solidFill>
          </w14:textFill>
        </w:rPr>
      </w:pPr>
      <w:r>
        <w:rPr>
          <w:rFonts w:hint="eastAsia" w:ascii="宋体" w:hAnsi="宋体"/>
          <w:bCs/>
          <w:color w:val="auto"/>
          <w:sz w:val="24"/>
          <w:szCs w:val="24"/>
          <w:highlight w:val="none"/>
        </w:rPr>
        <w:t xml:space="preserve">投标人名称（盖章）：</w:t>
      </w: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八</w:t>
      </w:r>
      <w:r>
        <w:rPr>
          <w:rFonts w:hint="eastAsia"/>
          <w:b/>
          <w:color w:val="000000" w:themeColor="text1"/>
          <w:sz w:val="30"/>
          <w:szCs w:val="30"/>
          <w:highlight w:val="none"/>
          <w14:textFill>
            <w14:solidFill>
              <w14:schemeClr w14:val="tx1"/>
            </w14:solidFill>
          </w14:textFill>
        </w:rPr>
        <w:t xml:space="preserve">、承诺书（给定格式）：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JSZC-320200-XWJC-G2026-0064</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none"/>
          <w:lang w:eastAsia="zh-CN"/>
          <w14:textFill>
            <w14:solidFill>
              <w14:schemeClr w14:val="tx1"/>
            </w14:solidFill>
          </w14:textFill>
        </w:rPr>
        <w:t xml:space="preserve">按照</w:t>
      </w:r>
      <w:r>
        <w:rPr>
          <w:rFonts w:hint="eastAsia" w:ascii="宋体"/>
          <w:bCs/>
          <w:color w:val="000000" w:themeColor="text1"/>
          <w:sz w:val="24"/>
          <w:szCs w:val="24"/>
          <w:highlight w:val="non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rPr>
          <w:b/>
          <w:color w:val="000000" w:themeColor="text1"/>
          <w:sz w:val="30"/>
          <w:szCs w:val="30"/>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九</w:t>
      </w:r>
      <w:r>
        <w:rPr>
          <w:rFonts w:hint="eastAsia"/>
          <w:b/>
          <w:color w:val="000000" w:themeColor="text1"/>
          <w:sz w:val="30"/>
          <w:szCs w:val="30"/>
          <w:highlight w:val="non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JSZC-320200-XWJC-G2026-0064</w:t>
      </w:r>
      <w:r/>
    </w:p>
    <w:tbl>
      <w:tblPr>
        <w:tblStyle w:val="68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977"/>
              <w:jc w:val="center"/>
              <w:spacing w:line="400" w:lineRule="exact"/>
              <w:rPr>
                <w:rFonts w:hAnsi="宋体"/>
                <w:bCs/>
                <w:color w:val="000000" w:themeColor="text1"/>
                <w:szCs w:val="24"/>
                <w:highlight w:val="none"/>
                <w14:textFill>
                  <w14:solidFill>
                    <w14:schemeClr w14:val="tx1"/>
                  </w14:solidFill>
                </w14:textFill>
              </w:rPr>
            </w:pPr>
            <w:r>
              <w:rPr>
                <w:rFonts w:hAnsi="宋体"/>
                <w:bCs/>
                <w:color w:val="000000" w:themeColor="text1"/>
                <w:szCs w:val="24"/>
                <w:highlight w:val="none"/>
                <w14:textFill>
                  <w14:solidFill>
                    <w14:schemeClr w14:val="tx1"/>
                  </w14:solidFill>
                </w14:textFill>
              </w:rPr>
            </w:r>
            <w:r/>
          </w:p>
        </w:tc>
        <w:tc>
          <w:tcPr>
            <w:tcW w:w="3188" w:type="dxa"/>
            <w:vAlign w:val="center"/>
            <w:textDirection w:val="lrTb"/>
            <w:noWrap w:val="false"/>
          </w:tcPr>
          <w:p>
            <w:pPr>
              <w:pStyle w:val="977"/>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30"/>
          <w:szCs w:val="30"/>
          <w:highlight w:val="none"/>
          <w:lang w:val="en-US" w:eastAsia="zh-CN"/>
          <w14:textFill>
            <w14:solidFill>
              <w14:schemeClr w14:val="tx1"/>
            </w14:solidFill>
          </w14:textFill>
        </w:rPr>
        <w:t xml:space="preserve">十</w:t>
      </w:r>
      <w:r>
        <w:rPr>
          <w:rFonts w:hint="eastAsia"/>
          <w:b/>
          <w:color w:val="000000" w:themeColor="text1"/>
          <w:sz w:val="30"/>
          <w:szCs w:val="30"/>
          <w:highlight w:val="none"/>
          <w14:textFill>
            <w14:solidFill>
              <w14:schemeClr w14:val="tx1"/>
            </w14:solidFill>
          </w14:textFill>
        </w:rPr>
        <w:t xml:space="preserve">、细目报价表（给定格式）：</w:t>
      </w:r>
      <w:bookmarkEnd w:id="194"/>
      <w:r/>
      <w:bookmarkEnd w:id="195"/>
      <w:r/>
      <w:bookmarkEnd w:id="196"/>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highlight w:val="none"/>
          <w:lang w:val="en-US"/>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JSZC-320200-XWJC-G2026-0064</w:t>
      </w:r>
      <w:r/>
    </w:p>
    <w:tbl>
      <w:tblPr>
        <w:tblStyle w:val="68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ind w:firstLine="21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spacing w:line="400" w:lineRule="exact"/>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ind w:firstLine="315"/>
        <w:jc w:val="center"/>
        <w:spacing w:line="400" w:lineRule="exact"/>
        <w:rPr>
          <w:b/>
          <w:color w:val="000000" w:themeColor="text1"/>
          <w:sz w:val="30"/>
          <w:szCs w:val="30"/>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一</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JSZC-320200-XWJC-G2026-0064</w:t>
      </w:r>
      <w:r/>
    </w:p>
    <w:tbl>
      <w:tblPr>
        <w:tblStyle w:val="68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tc>
      </w:tr>
    </w:tbl>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left="0" w:firstLine="840"/>
        <w:rPr>
          <w:rFonts w:ascii="宋体" w:hAnsi="宋体"/>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）如无任何技术偏离，请于本表“偏离说明”中注明“无偏离”；</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（3）如有技术偏离项，请于本表中列明偏离内容，如需要可自行延长，其余无偏离内容不须赘述；</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（4）投标人应当根据“采购需求”－“第一部分项目技术要求”的内容在上表中逐条填写。</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spacing w:line="360" w:lineRule="auto"/>
        <w:rPr>
          <w:rFonts w:ascii="黑体" w:eastAsia="黑体"/>
          <w:bCs/>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二</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项目人员配置清单（</w:t>
      </w:r>
      <w:r>
        <w:rPr>
          <w:rFonts w:hint="eastAsia"/>
          <w:b/>
          <w:color w:val="000000" w:themeColor="text1"/>
          <w:sz w:val="30"/>
          <w:szCs w:val="30"/>
          <w:highlight w:val="none"/>
          <w:lang w:val="en-US" w:eastAsia="zh-CN"/>
          <w14:textFill>
            <w14:solidFill>
              <w14:schemeClr w14:val="tx1"/>
            </w14:solidFill>
          </w14:textFill>
        </w:rPr>
        <w:t xml:space="preserve">给定</w:t>
      </w:r>
      <w:r>
        <w:rPr>
          <w:rFonts w:hint="eastAsia"/>
          <w:b/>
          <w:color w:val="000000" w:themeColor="text1"/>
          <w:sz w:val="30"/>
          <w:szCs w:val="30"/>
          <w:highlight w:val="non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JSZC-320200-XWJC-G2026-0064</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pStyle w:val="726"/>
        <w:rPr>
          <w:highlight w:val="none"/>
        </w:rPr>
      </w:pPr>
      <w:r>
        <w:rPr>
          <w:highlight w:val="none"/>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三</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《采购需求》中如有要求须提供的证明文件</w:t>
      </w:r>
      <w:r/>
    </w:p>
    <w:p>
      <w:pPr>
        <w:spacing w:line="85" w:lineRule="atLeast"/>
        <w:rPr>
          <w:rFonts w:ascii="黑体" w:hAnsi="黑体" w:cs="黑体"/>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r>
      <w:r/>
    </w:p>
    <w:p>
      <w:pPr>
        <w:spacing w:line="360" w:lineRule="auto"/>
        <w:rPr>
          <w:rFonts w:hint="eastAsia" w:ascii="宋体" w:hAnsi="宋体" w:eastAsia="宋体" w:cs="宋体"/>
          <w:b/>
          <w:bCs/>
          <w:color w:val="000000" w:themeColor="text1"/>
          <w:sz w:val="30"/>
          <w:szCs w:val="30"/>
          <w:highlight w:val="none"/>
          <w14:textFill>
            <w14:solidFill>
              <w14:schemeClr w14:val="tx1"/>
            </w14:solidFill>
          </w14:textFill>
        </w:rPr>
        <w:outlineLvl w:val="0"/>
      </w:pPr>
      <w:r>
        <w:rPr>
          <w:rFonts w:hint="eastAsia" w:ascii="宋体" w:hAnsi="宋体" w:eastAsia="宋体" w:cs="宋体"/>
          <w:b/>
          <w:bCs/>
          <w:color w:val="000000" w:themeColor="text1"/>
          <w:sz w:val="30"/>
          <w:szCs w:val="30"/>
          <w:highlight w:val="none"/>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rFonts w:hint="eastAsia" w:ascii="宋体" w:hAnsi="宋体" w:eastAsia="宋体" w:cs="宋体"/>
          <w:b/>
          <w:bCs/>
          <w:color w:val="000000" w:themeColor="text1"/>
          <w:sz w:val="30"/>
          <w:szCs w:val="30"/>
          <w:highlight w:val="none"/>
          <w14:textFill>
            <w14:solidFill>
              <w14:schemeClr w14:val="tx1"/>
            </w14:solidFill>
          </w14:textFill>
        </w:rPr>
        <w:outlineLvl w:val="0"/>
      </w:pPr>
      <w:r>
        <w:rPr>
          <w:rFonts w:hint="eastAsia" w:ascii="宋体" w:hAnsi="宋体" w:eastAsia="宋体" w:cs="宋体"/>
          <w:b/>
          <w:bCs/>
          <w:color w:val="000000" w:themeColor="text1"/>
          <w:sz w:val="30"/>
          <w:szCs w:val="30"/>
          <w:highlight w:val="none"/>
          <w14:textFill>
            <w14:solidFill>
              <w14:schemeClr w14:val="tx1"/>
            </w14:solidFill>
          </w14:textFill>
        </w:rPr>
        <w:t xml:space="preserve">2.制造商出具的授权函（给定格式）：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ascii="宋体"/>
          <w:color w:val="000000" w:themeColor="text1"/>
          <w:sz w:val="24"/>
          <w:szCs w:val="24"/>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江南大学附属医院螺旋断层放射治疗系统（TOMO）项目（第二次）</w:t>
      </w:r>
      <w:r>
        <w:rPr>
          <w:rFonts w:hint="eastAsia" w:ascii="宋体" w:hAnsi="宋体"/>
          <w:color w:val="000000" w:themeColor="text1"/>
          <w:sz w:val="24"/>
          <w:szCs w:val="24"/>
          <w:highlight w:val="none"/>
          <w14:textFill>
            <w14:solidFill>
              <w14:schemeClr w14:val="tx1"/>
            </w14:solidFill>
          </w14:textFill>
        </w:rPr>
        <w:t xml:space="preserve">（采购包：</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JSZC-320200-XWJC-G2026-0064</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none"/>
          <w:lang w:eastAsia="zh-CN"/>
          <w14:textFill>
            <w14:solidFill>
              <w14:schemeClr w14:val="tx1"/>
            </w14:solidFill>
          </w14:textFill>
        </w:rPr>
        <w:t xml:space="preserve">必需的</w:t>
      </w:r>
      <w:r>
        <w:rPr>
          <w:rFonts w:hint="eastAsia" w:ascii="宋体" w:cs="宋体"/>
          <w:color w:val="000000" w:themeColor="text1"/>
          <w:sz w:val="24"/>
          <w:szCs w:val="24"/>
          <w:highlight w:val="non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日签署本文件，（投标供应商名称）于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lang w:eastAsia="zh-CN"/>
          <w14:textFill>
            <w14:solidFill>
              <w14:schemeClr w14:val="tx1"/>
            </w14:solidFill>
          </w14:textFill>
        </w:rPr>
        <w:t xml:space="preserve">接收此文</w:t>
      </w:r>
      <w:r>
        <w:rPr>
          <w:rFonts w:hint="eastAsia" w:ascii="宋体" w:cs="宋体"/>
          <w:color w:val="000000" w:themeColor="text1"/>
          <w:sz w:val="24"/>
          <w:szCs w:val="24"/>
          <w:highlight w:val="none"/>
          <w14:textFill>
            <w14:solidFill>
              <w14:schemeClr w14:val="tx1"/>
            </w14:solidFill>
          </w14:textFill>
        </w:rPr>
        <w:t xml:space="preserve">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rPr>
          <w:rFonts w:hint="eastAsia" w:ascii="宋体" w:hAnsi="宋体" w:eastAsia="宋体" w:cs="宋体"/>
          <w:b/>
          <w:color w:val="000000"/>
          <w:sz w:val="30"/>
          <w:highlight w:val="white"/>
        </w:rPr>
        <w:outlineLvl w:val="0"/>
      </w:pPr>
      <w:r>
        <w:rPr>
          <w:rFonts w:hint="eastAsia" w:ascii="宋体" w:hAnsi="宋体" w:eastAsia="宋体" w:cs="宋体"/>
          <w:b/>
          <w:color w:val="000000"/>
          <w:sz w:val="30"/>
          <w:highlight w:val="white"/>
        </w:rPr>
        <w:t xml:space="preserve">3.质量保证及售后服务承诺书（</w:t>
      </w:r>
      <w:r>
        <w:rPr>
          <w:rFonts w:hint="eastAsia" w:ascii="宋体" w:hAnsi="宋体" w:eastAsia="宋体" w:cs="宋体"/>
          <w:b/>
          <w:color w:val="000000"/>
          <w:sz w:val="30"/>
          <w:highlight w:val="white"/>
          <w:lang w:val="en-US" w:eastAsia="zh-CN"/>
        </w:rPr>
        <w:t xml:space="preserve">参考</w:t>
      </w:r>
      <w:r>
        <w:rPr>
          <w:rFonts w:hint="eastAsia" w:ascii="宋体" w:hAnsi="宋体" w:eastAsia="宋体" w:cs="宋体"/>
          <w:b/>
          <w:color w:val="000000"/>
          <w:sz w:val="30"/>
          <w:highlight w:val="white"/>
        </w:rPr>
        <w:t xml:space="preserve">格式）：</w:t>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lang w:val="en-US" w:eastAsia="zh-CN"/>
          <w14:textFill>
            <w14:solidFill>
              <w14:schemeClr w14:val="tx1"/>
            </w14:solidFill>
          </w14:textFill>
        </w:rPr>
        <w:t xml:space="preserve">年</w:t>
      </w:r>
      <w:r>
        <w:rPr>
          <w:rFonts w:hint="eastAsia" w:ascii="宋体"/>
          <w:bCs/>
          <w:color w:val="000000" w:themeColor="text1"/>
          <w:sz w:val="24"/>
          <w:szCs w:val="24"/>
          <w:highlight w:val="non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bCs/>
          <w:color w:val="000000" w:themeColor="text1"/>
          <w:sz w:val="24"/>
          <w:szCs w:val="24"/>
          <w:highlight w:val="none"/>
          <w:lang w:eastAsia="zh-CN"/>
          <w14:textFill>
            <w14:solidFill>
              <w14:schemeClr w14:val="tx1"/>
            </w14:solidFill>
          </w14:textFill>
        </w:rPr>
        <w:t xml:space="preserve">接收此文</w:t>
      </w:r>
      <w:r>
        <w:rPr>
          <w:rFonts w:hint="eastAsia" w:ascii="宋体"/>
          <w:bCs/>
          <w:color w:val="000000" w:themeColor="text1"/>
          <w:sz w:val="24"/>
          <w:szCs w:val="24"/>
          <w:highlight w:val="none"/>
          <w14:textFill>
            <w14:solidFill>
              <w14:schemeClr w14:val="tx1"/>
            </w14:solidFill>
          </w14:textFill>
        </w:rPr>
        <w:t xml:space="preserve">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投标人名称（盖章）：</w:t>
      </w:r>
      <w:r/>
    </w:p>
    <w:p>
      <w:pPr>
        <w:spacing w:line="360" w:lineRule="auto"/>
        <w:rPr>
          <w:b/>
          <w:bCs/>
          <w:color w:val="000000" w:themeColor="text1"/>
          <w:sz w:val="30"/>
          <w:szCs w:val="30"/>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日期：</w:t>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pStyle w:val="726"/>
        <w:ind w:left="0" w:firstLine="0"/>
        <w:rPr>
          <w:highlight w:val="none"/>
        </w:rPr>
      </w:pPr>
      <w:r>
        <w:rPr>
          <w:highlight w:val="none"/>
        </w:rPr>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ascii="黑体" w:eastAsia="黑体" w:cs="黑体"/>
          <w:color w:val="000000" w:themeColor="text1"/>
          <w:sz w:val="28"/>
          <w:szCs w:val="28"/>
          <w:highlight w:val="white"/>
          <w14:textFill>
            <w14:solidFill>
              <w14:schemeClr w14:val="tx1"/>
            </w14:solidFill>
          </w14:textFill>
        </w:rPr>
        <w:t xml:space="preserve">4.</w:t>
      </w:r>
      <w:r>
        <w:rPr>
          <w:rFonts w:ascii="宋体" w:hAnsi="宋体" w:cs="宋体"/>
          <w:b/>
          <w:color w:val="000000"/>
          <w:sz w:val="30"/>
          <w:highlight w:val="white"/>
        </w:rPr>
        <w:t xml:space="preserve">耗材易耗品及维修配件明细表</w:t>
      </w:r>
      <w:r>
        <w:rPr>
          <w:rFonts w:hint="eastAsia"/>
          <w:b/>
          <w:color w:val="000000" w:themeColor="text1"/>
          <w:sz w:val="30"/>
          <w:szCs w:val="30"/>
          <w:highlight w:val="whit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252"/>
        <w:gridCol w:w="965"/>
        <w:gridCol w:w="978"/>
        <w:gridCol w:w="1037"/>
        <w:gridCol w:w="688"/>
        <w:gridCol w:w="984"/>
        <w:gridCol w:w="1201"/>
        <w:gridCol w:w="1275"/>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spacing w:before="5"/>
        <w:rPr>
          <w:rFonts w:ascii="黑体" w:eastAsia="黑体" w:cs="黑体"/>
          <w:color w:val="000000" w:themeColor="text1"/>
          <w:sz w:val="28"/>
          <w:szCs w:val="28"/>
          <w:highlight w:val="none"/>
          <w14:textFill>
            <w14:solidFill>
              <w14:schemeClr w14:val="tx1"/>
            </w14:solidFill>
          </w14:textFill>
        </w:rPr>
      </w:pPr>
      <w:r>
        <w:rPr>
          <w:rFonts w:ascii="黑体" w:eastAsia="黑体" w:cs="黑体"/>
          <w:color w:val="000000" w:themeColor="text1"/>
          <w:sz w:val="28"/>
          <w:szCs w:val="28"/>
          <w:highlight w:val="none"/>
          <w14:textFill>
            <w14:solidFill>
              <w14:schemeClr w14:val="tx1"/>
            </w14:solidFill>
          </w14:textFill>
        </w:rPr>
        <w:t xml:space="preserve"> </w:t>
      </w:r>
      <w:r/>
    </w:p>
    <w:p>
      <w:pPr>
        <w:ind w:right="-14"/>
        <w:jc w:val="right"/>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highlight w:val="none"/>
          <w14:textFill>
            <w14:solidFill>
              <w14:schemeClr w14:val="tx1"/>
            </w14:solidFill>
          </w14:textFill>
        </w:rPr>
        <w:t xml:space="preserve">按折价进行补偿</w:t>
      </w:r>
      <w:r>
        <w:rPr>
          <w:rFonts w:ascii="宋体" w:hAnsi="宋体" w:cs="宋体"/>
          <w:color w:val="000000" w:themeColor="text1"/>
          <w:sz w:val="24"/>
          <w:szCs w:val="24"/>
          <w:highlight w:val="none"/>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bookmarkStart w:id="198" w:name="_GoBack"/>
      <w:r/>
      <w:bookmarkEnd w:id="198"/>
      <w:r>
        <w:rPr>
          <w:rFonts w:hint="eastAsia" w:ascii="宋体" w:hAnsi="宋体" w:cs="宋体"/>
          <w:color w:val="000000" w:themeColor="text1"/>
          <w:sz w:val="24"/>
          <w:szCs w:val="24"/>
          <w:highlight w:val="none"/>
          <w14:textFill>
            <w14:solidFill>
              <w14:schemeClr w14:val="tx1"/>
            </w14:solidFill>
          </w14:textFill>
        </w:rPr>
        <w:t xml:space="preserve">制造厂商</w:t>
      </w:r>
      <w:r>
        <w:rPr>
          <w:rFonts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rPr>
          <w:rFonts w:hint="eastAsia" w:ascii="宋体" w:hAnsi="宋体"/>
          <w:bCs/>
          <w:color w:val="auto"/>
          <w:highlight w:val="none"/>
        </w:rPr>
        <w:outlineLvl w:val="0"/>
      </w:pPr>
      <w:r>
        <w:rPr>
          <w:rFonts w:hint="eastAsia" w:ascii="宋体" w:hAnsi="宋体"/>
          <w:bCs/>
          <w:color w:val="auto"/>
          <w:highlight w:val="none"/>
        </w:rPr>
      </w:r>
      <w:r/>
    </w:p>
    <w:p>
      <w:pPr>
        <w:pStyle w:val="726"/>
        <w:ind w:left="0" w:firstLine="0"/>
        <w:rPr>
          <w:rFonts w:hint="eastAsia"/>
          <w:highlight w:val="none"/>
        </w:rPr>
      </w:pPr>
      <w:r>
        <w:rPr>
          <w:rFonts w:hint="eastAsia"/>
          <w:highlight w:val="none"/>
        </w:rPr>
      </w:r>
      <w:r/>
    </w:p>
    <w:sectPr>
      <w:headerReference w:type="default" r:id="rId9"/>
      <w:footerReference w:type="default" r:id="rId10"/>
      <w:footerReference w:type="first" r:id="rId11"/>
      <w:footnotePr/>
      <w:endnotePr/>
      <w:type w:val="nextPage"/>
      <w:pgSz w:w="11906" w:h="16838" w:orient="portrait"/>
      <w:pgMar w:top="567" w:right="851" w:bottom="567" w:left="1134" w:header="624" w:footer="907"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Segoe UI">
    <w:panose1 w:val="020B0502040204020203"/>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w:fldChar w:fldCharType="begin"/>
    </w:r>
    <w:r>
      <w:instrText xml:space="preserve">PAGE \* MERGEFORMAT</w:instrText>
    </w:r>
    <w:r>
      <w:fldChar w:fldCharType="separate"/>
    </w:r>
    <w:r>
      <w:t xml:space="preserve">1</w:t>
    </w:r>
    <w:r>
      <w:fldChar w:fldCharType="end"/>
    </w:r>
    <w:r/>
  </w:p>
  <w:p>
    <w:pPr>
      <w:pStyle w:val="7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708"/>
          <w:jc w:val="center"/>
        </w:pPr>
        <w:r>
          <w:fldChar w:fldCharType="begin"/>
        </w:r>
        <w:r>
          <w:instrText xml:space="preserve">PAGE   \* MERGEFORMAT</w:instrText>
        </w:r>
        <w:r>
          <w:fldChar w:fldCharType="separate"/>
        </w:r>
        <w:r>
          <w:rPr>
            <w:lang w:val="zh-CN"/>
          </w:rPr>
          <w:t xml:space="preserve">0</w:t>
        </w:r>
        <w:r>
          <w:fldChar w:fldCharType="end"/>
        </w:r>
        <w:r/>
      </w:p>
    </w:sdtContent>
  </w:sdt>
  <w:p>
    <w:pPr>
      <w:pStyle w:val="708"/>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5528" w:firstLine="0"/>
      </w:pPr>
      <w:rPr>
        <w:rFonts w:hint="eastAsia"/>
      </w:rPr>
    </w:lvl>
    <w:lvl w:ilvl="1">
      <w:start w:val="1"/>
      <w:numFmt w:val="decimal"/>
      <w:isLgl w:val="false"/>
      <w:suff w:val="nothing"/>
      <w:lvlText w:val="%2、"/>
      <w:lvlJc w:val="left"/>
      <w:pPr>
        <w:ind w:left="5528" w:firstLine="0"/>
      </w:pPr>
      <w:rPr>
        <w:rFonts w:hint="eastAsia"/>
      </w:rPr>
    </w:lvl>
    <w:lvl w:ilvl="2">
      <w:start w:val="1"/>
      <w:numFmt w:val="decimal"/>
      <w:isLgl w:val="false"/>
      <w:suff w:val="nothing"/>
      <w:lvlText w:val="%2.%3 "/>
      <w:lvlJc w:val="left"/>
      <w:pPr>
        <w:ind w:left="5528" w:firstLine="0"/>
      </w:pPr>
      <w:rPr>
        <w:rFonts w:hint="eastAsia"/>
      </w:rPr>
    </w:lvl>
    <w:lvl w:ilvl="3">
      <w:start w:val="1"/>
      <w:numFmt w:val="decimal"/>
      <w:isLgl w:val="false"/>
      <w:suff w:val="nothing"/>
      <w:lvlText w:val="%2.%3.%4 "/>
      <w:lvlJc w:val="left"/>
      <w:pPr>
        <w:ind w:left="5528" w:firstLine="0"/>
      </w:pPr>
      <w:rPr>
        <w:rFonts w:hint="eastAsia"/>
      </w:rPr>
    </w:lvl>
    <w:lvl w:ilvl="4">
      <w:start w:val="1"/>
      <w:numFmt w:val="decimal"/>
      <w:isLgl w:val="false"/>
      <w:suff w:val="nothing"/>
      <w:lvlText w:val="%2.%3.%4.%5 "/>
      <w:lvlJc w:val="left"/>
      <w:pPr>
        <w:ind w:left="5528" w:firstLine="0"/>
      </w:pPr>
      <w:rPr>
        <w:rFonts w:hint="eastAsia"/>
      </w:rPr>
    </w:lvl>
    <w:lvl w:ilvl="5">
      <w:start w:val="1"/>
      <w:numFmt w:val="decimal"/>
      <w:pStyle w:val="684"/>
      <w:isLgl w:val="false"/>
      <w:suff w:val="nothing"/>
      <w:lvlText w:val=""/>
      <w:lvlJc w:val="left"/>
      <w:pPr>
        <w:ind w:left="5528" w:firstLine="0"/>
      </w:pPr>
      <w:rPr>
        <w:rFonts w:hint="eastAsia"/>
      </w:rPr>
    </w:lvl>
    <w:lvl w:ilvl="6">
      <w:start w:val="1"/>
      <w:numFmt w:val="decimal"/>
      <w:pStyle w:val="685"/>
      <w:isLgl w:val="false"/>
      <w:suff w:val="nothing"/>
      <w:lvlText w:val=""/>
      <w:lvlJc w:val="left"/>
      <w:pPr>
        <w:ind w:left="5528" w:firstLine="0"/>
      </w:pPr>
      <w:rPr>
        <w:rFonts w:hint="eastAsia"/>
      </w:rPr>
    </w:lvl>
    <w:lvl w:ilvl="7">
      <w:start w:val="1"/>
      <w:numFmt w:val="decimal"/>
      <w:pStyle w:val="686"/>
      <w:isLgl w:val="false"/>
      <w:suff w:val="nothing"/>
      <w:lvlText w:val=""/>
      <w:lvlJc w:val="left"/>
      <w:pPr>
        <w:ind w:left="5528" w:firstLine="0"/>
      </w:pPr>
      <w:rPr>
        <w:rFonts w:hint="eastAsia"/>
      </w:rPr>
    </w:lvl>
    <w:lvl w:ilvl="8">
      <w:start w:val="1"/>
      <w:numFmt w:val="decimal"/>
      <w:pStyle w:val="687"/>
      <w:isLgl w:val="false"/>
      <w:suff w:val="nothing"/>
      <w:lvlText w:val=""/>
      <w:lvlJc w:val="left"/>
      <w:pPr>
        <w:ind w:left="5528"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9">
    <w:name w:val="Heading 1"/>
    <w:basedOn w:val="678"/>
    <w:next w:val="678"/>
    <w:link w:val="1066"/>
    <w:uiPriority w:val="0"/>
    <w:qFormat/>
    <w:pPr>
      <w:jc w:val="center"/>
      <w:keepNext/>
      <w:outlineLvl w:val="0"/>
    </w:pPr>
    <w:rPr>
      <w:rFonts w:ascii="楷体_GB2312" w:eastAsia="楷体_GB2312"/>
      <w:sz w:val="28"/>
      <w:szCs w:val="28"/>
    </w:rPr>
  </w:style>
  <w:style w:type="paragraph" w:styleId="680">
    <w:name w:val="Heading 2"/>
    <w:basedOn w:val="678"/>
    <w:next w:val="690"/>
    <w:link w:val="917"/>
    <w:uiPriority w:val="99"/>
    <w:qFormat/>
    <w:pPr>
      <w:jc w:val="center"/>
      <w:keepLines/>
      <w:keepNext/>
      <w:spacing w:before="260" w:after="260" w:line="416" w:lineRule="auto"/>
      <w:outlineLvl w:val="1"/>
    </w:pPr>
    <w:rPr>
      <w:rFonts w:ascii="Arial" w:hAnsi="Arial" w:eastAsia="幼圆"/>
      <w:b/>
      <w:bCs/>
      <w:sz w:val="44"/>
      <w:szCs w:val="44"/>
    </w:rPr>
  </w:style>
  <w:style w:type="paragraph" w:styleId="681">
    <w:name w:val="Heading 3"/>
    <w:basedOn w:val="678"/>
    <w:next w:val="690"/>
    <w:link w:val="919"/>
    <w:uiPriority w:val="99"/>
    <w:qFormat/>
    <w:pPr>
      <w:keepLines/>
      <w:keepNext/>
      <w:spacing w:before="260" w:after="260" w:line="416" w:lineRule="auto"/>
      <w:outlineLvl w:val="2"/>
    </w:pPr>
    <w:rPr>
      <w:b/>
      <w:bCs/>
      <w:sz w:val="32"/>
      <w:szCs w:val="32"/>
    </w:rPr>
  </w:style>
  <w:style w:type="paragraph" w:styleId="682">
    <w:name w:val="Heading 4"/>
    <w:basedOn w:val="678"/>
    <w:next w:val="690"/>
    <w:link w:val="920"/>
    <w:uiPriority w:val="99"/>
    <w:qFormat/>
    <w:pPr>
      <w:keepLines/>
      <w:keepNext/>
      <w:spacing w:before="280" w:after="290" w:line="376" w:lineRule="auto"/>
      <w:outlineLvl w:val="3"/>
    </w:pPr>
    <w:rPr>
      <w:rFonts w:ascii="Arial" w:hAnsi="Arial" w:eastAsia="黑体"/>
      <w:b/>
      <w:bCs/>
      <w:sz w:val="28"/>
      <w:szCs w:val="28"/>
    </w:rPr>
  </w:style>
  <w:style w:type="paragraph" w:styleId="683">
    <w:name w:val="Heading 5"/>
    <w:basedOn w:val="678"/>
    <w:next w:val="690"/>
    <w:link w:val="921"/>
    <w:uiPriority w:val="99"/>
    <w:qFormat/>
    <w:pPr>
      <w:keepNext/>
      <w:outlineLvl w:val="4"/>
    </w:pPr>
    <w:rPr>
      <w:rFonts w:ascii="宋体"/>
      <w:color w:val="000000"/>
      <w:sz w:val="28"/>
      <w:szCs w:val="28"/>
    </w:rPr>
  </w:style>
  <w:style w:type="paragraph" w:styleId="684">
    <w:name w:val="Heading 6"/>
    <w:basedOn w:val="678"/>
    <w:next w:val="678"/>
    <w:link w:val="92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Heading 7"/>
    <w:basedOn w:val="678"/>
    <w:next w:val="678"/>
    <w:link w:val="923"/>
    <w:uiPriority w:val="0"/>
    <w:qFormat/>
    <w:pPr>
      <w:numPr>
        <w:ilvl w:val="6"/>
        <w:numId w:val="1"/>
      </w:numPr>
      <w:keepLines/>
      <w:keepNext/>
      <w:spacing w:before="240" w:after="64" w:line="320" w:lineRule="auto"/>
      <w:outlineLvl w:val="6"/>
    </w:pPr>
    <w:rPr>
      <w:b/>
      <w:bCs/>
      <w:sz w:val="24"/>
      <w:szCs w:val="24"/>
    </w:rPr>
  </w:style>
  <w:style w:type="paragraph" w:styleId="686">
    <w:name w:val="Heading 8"/>
    <w:basedOn w:val="678"/>
    <w:next w:val="678"/>
    <w:link w:val="92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Heading 9"/>
    <w:basedOn w:val="678"/>
    <w:next w:val="678"/>
    <w:link w:val="925"/>
    <w:uiPriority w:val="0"/>
    <w:qFormat/>
    <w:pPr>
      <w:numPr>
        <w:ilvl w:val="8"/>
        <w:numId w:val="1"/>
      </w:numPr>
      <w:keepLines/>
      <w:keepNext/>
      <w:spacing w:before="240" w:after="64" w:line="320" w:lineRule="auto"/>
      <w:outlineLvl w:val="8"/>
    </w:pPr>
    <w:rPr>
      <w:rFonts w:ascii="Arial" w:hAnsi="Arial" w:eastAsia="黑体"/>
      <w:sz w:val="20"/>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Normal Indent"/>
    <w:basedOn w:val="678"/>
    <w:link w:val="918"/>
    <w:uiPriority w:val="99"/>
    <w:qFormat/>
    <w:pPr>
      <w:ind w:firstLine="420"/>
    </w:pPr>
    <w:rPr>
      <w:sz w:val="20"/>
    </w:rPr>
  </w:style>
  <w:style w:type="paragraph" w:styleId="691">
    <w:name w:val="List 3"/>
    <w:basedOn w:val="678"/>
    <w:uiPriority w:val="0"/>
    <w:qFormat/>
    <w:pPr>
      <w:ind w:left="100" w:hanging="200"/>
    </w:pPr>
  </w:style>
  <w:style w:type="paragraph" w:styleId="692">
    <w:name w:val="toc 7"/>
    <w:basedOn w:val="678"/>
    <w:next w:val="678"/>
    <w:uiPriority w:val="0"/>
    <w:semiHidden/>
    <w:qFormat/>
    <w:pPr>
      <w:ind w:left="1260"/>
      <w:jc w:val="left"/>
    </w:pPr>
  </w:style>
  <w:style w:type="paragraph" w:styleId="693">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Document Map"/>
    <w:basedOn w:val="678"/>
    <w:link w:val="926"/>
    <w:uiPriority w:val="99"/>
    <w:semiHidden/>
    <w:qFormat/>
    <w:pPr>
      <w:shd w:val="clear" w:color="auto" w:fill="000080"/>
    </w:pPr>
    <w:rPr>
      <w:sz w:val="20"/>
    </w:rPr>
  </w:style>
  <w:style w:type="paragraph" w:styleId="695">
    <w:name w:val="annotation text"/>
    <w:basedOn w:val="678"/>
    <w:link w:val="927"/>
    <w:uiPriority w:val="99"/>
    <w:qFormat/>
    <w:pPr>
      <w:jc w:val="left"/>
    </w:pPr>
    <w:rPr>
      <w:sz w:val="20"/>
    </w:rPr>
  </w:style>
  <w:style w:type="paragraph" w:styleId="696">
    <w:name w:val="Body Text 3"/>
    <w:basedOn w:val="678"/>
    <w:link w:val="928"/>
    <w:uiPriority w:val="0"/>
    <w:qFormat/>
    <w:rPr>
      <w:rFonts w:ascii="仿宋_GB2312" w:hAnsi="Arial" w:eastAsia="仿宋_GB2312"/>
      <w:sz w:val="32"/>
      <w:szCs w:val="32"/>
    </w:rPr>
  </w:style>
  <w:style w:type="paragraph" w:styleId="697">
    <w:name w:val="Body Text"/>
    <w:basedOn w:val="678"/>
    <w:link w:val="929"/>
    <w:uiPriority w:val="0"/>
    <w:qFormat/>
    <w:rPr>
      <w:rFonts w:ascii="楷体_GB2312" w:hAnsi="Arial" w:eastAsia="楷体_GB2312"/>
      <w:sz w:val="28"/>
      <w:szCs w:val="28"/>
    </w:rPr>
  </w:style>
  <w:style w:type="paragraph" w:styleId="698">
    <w:name w:val="Body Text Indent"/>
    <w:basedOn w:val="678"/>
    <w:link w:val="930"/>
    <w:uiPriority w:val="0"/>
    <w:qFormat/>
    <w:pPr>
      <w:ind w:firstLine="645"/>
    </w:pPr>
    <w:rPr>
      <w:rFonts w:ascii="楷体_GB2312" w:eastAsia="楷体_GB2312"/>
      <w:sz w:val="32"/>
      <w:szCs w:val="32"/>
    </w:rPr>
  </w:style>
  <w:style w:type="paragraph" w:styleId="699">
    <w:name w:val="List 2"/>
    <w:basedOn w:val="678"/>
    <w:uiPriority w:val="0"/>
    <w:qFormat/>
    <w:pPr>
      <w:ind w:left="100" w:hanging="200"/>
    </w:pPr>
  </w:style>
  <w:style w:type="paragraph" w:styleId="700">
    <w:name w:val="toc 5"/>
    <w:basedOn w:val="678"/>
    <w:next w:val="678"/>
    <w:uiPriority w:val="0"/>
    <w:semiHidden/>
    <w:qFormat/>
    <w:pPr>
      <w:ind w:left="840"/>
      <w:jc w:val="left"/>
    </w:pPr>
  </w:style>
  <w:style w:type="paragraph" w:styleId="701">
    <w:name w:val="toc 3"/>
    <w:basedOn w:val="678"/>
    <w:next w:val="678"/>
    <w:uiPriority w:val="0"/>
    <w:semiHidden/>
    <w:qFormat/>
    <w:pPr>
      <w:ind w:left="420"/>
      <w:jc w:val="left"/>
    </w:pPr>
    <w:rPr>
      <w:i/>
      <w:iCs/>
      <w:szCs w:val="24"/>
    </w:rPr>
  </w:style>
  <w:style w:type="paragraph" w:styleId="702">
    <w:name w:val="Plain Text"/>
    <w:basedOn w:val="678"/>
    <w:link w:val="931"/>
    <w:uiPriority w:val="0"/>
    <w:qFormat/>
    <w:rPr>
      <w:rFonts w:ascii="宋体" w:hAnsi="Courier New"/>
      <w:sz w:val="20"/>
    </w:rPr>
  </w:style>
  <w:style w:type="paragraph" w:styleId="703">
    <w:name w:val="toc 8"/>
    <w:basedOn w:val="678"/>
    <w:next w:val="678"/>
    <w:uiPriority w:val="0"/>
    <w:semiHidden/>
    <w:qFormat/>
    <w:pPr>
      <w:ind w:left="1470"/>
      <w:jc w:val="left"/>
    </w:pPr>
  </w:style>
  <w:style w:type="paragraph" w:styleId="704">
    <w:name w:val="Date"/>
    <w:basedOn w:val="678"/>
    <w:next w:val="678"/>
    <w:link w:val="932"/>
    <w:uiPriority w:val="99"/>
    <w:qFormat/>
    <w:rPr>
      <w:sz w:val="24"/>
      <w:szCs w:val="24"/>
    </w:rPr>
  </w:style>
  <w:style w:type="paragraph" w:styleId="705">
    <w:name w:val="Body Text Indent 2"/>
    <w:basedOn w:val="678"/>
    <w:link w:val="933"/>
    <w:uiPriority w:val="99"/>
    <w:qFormat/>
    <w:pPr>
      <w:ind w:left="630" w:firstLine="645"/>
    </w:pPr>
    <w:rPr>
      <w:rFonts w:ascii="Arial" w:hAnsi="Arial" w:eastAsia="仿宋_GB2312"/>
      <w:sz w:val="32"/>
      <w:szCs w:val="32"/>
    </w:rPr>
  </w:style>
  <w:style w:type="paragraph" w:styleId="706">
    <w:name w:val="endnote text"/>
    <w:basedOn w:val="678"/>
    <w:link w:val="914"/>
    <w:uiPriority w:val="99"/>
    <w:semiHidden/>
    <w:unhideWhenUsed/>
    <w:qFormat/>
    <w:rPr>
      <w:sz w:val="20"/>
    </w:rPr>
  </w:style>
  <w:style w:type="paragraph" w:styleId="707">
    <w:name w:val="Balloon Text"/>
    <w:basedOn w:val="678"/>
    <w:link w:val="934"/>
    <w:uiPriority w:val="99"/>
    <w:qFormat/>
    <w:rPr>
      <w:sz w:val="18"/>
      <w:szCs w:val="18"/>
    </w:rPr>
  </w:style>
  <w:style w:type="paragraph" w:styleId="708">
    <w:name w:val="Footer"/>
    <w:basedOn w:val="678"/>
    <w:link w:val="935"/>
    <w:uiPriority w:val="99"/>
    <w:qFormat/>
    <w:pPr>
      <w:jc w:val="left"/>
      <w:tabs>
        <w:tab w:val="center" w:pos="4153" w:leader="none"/>
        <w:tab w:val="right" w:pos="8306" w:leader="none"/>
      </w:tabs>
    </w:pPr>
    <w:rPr>
      <w:sz w:val="18"/>
      <w:szCs w:val="18"/>
    </w:rPr>
  </w:style>
  <w:style w:type="paragraph" w:styleId="709">
    <w:name w:val="envelope return"/>
    <w:basedOn w:val="678"/>
    <w:uiPriority w:val="99"/>
    <w:unhideWhenUsed/>
    <w:qFormat/>
    <w:rPr>
      <w:rFonts w:ascii="Arial" w:hAnsi="Arial"/>
      <w:szCs w:val="20"/>
    </w:rPr>
  </w:style>
  <w:style w:type="paragraph" w:styleId="710">
    <w:name w:val="Header"/>
    <w:basedOn w:val="678"/>
    <w:link w:val="936"/>
    <w:uiPriority w:val="99"/>
    <w:qFormat/>
    <w:pPr>
      <w:jc w:val="center"/>
      <w:tabs>
        <w:tab w:val="center" w:pos="4153" w:leader="none"/>
        <w:tab w:val="right" w:pos="8306" w:leader="none"/>
      </w:tabs>
      <w:pBdr>
        <w:bottom w:val="single" w:color="000000" w:sz="6" w:space="1"/>
      </w:pBdr>
    </w:pPr>
    <w:rPr>
      <w:sz w:val="18"/>
      <w:szCs w:val="18"/>
    </w:rPr>
  </w:style>
  <w:style w:type="paragraph" w:styleId="711">
    <w:name w:val="toc 1"/>
    <w:basedOn w:val="678"/>
    <w:next w:val="678"/>
    <w:uiPriority w:val="0"/>
    <w:semiHidden/>
    <w:qFormat/>
    <w:pPr>
      <w:jc w:val="left"/>
      <w:spacing w:before="120" w:after="120" w:line="400" w:lineRule="exact"/>
      <w:tabs>
        <w:tab w:val="right" w:pos="8720" w:leader="dot"/>
      </w:tabs>
    </w:pPr>
    <w:rPr>
      <w:rFonts w:ascii="宋体" w:hAnsi="宋体"/>
      <w:caps/>
      <w:sz w:val="24"/>
      <w:szCs w:val="24"/>
    </w:rPr>
  </w:style>
  <w:style w:type="paragraph" w:styleId="712">
    <w:name w:val="toc 4"/>
    <w:basedOn w:val="678"/>
    <w:next w:val="678"/>
    <w:uiPriority w:val="0"/>
    <w:semiHidden/>
    <w:qFormat/>
    <w:pPr>
      <w:ind w:left="630"/>
      <w:jc w:val="left"/>
    </w:pPr>
  </w:style>
  <w:style w:type="paragraph" w:styleId="713">
    <w:name w:val="Subtitle"/>
    <w:basedOn w:val="678"/>
    <w:next w:val="678"/>
    <w:link w:val="780"/>
    <w:uiPriority w:val="0"/>
    <w:qFormat/>
    <w:pPr>
      <w:spacing w:before="200" w:after="200"/>
    </w:pPr>
    <w:rPr>
      <w:sz w:val="24"/>
      <w:szCs w:val="24"/>
    </w:rPr>
  </w:style>
  <w:style w:type="paragraph" w:styleId="714">
    <w:name w:val="List"/>
    <w:basedOn w:val="678"/>
    <w:uiPriority w:val="99"/>
    <w:qFormat/>
    <w:pPr>
      <w:ind w:left="200" w:hanging="200"/>
    </w:pPr>
  </w:style>
  <w:style w:type="paragraph" w:styleId="715">
    <w:name w:val="footnote text"/>
    <w:basedOn w:val="678"/>
    <w:link w:val="913"/>
    <w:uiPriority w:val="99"/>
    <w:semiHidden/>
    <w:unhideWhenUsed/>
    <w:qFormat/>
    <w:pPr>
      <w:spacing w:after="40"/>
    </w:pPr>
    <w:rPr>
      <w:sz w:val="18"/>
    </w:rPr>
  </w:style>
  <w:style w:type="paragraph" w:styleId="716">
    <w:name w:val="toc 6"/>
    <w:basedOn w:val="678"/>
    <w:next w:val="678"/>
    <w:uiPriority w:val="0"/>
    <w:semiHidden/>
    <w:qFormat/>
    <w:pPr>
      <w:ind w:left="1050"/>
      <w:jc w:val="left"/>
    </w:pPr>
  </w:style>
  <w:style w:type="paragraph" w:styleId="717">
    <w:name w:val="Body Text Indent 3"/>
    <w:basedOn w:val="678"/>
    <w:link w:val="937"/>
    <w:uiPriority w:val="99"/>
    <w:qFormat/>
    <w:pPr>
      <w:ind w:left="645" w:firstLine="645"/>
    </w:pPr>
    <w:rPr>
      <w:rFonts w:ascii="Arial" w:hAnsi="Arial" w:eastAsia="仿宋_GB2312"/>
      <w:color w:val="ffff00"/>
      <w:sz w:val="32"/>
      <w:szCs w:val="32"/>
    </w:rPr>
  </w:style>
  <w:style w:type="paragraph" w:styleId="718">
    <w:name w:val="table of figures"/>
    <w:basedOn w:val="678"/>
    <w:next w:val="678"/>
    <w:uiPriority w:val="0"/>
    <w:semiHidden/>
    <w:qFormat/>
    <w:pPr>
      <w:ind w:left="840" w:hanging="420"/>
    </w:pPr>
  </w:style>
  <w:style w:type="paragraph" w:styleId="719">
    <w:name w:val="toc 2"/>
    <w:basedOn w:val="678"/>
    <w:next w:val="678"/>
    <w:uiPriority w:val="0"/>
    <w:semiHidden/>
    <w:qFormat/>
    <w:pPr>
      <w:ind w:left="210"/>
      <w:jc w:val="left"/>
    </w:pPr>
    <w:rPr>
      <w:smallCaps/>
      <w:szCs w:val="24"/>
    </w:rPr>
  </w:style>
  <w:style w:type="paragraph" w:styleId="720">
    <w:name w:val="toc 9"/>
    <w:basedOn w:val="678"/>
    <w:next w:val="678"/>
    <w:uiPriority w:val="0"/>
    <w:semiHidden/>
    <w:qFormat/>
    <w:pPr>
      <w:ind w:left="1680"/>
      <w:jc w:val="left"/>
    </w:pPr>
  </w:style>
  <w:style w:type="paragraph" w:styleId="721">
    <w:name w:val="Body Text 2"/>
    <w:basedOn w:val="678"/>
    <w:link w:val="938"/>
    <w:uiPriority w:val="0"/>
    <w:qFormat/>
    <w:pPr>
      <w:jc w:val="center"/>
      <w:widowControl/>
    </w:pPr>
    <w:rPr>
      <w:rFonts w:ascii="楷体_GB2312" w:eastAsia="楷体_GB2312"/>
      <w:sz w:val="28"/>
      <w:szCs w:val="28"/>
    </w:rPr>
  </w:style>
  <w:style w:type="paragraph" w:styleId="722">
    <w:name w:val="Normal (Web)"/>
    <w:basedOn w:val="678"/>
    <w:uiPriority w:val="0"/>
    <w:qFormat/>
    <w:pPr>
      <w:jc w:val="left"/>
      <w:spacing w:before="100" w:beforeAutospacing="1" w:after="100" w:afterAutospacing="1"/>
      <w:widowControl/>
    </w:pPr>
    <w:rPr>
      <w:rFonts w:ascii="宋体" w:hAnsi="宋体" w:cs="宋体"/>
      <w:sz w:val="24"/>
      <w:szCs w:val="24"/>
    </w:rPr>
  </w:style>
  <w:style w:type="paragraph" w:styleId="723">
    <w:name w:val="index 1"/>
    <w:basedOn w:val="678"/>
    <w:next w:val="678"/>
    <w:uiPriority w:val="0"/>
    <w:semiHidden/>
    <w:qFormat/>
    <w:pPr>
      <w:spacing w:line="240" w:lineRule="atLeast"/>
    </w:pPr>
    <w:rPr>
      <w:b/>
      <w:bCs/>
    </w:rPr>
  </w:style>
  <w:style w:type="paragraph" w:styleId="724">
    <w:name w:val="Title"/>
    <w:basedOn w:val="678"/>
    <w:next w:val="678"/>
    <w:link w:val="779"/>
    <w:uiPriority w:val="0"/>
    <w:qFormat/>
    <w:pPr>
      <w:contextualSpacing/>
      <w:spacing w:before="300" w:after="200"/>
    </w:pPr>
    <w:rPr>
      <w:sz w:val="48"/>
      <w:szCs w:val="48"/>
    </w:rPr>
  </w:style>
  <w:style w:type="paragraph" w:styleId="725">
    <w:name w:val="annotation subject"/>
    <w:basedOn w:val="695"/>
    <w:next w:val="695"/>
    <w:link w:val="939"/>
    <w:uiPriority w:val="0"/>
    <w:qFormat/>
    <w:rPr>
      <w:b/>
      <w:bCs/>
    </w:rPr>
  </w:style>
  <w:style w:type="paragraph" w:styleId="726">
    <w:name w:val="Body Text First Indent"/>
    <w:basedOn w:val="697"/>
    <w:link w:val="940"/>
    <w:uiPriority w:val="0"/>
    <w:qFormat/>
    <w:pPr>
      <w:ind w:firstLine="200"/>
      <w:spacing w:line="360" w:lineRule="auto"/>
    </w:pPr>
    <w:rPr>
      <w:rFonts w:ascii="仿宋_GB2312" w:eastAsia="仿宋_GB2312"/>
      <w:sz w:val="30"/>
      <w:szCs w:val="30"/>
    </w:rPr>
  </w:style>
  <w:style w:type="paragraph" w:styleId="727">
    <w:name w:val="Body Text First Indent 2"/>
    <w:basedOn w:val="698"/>
    <w:link w:val="941"/>
    <w:uiPriority w:val="99"/>
    <w:qFormat/>
    <w:pPr>
      <w:ind w:firstLine="420"/>
      <w:spacing w:line="360" w:lineRule="auto"/>
    </w:pPr>
    <w:rPr>
      <w:rFonts w:ascii="宋体" w:hAnsi="宋体" w:eastAsia="宋体"/>
      <w:szCs w:val="20"/>
    </w:rPr>
  </w:style>
  <w:style w:type="table" w:styleId="728">
    <w:name w:val="Table Grid"/>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uiPriority w:val="99"/>
    <w:qFormat/>
    <w:rPr>
      <w:b/>
      <w:bCs/>
    </w:rPr>
  </w:style>
  <w:style w:type="character" w:styleId="730">
    <w:name w:val="endnote reference"/>
    <w:uiPriority w:val="99"/>
    <w:semiHidden/>
    <w:unhideWhenUsed/>
    <w:qFormat/>
    <w:rPr>
      <w:vertAlign w:val="superscript"/>
    </w:rPr>
  </w:style>
  <w:style w:type="character" w:styleId="731">
    <w:name w:val="page number"/>
    <w:uiPriority w:val="99"/>
    <w:qFormat/>
  </w:style>
  <w:style w:type="character" w:styleId="732">
    <w:name w:val="FollowedHyperlink"/>
    <w:uiPriority w:val="99"/>
    <w:qFormat/>
    <w:rPr>
      <w:rFonts w:cs="Times New Roman"/>
      <w:color w:val="auto"/>
      <w:u w:val="none"/>
    </w:rPr>
  </w:style>
  <w:style w:type="character" w:styleId="733">
    <w:name w:val="Emphasis"/>
    <w:basedOn w:val="688"/>
    <w:uiPriority w:val="20"/>
    <w:qFormat/>
    <w:rPr>
      <w:i/>
    </w:rPr>
  </w:style>
  <w:style w:type="character" w:styleId="734">
    <w:name w:val="HTML Typewriter"/>
    <w:uiPriority w:val="99"/>
    <w:qFormat/>
    <w:rPr>
      <w:rFonts w:ascii="宋体" w:hAnsi="宋体" w:eastAsia="宋体" w:cs="宋体"/>
      <w:sz w:val="24"/>
      <w:szCs w:val="24"/>
    </w:rPr>
  </w:style>
  <w:style w:type="character" w:styleId="735">
    <w:name w:val="Hyperlink"/>
    <w:uiPriority w:val="99"/>
    <w:qFormat/>
    <w:rPr>
      <w:color w:val="0000ff"/>
      <w:u w:val="single"/>
    </w:rPr>
  </w:style>
  <w:style w:type="character" w:styleId="736">
    <w:name w:val="annotation reference"/>
    <w:uiPriority w:val="99"/>
    <w:qFormat/>
    <w:rPr>
      <w:sz w:val="21"/>
      <w:szCs w:val="21"/>
    </w:rPr>
  </w:style>
  <w:style w:type="character" w:styleId="737">
    <w:name w:val="footnote reference"/>
    <w:uiPriority w:val="99"/>
    <w:unhideWhenUsed/>
    <w:qFormat/>
    <w:rPr>
      <w:vertAlign w:val="superscript"/>
    </w:rPr>
  </w:style>
  <w:style w:type="paragraph" w:styleId="738" w:customStyle="1">
    <w:name w:val="正文首行缩进1"/>
    <w:basedOn w:val="739"/>
    <w:uiPriority w:val="0"/>
    <w:qFormat/>
    <w:pPr>
      <w:ind w:firstLine="420"/>
      <w:spacing w:line="360" w:lineRule="auto"/>
    </w:pPr>
    <w:rPr>
      <w:rFonts w:ascii="Times New Roman" w:hAnsi="Times New Roman" w:cs="Times New Roman"/>
      <w:szCs w:val="21"/>
    </w:rPr>
  </w:style>
  <w:style w:type="paragraph" w:styleId="739" w:customStyle="1">
    <w:name w:val="正文文本1"/>
    <w:basedOn w:val="678"/>
    <w:uiPriority w:val="0"/>
    <w:qFormat/>
    <w:rPr>
      <w:rFonts w:ascii="宋体"/>
      <w:sz w:val="28"/>
    </w:rPr>
  </w:style>
  <w:style w:type="table" w:styleId="740"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9" w:customStyle="1">
    <w:name w:val="TOC Heading"/>
    <w:uiPriority w:val="39"/>
    <w:unhideWhenUsed/>
    <w:qFormat/>
    <w:rPr>
      <w:rFonts w:hint="default" w:ascii="Times New Roman" w:hAnsi="Times New Roman" w:eastAsia="宋体" w:cs="Times New Roman"/>
    </w:rPr>
  </w:style>
  <w:style w:type="character" w:styleId="760" w:customStyle="1">
    <w:name w:val="Title Char"/>
    <w:basedOn w:val="688"/>
    <w:uiPriority w:val="10"/>
    <w:qFormat/>
    <w:rPr>
      <w:sz w:val="48"/>
      <w:szCs w:val="48"/>
    </w:rPr>
  </w:style>
  <w:style w:type="character" w:styleId="761" w:customStyle="1">
    <w:name w:val="Subtitle Char"/>
    <w:basedOn w:val="688"/>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paragraph" w:styleId="766" w:customStyle="1">
    <w:name w:val="TOC 标题1"/>
    <w:uiPriority w:val="39"/>
    <w:unhideWhenUsed/>
    <w:qFormat/>
    <w:rPr>
      <w:rFonts w:hint="default" w:ascii="Times New Roman" w:hAnsi="Times New Roman" w:eastAsia="宋体" w:cs="Times New Roman"/>
      <w:lang w:val="en-US" w:eastAsia="zh-CN" w:bidi="ar-SA"/>
    </w:rPr>
  </w:style>
  <w:style w:type="paragraph" w:styleId="767" w:customStyle="1">
    <w:name w:val="正文文本缩进1"/>
    <w:basedOn w:val="678"/>
    <w:uiPriority w:val="0"/>
    <w:qFormat/>
    <w:pPr>
      <w:ind w:firstLine="645"/>
    </w:pPr>
    <w:rPr>
      <w:rFonts w:ascii="楷体_GB2312" w:eastAsia="楷体_GB2312"/>
      <w:sz w:val="32"/>
      <w:szCs w:val="32"/>
      <w:lang w:eastAsia="en-US"/>
    </w:rPr>
  </w:style>
  <w:style w:type="character" w:styleId="768" w:customStyle="1">
    <w:name w:val="Heading 1 Char"/>
    <w:uiPriority w:val="9"/>
    <w:qFormat/>
    <w:rPr>
      <w:rFonts w:ascii="Arial" w:hAnsi="Arial" w:eastAsia="Arial" w:cs="Arial"/>
      <w:sz w:val="40"/>
      <w:szCs w:val="40"/>
    </w:rPr>
  </w:style>
  <w:style w:type="character" w:styleId="769" w:customStyle="1">
    <w:name w:val="Heading 2 Char"/>
    <w:uiPriority w:val="9"/>
    <w:qFormat/>
    <w:rPr>
      <w:rFonts w:ascii="Arial" w:hAnsi="Arial" w:eastAsia="Arial" w:cs="Arial"/>
      <w:sz w:val="34"/>
    </w:rPr>
  </w:style>
  <w:style w:type="character" w:styleId="770" w:customStyle="1">
    <w:name w:val="Heading 3 Char"/>
    <w:uiPriority w:val="9"/>
    <w:qFormat/>
    <w:rPr>
      <w:rFonts w:ascii="Arial" w:hAnsi="Arial" w:eastAsia="Arial" w:cs="Arial"/>
      <w:sz w:val="30"/>
      <w:szCs w:val="30"/>
    </w:rPr>
  </w:style>
  <w:style w:type="character" w:styleId="771" w:customStyle="1">
    <w:name w:val="Heading 4 Char"/>
    <w:uiPriority w:val="9"/>
    <w:qFormat/>
    <w:rPr>
      <w:rFonts w:ascii="Arial" w:hAnsi="Arial" w:eastAsia="Arial" w:cs="Arial"/>
      <w:b/>
      <w:bCs/>
      <w:sz w:val="26"/>
      <w:szCs w:val="26"/>
    </w:rPr>
  </w:style>
  <w:style w:type="character" w:styleId="772" w:customStyle="1">
    <w:name w:val="Heading 5 Char"/>
    <w:uiPriority w:val="9"/>
    <w:qFormat/>
    <w:rPr>
      <w:rFonts w:ascii="Arial" w:hAnsi="Arial" w:eastAsia="Arial" w:cs="Arial"/>
      <w:b/>
      <w:bCs/>
      <w:sz w:val="24"/>
      <w:szCs w:val="24"/>
    </w:rPr>
  </w:style>
  <w:style w:type="character" w:styleId="773" w:customStyle="1">
    <w:name w:val="Heading 6 Char"/>
    <w:uiPriority w:val="9"/>
    <w:qFormat/>
    <w:rPr>
      <w:rFonts w:ascii="Arial" w:hAnsi="Arial" w:eastAsia="Arial" w:cs="Arial"/>
      <w:b/>
      <w:bCs/>
      <w:sz w:val="22"/>
      <w:szCs w:val="22"/>
    </w:rPr>
  </w:style>
  <w:style w:type="character" w:styleId="774" w:customStyle="1">
    <w:name w:val="Heading 7 Char"/>
    <w:uiPriority w:val="9"/>
    <w:qFormat/>
    <w:rPr>
      <w:rFonts w:ascii="Arial" w:hAnsi="Arial" w:eastAsia="Arial" w:cs="Arial"/>
      <w:b/>
      <w:bCs/>
      <w:i/>
      <w:iCs/>
      <w:sz w:val="22"/>
      <w:szCs w:val="22"/>
    </w:rPr>
  </w:style>
  <w:style w:type="character" w:styleId="775" w:customStyle="1">
    <w:name w:val="Heading 8 Char"/>
    <w:uiPriority w:val="9"/>
    <w:qFormat/>
    <w:rPr>
      <w:rFonts w:ascii="Arial" w:hAnsi="Arial" w:eastAsia="Arial" w:cs="Arial"/>
      <w:i/>
      <w:iCs/>
      <w:sz w:val="22"/>
      <w:szCs w:val="22"/>
    </w:rPr>
  </w:style>
  <w:style w:type="character" w:styleId="776" w:customStyle="1">
    <w:name w:val="Heading 9 Char"/>
    <w:uiPriority w:val="9"/>
    <w:qFormat/>
    <w:rPr>
      <w:rFonts w:ascii="Arial" w:hAnsi="Arial" w:eastAsia="Arial" w:cs="Arial"/>
      <w:i/>
      <w:iCs/>
      <w:sz w:val="21"/>
      <w:szCs w:val="21"/>
    </w:rPr>
  </w:style>
  <w:style w:type="paragraph" w:styleId="777">
    <w:name w:val="List Paragraph"/>
    <w:basedOn w:val="678"/>
    <w:uiPriority w:val="34"/>
    <w:qFormat/>
    <w:pPr>
      <w:contextualSpacing/>
      <w:ind w:left="720"/>
      <w:jc w:val="left"/>
      <w:widowControl/>
    </w:pPr>
    <w:rPr>
      <w:rFonts w:ascii="Calibri" w:hAnsi="Calibri"/>
      <w:sz w:val="24"/>
      <w:szCs w:val="24"/>
      <w:lang w:eastAsia="en-US" w:bidi="en-US"/>
    </w:rPr>
  </w:style>
  <w:style w:type="paragraph" w:styleId="778">
    <w:name w:val="No Spacing"/>
    <w:link w:val="1045"/>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779" w:customStyle="1">
    <w:name w:val="标题 字符"/>
    <w:link w:val="724"/>
    <w:uiPriority w:val="10"/>
    <w:qFormat/>
    <w:rPr>
      <w:sz w:val="48"/>
      <w:szCs w:val="48"/>
    </w:rPr>
  </w:style>
  <w:style w:type="character" w:styleId="780" w:customStyle="1">
    <w:name w:val="副标题 字符"/>
    <w:link w:val="713"/>
    <w:uiPriority w:val="11"/>
    <w:qFormat/>
    <w:rPr>
      <w:sz w:val="24"/>
      <w:szCs w:val="24"/>
    </w:rPr>
  </w:style>
  <w:style w:type="paragraph" w:styleId="781">
    <w:name w:val="Quote"/>
    <w:basedOn w:val="678"/>
    <w:next w:val="678"/>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78"/>
    <w:next w:val="678"/>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Header Char"/>
    <w:uiPriority w:val="99"/>
    <w:qFormat/>
  </w:style>
  <w:style w:type="character" w:styleId="786" w:customStyle="1">
    <w:name w:val="Footer Char"/>
    <w:uiPriority w:val="99"/>
    <w:qFormat/>
  </w:style>
  <w:style w:type="character" w:styleId="787" w:customStyle="1">
    <w:name w:val="Caption Char"/>
    <w:uiPriority w:val="99"/>
    <w:qFormat/>
  </w:style>
  <w:style w:type="table" w:styleId="7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脚注文本 字符"/>
    <w:link w:val="715"/>
    <w:uiPriority w:val="99"/>
    <w:qFormat/>
    <w:rPr>
      <w:sz w:val="18"/>
    </w:rPr>
  </w:style>
  <w:style w:type="character" w:styleId="914" w:customStyle="1">
    <w:name w:val="尾注文本 字符"/>
    <w:link w:val="706"/>
    <w:uiPriority w:val="99"/>
    <w:qFormat/>
    <w:rPr>
      <w:sz w:val="20"/>
    </w:rPr>
  </w:style>
  <w:style w:type="paragraph" w:styleId="915" w:customStyle="1">
    <w:name w:val="TOC 标题111"/>
    <w:uiPriority w:val="39"/>
    <w:unhideWhenUsed/>
    <w:qFormat/>
    <w:rPr>
      <w:rFonts w:hint="default" w:ascii="Times New Roman" w:hAnsi="Times New Roman" w:eastAsia="宋体" w:cs="Times New Roman"/>
      <w:lang w:val="en-US" w:eastAsia="zh-CN" w:bidi="ar-SA"/>
    </w:rPr>
  </w:style>
  <w:style w:type="character" w:styleId="916" w:customStyle="1">
    <w:name w:val="标题 1 字符"/>
    <w:link w:val="679"/>
    <w:uiPriority w:val="99"/>
    <w:qFormat/>
    <w:rPr>
      <w:rFonts w:ascii="楷体_GB2312" w:hAnsi="Times New Roman" w:eastAsia="楷体_GB2312" w:cs="Times New Roman"/>
      <w:sz w:val="28"/>
      <w:szCs w:val="28"/>
    </w:rPr>
  </w:style>
  <w:style w:type="character" w:styleId="917" w:customStyle="1">
    <w:name w:val="标题 2 字符"/>
    <w:link w:val="680"/>
    <w:uiPriority w:val="99"/>
    <w:qFormat/>
    <w:rPr>
      <w:rFonts w:ascii="Arial" w:hAnsi="Arial" w:eastAsia="幼圆" w:cs="Arial"/>
      <w:b/>
      <w:bCs/>
      <w:sz w:val="44"/>
      <w:szCs w:val="44"/>
    </w:rPr>
  </w:style>
  <w:style w:type="character" w:styleId="918" w:customStyle="1">
    <w:name w:val="正文缩进 字符"/>
    <w:link w:val="690"/>
    <w:uiPriority w:val="0"/>
    <w:qFormat/>
    <w:rPr>
      <w:rFonts w:ascii="Times New Roman" w:hAnsi="Times New Roman" w:eastAsia="宋体" w:cs="Times New Roman"/>
      <w:szCs w:val="21"/>
    </w:rPr>
  </w:style>
  <w:style w:type="character" w:styleId="919" w:customStyle="1">
    <w:name w:val="标题 3 字符"/>
    <w:link w:val="681"/>
    <w:uiPriority w:val="99"/>
    <w:qFormat/>
    <w:rPr>
      <w:rFonts w:ascii="Times New Roman" w:hAnsi="Times New Roman" w:eastAsia="宋体" w:cs="Times New Roman"/>
      <w:b/>
      <w:bCs/>
      <w:sz w:val="32"/>
      <w:szCs w:val="32"/>
    </w:rPr>
  </w:style>
  <w:style w:type="character" w:styleId="920" w:customStyle="1">
    <w:name w:val="标题 4 字符"/>
    <w:link w:val="682"/>
    <w:uiPriority w:val="99"/>
    <w:qFormat/>
    <w:rPr>
      <w:rFonts w:ascii="Arial" w:hAnsi="Arial" w:eastAsia="黑体" w:cs="Arial"/>
      <w:b/>
      <w:bCs/>
      <w:sz w:val="28"/>
      <w:szCs w:val="28"/>
    </w:rPr>
  </w:style>
  <w:style w:type="character" w:styleId="921" w:customStyle="1">
    <w:name w:val="标题 5 字符"/>
    <w:link w:val="683"/>
    <w:uiPriority w:val="99"/>
    <w:qFormat/>
    <w:rPr>
      <w:rFonts w:ascii="宋体" w:hAnsi="Times New Roman" w:eastAsia="宋体" w:cs="Times New Roman"/>
      <w:color w:val="000000"/>
      <w:sz w:val="28"/>
      <w:szCs w:val="28"/>
    </w:rPr>
  </w:style>
  <w:style w:type="character" w:styleId="922" w:customStyle="1">
    <w:name w:val="标题 6 字符"/>
    <w:link w:val="684"/>
    <w:uiPriority w:val="0"/>
    <w:qFormat/>
    <w:rPr>
      <w:rFonts w:ascii="Arial" w:hAnsi="Arial" w:eastAsia="黑体"/>
      <w:b/>
      <w:bCs/>
      <w:sz w:val="24"/>
      <w:szCs w:val="24"/>
    </w:rPr>
  </w:style>
  <w:style w:type="character" w:styleId="923" w:customStyle="1">
    <w:name w:val="标题 7 字符"/>
    <w:link w:val="685"/>
    <w:uiPriority w:val="0"/>
    <w:qFormat/>
    <w:rPr>
      <w:b/>
      <w:bCs/>
      <w:sz w:val="24"/>
      <w:szCs w:val="24"/>
    </w:rPr>
  </w:style>
  <w:style w:type="character" w:styleId="924" w:customStyle="1">
    <w:name w:val="标题 8 字符"/>
    <w:link w:val="686"/>
    <w:uiPriority w:val="0"/>
    <w:qFormat/>
    <w:rPr>
      <w:rFonts w:ascii="Arial" w:hAnsi="Arial" w:eastAsia="黑体"/>
      <w:sz w:val="24"/>
      <w:szCs w:val="24"/>
    </w:rPr>
  </w:style>
  <w:style w:type="character" w:styleId="925" w:customStyle="1">
    <w:name w:val="标题 9 字符"/>
    <w:link w:val="687"/>
    <w:uiPriority w:val="0"/>
    <w:qFormat/>
    <w:rPr>
      <w:rFonts w:ascii="Arial" w:hAnsi="Arial" w:eastAsia="黑体"/>
      <w:szCs w:val="21"/>
    </w:rPr>
  </w:style>
  <w:style w:type="character" w:styleId="926" w:customStyle="1">
    <w:name w:val="文档结构图 字符"/>
    <w:link w:val="694"/>
    <w:uiPriority w:val="99"/>
    <w:semiHidden/>
    <w:qFormat/>
    <w:rPr>
      <w:rFonts w:ascii="Times New Roman" w:hAnsi="Times New Roman" w:eastAsia="宋体" w:cs="Times New Roman"/>
      <w:szCs w:val="21"/>
      <w:shd w:val="clear" w:color="auto" w:fill="000080"/>
    </w:rPr>
  </w:style>
  <w:style w:type="character" w:styleId="927" w:customStyle="1">
    <w:name w:val="批注文字 字符"/>
    <w:link w:val="695"/>
    <w:uiPriority w:val="99"/>
    <w:qFormat/>
    <w:rPr>
      <w:rFonts w:ascii="Times New Roman" w:hAnsi="Times New Roman" w:eastAsia="宋体" w:cs="Times New Roman"/>
      <w:szCs w:val="21"/>
    </w:rPr>
  </w:style>
  <w:style w:type="character" w:styleId="928" w:customStyle="1">
    <w:name w:val="正文文本 3 字符"/>
    <w:link w:val="696"/>
    <w:uiPriority w:val="0"/>
    <w:qFormat/>
    <w:rPr>
      <w:rFonts w:ascii="仿宋_GB2312" w:hAnsi="Arial" w:eastAsia="仿宋_GB2312" w:cs="Times New Roman"/>
      <w:sz w:val="32"/>
      <w:szCs w:val="32"/>
    </w:rPr>
  </w:style>
  <w:style w:type="character" w:styleId="929" w:customStyle="1">
    <w:name w:val="正文文本 字符"/>
    <w:link w:val="697"/>
    <w:uiPriority w:val="99"/>
    <w:qFormat/>
    <w:rPr>
      <w:rFonts w:ascii="楷体_GB2312" w:hAnsi="Arial" w:eastAsia="楷体_GB2312" w:cs="Times New Roman"/>
      <w:sz w:val="28"/>
      <w:szCs w:val="28"/>
    </w:rPr>
  </w:style>
  <w:style w:type="character" w:styleId="930" w:customStyle="1">
    <w:name w:val="正文文本缩进 字符"/>
    <w:link w:val="698"/>
    <w:uiPriority w:val="0"/>
    <w:qFormat/>
    <w:rPr>
      <w:rFonts w:ascii="楷体_GB2312" w:hAnsi="Times New Roman" w:eastAsia="楷体_GB2312" w:cs="Times New Roman"/>
      <w:sz w:val="32"/>
      <w:szCs w:val="32"/>
    </w:rPr>
  </w:style>
  <w:style w:type="character" w:styleId="931" w:customStyle="1">
    <w:name w:val="纯文本 字符"/>
    <w:link w:val="702"/>
    <w:uiPriority w:val="0"/>
    <w:qFormat/>
    <w:rPr>
      <w:rFonts w:ascii="宋体" w:hAnsi="Courier New" w:eastAsia="宋体" w:cs="Courier New"/>
      <w:szCs w:val="21"/>
    </w:rPr>
  </w:style>
  <w:style w:type="character" w:styleId="932" w:customStyle="1">
    <w:name w:val="日期 字符"/>
    <w:link w:val="704"/>
    <w:uiPriority w:val="99"/>
    <w:qFormat/>
    <w:rPr>
      <w:rFonts w:ascii="Times New Roman" w:hAnsi="Times New Roman" w:eastAsia="宋体" w:cs="Times New Roman"/>
      <w:sz w:val="24"/>
      <w:szCs w:val="24"/>
    </w:rPr>
  </w:style>
  <w:style w:type="character" w:styleId="933" w:customStyle="1">
    <w:name w:val="正文文本缩进 2 字符"/>
    <w:link w:val="705"/>
    <w:uiPriority w:val="99"/>
    <w:qFormat/>
    <w:rPr>
      <w:rFonts w:ascii="Arial" w:hAnsi="Arial" w:eastAsia="仿宋_GB2312" w:cs="Arial"/>
      <w:sz w:val="32"/>
      <w:szCs w:val="32"/>
    </w:rPr>
  </w:style>
  <w:style w:type="character" w:styleId="934" w:customStyle="1">
    <w:name w:val="批注框文本 字符"/>
    <w:link w:val="707"/>
    <w:uiPriority w:val="99"/>
    <w:semiHidden/>
    <w:qFormat/>
    <w:rPr>
      <w:rFonts w:ascii="Times New Roman" w:hAnsi="Times New Roman" w:eastAsia="宋体" w:cs="Times New Roman"/>
      <w:sz w:val="18"/>
      <w:szCs w:val="18"/>
    </w:rPr>
  </w:style>
  <w:style w:type="character" w:styleId="935" w:customStyle="1">
    <w:name w:val="页脚 字符"/>
    <w:link w:val="708"/>
    <w:uiPriority w:val="99"/>
    <w:qFormat/>
    <w:rPr>
      <w:rFonts w:ascii="Times New Roman" w:hAnsi="Times New Roman" w:eastAsia="宋体" w:cs="Times New Roman"/>
      <w:sz w:val="18"/>
      <w:szCs w:val="18"/>
    </w:rPr>
  </w:style>
  <w:style w:type="character" w:styleId="936" w:customStyle="1">
    <w:name w:val="页眉 字符"/>
    <w:link w:val="710"/>
    <w:uiPriority w:val="99"/>
    <w:qFormat/>
    <w:rPr>
      <w:rFonts w:ascii="Times New Roman" w:hAnsi="Times New Roman" w:eastAsia="宋体" w:cs="Times New Roman"/>
      <w:sz w:val="18"/>
      <w:szCs w:val="18"/>
    </w:rPr>
  </w:style>
  <w:style w:type="character" w:styleId="937" w:customStyle="1">
    <w:name w:val="正文文本缩进 3 字符"/>
    <w:link w:val="717"/>
    <w:uiPriority w:val="99"/>
    <w:qFormat/>
    <w:rPr>
      <w:rFonts w:ascii="Arial" w:hAnsi="Arial" w:eastAsia="仿宋_GB2312" w:cs="Arial"/>
      <w:color w:val="ffff00"/>
      <w:sz w:val="32"/>
      <w:szCs w:val="32"/>
    </w:rPr>
  </w:style>
  <w:style w:type="character" w:styleId="938" w:customStyle="1">
    <w:name w:val="正文文本 2 字符"/>
    <w:link w:val="721"/>
    <w:uiPriority w:val="99"/>
    <w:qFormat/>
    <w:rPr>
      <w:rFonts w:ascii="楷体_GB2312" w:hAnsi="Times New Roman" w:eastAsia="楷体_GB2312" w:cs="Times New Roman"/>
      <w:sz w:val="28"/>
      <w:szCs w:val="28"/>
    </w:rPr>
  </w:style>
  <w:style w:type="character" w:styleId="939" w:customStyle="1">
    <w:name w:val="批注主题 字符"/>
    <w:link w:val="725"/>
    <w:uiPriority w:val="0"/>
    <w:qFormat/>
    <w:rPr>
      <w:rFonts w:ascii="Times New Roman" w:hAnsi="Times New Roman" w:eastAsia="宋体" w:cs="Times New Roman"/>
      <w:b/>
      <w:bCs/>
      <w:szCs w:val="21"/>
    </w:rPr>
  </w:style>
  <w:style w:type="character" w:styleId="940" w:customStyle="1">
    <w:name w:val="正文文本首行缩进 字符"/>
    <w:link w:val="726"/>
    <w:uiPriority w:val="0"/>
    <w:qFormat/>
    <w:rPr>
      <w:rFonts w:ascii="仿宋_GB2312" w:hAnsi="Times New Roman" w:eastAsia="仿宋_GB2312" w:cs="Times New Roman"/>
      <w:sz w:val="30"/>
      <w:szCs w:val="30"/>
    </w:rPr>
  </w:style>
  <w:style w:type="character" w:styleId="941" w:customStyle="1">
    <w:name w:val="正文文本首行缩进 2 字符"/>
    <w:link w:val="727"/>
    <w:uiPriority w:val="99"/>
    <w:qFormat/>
    <w:rPr>
      <w:rFonts w:ascii="宋体" w:hAnsi="宋体" w:eastAsia="宋体" w:cs="Times New Roman"/>
      <w:sz w:val="32"/>
      <w:szCs w:val="20"/>
    </w:rPr>
  </w:style>
  <w:style w:type="character" w:styleId="942" w:customStyle="1">
    <w:name w:val="已访问的超链接11"/>
    <w:uiPriority w:val="0"/>
    <w:qFormat/>
    <w:rPr>
      <w:color w:val="800080"/>
      <w:u w:val="single"/>
    </w:rPr>
  </w:style>
  <w:style w:type="character" w:styleId="943" w:customStyle="1">
    <w:name w:val="font5 Char"/>
    <w:uiPriority w:val="0"/>
    <w:qFormat/>
    <w:rPr>
      <w:rFonts w:ascii="宋体" w:hAnsi="宋体" w:eastAsia="宋体"/>
      <w:sz w:val="28"/>
      <w:szCs w:val="28"/>
      <w:lang w:val="en-US" w:eastAsia="zh-CN" w:bidi="ar-SA"/>
    </w:rPr>
  </w:style>
  <w:style w:type="character" w:styleId="944" w:customStyle="1">
    <w:name w:val="二级目录 Char"/>
    <w:link w:val="945"/>
    <w:uiPriority w:val="0"/>
    <w:qFormat/>
    <w:rPr>
      <w:b/>
      <w:sz w:val="30"/>
      <w:szCs w:val="28"/>
    </w:rPr>
  </w:style>
  <w:style w:type="paragraph" w:styleId="945" w:customStyle="1">
    <w:name w:val="二级目录"/>
    <w:next w:val="678"/>
    <w:link w:val="94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6" w:customStyle="1">
    <w:name w:val="列出段落 Char"/>
    <w:link w:val="947"/>
    <w:uiPriority w:val="0"/>
    <w:qFormat/>
    <w:rPr>
      <w:rFonts w:ascii="Calibri" w:hAnsi="Calibri"/>
      <w:sz w:val="24"/>
      <w:szCs w:val="24"/>
      <w:lang w:eastAsia="en-US" w:bidi="en-US"/>
    </w:rPr>
  </w:style>
  <w:style w:type="paragraph" w:styleId="947" w:customStyle="1">
    <w:name w:val="列出段落1"/>
    <w:basedOn w:val="678"/>
    <w:link w:val="946"/>
    <w:uiPriority w:val="0"/>
    <w:qFormat/>
    <w:pPr>
      <w:contextualSpacing/>
      <w:ind w:left="720"/>
      <w:jc w:val="left"/>
      <w:widowControl/>
    </w:pPr>
    <w:rPr>
      <w:rFonts w:ascii="Calibri" w:hAnsi="Calibri"/>
      <w:sz w:val="24"/>
      <w:szCs w:val="24"/>
      <w:lang w:eastAsia="en-US" w:bidi="en-US"/>
    </w:rPr>
  </w:style>
  <w:style w:type="paragraph" w:styleId="948" w:customStyle="1">
    <w:name w:val="Body Text(ch)"/>
    <w:basedOn w:val="678"/>
    <w:next w:val="697"/>
    <w:uiPriority w:val="0"/>
    <w:qFormat/>
    <w:pPr>
      <w:spacing w:after="120"/>
    </w:pPr>
    <w:rPr>
      <w:rFonts w:ascii="宋体" w:hAnsi="Arial"/>
      <w:bCs/>
      <w:iCs/>
      <w:szCs w:val="24"/>
    </w:rPr>
  </w:style>
  <w:style w:type="paragraph" w:styleId="949" w:customStyle="1">
    <w:name w:val="xl27"/>
    <w:basedOn w:val="67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customStyle="1">
    <w:name w:val="xl26"/>
    <w:basedOn w:val="67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1" w:customStyle="1">
    <w:name w:val="Char"/>
    <w:basedOn w:val="678"/>
    <w:uiPriority w:val="0"/>
    <w:qFormat/>
    <w:pPr>
      <w:ind w:firstLine="200"/>
      <w:tabs>
        <w:tab w:val="left" w:pos="360" w:leader="none"/>
      </w:tabs>
    </w:pPr>
    <w:rPr>
      <w:sz w:val="28"/>
      <w:szCs w:val="30"/>
    </w:rPr>
  </w:style>
  <w:style w:type="paragraph" w:styleId="952" w:customStyle="1">
    <w:name w:val="Char11"/>
    <w:basedOn w:val="694"/>
    <w:uiPriority w:val="0"/>
    <w:qFormat/>
    <w:rPr>
      <w:rFonts w:ascii="Tahoma" w:hAnsi="Tahoma"/>
      <w:sz w:val="24"/>
      <w:szCs w:val="24"/>
    </w:rPr>
  </w:style>
  <w:style w:type="paragraph" w:styleId="953"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954" w:customStyle="1">
    <w:name w:val="table_lines"/>
    <w:basedOn w:val="678"/>
    <w:uiPriority w:val="0"/>
    <w:qFormat/>
    <w:pPr>
      <w:jc w:val="left"/>
      <w:widowControl/>
    </w:pPr>
    <w:rPr>
      <w:sz w:val="20"/>
      <w:szCs w:val="20"/>
      <w:lang w:val="de-DE" w:eastAsia="de-DE"/>
    </w:rPr>
  </w:style>
  <w:style w:type="paragraph" w:styleId="95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56" w:customStyle="1">
    <w:name w:val="font7"/>
    <w:basedOn w:val="678"/>
    <w:uiPriority w:val="99"/>
    <w:qFormat/>
    <w:pPr>
      <w:jc w:val="left"/>
      <w:spacing w:before="100" w:beforeAutospacing="1" w:after="100" w:afterAutospacing="1"/>
      <w:widowControl/>
    </w:pPr>
    <w:rPr>
      <w:rFonts w:hint="eastAsia" w:ascii="宋体" w:hAnsi="宋体"/>
      <w:sz w:val="18"/>
      <w:szCs w:val="18"/>
    </w:rPr>
  </w:style>
  <w:style w:type="paragraph" w:styleId="957" w:customStyle="1">
    <w:name w:val="Char Char Char Char"/>
    <w:basedOn w:val="694"/>
    <w:uiPriority w:val="0"/>
    <w:qFormat/>
    <w:pPr>
      <w:spacing w:line="360" w:lineRule="auto"/>
    </w:pPr>
    <w:rPr>
      <w:rFonts w:ascii="Tahoma" w:hAnsi="Tahoma"/>
      <w:sz w:val="24"/>
      <w:szCs w:val="24"/>
    </w:rPr>
  </w:style>
  <w:style w:type="paragraph" w:styleId="958" w:customStyle="1">
    <w:name w:val="4"/>
    <w:basedOn w:val="678"/>
    <w:next w:val="717"/>
    <w:uiPriority w:val="0"/>
    <w:qFormat/>
    <w:pPr>
      <w:ind w:firstLine="420"/>
      <w:spacing w:line="360" w:lineRule="auto"/>
    </w:pPr>
    <w:rPr>
      <w:color w:val="ff0000"/>
      <w:sz w:val="24"/>
      <w:szCs w:val="24"/>
    </w:rPr>
  </w:style>
  <w:style w:type="paragraph" w:styleId="959" w:customStyle="1">
    <w:name w:val="普通 (Web)"/>
    <w:basedOn w:val="678"/>
    <w:uiPriority w:val="0"/>
    <w:qFormat/>
    <w:pPr>
      <w:jc w:val="left"/>
      <w:spacing w:before="100" w:beforeAutospacing="1" w:after="100" w:afterAutospacing="1"/>
      <w:widowControl/>
    </w:pPr>
    <w:rPr>
      <w:rFonts w:ascii="宋体" w:hAnsi="宋体"/>
      <w:sz w:val="24"/>
      <w:szCs w:val="24"/>
    </w:rPr>
  </w:style>
  <w:style w:type="paragraph" w:styleId="960" w:customStyle="1">
    <w:name w:val="Char Char Char Char Char Char Char Char Char Char"/>
    <w:basedOn w:val="678"/>
    <w:uiPriority w:val="0"/>
    <w:qFormat/>
    <w:pPr>
      <w:spacing w:line="360" w:lineRule="auto"/>
    </w:pPr>
    <w:rPr>
      <w:sz w:val="24"/>
      <w:szCs w:val="20"/>
    </w:rPr>
  </w:style>
  <w:style w:type="paragraph" w:styleId="961" w:customStyle="1">
    <w:name w:val="样式1"/>
    <w:basedOn w:val="678"/>
    <w:uiPriority w:val="0"/>
    <w:qFormat/>
    <w:pPr>
      <w:numPr>
        <w:ilvl w:val="0"/>
        <w:numId w:val="3"/>
      </w:numPr>
    </w:pPr>
    <w:rPr>
      <w:rFonts w:ascii="宋体" w:hAnsi="宋体"/>
    </w:rPr>
  </w:style>
  <w:style w:type="paragraph" w:styleId="962" w:customStyle="1">
    <w:name w:val="font6"/>
    <w:basedOn w:val="678"/>
    <w:uiPriority w:val="99"/>
    <w:qFormat/>
    <w:pPr>
      <w:jc w:val="left"/>
      <w:spacing w:before="100" w:beforeAutospacing="1" w:after="100" w:afterAutospacing="1"/>
      <w:widowControl/>
    </w:pPr>
    <w:rPr>
      <w:rFonts w:hint="eastAsia" w:ascii="宋体" w:hAnsi="宋体"/>
      <w:sz w:val="28"/>
      <w:szCs w:val="28"/>
      <w:u w:val="single"/>
    </w:rPr>
  </w:style>
  <w:style w:type="paragraph" w:styleId="963" w:customStyle="1">
    <w:name w:val="xl25"/>
    <w:basedOn w:val="678"/>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customStyle="1">
    <w:name w:val="图标"/>
    <w:basedOn w:val="678"/>
    <w:next w:val="67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5" w:customStyle="1">
    <w:name w:val="标题3"/>
    <w:basedOn w:val="678"/>
    <w:next w:val="678"/>
    <w:uiPriority w:val="0"/>
    <w:qFormat/>
    <w:pPr>
      <w:ind w:firstLine="624"/>
      <w:spacing w:line="590" w:lineRule="atLeast"/>
    </w:pPr>
    <w:rPr>
      <w:rFonts w:ascii="方正黑体_GBK" w:eastAsia="方正黑体_GBK"/>
      <w:sz w:val="32"/>
      <w:szCs w:val="32"/>
    </w:rPr>
  </w:style>
  <w:style w:type="paragraph" w:styleId="966" w:customStyle="1">
    <w:name w:val="xl24"/>
    <w:basedOn w:val="67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customStyle="1">
    <w:name w:val="xl29"/>
    <w:basedOn w:val="678"/>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8" w:customStyle="1">
    <w:name w:val="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969" w:customStyle="1">
    <w:name w:val="xl28"/>
    <w:basedOn w:val="678"/>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0" w:customStyle="1">
    <w:name w:val="Char Char Char Char Char Char Char Char11"/>
    <w:basedOn w:val="678"/>
    <w:uiPriority w:val="0"/>
    <w:qFormat/>
    <w:pPr>
      <w:jc w:val="left"/>
      <w:spacing w:after="160" w:line="240" w:lineRule="exact"/>
      <w:widowControl/>
    </w:pPr>
    <w:rPr>
      <w:rFonts w:ascii="Verdana" w:hAnsi="Verdana"/>
      <w:sz w:val="20"/>
      <w:szCs w:val="20"/>
      <w:lang w:eastAsia="en-US"/>
    </w:rPr>
  </w:style>
  <w:style w:type="paragraph" w:styleId="971" w:customStyle="1">
    <w:name w:val="xl30"/>
    <w:basedOn w:val="678"/>
    <w:uiPriority w:val="99"/>
    <w:qFormat/>
    <w:pPr>
      <w:jc w:val="center"/>
      <w:spacing w:before="100" w:beforeAutospacing="1" w:after="100" w:afterAutospacing="1"/>
      <w:widowControl/>
    </w:pPr>
    <w:rPr>
      <w:rFonts w:ascii="宋体" w:hAnsi="宋体"/>
      <w:b/>
      <w:bCs/>
      <w:sz w:val="36"/>
      <w:szCs w:val="36"/>
    </w:rPr>
  </w:style>
  <w:style w:type="paragraph" w:styleId="972" w:customStyle="1">
    <w:name w:val="Char Char Char Char11"/>
    <w:basedOn w:val="694"/>
    <w:uiPriority w:val="0"/>
    <w:qFormat/>
    <w:pPr>
      <w:spacing w:line="360" w:lineRule="auto"/>
    </w:pPr>
    <w:rPr>
      <w:rFonts w:ascii="Tahoma" w:hAnsi="Tahoma"/>
      <w:sz w:val="24"/>
      <w:szCs w:val="24"/>
    </w:rPr>
  </w:style>
  <w:style w:type="paragraph" w:styleId="973" w:customStyle="1">
    <w:name w:val="table_1stline"/>
    <w:basedOn w:val="678"/>
    <w:uiPriority w:val="0"/>
    <w:qFormat/>
    <w:pPr>
      <w:jc w:val="left"/>
      <w:spacing w:before="120"/>
      <w:widowControl/>
    </w:pPr>
    <w:rPr>
      <w:bCs/>
      <w:sz w:val="20"/>
      <w:szCs w:val="20"/>
      <w:lang w:val="de-DE" w:eastAsia="de-DE"/>
    </w:rPr>
  </w:style>
  <w:style w:type="paragraph" w:styleId="974" w:customStyle="1">
    <w:name w:val="font5"/>
    <w:basedOn w:val="678"/>
    <w:uiPriority w:val="99"/>
    <w:qFormat/>
    <w:pPr>
      <w:jc w:val="left"/>
      <w:spacing w:before="100" w:beforeAutospacing="1" w:after="100" w:afterAutospacing="1"/>
      <w:widowControl/>
    </w:pPr>
    <w:rPr>
      <w:rFonts w:hint="eastAsia" w:ascii="宋体" w:hAnsi="宋体"/>
      <w:sz w:val="28"/>
      <w:szCs w:val="28"/>
    </w:rPr>
  </w:style>
  <w:style w:type="paragraph" w:styleId="975" w:customStyle="1">
    <w:name w:val="标题1"/>
    <w:basedOn w:val="678"/>
    <w:next w:val="6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6" w:customStyle="1">
    <w:name w:val="修订1"/>
    <w:uiPriority w:val="99"/>
    <w:qFormat/>
    <w:rPr>
      <w:rFonts w:hint="default" w:ascii="Times New Roman" w:hAnsi="Times New Roman" w:eastAsia="宋体" w:cs="Times New Roman"/>
      <w:sz w:val="21"/>
      <w:szCs w:val="21"/>
      <w:lang w:val="en-US" w:eastAsia="zh-CN" w:bidi="ar-SA"/>
    </w:rPr>
  </w:style>
  <w:style w:type="paragraph" w:styleId="977" w:customStyle="1">
    <w:name w:val="普通文字"/>
    <w:basedOn w:val="678"/>
    <w:next w:val="678"/>
    <w:uiPriority w:val="99"/>
    <w:qFormat/>
    <w:rPr>
      <w:rFonts w:ascii="宋体"/>
      <w:sz w:val="24"/>
      <w:szCs w:val="20"/>
    </w:rPr>
  </w:style>
  <w:style w:type="paragraph" w:styleId="978" w:customStyle="1">
    <w:name w:val="目录 111"/>
    <w:basedOn w:val="678"/>
    <w:next w:val="678"/>
    <w:uiPriority w:val="39"/>
    <w:unhideWhenUsed/>
    <w:qFormat/>
    <w:pPr>
      <w:jc w:val="left"/>
      <w:spacing w:after="100" w:line="259" w:lineRule="auto"/>
      <w:widowControl/>
    </w:pPr>
    <w:rPr>
      <w:rFonts w:ascii="Calibri" w:hAnsi="Calibri"/>
      <w:sz w:val="22"/>
      <w:szCs w:val="22"/>
    </w:rPr>
  </w:style>
  <w:style w:type="paragraph" w:styleId="979" w:customStyle="1">
    <w:name w:val="font8"/>
    <w:basedOn w:val="678"/>
    <w:uiPriority w:val="99"/>
    <w:qFormat/>
    <w:pPr>
      <w:jc w:val="left"/>
      <w:spacing w:before="100" w:beforeAutospacing="1" w:after="100" w:afterAutospacing="1"/>
      <w:widowControl/>
    </w:pPr>
    <w:rPr>
      <w:rFonts w:ascii="宋体" w:hAnsi="宋体"/>
      <w:b/>
      <w:bCs/>
      <w:i/>
      <w:iCs/>
      <w:sz w:val="20"/>
      <w:szCs w:val="20"/>
    </w:rPr>
  </w:style>
  <w:style w:type="paragraph" w:styleId="980" w:customStyle="1">
    <w:name w:val="font9"/>
    <w:basedOn w:val="678"/>
    <w:uiPriority w:val="99"/>
    <w:qFormat/>
    <w:pPr>
      <w:jc w:val="left"/>
      <w:spacing w:before="100" w:beforeAutospacing="1" w:after="100" w:afterAutospacing="1"/>
      <w:widowControl/>
    </w:pPr>
    <w:rPr>
      <w:b/>
      <w:bCs/>
      <w:sz w:val="20"/>
      <w:szCs w:val="20"/>
    </w:rPr>
  </w:style>
  <w:style w:type="paragraph" w:styleId="981" w:customStyle="1">
    <w:name w:val="xl31"/>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982" w:customStyle="1">
    <w:name w:val="xl32"/>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83" w:customStyle="1">
    <w:name w:val="xl33"/>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84" w:customStyle="1">
    <w:name w:val="xl34"/>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85" w:customStyle="1">
    <w:name w:val="xl35"/>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986" w:customStyle="1">
    <w:name w:val="xl36"/>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87" w:customStyle="1">
    <w:name w:val="xl37"/>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988" w:customStyle="1">
    <w:name w:val="xl38"/>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89" w:customStyle="1">
    <w:name w:val="xl39"/>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0" w:customStyle="1">
    <w:name w:val="xl40"/>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91" w:customStyle="1">
    <w:name w:val="xl41"/>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92" w:customStyle="1">
    <w:name w:val="xl42"/>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93" w:customStyle="1">
    <w:name w:val="xl43"/>
    <w:basedOn w:val="67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994" w:customStyle="1">
    <w:name w:val="xl44"/>
    <w:basedOn w:val="67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995" w:customStyle="1">
    <w:name w:val="xl45"/>
    <w:basedOn w:val="678"/>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996" w:customStyle="1">
    <w:name w:val="xl46"/>
    <w:basedOn w:val="678"/>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997" w:customStyle="1">
    <w:name w:val="xl47"/>
    <w:basedOn w:val="67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8" w:customStyle="1">
    <w:name w:val="xl48"/>
    <w:basedOn w:val="678"/>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999" w:customStyle="1">
    <w:name w:val="xl49"/>
    <w:basedOn w:val="678"/>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00" w:customStyle="1">
    <w:name w:val="xl50"/>
    <w:basedOn w:val="67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01" w:customStyle="1">
    <w:name w:val="xl51"/>
    <w:basedOn w:val="67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02" w:customStyle="1">
    <w:name w:val="xl52"/>
    <w:basedOn w:val="678"/>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03" w:customStyle="1">
    <w:name w:val="xl53"/>
    <w:basedOn w:val="67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04" w:customStyle="1">
    <w:name w:val="xl54"/>
    <w:basedOn w:val="67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05" w:customStyle="1">
    <w:name w:val="xl55"/>
    <w:basedOn w:val="678"/>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06" w:customStyle="1">
    <w:name w:val="xl56"/>
    <w:basedOn w:val="67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07" w:customStyle="1">
    <w:name w:val="xl57"/>
    <w:basedOn w:val="678"/>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08" w:customStyle="1">
    <w:name w:val="xl58"/>
    <w:basedOn w:val="678"/>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09" w:customStyle="1">
    <w:name w:val="xl59"/>
    <w:basedOn w:val="67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10" w:customStyle="1">
    <w:name w:val="xl60"/>
    <w:basedOn w:val="67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11" w:customStyle="1">
    <w:name w:val="xl61"/>
    <w:basedOn w:val="678"/>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12" w:customStyle="1">
    <w:name w:val="xl62"/>
    <w:basedOn w:val="67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13" w:customStyle="1">
    <w:name w:val="xl63"/>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14" w:customStyle="1">
    <w:name w:val="font10"/>
    <w:basedOn w:val="678"/>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15" w:customStyle="1">
    <w:name w:val="font11"/>
    <w:basedOn w:val="678"/>
    <w:uiPriority w:val="99"/>
    <w:qFormat/>
    <w:pPr>
      <w:jc w:val="left"/>
      <w:spacing w:before="100" w:beforeAutospacing="1" w:after="100" w:afterAutospacing="1"/>
      <w:widowControl/>
    </w:pPr>
    <w:rPr>
      <w:b/>
      <w:bCs/>
      <w:sz w:val="18"/>
      <w:szCs w:val="18"/>
    </w:rPr>
  </w:style>
  <w:style w:type="paragraph" w:styleId="1016" w:customStyle="1">
    <w:name w:val="font12"/>
    <w:basedOn w:val="678"/>
    <w:uiPriority w:val="99"/>
    <w:qFormat/>
    <w:pPr>
      <w:jc w:val="left"/>
      <w:spacing w:before="100" w:beforeAutospacing="1" w:after="100" w:afterAutospacing="1"/>
      <w:widowControl/>
    </w:pPr>
    <w:rPr>
      <w:rFonts w:ascii="宋体" w:hAnsi="宋体"/>
      <w:sz w:val="36"/>
      <w:szCs w:val="36"/>
    </w:rPr>
  </w:style>
  <w:style w:type="paragraph" w:styleId="1017" w:customStyle="1">
    <w:name w:val="font13"/>
    <w:basedOn w:val="678"/>
    <w:uiPriority w:val="99"/>
    <w:qFormat/>
    <w:pPr>
      <w:jc w:val="left"/>
      <w:spacing w:before="100" w:beforeAutospacing="1" w:after="100" w:afterAutospacing="1"/>
      <w:widowControl/>
    </w:pPr>
    <w:rPr>
      <w:i/>
      <w:iCs/>
      <w:sz w:val="36"/>
      <w:szCs w:val="36"/>
    </w:rPr>
  </w:style>
  <w:style w:type="paragraph" w:styleId="1018" w:customStyle="1">
    <w:name w:val="font14"/>
    <w:basedOn w:val="678"/>
    <w:uiPriority w:val="99"/>
    <w:qFormat/>
    <w:pPr>
      <w:jc w:val="left"/>
      <w:spacing w:before="100" w:beforeAutospacing="1" w:after="100" w:afterAutospacing="1"/>
      <w:widowControl/>
    </w:pPr>
    <w:rPr>
      <w:sz w:val="36"/>
      <w:szCs w:val="36"/>
    </w:rPr>
  </w:style>
  <w:style w:type="character" w:styleId="1019" w:customStyle="1">
    <w:name w:val="case31"/>
    <w:uiPriority w:val="99"/>
    <w:qFormat/>
    <w:rPr>
      <w:rFonts w:cs="Times New Roman"/>
      <w:spacing w:val="390"/>
      <w:sz w:val="21"/>
      <w:szCs w:val="21"/>
    </w:rPr>
  </w:style>
  <w:style w:type="paragraph" w:styleId="1020" w:customStyle="1">
    <w:name w:val="默认段落字体 Para Char"/>
    <w:basedOn w:val="678"/>
    <w:uiPriority w:val="99"/>
    <w:qFormat/>
    <w:pPr>
      <w:ind w:left="552" w:hanging="420"/>
      <w:tabs>
        <w:tab w:val="left" w:pos="552" w:leader="none"/>
      </w:tabs>
    </w:pPr>
    <w:rPr>
      <w:sz w:val="24"/>
      <w:szCs w:val="24"/>
    </w:rPr>
  </w:style>
  <w:style w:type="paragraph" w:styleId="1021" w:customStyle="1">
    <w:name w:val="Char Char1 Char Char Char Char"/>
    <w:basedOn w:val="694"/>
    <w:uiPriority w:val="99"/>
    <w:qFormat/>
    <w:pPr>
      <w:ind w:left="357"/>
      <w:jc w:val="left"/>
      <w:spacing w:line="436" w:lineRule="exact"/>
      <w:outlineLvl w:val="3"/>
    </w:pPr>
    <w:rPr>
      <w:rFonts w:ascii="Tahoma" w:hAnsi="Tahoma"/>
      <w:b/>
      <w:sz w:val="24"/>
      <w:szCs w:val="24"/>
    </w:rPr>
  </w:style>
  <w:style w:type="character" w:styleId="1022" w:customStyle="1">
    <w:name w:val="apple-converted-space"/>
    <w:uiPriority w:val="0"/>
    <w:qFormat/>
  </w:style>
  <w:style w:type="character" w:styleId="1023" w:customStyle="1">
    <w:name w:val="grame"/>
    <w:uiPriority w:val="0"/>
    <w:qFormat/>
  </w:style>
  <w:style w:type="character" w:styleId="1024">
    <w:name w:val="Placeholder Text"/>
    <w:uiPriority w:val="99"/>
    <w:unhideWhenUsed/>
    <w:qFormat/>
    <w:rPr>
      <w:color w:val="808080"/>
    </w:rPr>
  </w:style>
  <w:style w:type="paragraph" w:styleId="1025" w:customStyle="1">
    <w:name w:val="Char Char2 Char"/>
    <w:basedOn w:val="678"/>
    <w:uiPriority w:val="0"/>
    <w:qFormat/>
    <w:pPr>
      <w:ind w:left="390" w:hanging="390"/>
      <w:keepLines/>
      <w:keepNext/>
      <w:pageBreakBefore/>
      <w:tabs>
        <w:tab w:val="left" w:pos="390" w:leader="none"/>
      </w:tabs>
    </w:pPr>
    <w:rPr>
      <w:rFonts w:ascii="Tahoma" w:hAnsi="Tahoma"/>
      <w:sz w:val="24"/>
      <w:szCs w:val="20"/>
    </w:rPr>
  </w:style>
  <w:style w:type="table" w:styleId="1026" w:customStyle="1">
    <w:name w:val="Table Normal"/>
    <w:uiPriority w:val="0"/>
    <w:unhideWhenUsed/>
    <w:qFormat/>
    <w:tblPr>
      <w:tblCellMar>
        <w:left w:w="0" w:type="dxa"/>
        <w:top w:w="0" w:type="dxa"/>
        <w:right w:w="0" w:type="dxa"/>
        <w:bottom w:w="0" w:type="dxa"/>
      </w:tblCellMar>
    </w:tblPr>
  </w:style>
  <w:style w:type="character" w:styleId="1027" w:customStyle="1">
    <w:name w:val="font61"/>
    <w:uiPriority w:val="0"/>
    <w:qFormat/>
    <w:rPr>
      <w:rFonts w:ascii="宋体" w:hAnsi="宋体" w:eastAsia="宋体"/>
      <w:color w:val="000000"/>
      <w:sz w:val="21"/>
      <w:u w:val="none"/>
    </w:rPr>
  </w:style>
  <w:style w:type="paragraph" w:styleId="1028"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29" w:customStyle="1">
    <w:name w:val="TOC Heading1"/>
    <w:next w:val="678"/>
    <w:uiPriority w:val="0"/>
    <w:qFormat/>
    <w:rPr>
      <w:rFonts w:hint="default" w:ascii="Times New Roman" w:hAnsi="Times New Roman" w:eastAsia="宋体" w:cs="Times New Roman"/>
      <w:sz w:val="32"/>
      <w:lang w:val="en-US" w:eastAsia="zh-CN" w:bidi="ar-SA"/>
    </w:rPr>
  </w:style>
  <w:style w:type="character" w:styleId="1030" w:customStyle="1">
    <w:name w:val="font31"/>
    <w:basedOn w:val="688"/>
    <w:uiPriority w:val="0"/>
    <w:qFormat/>
    <w:rPr>
      <w:rFonts w:hint="eastAsia" w:ascii="宋体" w:hAnsi="宋体" w:eastAsia="宋体" w:cs="宋体"/>
      <w:color w:val="ff0000"/>
      <w:sz w:val="20"/>
      <w:szCs w:val="20"/>
      <w:u w:val="none"/>
    </w:rPr>
  </w:style>
  <w:style w:type="character" w:styleId="1031" w:customStyle="1">
    <w:name w:val="font21"/>
    <w:uiPriority w:val="0"/>
    <w:qFormat/>
    <w:rPr>
      <w:rFonts w:hint="eastAsia" w:ascii="宋体" w:hAnsi="宋体" w:eastAsia="宋体" w:cs="宋体"/>
      <w:color w:val="000000"/>
      <w:sz w:val="20"/>
      <w:szCs w:val="20"/>
      <w:u w:val="none"/>
    </w:rPr>
  </w:style>
  <w:style w:type="paragraph" w:styleId="1032" w:customStyle="1">
    <w:name w:val="lp1"/>
    <w:basedOn w:val="678"/>
    <w:next w:val="777"/>
    <w:uiPriority w:val="99"/>
    <w:qFormat/>
    <w:pPr>
      <w:ind w:firstLine="420"/>
    </w:pPr>
    <w:rPr>
      <w:szCs w:val="20"/>
      <w:lang w:val="zh-CN"/>
    </w:rPr>
  </w:style>
  <w:style w:type="paragraph" w:styleId="1033" w:customStyle="1">
    <w:name w:val="样式 小四 段前: 5 磅 段后: 5 磅 首行缩进:  2 字符"/>
    <w:basedOn w:val="678"/>
    <w:uiPriority w:val="0"/>
    <w:qFormat/>
    <w:pPr>
      <w:jc w:val="center"/>
      <w:spacing w:line="360" w:lineRule="auto"/>
    </w:pPr>
    <w:rPr>
      <w:rFonts w:ascii="宋体" w:hAnsi="宋体"/>
      <w:bCs/>
      <w:color w:val="ff0000"/>
      <w:sz w:val="24"/>
      <w:szCs w:val="24"/>
    </w:rPr>
  </w:style>
  <w:style w:type="character" w:styleId="1034" w:customStyle="1">
    <w:name w:val="font01"/>
    <w:uiPriority w:val="0"/>
    <w:qFormat/>
    <w:rPr>
      <w:rFonts w:hint="eastAsia" w:ascii="宋体" w:hAnsi="宋体" w:eastAsia="宋体" w:cs="宋体"/>
      <w:color w:val="000000"/>
      <w:sz w:val="18"/>
      <w:szCs w:val="18"/>
      <w:u w:val="none"/>
    </w:rPr>
  </w:style>
  <w:style w:type="character" w:styleId="1035" w:customStyle="1">
    <w:name w:val="font51"/>
    <w:basedOn w:val="688"/>
    <w:uiPriority w:val="0"/>
    <w:qFormat/>
    <w:rPr>
      <w:rFonts w:hint="eastAsia" w:ascii="宋体" w:hAnsi="宋体" w:eastAsia="宋体" w:cs="宋体"/>
      <w:color w:val="ff0000"/>
      <w:sz w:val="18"/>
      <w:szCs w:val="18"/>
      <w:u w:val="none"/>
    </w:rPr>
  </w:style>
  <w:style w:type="paragraph" w:styleId="1036" w:customStyle="1">
    <w:name w:val="修订111"/>
    <w:uiPriority w:val="99"/>
    <w:qFormat/>
    <w:rPr>
      <w:rFonts w:hint="default" w:ascii="Times New Roman" w:hAnsi="Times New Roman" w:eastAsia="宋体" w:cs="Times New Roman"/>
      <w:sz w:val="21"/>
      <w:lang w:val="en-US" w:eastAsia="zh-CN" w:bidi="ar-SA"/>
    </w:rPr>
  </w:style>
  <w:style w:type="character" w:styleId="1037" w:customStyle="1">
    <w:name w:val="font71"/>
    <w:uiPriority w:val="0"/>
    <w:qFormat/>
    <w:rPr>
      <w:rFonts w:hint="eastAsia" w:ascii="宋体" w:hAnsi="宋体" w:eastAsia="宋体" w:cs="宋体"/>
      <w:b/>
      <w:bCs/>
      <w:color w:val="000000"/>
      <w:sz w:val="20"/>
      <w:szCs w:val="20"/>
      <w:u w:val="none"/>
    </w:rPr>
  </w:style>
  <w:style w:type="paragraph" w:styleId="1038" w:customStyle="1">
    <w:name w:val="正文2"/>
    <w:basedOn w:val="678"/>
    <w:uiPriority w:val="0"/>
    <w:qFormat/>
    <w:pPr>
      <w:ind w:firstLine="510"/>
      <w:spacing w:before="156" w:line="360" w:lineRule="auto"/>
    </w:pPr>
    <w:rPr>
      <w:sz w:val="24"/>
    </w:rPr>
  </w:style>
  <w:style w:type="character" w:styleId="1039" w:customStyle="1">
    <w:name w:val="标题 3 字符1"/>
    <w:link w:val="1040"/>
    <w:uiPriority w:val="0"/>
    <w:qFormat/>
    <w:rPr>
      <w:b/>
      <w:sz w:val="32"/>
    </w:rPr>
  </w:style>
  <w:style w:type="paragraph" w:styleId="1040" w:customStyle="1">
    <w:name w:val="标题 31"/>
    <w:basedOn w:val="678"/>
    <w:next w:val="1041"/>
    <w:link w:val="1039"/>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041" w:customStyle="1">
    <w:name w:val="正文缩进1"/>
    <w:basedOn w:val="678"/>
    <w:uiPriority w:val="0"/>
    <w:qFormat/>
    <w:pPr>
      <w:ind w:firstLine="420"/>
    </w:pPr>
    <w:rPr>
      <w:sz w:val="20"/>
      <w:lang w:eastAsia="en-US"/>
    </w:rPr>
  </w:style>
  <w:style w:type="paragraph" w:styleId="1042" w:customStyle="1">
    <w:name w:val="列表段落1"/>
    <w:basedOn w:val="678"/>
    <w:uiPriority w:val="0"/>
    <w:qFormat/>
    <w:pPr>
      <w:ind w:firstLine="420"/>
      <w:jc w:val="left"/>
      <w:spacing w:line="360" w:lineRule="auto"/>
      <w:widowControl/>
    </w:pPr>
    <w:rPr>
      <w:rFonts w:asciiTheme="minorEastAsia" w:hAnsiTheme="minorEastAsia" w:eastAsiaTheme="minorEastAsia"/>
      <w:sz w:val="24"/>
      <w:szCs w:val="22"/>
    </w:rPr>
  </w:style>
  <w:style w:type="character" w:styleId="1043" w:customStyle="1">
    <w:name w:val="font81"/>
    <w:basedOn w:val="688"/>
    <w:uiPriority w:val="0"/>
    <w:qFormat/>
    <w:rPr>
      <w:rFonts w:hint="eastAsia" w:ascii="宋体" w:hAnsi="宋体" w:eastAsia="宋体" w:cs="宋体"/>
      <w:color w:val="000000"/>
      <w:sz w:val="20"/>
      <w:szCs w:val="20"/>
      <w:u w:val="none"/>
    </w:rPr>
  </w:style>
  <w:style w:type="character" w:styleId="1044" w:customStyle="1">
    <w:name w:val="font171"/>
    <w:uiPriority w:val="0"/>
    <w:qFormat/>
    <w:rPr>
      <w:rFonts w:hint="eastAsia" w:ascii="宋体" w:hAnsi="宋体" w:eastAsia="宋体" w:cs="宋体"/>
      <w:b/>
      <w:bCs/>
      <w:color w:val="ff0000"/>
      <w:sz w:val="20"/>
      <w:szCs w:val="20"/>
      <w:u w:val="none"/>
    </w:rPr>
  </w:style>
  <w:style w:type="character" w:styleId="1045" w:customStyle="1">
    <w:name w:val="无间隔 字符"/>
    <w:basedOn w:val="688"/>
    <w:link w:val="778"/>
    <w:uiPriority w:val="1"/>
    <w:qFormat/>
    <w:rPr>
      <w:sz w:val="21"/>
      <w:szCs w:val="21"/>
    </w:rPr>
  </w:style>
  <w:style w:type="paragraph" w:styleId="1046" w:customStyle="1">
    <w:name w:val="TOC 标题11"/>
    <w:uiPriority w:val="39"/>
    <w:unhideWhenUsed/>
    <w:qFormat/>
    <w:rPr>
      <w:rFonts w:hint="default" w:ascii="Times New Roman" w:hAnsi="Times New Roman" w:eastAsia="宋体" w:cs="Times New Roman"/>
      <w:lang w:val="en-US" w:eastAsia="zh-CN" w:bidi="ar-SA"/>
    </w:rPr>
  </w:style>
  <w:style w:type="character" w:styleId="1047" w:customStyle="1">
    <w:name w:val="已访问的超链接1"/>
    <w:uiPriority w:val="0"/>
    <w:qFormat/>
    <w:rPr>
      <w:color w:val="800080"/>
      <w:u w:val="single"/>
    </w:rPr>
  </w:style>
  <w:style w:type="paragraph" w:styleId="1048" w:customStyle="1">
    <w:name w:val="Char1"/>
    <w:basedOn w:val="694"/>
    <w:uiPriority w:val="0"/>
    <w:qFormat/>
    <w:rPr>
      <w:rFonts w:ascii="Tahoma" w:hAnsi="Tahoma"/>
      <w:sz w:val="24"/>
      <w:szCs w:val="24"/>
    </w:rPr>
  </w:style>
  <w:style w:type="paragraph" w:styleId="1049" w:customStyle="1">
    <w:name w:val="Char Char Char Char Char Char Char Char1"/>
    <w:basedOn w:val="678"/>
    <w:uiPriority w:val="0"/>
    <w:qFormat/>
    <w:pPr>
      <w:jc w:val="left"/>
      <w:spacing w:after="160" w:line="240" w:lineRule="exact"/>
      <w:widowControl/>
    </w:pPr>
    <w:rPr>
      <w:rFonts w:ascii="Verdana" w:hAnsi="Verdana"/>
      <w:sz w:val="20"/>
      <w:szCs w:val="20"/>
      <w:lang w:eastAsia="en-US"/>
    </w:rPr>
  </w:style>
  <w:style w:type="paragraph" w:styleId="1050" w:customStyle="1">
    <w:name w:val="Char Char Char Char1"/>
    <w:basedOn w:val="694"/>
    <w:uiPriority w:val="99"/>
    <w:qFormat/>
    <w:pPr>
      <w:spacing w:line="360" w:lineRule="auto"/>
    </w:pPr>
    <w:rPr>
      <w:rFonts w:ascii="Tahoma" w:hAnsi="Tahoma"/>
      <w:sz w:val="24"/>
      <w:szCs w:val="24"/>
    </w:rPr>
  </w:style>
  <w:style w:type="paragraph" w:styleId="105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2" w:customStyle="1">
    <w:name w:val="修订11"/>
    <w:uiPriority w:val="99"/>
    <w:semiHidden/>
    <w:qFormat/>
    <w:rPr>
      <w:rFonts w:hint="default" w:ascii="Times New Roman" w:hAnsi="Times New Roman" w:eastAsia="宋体" w:cs="Times New Roman"/>
      <w:sz w:val="21"/>
      <w:lang w:val="en-US" w:eastAsia="zh-CN" w:bidi="ar-SA"/>
    </w:rPr>
  </w:style>
  <w:style w:type="character" w:styleId="1053" w:customStyle="1">
    <w:name w:val="font112"/>
    <w:basedOn w:val="688"/>
    <w:uiPriority w:val="0"/>
    <w:qFormat/>
    <w:rPr>
      <w:rFonts w:ascii="Calibri" w:hAnsi="Calibri" w:cs="Calibri"/>
      <w:color w:val="000000"/>
      <w:sz w:val="22"/>
      <w:szCs w:val="22"/>
      <w:u w:val="none"/>
    </w:rPr>
  </w:style>
  <w:style w:type="character" w:styleId="1054" w:customStyle="1">
    <w:name w:val="font121"/>
    <w:basedOn w:val="688"/>
    <w:uiPriority w:val="0"/>
    <w:qFormat/>
    <w:rPr>
      <w:rFonts w:hint="default" w:ascii="Calibri" w:hAnsi="Calibri" w:cs="Calibri"/>
      <w:color w:val="ff0000"/>
      <w:sz w:val="22"/>
      <w:szCs w:val="22"/>
      <w:u w:val="none"/>
    </w:rPr>
  </w:style>
  <w:style w:type="character" w:styleId="1055" w:customStyle="1">
    <w:name w:val="font131"/>
    <w:basedOn w:val="688"/>
    <w:uiPriority w:val="0"/>
    <w:qFormat/>
    <w:rPr>
      <w:rFonts w:hint="eastAsia" w:ascii="宋体" w:hAnsi="宋体" w:eastAsia="宋体" w:cs="宋体"/>
      <w:color w:val="0070c0"/>
      <w:sz w:val="22"/>
      <w:szCs w:val="22"/>
      <w:u w:val="none"/>
    </w:rPr>
  </w:style>
  <w:style w:type="character" w:styleId="1056" w:customStyle="1">
    <w:name w:val="font141"/>
    <w:basedOn w:val="688"/>
    <w:uiPriority w:val="0"/>
    <w:qFormat/>
    <w:rPr>
      <w:rFonts w:hint="eastAsia" w:ascii="宋体" w:hAnsi="宋体" w:eastAsia="宋体" w:cs="宋体"/>
      <w:b/>
      <w:bCs/>
      <w:color w:val="ff0000"/>
      <w:sz w:val="22"/>
      <w:szCs w:val="22"/>
      <w:u w:val="none"/>
    </w:rPr>
  </w:style>
  <w:style w:type="character" w:styleId="1057" w:customStyle="1">
    <w:name w:val="font151"/>
    <w:basedOn w:val="688"/>
    <w:uiPriority w:val="0"/>
    <w:qFormat/>
    <w:rPr>
      <w:rFonts w:hint="default" w:ascii="Calibri" w:hAnsi="Calibri" w:cs="Calibri"/>
      <w:color w:val="000000"/>
      <w:sz w:val="22"/>
      <w:szCs w:val="22"/>
      <w:u w:val="none"/>
    </w:rPr>
  </w:style>
  <w:style w:type="character" w:styleId="1058" w:customStyle="1">
    <w:name w:val="font161"/>
    <w:basedOn w:val="688"/>
    <w:uiPriority w:val="0"/>
    <w:qFormat/>
    <w:rPr>
      <w:rFonts w:hint="default" w:ascii="Calibri" w:hAnsi="Calibri" w:cs="Calibri"/>
      <w:color w:val="000000"/>
      <w:sz w:val="22"/>
      <w:szCs w:val="22"/>
      <w:u w:val="none"/>
    </w:rPr>
  </w:style>
  <w:style w:type="character" w:styleId="1059" w:customStyle="1">
    <w:name w:val="font181"/>
    <w:basedOn w:val="688"/>
    <w:uiPriority w:val="0"/>
    <w:qFormat/>
    <w:rPr>
      <w:rFonts w:hint="default" w:ascii="Times New Roman" w:hAnsi="Times New Roman" w:cs="Times New Roman"/>
      <w:color w:val="ff0000"/>
      <w:sz w:val="22"/>
      <w:szCs w:val="22"/>
      <w:u w:val="none"/>
    </w:rPr>
  </w:style>
  <w:style w:type="paragraph" w:styleId="1060" w:customStyle="1">
    <w:name w:val="正文1"/>
    <w:basedOn w:val="678"/>
    <w:uiPriority w:val="0"/>
    <w:qFormat/>
    <w:pPr>
      <w:jc w:val="left"/>
      <w:spacing w:after="200" w:line="300" w:lineRule="atLeast"/>
      <w:widowControl/>
    </w:pPr>
    <w:rPr>
      <w:rFonts w:cs="宋体"/>
      <w:sz w:val="22"/>
    </w:rPr>
  </w:style>
  <w:style w:type="table" w:styleId="1061" w:customStyle="1">
    <w:name w:val="网格型1"/>
    <w:basedOn w:val="1062"/>
    <w:uiPriority w:val="0"/>
    <w:qFormat/>
    <w:pPr>
      <w:jc w:val="both"/>
      <w:widowControl w:val="off"/>
    </w:pPr>
    <w:tblPr/>
  </w:style>
  <w:style w:type="table" w:styleId="1062" w:customStyle="1">
    <w:name w:val="普通表格1"/>
    <w:uiPriority w:val="0"/>
    <w:semiHidden/>
    <w:qFormat/>
    <w:tblPr/>
  </w:style>
  <w:style w:type="paragraph" w:styleId="1063" w:customStyle="1">
    <w:name w:val="正文文本缩进 21"/>
    <w:basedOn w:val="678"/>
    <w:uiPriority w:val="0"/>
    <w:qFormat/>
    <w:pPr>
      <w:ind w:left="420"/>
      <w:spacing w:after="120" w:line="480" w:lineRule="auto"/>
    </w:pPr>
  </w:style>
  <w:style w:type="character" w:styleId="1064"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65" w:customStyle="1">
    <w:name w:val="HTML 打字机1"/>
    <w:uiPriority w:val="99"/>
    <w:qFormat/>
    <w:rPr>
      <w:rFonts w:ascii="宋体" w:hAnsi="宋体" w:eastAsia="宋体" w:cs="宋体"/>
      <w:sz w:val="24"/>
      <w:szCs w:val="24"/>
    </w:rPr>
  </w:style>
  <w:style w:type="character" w:styleId="1066" w:customStyle="1">
    <w:name w:val="标题 1 Char"/>
    <w:link w:val="679"/>
    <w:uiPriority w:val="0"/>
    <w:qFormat/>
    <w:rPr>
      <w:b/>
      <w:sz w:val="44"/>
    </w:rPr>
  </w:style>
  <w:style w:type="paragraph" w:styleId="1067" w:customStyle="1">
    <w:name w:val="标题 41"/>
    <w:basedOn w:val="678"/>
    <w:next w:val="1041"/>
    <w:uiPriority w:val="0"/>
    <w:qFormat/>
    <w:pPr>
      <w:keepLines/>
      <w:keepNext/>
      <w:spacing w:before="280" w:after="290" w:line="376" w:lineRule="auto"/>
      <w:outlineLvl w:val="3"/>
    </w:pPr>
    <w:rPr>
      <w:rFonts w:ascii="Arial" w:hAnsi="Arial" w:eastAsia="黑体"/>
      <w:b/>
      <w:bCs/>
      <w:sz w:val="28"/>
      <w:szCs w:val="28"/>
      <w:lang w:eastAsia="en-US"/>
    </w:rPr>
  </w:style>
  <w:style w:type="paragraph" w:styleId="106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87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53fa58d5-b9b4-4a95-bc3d-09dbbb05b00c</errorID>
      <errorWord>-</errorWord>
      <group>L1_Format</group>
      <groupName>格式问题</groupName>
      <ability>L2_HalfPunc_CN</ability>
      <abilityName>全半角问题</abilityName>
      <candidateList>
        <item>－</item>
      </candidateList>
      <explain>文本全半角错误。</explain>
      <paraID>2363DC1B</paraID>
      <start>82</start>
      <end>83</end>
      <status>unmodified</status>
      <modifiedWord/>
      <trackRevisions>false</trackRevisions>
    </reviewItem>
    <reviewItem>
      <errorID>7bd878a3-ad00-4c45-9491-99af68207afc</errorID>
      <errorWord>-</errorWord>
      <group>L1_Format</group>
      <groupName>格式问题</groupName>
      <ability>L2_HalfPunc_CN</ability>
      <abilityName>全半角问题</abilityName>
      <candidateList>
        <item>－</item>
      </candidateList>
      <explain>文本全半角错误。</explain>
      <paraID>2363DC1B</paraID>
      <start>83</start>
      <end>84</end>
      <status>unmodified</status>
      <modifiedWord/>
      <trackRevisions>false</trackRevisions>
    </reviewItem>
    <reviewItem>
      <errorID>28812a65-93c8-4607-a38e-b557af851c46</errorID>
      <errorWord>-</errorWord>
      <group>L1_Format</group>
      <groupName>格式问题</groupName>
      <ability>L2_HalfPunc_CN</ability>
      <abilityName>全半角问题</abilityName>
      <candidateList>
        <item>－</item>
      </candidateList>
      <explain>文本全半角错误。</explain>
      <paraID>2363DC1B</paraID>
      <start>89</start>
      <end>90</end>
      <status>unmodified</status>
      <modifiedWord/>
      <trackRevisions>false</trackRevisions>
    </reviewItem>
    <reviewItem>
      <errorID>d6195c5a-c99e-42bd-81df-dc665ff2b071</errorID>
      <errorWord>-</errorWord>
      <group>L1_Format</group>
      <groupName>格式问题</groupName>
      <ability>L2_HalfPunc_CN</ability>
      <abilityName>全半角问题</abilityName>
      <candidateList>
        <item>－</item>
      </candidateList>
      <explain>文本全半角错误。</explain>
      <paraID>2363DC1B</paraID>
      <start>90</start>
      <end>91</end>
      <status>unmodified</status>
      <modifiedWord/>
      <trackRevisions>false</trackRevisions>
    </reviewItem>
    <reviewItem>
      <errorID>3b277f2d-f31f-4c97-a302-0e8a14688158</errorID>
      <errorWord>做</errorWord>
      <group>L1_Word</group>
      <groupName>字词问题</groupName>
      <ability>L2_Typo</ability>
      <abilityName>字词错误</abilityName>
      <candidateList>
        <item>作</item>
      </candidateList>
      <explain>存在发音相同字词的误用。</explain>
      <paraID> F48F9FA</paraID>
      <start>70</start>
      <end>71</end>
      <status>unmodified</status>
      <modifiedWord/>
      <trackRevisions>false</trackRevisions>
    </reviewItem>
    <reviewItem>
      <errorID>03a14f7e-af79-410b-922b-ca946a581ff0</errorID>
      <errorWord>&lt;</errorWord>
      <group>L1_Format</group>
      <groupName>格式问题</groupName>
      <ability>L2_HalfPunc_CN</ability>
      <abilityName>全半角问题</abilityName>
      <candidateList>
        <item>〈</item>
      </candidateList>
      <explain>文本全半角错误。</explain>
      <paraID>4FDCE3CC</paraID>
      <start>49</start>
      <end>50</end>
      <status>unmodified</status>
      <modifiedWord/>
      <trackRevisions>false</trackRevisions>
    </reviewItem>
    <reviewItem>
      <errorID>4102bce0-0e3c-41fc-b1a3-97f97ae90a0d</errorID>
      <errorWord>&lt;</errorWord>
      <group>L1_Format</group>
      <groupName>格式问题</groupName>
      <ability>L2_HalfPunc_CN</ability>
      <abilityName>全半角问题</abilityName>
      <candidateList>
        <item>〈</item>
      </candidateList>
      <explain>文本全半角错误。</explain>
      <paraID>77C4C63C</paraID>
      <start>49</start>
      <end>50</end>
      <status>unmodified</status>
      <modifiedWord/>
      <trackRevisions>false</trackRevisions>
    </reviewItem>
    <reviewItem>
      <errorID>f631667e-c96c-4ef5-b808-c84ab0c1b69c</errorID>
      <errorWord>&lt;</errorWord>
      <group>L1_Format</group>
      <groupName>格式问题</groupName>
      <ability>L2_HalfPunc_CN</ability>
      <abilityName>全半角问题</abilityName>
      <candidateList>
        <item>〈</item>
      </candidateList>
      <explain>文本全半角错误。</explain>
      <paraID>28DA828F</paraID>
      <start>34</start>
      <end>35</end>
      <status>unmodified</status>
      <modifiedWord/>
      <trackRevisions>false</trackRevisions>
    </reviewItem>
    <reviewItem>
      <errorID>dee5f26f-a628-4320-acea-3ffafdd98780</errorID>
      <errorWord>国家发改委</errorWord>
      <group>L1_Knowledge</group>
      <groupName>知识性问题</groupName>
      <ability>L2_Knowledge</ability>
      <abilityName>其他知识</abilityName>
      <candidateList>
        <item>国家发展改革委</item>
      </candidateList>
      <explain/>
      <paraID>511C459B</paraID>
      <start>20</start>
      <end>25</end>
      <status>unmodified</status>
      <modifiedWord/>
      <trackRevisions>false</trackRevisions>
    </reviewItem>
    <reviewItem>
      <errorID>248c52f7-ea28-47b2-b7b6-da87078831ef</errorID>
      <errorWord>属</errorWord>
      <group>L1_Word</group>
      <groupName>字词问题</groupName>
      <ability>L2_Typo</ability>
      <abilityName>字词错误</abilityName>
      <candidateList>
        <item>属于</item>
      </candidateList>
      <explain/>
      <paraID>25CD81BE</paraID>
      <start>22</start>
      <end>23</end>
      <status>unmodified</status>
      <modifiedWord/>
      <trackRevisions>false</trackRevisions>
    </reviewItem>
    <reviewItem>
      <errorID>932ddf48-b6cd-4b5e-8041-f528546765b6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319A5C14</paraID>
      <start>99</start>
      <end>103</end>
      <status>unmodified</status>
      <modifiedWord/>
      <trackRevisions>false</trackRevisions>
    </reviewItem>
    <reviewItem>
      <errorID>dca75c02-3258-4aec-90bf-ffa10c8f3087</errorID>
      <errorWord>(</errorWord>
      <group>L1_Format</group>
      <groupName>格式问题</groupName>
      <ability>L2_HalfPunc_CN</ability>
      <abilityName>全半角问题</abilityName>
      <candidateList>
        <item>（</item>
      </candidateList>
      <explain>文本全半角错误。</explain>
      <paraID>1E731DDF</paraID>
      <start>128</start>
      <end>129</end>
      <status>unmodified</status>
      <modifiedWord/>
      <trackRevisions>false</trackRevisions>
    </reviewItem>
    <reviewItem>
      <errorID>d6f3fdbb-7275-4f22-b787-b6e0438c6bda</errorID>
      <errorWord>)</errorWord>
      <group>L1_Format</group>
      <groupName>格式问题</groupName>
      <ability>L2_HalfPunc_CN</ability>
      <abilityName>全半角问题</abilityName>
      <candidateList>
        <item>）</item>
      </candidateList>
      <explain>文本全半角错误。</explain>
      <paraID>1E731DDF</paraID>
      <start>138</start>
      <end>139</end>
      <status>unmodified</status>
      <modifiedWord/>
      <trackRevisions>false</trackRevisions>
    </reviewItem>
    <reviewItem>
      <errorID>0cd0ed4e-06ac-4ca1-a7f5-ec69180366da</errorID>
      <errorWord>上述的</errorWord>
      <group>L1_Word</group>
      <groupName>字词问题</groupName>
      <ability>L2_Typo</ability>
      <abilityName>字词错误</abilityName>
      <candidateList>
        <item>上述</item>
      </candidateList>
      <explain>〈形〉属性词。上面所说的：～各条，望切实执行。</explain>
      <paraID>32FE7292</paraID>
      <start>4</start>
      <end>7</end>
      <status>unmodified</status>
      <modifiedWord/>
      <trackRevisions>false</trackRevisions>
    </reviewItem>
    <reviewItem>
      <errorID>3157f251-ad3b-4568-acc7-ce0c9699126d</errorID>
      <errorWord>折</errorWord>
      <group>L1_Word</group>
      <groupName>字词问题</groupName>
      <ability>L2_Typo</ability>
      <abilityName>字词错误</abilityName>
      <candidateList>
        <item/>
      </candidateList>
      <explain/>
      <paraID>32FE7292</paraID>
      <start>78</start>
      <end>79</end>
      <status>unmodified</status>
      <modifiedWord/>
      <trackRevisions>false</trackRevisions>
    </reviewItem>
    <reviewItem>
      <errorID>2353f18f-67de-4aa3-845d-8c8d5c523ba4</errorID>
      <errorWord>.</errorWord>
      <group>L1_Format</group>
      <groupName>格式问题</groupName>
      <ability>L2_HalfPunc_CN</ability>
      <abilityName>全半角问题</abilityName>
      <candidateList>
        <item>。</item>
      </candidateList>
      <explain>文本全半角错误。</explain>
      <paraID>32FE7292</paraID>
      <start>93</start>
      <end>94</end>
      <status>unmodified</status>
      <modifiedWord/>
      <trackRevisions>false</trackRevisions>
    </reviewItem>
    <reviewItem>
      <errorID>53bd9dc2-46eb-4dfb-a5f6-bef17bb4c70c</errorID>
      <errorWord>》</errorWord>
      <group>L1_Word</group>
      <groupName>字词问题</groupName>
      <ability>L2_Typo</ability>
      <abilityName>字词错误</abilityName>
      <candidateList>
        <item>》等</item>
      </candidateList>
      <explain/>
      <paraID>2967F0DC</paraID>
      <start>39</start>
      <end>40</end>
      <status>unmodified</status>
      <modifiedWord/>
      <trackRevisions>false</trackRevisions>
    </reviewItem>
    <reviewItem>
      <errorID>647411c1-882c-4532-af6a-a736c5bb1588</errorID>
      <errorWord>应</errorWord>
      <group>L1_Word</group>
      <groupName>字词问题</groupName>
      <ability>L2_Typo</ability>
      <abilityName>字词错误</abilityName>
      <candidateList>
        <item>应当</item>
      </candidateList>
      <explain/>
      <paraID>6FDB717C</paraID>
      <start>70</start>
      <end>71</end>
      <status>unmodified</status>
      <modifiedWord/>
      <trackRevisions>false</trackRevisions>
    </reviewItem>
    <reviewItem>
      <errorID>32991119-401f-4ebc-abcf-1fd1eefea293</errorID>
      <errorWord>一式贰份，甲乙双方</errorWord>
      <group>L1_Word</group>
      <groupName>字词问题</groupName>
      <ability>L2_Typo</ability>
      <abilityName>字词错误</abilityName>
      <candidateList>
        <item>一式两份，甲乙双方</item>
      </candidateList>
      <explain/>
      <paraID> 293FCED</paraID>
      <start>6</start>
      <end>15</end>
      <status>unmodified</status>
      <modifiedWord/>
      <trackRevisions>false</trackRevisions>
    </reviewItem>
    <reviewItem>
      <errorID>5e48d471-79eb-43dd-83e9-ae73ca91b766</errorID>
      <errorWord>（</errorWord>
      <group>L1_Punc</group>
      <groupName>标点问题</groupName>
      <ability>L2_Punc_CN</ability>
      <abilityName>标点符号问题</abilityName>
      <candidateList/>
      <explain>同一形式括号套用。</explain>
      <paraID>26E75A55</paraID>
      <start>160</start>
      <end>161</end>
      <status>unmodified</status>
      <modifiedWord/>
      <trackRevisions>false</trackRevisions>
    </reviewItem>
    <reviewItem>
      <errorID>1dc8e9d9-5736-4538-b684-8bcd9ce904bc</errorID>
      <errorWord>）</errorWord>
      <group>L1_Punc</group>
      <groupName>标点问题</groupName>
      <ability>L2_Punc_CN</ability>
      <abilityName>标点符号问题</abilityName>
      <candidateList/>
      <explain>同一形式括号套用。</explain>
      <paraID>26E75A55</paraID>
      <start>172</start>
      <end>173</end>
      <status>unmodified</status>
      <modifiedWord/>
      <trackRevisions>false</trackRevisions>
    </reviewItem>
    <reviewItem>
      <errorID>a6893757-486f-4615-a7d8-f09e3171f156</errorID>
      <errorWord>（</errorWord>
      <group>L1_Punc</group>
      <groupName>标点问题</groupName>
      <ability>L2_Punc_CN</ability>
      <abilityName>标点符号问题</abilityName>
      <candidateList/>
      <explain>同一形式括号套用。</explain>
      <paraID>2185F418</paraID>
      <start>25</start>
      <end>26</end>
      <status>unmodified</status>
      <modifiedWord/>
      <trackRevisions>false</trackRevisions>
    </reviewItem>
    <reviewItem>
      <errorID>06d2d222-8244-47a0-8e5a-21d76141cecf</errorID>
      <errorWord>）</errorWord>
      <group>L1_Punc</group>
      <groupName>标点问题</groupName>
      <ability>L2_Punc_CN</ability>
      <abilityName>标点符号问题</abilityName>
      <candidateList/>
      <explain>同一形式括号套用。</explain>
      <paraID>2185F418</paraID>
      <start>30</start>
      <end>31</end>
      <status>unmodified</status>
      <modifiedWord/>
      <trackRevisions>false</trackRevisions>
    </reviewItem>
    <reviewItem>
      <errorID>d57b4a85-11e8-4b2d-83c2-85d908473d82</errorID>
      <errorWord>（</errorWord>
      <group>L1_Punc</group>
      <groupName>标点问题</groupName>
      <ability>L2_Punc_CN</ability>
      <abilityName>标点符号问题</abilityName>
      <candidateList/>
      <explain>同一形式括号套用。</explain>
      <paraID>7A644313</paraID>
      <start>28</start>
      <end>29</end>
      <status>unmodified</status>
      <modifiedWord/>
      <trackRevisions>false</trackRevisions>
    </reviewItem>
    <reviewItem>
      <errorID>07559c6b-bab0-4f15-805e-7bc4855fb1eb</errorID>
      <errorWord>）</errorWord>
      <group>L1_Punc</group>
      <groupName>标点问题</groupName>
      <ability>L2_Punc_CN</ability>
      <abilityName>标点符号问题</abilityName>
      <candidateList/>
      <explain>同一形式括号套用。</explain>
      <paraID>7A644313</paraID>
      <start>33</start>
      <end>34</end>
      <status>unmodified</status>
      <modifiedWord/>
      <trackRevisions>false</trackRevisions>
    </reviewItem>
    <reviewItem>
      <errorID>e343197e-13c2-415e-90f2-38126b19e2eb</errorID>
      <errorWord>（</errorWord>
      <group>L1_Punc</group>
      <groupName>标点问题</groupName>
      <ability>L2_Punc_CN</ability>
      <abilityName>标点符号问题</abilityName>
      <candidateList/>
      <explain>同一形式括号套用。</explain>
      <paraID>237CD504</paraID>
      <start>25</start>
      <end>26</end>
      <status>unmodified</status>
      <modifiedWord/>
      <trackRevisions>false</trackRevisions>
    </reviewItem>
    <reviewItem>
      <errorID>e913711f-3bba-409c-95c9-113e36c5707c</errorID>
      <errorWord>）</errorWord>
      <group>L1_Punc</group>
      <groupName>标点问题</groupName>
      <ability>L2_Punc_CN</ability>
      <abilityName>标点符号问题</abilityName>
      <candidateList/>
      <explain>同一形式括号套用。</explain>
      <paraID>237CD504</paraID>
      <start>30</start>
      <end>31</end>
      <status>unmodified</status>
      <modifiedWord/>
      <trackRevisions>false</trackRevisions>
    </reviewItem>
    <reviewItem>
      <errorID>0b292b0e-06af-47c9-bd4f-38c63822088d</errorID>
      <errorWord>贴</errorWord>
      <group>L1_Word</group>
      <groupName>字词问题</groupName>
      <ability>L2_Typo</ability>
      <abilityName>字词错误</abilityName>
      <candidateList>
        <item>贴在</item>
      </candidateList>
      <explain/>
      <paraID> F5B93AE</paraID>
      <start>107</start>
      <end>108</end>
      <status>unmodified</status>
      <modifiedWord/>
      <trackRevisions>false</trackRevisions>
    </reviewItem>
    <reviewItem>
      <errorID>2ca9d2c4-e072-4624-94af-797f4b5fe989</errorID>
      <errorWord>(</errorWord>
      <group>L1_Format</group>
      <groupName>格式问题</groupName>
      <ability>L2_HalfPunc_CN</ability>
      <abilityName>全半角问题</abilityName>
      <candidateList>
        <item>（</item>
      </candidateList>
      <explain>文本全半角错误。</explain>
      <paraID>72849729</paraID>
      <start>135</start>
      <end>136</end>
      <status>unmodified</status>
      <modifiedWord/>
      <trackRevisions>false</trackRevisions>
    </reviewItem>
    <reviewItem>
      <errorID>5b556c14-d0f6-4220-bf71-bd07f4ab4734</errorID>
      <errorWord>)</errorWord>
      <group>L1_Format</group>
      <groupName>格式问题</groupName>
      <ability>L2_HalfPunc_CN</ability>
      <abilityName>全半角问题</abilityName>
      <candidateList>
        <item>）</item>
      </candidateList>
      <explain>文本全半角错误。</explain>
      <paraID>72849729</paraID>
      <start>145</start>
      <end>146</end>
      <status>unmodified</status>
      <modifiedWord/>
      <trackRevisions>false</trackRevisions>
    </reviewItem>
    <reviewItem>
      <errorID>7d4aa652-b351-4887-a2dd-c9da47df3a16</errorID>
      <errorWord>，</errorWord>
      <group>L1_Word</group>
      <groupName>字词问题</groupName>
      <ability>L2_Typo</ability>
      <abilityName>字词错误</abilityName>
      <candidateList>
        <item>，在</item>
      </candidateList>
      <explain/>
      <paraID> BC8355A</paraID>
      <start>90</start>
      <end>91</end>
      <status>unmodified</status>
      <modifiedWord/>
      <trackRevisions>false</trackRevisions>
    </reviewItem>
    <reviewItem>
      <errorID>ccb692ee-eb72-4a5b-a8d0-103448becfba</errorID>
      <errorWord>,</errorWord>
      <group>L1_Format</group>
      <groupName>格式问题</groupName>
      <ability>L2_HalfPunc_CN</ability>
      <abilityName>全半角问题</abilityName>
      <candidateList>
        <item>，</item>
      </candidateList>
      <explain>文本全半角错误。</explain>
      <paraID> 8356ECA</paraID>
      <start>23</start>
      <end>24</end>
      <status>unmodified</status>
      <modifiedWord/>
      <trackRevisions>false</trackRevisions>
    </reviewItem>
    <reviewItem>
      <errorID>1cba88c4-7cd2-4ab3-816e-61633bf1ddb6</errorID>
      <errorWord>（</errorWord>
      <group>L1_Punc</group>
      <groupName>标点问题</groupName>
      <ability>L2_Punc_CN</ability>
      <abilityName>标点符号问题</abilityName>
      <candidateList/>
      <explain>同一形式括号套用。</explain>
      <paraID>2DCC1BD2</paraID>
      <start>57</start>
      <end>58</end>
      <status>unmodified</status>
      <modifiedWord/>
      <trackRevisions>false</trackRevisions>
    </reviewItem>
    <reviewItem>
      <errorID>f9413ef6-26aa-432c-b66d-b28e81634fd4</errorID>
      <errorWord>）</errorWord>
      <group>L1_Punc</group>
      <groupName>标点问题</groupName>
      <ability>L2_Punc_CN</ability>
      <abilityName>标点符号问题</abilityName>
      <candidateList/>
      <explain>同一形式括号套用。</explain>
      <paraID>2DCC1BD2</paraID>
      <start>69</start>
      <end>70</end>
      <status>unmodified</status>
      <modifiedWord/>
      <trackRevisions>false</trackRevisions>
    </reviewItem>
    <reviewItem>
      <errorID>11173b09-1c47-45c1-ac01-9f370597836e</errorID>
      <errorWord>获取得</errorWord>
      <group>L1_Word</group>
      <groupName>字词问题</groupName>
      <ability>L2_Typo</ability>
      <abilityName>字词错误</abilityName>
      <candidateList>
        <item>获取</item>
      </candidateList>
      <explain/>
      <paraID>316ADC3F</paraID>
      <start>28</start>
      <end>31</end>
      <status>unmodified</status>
      <modifiedWord/>
      <trackRevisions>false</trackRevisions>
    </reviewItem>
    <reviewItem>
      <errorID>dc67ee56-1a5d-44e7-8748-c0481817e1c0</errorID>
      <errorWord>，</errorWord>
      <group>L1_Word</group>
      <groupName>字词问题</groupName>
      <ability>L2_Typo</ability>
      <abilityName>字词错误</abilityName>
      <candidateList>
        <item>，以</item>
      </candidateList>
      <explain/>
      <paraID>25E71E81</paraID>
      <start>85</start>
      <end>86</end>
      <status>unmodified</status>
      <modifiedWord/>
      <trackRevisions>false</trackRevisions>
    </reviewItem>
    <reviewItem>
      <errorID>e72aa4dd-ec3f-4ca4-8e5d-4c9c7aaed37c</errorID>
      <errorWord>）</errorWord>
      <group>L1_Word</group>
      <groupName>字词问题</groupName>
      <ability>L2_Typo</ability>
      <abilityName>字词错误</abilityName>
      <candidateList>
        <item>）在</item>
      </candidateList>
      <explain/>
      <paraID>1AC5EB1A</paraID>
      <start>8</start>
      <end>9</end>
      <status>unmodified</status>
      <modifiedWord/>
      <trackRevisions>false</trackRevisions>
    </reviewItem>
    <reviewItem>
      <errorID>56c8eaf5-0e2f-4482-8563-7839ca4ba731</errorID>
      <errorWord>）</errorWord>
      <group>L1_Word</group>
      <groupName>字词问题</groupName>
      <ability>L2_Typo</ability>
      <abilityName>字词错误</abilityName>
      <candidateList>
        <item>）是</item>
      </candidateList>
      <explain/>
      <paraID> DADED14</paraID>
      <start>8</start>
      <end>9</end>
      <status>unmodified</status>
      <modifiedWord/>
      <trackRevisions>false</trackRevisions>
    </reviewItem>
    <reviewItem>
      <errorID>a63ca486-f55b-46d4-90fa-7078de4b9d0a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15FA9EB1</paraID>
      <start>0</start>
      <end>2</end>
      <status>unmodified</status>
      <modifiedWord/>
      <trackRevisions>false</trackRevisions>
    </reviewItem>
    <reviewItem>
      <errorID>93410f20-9412-4594-a956-8efabcfd4c16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74F10F92</paraID>
      <start>0</start>
      <end>2</end>
      <status>unmodified</status>
      <modifiedWord/>
      <trackRevisions>false</trackRevisions>
    </reviewItem>
    <reviewItem>
      <errorID>85a88f89-6290-4356-8109-7c1a02a294e4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C62C68A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E4AE414-1109-4CBD-94E3-B72A2D56E29A}"/>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孙骁立</cp:lastModifiedBy>
  <cp:revision>33</cp:revision>
  <dcterms:created xsi:type="dcterms:W3CDTF">2024-10-16T11:27:00Z</dcterms:created>
  <dcterms:modified xsi:type="dcterms:W3CDTF">2026-09-14T07:15:10Z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BA43A6657F0942EFB0DD772A9C3B8D24_13</vt:lpwstr>
  </property>
  <property fmtid="{D5CDD505-2E9C-101B-9397-08002B2CF9AE}" pid="4" name="KSOTemplateDocerSaveRecord">
    <vt:lpwstr>eyJoZGlkIjoiYWEwNDBkZDVjMDI2NzVhN2Q2ZjdkYzk3NDg0ZWQ4YWQiLCJ1c2VySWQiOiI1Mzk3NjA2MDAifQ==</vt:lpwstr>
  </property>
</Properties>
</file>