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peopleDocument.xml" ContentType="application/vnd.openxmlformats-officedocument.wordprocessingml.people+xml"/>
  <Override PartName="/word/commentsIdsDocument.xml" ContentType="application/vnd.openxmlformats-officedocument.wordprocessingml.commentsIds+xml"/>
  <Override PartName="/word/commentsDocument.xml" ContentType="application/vnd.openxmlformats-officedocument.wordprocessingml.comment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commentsExtendedDocument.xml" ContentType="application/vnd.openxmlformats-officedocument.wordprocessingml.commentsExtended+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pageBreakBefore w:val="0"/>
        <w:spacing w:line="360" w:lineRule="auto"/>
        <w:rPr>
          <w:rFonts w:hint="eastAsia" w:ascii="Times New Roman" w:hAnsi="Times New Roman" w:eastAsia="宋体" w:cs="宋体"/>
          <w:color w:val="auto"/>
          <w:sz w:val="36"/>
          <w:highlight w:val="none"/>
        </w:rPr>
      </w:pPr>
      <w:r>
        <w:rPr>
          <w:rFonts w:hint="eastAsia" w:ascii="Times New Roman" w:hAnsi="Times New Roman" w:eastAsia="宋体" w:cs="宋体"/>
          <w:color w:val="auto"/>
          <w:sz w:val="36"/>
          <w:highlight w:val="none"/>
        </w:rPr>
      </w:r>
      <w:r/>
    </w:p>
    <w:p>
      <w:pPr>
        <w:jc w:val="right"/>
        <w:pageBreakBefore w:val="0"/>
        <w:spacing w:line="360" w:lineRule="auto"/>
        <w:rPr>
          <w:rFonts w:hint="eastAsia" w:ascii="Times New Roman" w:hAnsi="Times New Roman" w:eastAsia="宋体" w:cs="宋体"/>
          <w:b/>
          <w:bCs/>
          <w:color w:val="auto"/>
          <w:sz w:val="36"/>
          <w:highlight w:val="none"/>
        </w:rPr>
      </w:pPr>
      <w:r>
        <w:rPr>
          <w:rFonts w:hint="eastAsia" w:ascii="Times New Roman" w:hAnsi="Times New Roman" w:eastAsia="宋体" w:cs="宋体"/>
          <w:b/>
          <w:bCs/>
          <w:color w:val="auto"/>
          <w:sz w:val="36"/>
          <w:highlight w:val="none"/>
        </w:rPr>
        <w:t xml:space="preserve">编号：</w:t>
      </w:r>
      <w:r>
        <w:rPr>
          <w:rFonts w:hint="eastAsia" w:ascii="Times New Roman" w:hAnsi="Times New Roman" w:cs="宋体"/>
          <w:b/>
          <w:bCs/>
          <w:strike w:val="0"/>
          <w:color w:val="auto"/>
          <w:sz w:val="36"/>
          <w:highlight w:val="none"/>
          <w:lang w:eastAsia="zh-CN"/>
        </w:rPr>
        <w:t xml:space="preserve">JSZC-321000-SSZX-G2026-0007号</w:t>
      </w:r>
      <w:r/>
    </w:p>
    <w:p>
      <w:pPr>
        <w:jc w:val="both"/>
        <w:pageBreakBefore w:val="0"/>
        <w:spacing w:line="360" w:lineRule="auto"/>
        <w:rPr>
          <w:rFonts w:hint="eastAsia" w:ascii="Times New Roman" w:hAnsi="Times New Roman" w:eastAsia="宋体" w:cs="宋体"/>
          <w:b/>
          <w:bCs/>
          <w:color w:val="auto"/>
          <w:sz w:val="36"/>
          <w:highlight w:val="none"/>
        </w:rPr>
      </w:pPr>
      <w:r>
        <w:rPr>
          <w:rFonts w:hint="eastAsia" w:ascii="Times New Roman" w:hAnsi="Times New Roman" w:eastAsia="宋体" w:cs="宋体"/>
          <w:b/>
          <w:bCs/>
          <w:color w:val="auto"/>
          <w:sz w:val="36"/>
          <w:highlight w:val="none"/>
        </w:rPr>
      </w:r>
      <w:r/>
    </w:p>
    <w:p>
      <w:pPr>
        <w:jc w:val="center"/>
        <w:pageBreakBefore w:val="0"/>
        <w:spacing w:line="360" w:lineRule="auto"/>
        <w:rPr>
          <w:rFonts w:hint="eastAsia" w:ascii="Times New Roman" w:hAnsi="Times New Roman" w:cs="宋体"/>
          <w:b/>
          <w:bCs/>
          <w:color w:val="auto"/>
          <w:sz w:val="36"/>
          <w:highlight w:val="none"/>
          <w:lang w:eastAsia="zh-CN"/>
        </w:rPr>
      </w:pPr>
      <w:r>
        <w:rPr>
          <w:rFonts w:hint="eastAsia" w:ascii="Times New Roman" w:hAnsi="Times New Roman" w:cs="宋体"/>
          <w:b/>
          <w:bCs/>
          <w:color w:val="auto"/>
          <w:sz w:val="36"/>
          <w:highlight w:val="none"/>
          <w:lang w:eastAsia="zh-CN"/>
        </w:rPr>
        <w:t xml:space="preserve">扬州市城区河道水利运维安防监控完善项目</w:t>
      </w:r>
      <w:r/>
    </w:p>
    <w:p>
      <w:pPr>
        <w:jc w:val="center"/>
        <w:pageBreakBefore w:val="0"/>
        <w:spacing w:line="360" w:lineRule="auto"/>
        <w:rPr>
          <w:rFonts w:hint="eastAsia" w:ascii="Times New Roman" w:hAnsi="Times New Roman" w:eastAsia="宋体" w:cs="宋体"/>
          <w:b/>
          <w:bCs/>
          <w:color w:val="auto"/>
          <w:sz w:val="36"/>
          <w:highlight w:val="none"/>
        </w:rPr>
      </w:pPr>
      <w:r>
        <w:rPr>
          <w:rFonts w:hint="eastAsia" w:ascii="Times New Roman" w:hAnsi="Times New Roman" w:eastAsia="宋体" w:cs="宋体"/>
          <w:b/>
          <w:bCs/>
          <w:color w:val="auto"/>
          <w:sz w:val="36"/>
          <w:highlight w:val="none"/>
        </w:rPr>
        <w:t xml:space="preserve">公开招标文件</w:t>
      </w:r>
      <w:r/>
    </w:p>
    <w:p>
      <w:pPr>
        <w:pStyle w:val="974"/>
        <w:pageBreakBefore w:val="0"/>
        <w:spacing w:after="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r>
      <w:r/>
    </w:p>
    <w:p>
      <w:pPr>
        <w:jc w:val="center"/>
        <w:pageBreakBefore w:val="0"/>
        <w:spacing w:line="360" w:lineRule="auto"/>
        <w:rPr>
          <w:rFonts w:hint="eastAsia" w:ascii="Times New Roman" w:hAnsi="Times New Roman" w:eastAsia="宋体" w:cs="宋体"/>
          <w:color w:val="auto"/>
          <w:sz w:val="36"/>
          <w:highlight w:val="none"/>
        </w:rPr>
      </w:pPr>
      <w:r>
        <w:rPr>
          <w:rFonts w:hint="eastAsia" w:ascii="宋体" w:hAnsi="宋体" w:eastAsia="宋体" w:cs="宋体"/>
          <w:sz w:val="36"/>
          <w:highlight w:val="none"/>
          <w:lang w:val="zh-CN"/>
        </w:rPr>
        <mc:AlternateContent>
          <mc:Choice Requires="wpg">
            <w:drawing>
              <wp:inline xmlns:wp="http://schemas.openxmlformats.org/drawingml/2006/wordprocessingDrawing" distT="0" distB="0" distL="0" distR="0">
                <wp:extent cx="5177155" cy="3690620"/>
                <wp:effectExtent l="0" t="0" r="4445" b="12700"/>
                <wp:docPr id="2"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r/>
                      </pic:nvPicPr>
                      <pic:blipFill>
                        <a:blip r:embed="rId14"/>
                        <a:stretch/>
                      </pic:blipFill>
                      <pic:spPr bwMode="auto">
                        <a:xfrm>
                          <a:off x="0" y="0"/>
                          <a:ext cx="5177155" cy="36906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07.6pt;height:290.6pt;mso-wrap-distance-left:0.0pt;mso-wrap-distance-top:0.0pt;mso-wrap-distance-right:0.0pt;mso-wrap-distance-bottom:0.0pt;" stroked="f">
                <v:path textboxrect="0,0,0,0"/>
                <v:imagedata r:id="rId14" o:title=""/>
              </v:shape>
            </w:pict>
          </mc:Fallback>
        </mc:AlternateContent>
      </w:r>
      <w:r/>
    </w:p>
    <w:p>
      <w:pPr>
        <w:jc w:val="center"/>
        <w:pageBreakBefore w:val="0"/>
        <w:spacing w:line="360" w:lineRule="auto"/>
        <w:rPr>
          <w:rFonts w:hint="eastAsia" w:ascii="Times New Roman" w:hAnsi="Times New Roman" w:eastAsia="宋体" w:cs="宋体"/>
          <w:b/>
          <w:bCs/>
          <w:color w:val="auto"/>
          <w:sz w:val="36"/>
          <w:highlight w:val="none"/>
        </w:rPr>
      </w:pPr>
      <w:r>
        <w:rPr>
          <w:rFonts w:hint="eastAsia" w:ascii="Times New Roman" w:hAnsi="Times New Roman" w:eastAsia="宋体" w:cs="宋体"/>
          <w:b/>
          <w:bCs/>
          <w:color w:val="auto"/>
          <w:sz w:val="36"/>
          <w:highlight w:val="none"/>
        </w:rPr>
      </w:r>
      <w:r/>
    </w:p>
    <w:p>
      <w:pPr>
        <w:jc w:val="center"/>
        <w:pageBreakBefore w:val="0"/>
        <w:spacing w:line="360" w:lineRule="auto"/>
        <w:rPr>
          <w:rFonts w:hint="eastAsia" w:ascii="Times New Roman" w:hAnsi="Times New Roman" w:eastAsia="宋体" w:cs="宋体"/>
          <w:b/>
          <w:bCs/>
          <w:color w:val="auto"/>
          <w:sz w:val="36"/>
          <w:highlight w:val="none"/>
          <w:lang w:eastAsia="zh-CN"/>
        </w:rPr>
      </w:pPr>
      <w:r>
        <w:rPr>
          <w:rFonts w:hint="eastAsia" w:ascii="Times New Roman" w:hAnsi="Times New Roman" w:cs="宋体"/>
          <w:b/>
          <w:bCs/>
          <w:color w:val="auto"/>
          <w:sz w:val="36"/>
          <w:highlight w:val="none"/>
          <w:lang w:eastAsia="zh-CN"/>
        </w:rPr>
        <w:t xml:space="preserve">江苏苏中兴工程造价咨询有限公司</w:t>
      </w:r>
      <w:r/>
    </w:p>
    <w:p>
      <w:pPr>
        <w:jc w:val="center"/>
        <w:pageBreakBefore w:val="0"/>
        <w:spacing w:line="360" w:lineRule="auto"/>
        <w:rPr>
          <w:rFonts w:hint="eastAsia" w:ascii="Times New Roman" w:hAnsi="Times New Roman" w:eastAsia="宋体" w:cs="宋体"/>
          <w:b/>
          <w:bCs/>
          <w:color w:val="auto"/>
          <w:sz w:val="36"/>
          <w:highlight w:val="none"/>
        </w:rPr>
      </w:pPr>
      <w:r>
        <w:rPr>
          <w:rFonts w:hint="eastAsia" w:ascii="Times New Roman" w:hAnsi="Times New Roman" w:eastAsia="宋体" w:cs="宋体"/>
          <w:b/>
          <w:bCs/>
          <w:color w:val="auto"/>
          <w:sz w:val="36"/>
          <w:highlight w:val="none"/>
        </w:rPr>
        <w:t xml:space="preserve">202</w:t>
      </w:r>
      <w:r>
        <w:rPr>
          <w:rFonts w:hint="eastAsia" w:ascii="Times New Roman" w:hAnsi="Times New Roman" w:eastAsia="宋体" w:cs="宋体"/>
          <w:b/>
          <w:bCs/>
          <w:color w:val="auto"/>
          <w:sz w:val="36"/>
          <w:highlight w:val="none"/>
          <w:lang w:val="en-US" w:eastAsia="zh-CN"/>
        </w:rPr>
        <w:t xml:space="preserve">6</w:t>
      </w:r>
      <w:r>
        <w:rPr>
          <w:rFonts w:hint="eastAsia" w:ascii="Times New Roman" w:hAnsi="Times New Roman" w:eastAsia="宋体" w:cs="宋体"/>
          <w:b/>
          <w:bCs/>
          <w:color w:val="auto"/>
          <w:sz w:val="36"/>
          <w:highlight w:val="none"/>
        </w:rPr>
        <w:t xml:space="preserve">年</w:t>
      </w:r>
      <w:r>
        <w:rPr>
          <w:rFonts w:hint="eastAsia" w:ascii="Times New Roman" w:hAnsi="Times New Roman" w:eastAsia="宋体" w:cs="宋体"/>
          <w:b/>
          <w:bCs/>
          <w:color w:val="auto"/>
          <w:sz w:val="36"/>
          <w:highlight w:val="none"/>
          <w:lang w:val="en-US" w:eastAsia="zh-CN"/>
        </w:rPr>
        <w:t xml:space="preserve">0</w:t>
      </w:r>
      <w:r>
        <w:rPr>
          <w:rFonts w:hint="eastAsia" w:ascii="Times New Roman" w:hAnsi="Times New Roman" w:cs="宋体"/>
          <w:b/>
          <w:bCs/>
          <w:color w:val="auto"/>
          <w:sz w:val="36"/>
          <w:highlight w:val="none"/>
          <w:lang w:val="en-US" w:eastAsia="zh-CN"/>
        </w:rPr>
        <w:t xml:space="preserve">9</w:t>
      </w:r>
      <w:r>
        <w:rPr>
          <w:rFonts w:hint="eastAsia" w:ascii="Times New Roman" w:hAnsi="Times New Roman" w:eastAsia="宋体" w:cs="宋体"/>
          <w:b/>
          <w:bCs/>
          <w:color w:val="auto"/>
          <w:sz w:val="36"/>
          <w:highlight w:val="none"/>
        </w:rPr>
        <w:t xml:space="preserve">月</w:t>
      </w:r>
      <w:r>
        <w:rPr>
          <w:rFonts w:hint="eastAsia" w:ascii="Times New Roman" w:hAnsi="Times New Roman" w:cs="宋体"/>
          <w:b/>
          <w:bCs/>
          <w:color w:val="auto"/>
          <w:sz w:val="36"/>
          <w:highlight w:val="none"/>
          <w:lang w:val="en-US" w:eastAsia="zh-CN"/>
        </w:rPr>
        <w:t xml:space="preserve">16</w:t>
      </w:r>
      <w:r>
        <w:rPr>
          <w:rFonts w:hint="eastAsia" w:ascii="Times New Roman" w:hAnsi="Times New Roman" w:eastAsia="宋体" w:cs="宋体"/>
          <w:b/>
          <w:bCs/>
          <w:color w:val="auto"/>
          <w:sz w:val="36"/>
          <w:highlight w:val="none"/>
        </w:rPr>
        <w:t xml:space="preserve">日</w:t>
      </w:r>
      <w:r/>
    </w:p>
    <w:p>
      <w:pPr>
        <w:jc w:val="center"/>
        <w:pageBreakBefore w:val="0"/>
        <w:spacing w:line="360" w:lineRule="auto"/>
        <w:rPr>
          <w:rFonts w:hint="eastAsia" w:ascii="Times New Roman" w:hAnsi="Times New Roman" w:eastAsia="宋体" w:cs="宋体"/>
          <w:color w:val="auto"/>
          <w:sz w:val="32"/>
          <w:highlight w:val="yellow"/>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Times New Roman" w:hAnsi="Times New Roman" w:eastAsia="宋体" w:cs="宋体"/>
          <w:color w:val="auto"/>
          <w:sz w:val="32"/>
          <w:highlight w:val="yellow"/>
        </w:rPr>
      </w:r>
      <w:r/>
    </w:p>
    <w:p>
      <w:pPr>
        <w:pStyle w:val="984"/>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r>
      <w:r/>
    </w:p>
    <w:p>
      <w:pPr>
        <w:keepLines w:val="0"/>
        <w:keepNext w:val="0"/>
        <w:pageBreakBefore w:val="0"/>
        <w:spacing w:line="360" w:lineRule="auto"/>
        <w:widowControl w:val="off"/>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color w:val="auto"/>
          <w:sz w:val="21"/>
          <w:szCs w:val="21"/>
          <w:highlight w:val="none"/>
          <w:lang w:val="en-US" w:eastAsia="zh-CN" w:bidi="ar-SA"/>
        </w:rPr>
      </w:r>
      <w:r/>
    </w:p>
    <w:p>
      <w:pPr>
        <w:pageBreakBefore w:val="0"/>
        <w:spacing w:line="360" w:lineRule="auto"/>
        <w:rPr>
          <w:rFonts w:hint="eastAsia" w:ascii="Times New Roman" w:hAnsi="Times New Roman" w:eastAsia="宋体" w:cs="宋体"/>
          <w:color w:val="auto"/>
          <w:sz w:val="32"/>
          <w:szCs w:val="32"/>
          <w:highlight w:val="none"/>
          <w:lang w:val="en-US" w:eastAsia="zh-CN" w:bidi="ar-SA"/>
        </w:rPr>
      </w:pPr>
      <w:r>
        <w:rPr>
          <w:rFonts w:hint="eastAsia" w:ascii="Times New Roman" w:hAnsi="Times New Roman" w:eastAsia="宋体" w:cs="宋体"/>
          <w:color w:val="auto"/>
          <w:sz w:val="32"/>
          <w:szCs w:val="32"/>
          <w:highlight w:val="none"/>
          <w:lang w:val="en-US" w:eastAsia="zh-CN" w:bidi="ar-SA"/>
        </w:rPr>
      </w:r>
      <w:r/>
    </w:p>
    <w:sdt>
      <w:sdtPr>
        <w15:appearance w15:val="boundingBox"/>
        <w15:color w:val="dbdbdb"/>
        <w:id w:val="147455955"/>
        <w:docPartObj>
          <w:docPartGallery w:val="Table of Contents"/>
          <w:docPartUnique w:val="true"/>
        </w:docPartObj>
        <w:rPr>
          <w:rFonts w:hint="default" w:ascii="宋体" w:hAnsi="宋体" w:eastAsia="宋体" w:cs="Times New Roman"/>
          <w:color w:val="auto"/>
          <w:sz w:val="21"/>
          <w:szCs w:val="22"/>
          <w:highlight w:val="none"/>
          <w:lang w:val="en-US" w:eastAsia="zh-CN" w:bidi="ar-SA"/>
        </w:rPr>
      </w:sdtPr>
      <w:sdtContent>
        <w:p>
          <w:pPr>
            <w:ind w:left="0" w:right="0" w:firstLine="0"/>
            <w:jc w:val="center"/>
            <w:keepLines w:val="0"/>
            <w:keepNext w:val="0"/>
            <w:pageBreakBefore w:val="0"/>
            <w:spacing w:before="0" w:after="0" w:line="480" w:lineRule="auto"/>
            <w:widowControl w:val="off"/>
            <w:rPr>
              <w:color w:val="auto"/>
              <w:sz w:val="28"/>
              <w:szCs w:val="28"/>
              <w:highlight w:val="none"/>
            </w:rPr>
          </w:pPr>
          <w:r>
            <w:rPr>
              <w:rFonts w:ascii="宋体" w:hAnsi="宋体" w:eastAsia="宋体"/>
              <w:color w:val="auto"/>
              <w:sz w:val="28"/>
              <w:szCs w:val="28"/>
              <w:highlight w:val="none"/>
            </w:rPr>
            <w:t xml:space="preserve">目录</w:t>
          </w:r>
          <w:r/>
        </w:p>
        <w:p>
          <w:pPr>
            <w:pStyle w:val="747"/>
            <w:keepLines w:val="0"/>
            <w:keepNext w:val="0"/>
            <w:pageBreakBefore w:val="0"/>
            <w:spacing w:line="480" w:lineRule="auto"/>
            <w:widowControl w:val="off"/>
            <w:tabs>
              <w:tab w:val="right" w:pos="8306" w:leader="dot"/>
            </w:tabs>
            <w:rPr>
              <w:color w:val="auto"/>
              <w:sz w:val="28"/>
              <w:szCs w:val="28"/>
              <w:highlight w:val="none"/>
            </w:rPr>
          </w:pPr>
          <w:r>
            <w:rPr>
              <w:rFonts w:hint="eastAsia" w:ascii="Times New Roman" w:hAnsi="Times New Roman" w:eastAsia="宋体" w:cs="Times New Roman"/>
              <w:color w:val="auto"/>
              <w:sz w:val="28"/>
              <w:szCs w:val="28"/>
              <w:highlight w:val="none"/>
              <w:lang w:val="en-US" w:eastAsia="zh-CN" w:bidi="ar-SA"/>
            </w:rPr>
            <w:fldChar w:fldCharType="begin"/>
          </w:r>
          <w:r>
            <w:rPr>
              <w:rFonts w:hint="eastAsia" w:ascii="Times New Roman" w:hAnsi="Times New Roman" w:eastAsia="宋体" w:cs="Times New Roman"/>
              <w:color w:val="auto"/>
              <w:sz w:val="28"/>
              <w:szCs w:val="28"/>
              <w:highlight w:val="none"/>
              <w:lang w:val="en-US" w:eastAsia="zh-CN" w:bidi="ar-SA"/>
            </w:rPr>
            <w:instrText xml:space="preserve">TOC \o "1-1" \h \u </w:instrText>
          </w:r>
          <w:r>
            <w:rPr>
              <w:rFonts w:hint="eastAsia" w:ascii="Times New Roman" w:hAnsi="Times New Roman" w:eastAsia="宋体" w:cs="Times New Roman"/>
              <w:color w:val="auto"/>
              <w:sz w:val="28"/>
              <w:szCs w:val="28"/>
              <w:highlight w:val="none"/>
              <w:lang w:val="en-US" w:eastAsia="zh-CN" w:bidi="ar-SA"/>
            </w:rPr>
            <w:fldChar w:fldCharType="separate"/>
          </w:r>
          <w:r>
            <w:rPr>
              <w:rFonts w:hint="eastAsia" w:ascii="Times New Roman" w:hAnsi="Times New Roman" w:eastAsia="宋体" w:cs="Times New Roman"/>
              <w:color w:val="auto"/>
              <w:sz w:val="28"/>
              <w:szCs w:val="28"/>
              <w:highlight w:val="none"/>
              <w:lang w:val="en-US" w:eastAsia="zh-CN" w:bidi="ar-SA"/>
            </w:rPr>
            <w:fldChar w:fldCharType="begin"/>
          </w:r>
          <w:r>
            <w:rPr>
              <w:rFonts w:hint="eastAsia" w:ascii="Times New Roman" w:hAnsi="Times New Roman" w:eastAsia="宋体" w:cs="Times New Roman"/>
              <w:color w:val="auto"/>
              <w:sz w:val="28"/>
              <w:szCs w:val="28"/>
              <w:highlight w:val="none"/>
              <w:lang w:val="en-US" w:eastAsia="zh-CN" w:bidi="ar-SA"/>
            </w:rPr>
            <w:instrText xml:space="preserve"> HYPERLINK \l _Toc9352 </w:instrText>
          </w:r>
          <w:r>
            <w:rPr>
              <w:rFonts w:hint="eastAsia" w:ascii="Times New Roman" w:hAnsi="Times New Roman" w:eastAsia="宋体" w:cs="Times New Roman"/>
              <w:color w:val="auto"/>
              <w:sz w:val="28"/>
              <w:szCs w:val="28"/>
              <w:highlight w:val="none"/>
              <w:lang w:val="en-US" w:eastAsia="zh-CN" w:bidi="ar-SA"/>
            </w:rPr>
            <w:fldChar w:fldCharType="separate"/>
          </w:r>
          <w:r>
            <w:rPr>
              <w:rFonts w:hint="eastAsia" w:ascii="Times New Roman" w:hAnsi="Times New Roman" w:eastAsia="宋体"/>
              <w:color w:val="auto"/>
              <w:sz w:val="28"/>
              <w:szCs w:val="28"/>
              <w:highlight w:val="none"/>
            </w:rPr>
            <w:t xml:space="preserve">第一章 采购公告</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_Toc9352 \h </w:instrText>
          </w:r>
          <w:r>
            <w:rPr>
              <w:color w:val="auto"/>
              <w:sz w:val="28"/>
              <w:szCs w:val="28"/>
              <w:highlight w:val="none"/>
            </w:rPr>
            <w:fldChar w:fldCharType="separate"/>
          </w:r>
          <w:r>
            <w:rPr>
              <w:color w:val="auto"/>
              <w:sz w:val="28"/>
              <w:szCs w:val="28"/>
              <w:highlight w:val="none"/>
            </w:rPr>
            <w:t xml:space="preserve">1</w:t>
          </w:r>
          <w:r>
            <w:rPr>
              <w:color w:val="auto"/>
              <w:sz w:val="28"/>
              <w:szCs w:val="28"/>
              <w:highlight w:val="none"/>
            </w:rPr>
            <w:fldChar w:fldCharType="end"/>
          </w:r>
          <w:r>
            <w:rPr>
              <w:rFonts w:hint="eastAsia" w:ascii="Times New Roman" w:hAnsi="Times New Roman" w:eastAsia="宋体" w:cs="Times New Roman"/>
              <w:color w:val="auto"/>
              <w:sz w:val="28"/>
              <w:szCs w:val="28"/>
              <w:highlight w:val="none"/>
              <w:lang w:val="en-US" w:eastAsia="zh-CN" w:bidi="ar-SA"/>
            </w:rPr>
            <w:fldChar w:fldCharType="end"/>
          </w:r>
          <w:r/>
        </w:p>
        <w:p>
          <w:pPr>
            <w:pStyle w:val="747"/>
            <w:keepLines w:val="0"/>
            <w:keepNext w:val="0"/>
            <w:pageBreakBefore w:val="0"/>
            <w:spacing w:line="480" w:lineRule="auto"/>
            <w:widowControl w:val="off"/>
            <w:tabs>
              <w:tab w:val="right" w:pos="8306" w:leader="dot"/>
            </w:tabs>
            <w:rPr>
              <w:color w:val="auto"/>
              <w:sz w:val="28"/>
              <w:szCs w:val="28"/>
              <w:highlight w:val="none"/>
            </w:rPr>
          </w:pPr>
          <w:r>
            <w:rPr>
              <w:rFonts w:hint="eastAsia" w:ascii="Times New Roman" w:hAnsi="Times New Roman" w:eastAsia="宋体" w:cs="Times New Roman"/>
              <w:color w:val="auto"/>
              <w:sz w:val="28"/>
              <w:szCs w:val="28"/>
              <w:highlight w:val="none"/>
              <w:lang w:val="en-US" w:eastAsia="zh-CN" w:bidi="ar-SA"/>
            </w:rPr>
            <w:fldChar w:fldCharType="begin"/>
          </w:r>
          <w:r>
            <w:rPr>
              <w:rFonts w:hint="eastAsia" w:ascii="Times New Roman" w:hAnsi="Times New Roman" w:eastAsia="宋体" w:cs="Times New Roman"/>
              <w:color w:val="auto"/>
              <w:sz w:val="28"/>
              <w:szCs w:val="28"/>
              <w:highlight w:val="none"/>
              <w:lang w:val="en-US" w:eastAsia="zh-CN" w:bidi="ar-SA"/>
            </w:rPr>
            <w:instrText xml:space="preserve"> HYPERLINK \l _Toc15067 </w:instrText>
          </w:r>
          <w:r>
            <w:rPr>
              <w:rFonts w:hint="eastAsia" w:ascii="Times New Roman" w:hAnsi="Times New Roman" w:eastAsia="宋体" w:cs="Times New Roman"/>
              <w:color w:val="auto"/>
              <w:sz w:val="28"/>
              <w:szCs w:val="28"/>
              <w:highlight w:val="none"/>
              <w:lang w:val="en-US" w:eastAsia="zh-CN" w:bidi="ar-SA"/>
            </w:rPr>
            <w:fldChar w:fldCharType="separate"/>
          </w:r>
          <w:r>
            <w:rPr>
              <w:rFonts w:hint="eastAsia" w:ascii="Times New Roman" w:hAnsi="Times New Roman" w:eastAsia="宋体"/>
              <w:color w:val="auto"/>
              <w:sz w:val="28"/>
              <w:szCs w:val="28"/>
              <w:highlight w:val="none"/>
            </w:rPr>
            <w:t xml:space="preserve">第二章 投标人须知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_Toc15067 \h </w:instrText>
          </w:r>
          <w:r>
            <w:rPr>
              <w:color w:val="auto"/>
              <w:sz w:val="28"/>
              <w:szCs w:val="28"/>
              <w:highlight w:val="none"/>
            </w:rPr>
            <w:fldChar w:fldCharType="separate"/>
          </w:r>
          <w:r>
            <w:rPr>
              <w:color w:val="auto"/>
              <w:sz w:val="28"/>
              <w:szCs w:val="28"/>
              <w:highlight w:val="none"/>
            </w:rPr>
            <w:t xml:space="preserve">5</w:t>
          </w:r>
          <w:r>
            <w:rPr>
              <w:color w:val="auto"/>
              <w:sz w:val="28"/>
              <w:szCs w:val="28"/>
              <w:highlight w:val="none"/>
            </w:rPr>
            <w:fldChar w:fldCharType="end"/>
          </w:r>
          <w:r>
            <w:rPr>
              <w:rFonts w:hint="eastAsia" w:ascii="Times New Roman" w:hAnsi="Times New Roman" w:eastAsia="宋体" w:cs="Times New Roman"/>
              <w:color w:val="auto"/>
              <w:sz w:val="28"/>
              <w:szCs w:val="28"/>
              <w:highlight w:val="none"/>
              <w:lang w:val="en-US" w:eastAsia="zh-CN" w:bidi="ar-SA"/>
            </w:rPr>
            <w:fldChar w:fldCharType="end"/>
          </w:r>
          <w:r/>
        </w:p>
        <w:p>
          <w:pPr>
            <w:pStyle w:val="747"/>
            <w:keepLines w:val="0"/>
            <w:keepNext w:val="0"/>
            <w:pageBreakBefore w:val="0"/>
            <w:spacing w:line="480" w:lineRule="auto"/>
            <w:widowControl w:val="off"/>
            <w:tabs>
              <w:tab w:val="right" w:pos="8306" w:leader="dot"/>
            </w:tabs>
            <w:rPr>
              <w:color w:val="auto"/>
              <w:sz w:val="28"/>
              <w:szCs w:val="28"/>
              <w:highlight w:val="none"/>
            </w:rPr>
          </w:pPr>
          <w:r>
            <w:rPr>
              <w:rFonts w:hint="eastAsia" w:ascii="Times New Roman" w:hAnsi="Times New Roman" w:eastAsia="宋体" w:cs="Times New Roman"/>
              <w:color w:val="auto"/>
              <w:sz w:val="28"/>
              <w:szCs w:val="28"/>
              <w:highlight w:val="none"/>
              <w:lang w:val="en-US" w:eastAsia="zh-CN" w:bidi="ar-SA"/>
            </w:rPr>
            <w:fldChar w:fldCharType="begin"/>
          </w:r>
          <w:r>
            <w:rPr>
              <w:rFonts w:hint="eastAsia" w:ascii="Times New Roman" w:hAnsi="Times New Roman" w:eastAsia="宋体" w:cs="Times New Roman"/>
              <w:color w:val="auto"/>
              <w:sz w:val="28"/>
              <w:szCs w:val="28"/>
              <w:highlight w:val="none"/>
              <w:lang w:val="en-US" w:eastAsia="zh-CN" w:bidi="ar-SA"/>
            </w:rPr>
            <w:instrText xml:space="preserve"> HYPERLINK \l _Toc12895 </w:instrText>
          </w:r>
          <w:r>
            <w:rPr>
              <w:rFonts w:hint="eastAsia" w:ascii="Times New Roman" w:hAnsi="Times New Roman" w:eastAsia="宋体" w:cs="Times New Roman"/>
              <w:color w:val="auto"/>
              <w:sz w:val="28"/>
              <w:szCs w:val="28"/>
              <w:highlight w:val="none"/>
              <w:lang w:val="en-US" w:eastAsia="zh-CN" w:bidi="ar-SA"/>
            </w:rPr>
            <w:fldChar w:fldCharType="separate"/>
          </w:r>
          <w:r>
            <w:rPr>
              <w:rFonts w:hint="eastAsia" w:ascii="Times New Roman" w:hAnsi="Times New Roman" w:eastAsia="宋体"/>
              <w:color w:val="auto"/>
              <w:sz w:val="28"/>
              <w:szCs w:val="28"/>
              <w:highlight w:val="none"/>
            </w:rPr>
            <w:t xml:space="preserve">第三章 合同条款及格式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_Toc12895 \h </w:instrText>
          </w:r>
          <w:r>
            <w:rPr>
              <w:color w:val="auto"/>
              <w:sz w:val="28"/>
              <w:szCs w:val="28"/>
              <w:highlight w:val="none"/>
            </w:rPr>
            <w:fldChar w:fldCharType="separate"/>
          </w:r>
          <w:r>
            <w:rPr>
              <w:color w:val="auto"/>
              <w:sz w:val="28"/>
              <w:szCs w:val="28"/>
              <w:highlight w:val="none"/>
            </w:rPr>
            <w:t xml:space="preserve">17</w:t>
          </w:r>
          <w:r>
            <w:rPr>
              <w:color w:val="auto"/>
              <w:sz w:val="28"/>
              <w:szCs w:val="28"/>
              <w:highlight w:val="none"/>
            </w:rPr>
            <w:fldChar w:fldCharType="end"/>
          </w:r>
          <w:r>
            <w:rPr>
              <w:rFonts w:hint="eastAsia" w:ascii="Times New Roman" w:hAnsi="Times New Roman" w:eastAsia="宋体" w:cs="Times New Roman"/>
              <w:color w:val="auto"/>
              <w:sz w:val="28"/>
              <w:szCs w:val="28"/>
              <w:highlight w:val="none"/>
              <w:lang w:val="en-US" w:eastAsia="zh-CN" w:bidi="ar-SA"/>
            </w:rPr>
            <w:fldChar w:fldCharType="end"/>
          </w:r>
          <w:r/>
        </w:p>
        <w:p>
          <w:pPr>
            <w:pStyle w:val="747"/>
            <w:keepLines w:val="0"/>
            <w:keepNext w:val="0"/>
            <w:pageBreakBefore w:val="0"/>
            <w:spacing w:line="480" w:lineRule="auto"/>
            <w:widowControl w:val="off"/>
            <w:tabs>
              <w:tab w:val="right" w:pos="8306" w:leader="dot"/>
            </w:tabs>
            <w:rPr>
              <w:rFonts w:hint="default" w:eastAsia="宋体"/>
              <w:color w:val="auto"/>
              <w:sz w:val="28"/>
              <w:szCs w:val="28"/>
              <w:highlight w:val="none"/>
              <w:lang w:val="en-US" w:eastAsia="zh-CN"/>
            </w:rPr>
          </w:pPr>
          <w:r>
            <w:rPr>
              <w:rFonts w:hint="eastAsia" w:ascii="Times New Roman" w:hAnsi="Times New Roman" w:eastAsia="宋体" w:cs="Times New Roman"/>
              <w:color w:val="auto"/>
              <w:sz w:val="28"/>
              <w:szCs w:val="28"/>
              <w:highlight w:val="none"/>
              <w:lang w:val="en-US" w:eastAsia="zh-CN" w:bidi="ar-SA"/>
            </w:rPr>
            <w:fldChar w:fldCharType="begin"/>
          </w:r>
          <w:r>
            <w:rPr>
              <w:rFonts w:hint="eastAsia" w:ascii="Times New Roman" w:hAnsi="Times New Roman" w:eastAsia="宋体" w:cs="Times New Roman"/>
              <w:color w:val="auto"/>
              <w:sz w:val="28"/>
              <w:szCs w:val="28"/>
              <w:highlight w:val="none"/>
              <w:lang w:val="en-US" w:eastAsia="zh-CN" w:bidi="ar-SA"/>
            </w:rPr>
            <w:instrText xml:space="preserve"> HYPERLINK \l _Toc4495 </w:instrText>
          </w:r>
          <w:r>
            <w:rPr>
              <w:rFonts w:hint="eastAsia" w:ascii="Times New Roman" w:hAnsi="Times New Roman" w:eastAsia="宋体" w:cs="Times New Roman"/>
              <w:color w:val="auto"/>
              <w:sz w:val="28"/>
              <w:szCs w:val="28"/>
              <w:highlight w:val="none"/>
              <w:lang w:val="en-US" w:eastAsia="zh-CN" w:bidi="ar-SA"/>
            </w:rPr>
            <w:fldChar w:fldCharType="separate"/>
          </w:r>
          <w:r>
            <w:rPr>
              <w:rFonts w:hint="eastAsia" w:ascii="Times New Roman" w:hAnsi="Times New Roman" w:eastAsia="宋体" w:cs="Arial"/>
              <w:color w:val="auto"/>
              <w:sz w:val="28"/>
              <w:szCs w:val="28"/>
              <w:highlight w:val="none"/>
              <w:lang w:val="en-US" w:eastAsia="zh-CN" w:bidi="ar-SA"/>
            </w:rPr>
            <w:t xml:space="preserve">第四章 </w:t>
          </w:r>
          <w:r>
            <w:rPr>
              <w:rFonts w:hint="eastAsia" w:ascii="Times New Roman" w:hAnsi="Times New Roman" w:eastAsia="宋体"/>
              <w:color w:val="auto"/>
              <w:sz w:val="28"/>
              <w:szCs w:val="28"/>
              <w:highlight w:val="none"/>
            </w:rPr>
            <w:t xml:space="preserve">项目需求</w:t>
          </w:r>
          <w:r>
            <w:rPr>
              <w:color w:val="auto"/>
              <w:sz w:val="28"/>
              <w:szCs w:val="28"/>
              <w:highlight w:val="none"/>
            </w:rPr>
            <w:tab/>
          </w:r>
          <w:r>
            <w:rPr>
              <w:rFonts w:hint="eastAsia" w:ascii="Times New Roman" w:hAnsi="Times New Roman" w:eastAsia="宋体" w:cs="Times New Roman"/>
              <w:color w:val="auto"/>
              <w:sz w:val="28"/>
              <w:szCs w:val="28"/>
              <w:highlight w:val="none"/>
              <w:lang w:val="en-US" w:eastAsia="zh-CN" w:bidi="ar-SA"/>
            </w:rPr>
            <w:fldChar w:fldCharType="end"/>
          </w:r>
          <w:r>
            <w:rPr>
              <w:rFonts w:hint="eastAsia"/>
              <w:color w:val="auto"/>
              <w:sz w:val="28"/>
              <w:szCs w:val="28"/>
              <w:highlight w:val="none"/>
              <w:lang w:val="en-US" w:eastAsia="zh-CN"/>
            </w:rPr>
            <w:t xml:space="preserve">26</w:t>
          </w:r>
          <w:r/>
        </w:p>
        <w:p>
          <w:pPr>
            <w:pStyle w:val="747"/>
            <w:keepLines w:val="0"/>
            <w:keepNext w:val="0"/>
            <w:pageBreakBefore w:val="0"/>
            <w:spacing w:line="480" w:lineRule="auto"/>
            <w:widowControl w:val="off"/>
            <w:tabs>
              <w:tab w:val="right" w:pos="8306" w:leader="dot"/>
            </w:tabs>
            <w:rPr>
              <w:rFonts w:hint="default"/>
              <w:color w:val="auto"/>
              <w:sz w:val="28"/>
              <w:szCs w:val="28"/>
              <w:highlight w:val="none"/>
              <w:lang w:val="en-US"/>
            </w:rPr>
          </w:pPr>
          <w:r>
            <w:rPr>
              <w:rFonts w:hint="eastAsia" w:ascii="Times New Roman" w:hAnsi="Times New Roman" w:eastAsia="宋体" w:cs="Times New Roman"/>
              <w:color w:val="auto"/>
              <w:sz w:val="28"/>
              <w:szCs w:val="28"/>
              <w:highlight w:val="none"/>
              <w:lang w:val="en-US" w:eastAsia="zh-CN" w:bidi="ar-SA"/>
            </w:rPr>
            <w:fldChar w:fldCharType="begin"/>
          </w:r>
          <w:r>
            <w:rPr>
              <w:rFonts w:hint="eastAsia" w:ascii="Times New Roman" w:hAnsi="Times New Roman" w:eastAsia="宋体" w:cs="Times New Roman"/>
              <w:color w:val="auto"/>
              <w:sz w:val="28"/>
              <w:szCs w:val="28"/>
              <w:highlight w:val="none"/>
              <w:lang w:val="en-US" w:eastAsia="zh-CN" w:bidi="ar-SA"/>
            </w:rPr>
            <w:instrText xml:space="preserve"> HYPERLINK \l _Toc821 </w:instrText>
          </w:r>
          <w:r>
            <w:rPr>
              <w:rFonts w:hint="eastAsia" w:ascii="Times New Roman" w:hAnsi="Times New Roman" w:eastAsia="宋体" w:cs="Times New Roman"/>
              <w:color w:val="auto"/>
              <w:sz w:val="28"/>
              <w:szCs w:val="28"/>
              <w:highlight w:val="none"/>
              <w:lang w:val="en-US" w:eastAsia="zh-CN" w:bidi="ar-SA"/>
            </w:rPr>
            <w:fldChar w:fldCharType="separate"/>
          </w:r>
          <w:r>
            <w:rPr>
              <w:rFonts w:hint="eastAsia" w:ascii="Times New Roman" w:hAnsi="Times New Roman" w:eastAsia="宋体"/>
              <w:color w:val="auto"/>
              <w:sz w:val="28"/>
              <w:szCs w:val="28"/>
              <w:highlight w:val="none"/>
            </w:rPr>
            <w:t xml:space="preserve">第五章 评标方法及评标标准</w:t>
          </w:r>
          <w:r>
            <w:rPr>
              <w:color w:val="auto"/>
              <w:sz w:val="28"/>
              <w:szCs w:val="28"/>
              <w:highlight w:val="none"/>
            </w:rPr>
            <w:tab/>
          </w:r>
          <w:r>
            <w:rPr>
              <w:rFonts w:hint="eastAsia" w:ascii="Times New Roman" w:hAnsi="Times New Roman" w:eastAsia="宋体" w:cs="Times New Roman"/>
              <w:color w:val="auto"/>
              <w:sz w:val="28"/>
              <w:szCs w:val="28"/>
              <w:highlight w:val="none"/>
              <w:lang w:val="en-US" w:eastAsia="zh-CN" w:bidi="ar-SA"/>
            </w:rPr>
            <w:fldChar w:fldCharType="end"/>
          </w:r>
          <w:r>
            <w:rPr>
              <w:rFonts w:hint="eastAsia"/>
              <w:color w:val="auto"/>
              <w:sz w:val="28"/>
              <w:szCs w:val="28"/>
              <w:highlight w:val="none"/>
              <w:lang w:val="en-US" w:eastAsia="zh-CN"/>
            </w:rPr>
            <w:t xml:space="preserve">4</w:t>
          </w:r>
          <w:r>
            <w:rPr>
              <w:rFonts w:hint="eastAsia" w:ascii="Times New Roman" w:hAnsi="Times New Roman" w:cs="Times New Roman"/>
              <w:color w:val="auto"/>
              <w:sz w:val="28"/>
              <w:szCs w:val="28"/>
              <w:highlight w:val="none"/>
              <w:lang w:val="en-US" w:eastAsia="zh-CN" w:bidi="ar-SA"/>
            </w:rPr>
            <w:t xml:space="preserve">5</w:t>
          </w:r>
          <w:r/>
        </w:p>
        <w:p>
          <w:pPr>
            <w:pStyle w:val="747"/>
            <w:keepLines w:val="0"/>
            <w:keepNext w:val="0"/>
            <w:pageBreakBefore w:val="0"/>
            <w:spacing w:line="480" w:lineRule="auto"/>
            <w:widowControl w:val="off"/>
            <w:tabs>
              <w:tab w:val="right" w:pos="8306" w:leader="dot"/>
            </w:tabs>
            <w:rPr>
              <w:rFonts w:hint="default"/>
              <w:color w:val="auto"/>
              <w:sz w:val="28"/>
              <w:szCs w:val="28"/>
              <w:highlight w:val="none"/>
              <w:lang w:val="en-US"/>
            </w:rPr>
          </w:pPr>
          <w:r>
            <w:rPr>
              <w:rFonts w:hint="eastAsia" w:ascii="Times New Roman" w:hAnsi="Times New Roman" w:eastAsia="宋体" w:cs="Times New Roman"/>
              <w:color w:val="auto"/>
              <w:sz w:val="28"/>
              <w:szCs w:val="28"/>
              <w:highlight w:val="none"/>
              <w:lang w:val="en-US" w:eastAsia="zh-CN" w:bidi="ar-SA"/>
            </w:rPr>
            <w:fldChar w:fldCharType="begin"/>
          </w:r>
          <w:r>
            <w:rPr>
              <w:rFonts w:hint="eastAsia" w:ascii="Times New Roman" w:hAnsi="Times New Roman" w:eastAsia="宋体" w:cs="Times New Roman"/>
              <w:color w:val="auto"/>
              <w:sz w:val="28"/>
              <w:szCs w:val="28"/>
              <w:highlight w:val="none"/>
              <w:lang w:val="en-US" w:eastAsia="zh-CN" w:bidi="ar-SA"/>
            </w:rPr>
            <w:instrText xml:space="preserve"> HYPERLINK \l _Toc8012 </w:instrText>
          </w:r>
          <w:r>
            <w:rPr>
              <w:rFonts w:hint="eastAsia" w:ascii="Times New Roman" w:hAnsi="Times New Roman" w:eastAsia="宋体" w:cs="Times New Roman"/>
              <w:color w:val="auto"/>
              <w:sz w:val="28"/>
              <w:szCs w:val="28"/>
              <w:highlight w:val="none"/>
              <w:lang w:val="en-US" w:eastAsia="zh-CN" w:bidi="ar-SA"/>
            </w:rPr>
            <w:fldChar w:fldCharType="separate"/>
          </w:r>
          <w:r>
            <w:rPr>
              <w:rFonts w:hint="eastAsia" w:ascii="Times New Roman" w:hAnsi="Times New Roman" w:eastAsia="宋体"/>
              <w:color w:val="auto"/>
              <w:sz w:val="28"/>
              <w:szCs w:val="28"/>
              <w:highlight w:val="none"/>
            </w:rPr>
            <w:t xml:space="preserve">第六章 投标文件格式</w:t>
          </w:r>
          <w:r>
            <w:rPr>
              <w:color w:val="auto"/>
              <w:sz w:val="28"/>
              <w:szCs w:val="28"/>
              <w:highlight w:val="none"/>
            </w:rPr>
            <w:tab/>
          </w:r>
          <w:r>
            <w:rPr>
              <w:rFonts w:hint="eastAsia" w:ascii="Times New Roman" w:hAnsi="Times New Roman" w:eastAsia="宋体" w:cs="Times New Roman"/>
              <w:color w:val="auto"/>
              <w:sz w:val="28"/>
              <w:szCs w:val="28"/>
              <w:highlight w:val="none"/>
              <w:lang w:val="en-US" w:eastAsia="zh-CN" w:bidi="ar-SA"/>
            </w:rPr>
            <w:fldChar w:fldCharType="end"/>
          </w:r>
          <w:r>
            <w:rPr>
              <w:rFonts w:hint="eastAsia"/>
              <w:color w:val="auto"/>
              <w:sz w:val="28"/>
              <w:szCs w:val="28"/>
              <w:highlight w:val="none"/>
              <w:lang w:val="en-US" w:eastAsia="zh-CN"/>
            </w:rPr>
            <w:t xml:space="preserve">5</w:t>
          </w:r>
          <w:r>
            <w:rPr>
              <w:rFonts w:hint="eastAsia" w:ascii="Times New Roman" w:hAnsi="Times New Roman" w:cs="Times New Roman"/>
              <w:color w:val="auto"/>
              <w:sz w:val="28"/>
              <w:szCs w:val="28"/>
              <w:highlight w:val="none"/>
              <w:lang w:val="en-US" w:eastAsia="zh-CN" w:bidi="ar-SA"/>
            </w:rPr>
            <w:t xml:space="preserve">0</w:t>
          </w:r>
          <w:r/>
        </w:p>
        <w:p>
          <w:pPr>
            <w:keepLines w:val="0"/>
            <w:keepNext w:val="0"/>
            <w:pageBreakBefore w:val="0"/>
            <w:spacing w:line="480" w:lineRule="auto"/>
            <w:widowControl w:val="off"/>
            <w:rPr>
              <w:rFonts w:hint="eastAsia"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8"/>
              <w:szCs w:val="28"/>
              <w:highlight w:val="none"/>
              <w:lang w:val="en-US" w:eastAsia="zh-CN" w:bidi="ar-SA"/>
            </w:rPr>
            <w:fldChar w:fldCharType="end"/>
          </w:r>
          <w:r/>
        </w:p>
      </w:sdtContent>
    </w:sdt>
    <w:p>
      <w:pPr>
        <w:pageBreakBefore w:val="0"/>
        <w:spacing w:line="360" w:lineRule="auto"/>
        <w:rPr>
          <w:rFonts w:hint="eastAsia" w:ascii="Times New Roman" w:hAnsi="Times New Roman" w:eastAsia="宋体" w:cs="Times New Roman"/>
          <w:color w:val="auto"/>
          <w:sz w:val="21"/>
          <w:szCs w:val="22"/>
          <w:highlight w:val="none"/>
          <w:lang w:val="en-US" w:eastAsia="zh-CN" w:bidi="ar-SA"/>
        </w:rPr>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hint="eastAsia" w:ascii="Times New Roman" w:hAnsi="Times New Roman" w:eastAsia="宋体" w:cs="Times New Roman"/>
          <w:color w:val="auto"/>
          <w:sz w:val="21"/>
          <w:szCs w:val="22"/>
          <w:highlight w:val="none"/>
          <w:lang w:val="en-US" w:eastAsia="zh-CN" w:bidi="ar-SA"/>
        </w:rPr>
      </w:r>
      <w:r/>
    </w:p>
    <w:p>
      <w:pPr>
        <w:pStyle w:val="719"/>
        <w:pageBreakBefore w:val="0"/>
        <w:spacing w:line="360" w:lineRule="auto"/>
        <w:rPr>
          <w:rFonts w:ascii="Times New Roman" w:hAnsi="Times New Roman" w:eastAsia="宋体"/>
          <w:color w:val="auto"/>
          <w:highlight w:val="none"/>
        </w:rPr>
      </w:pPr>
      <w:r/>
      <w:bookmarkStart w:id="0" w:name="_Toc9352"/>
      <w:r/>
      <w:bookmarkStart w:id="1" w:name="_Toc13036"/>
      <w:r/>
      <w:bookmarkStart w:id="2" w:name="_Toc27214"/>
      <w:r/>
      <w:bookmarkStart w:id="3" w:name="_Toc27131"/>
      <w:r/>
      <w:bookmarkStart w:id="4" w:name="_Toc24386"/>
      <w:r>
        <w:rPr>
          <w:rFonts w:hint="eastAsia" w:ascii="Times New Roman" w:hAnsi="Times New Roman" w:eastAsia="宋体"/>
          <w:color w:val="auto"/>
          <w:highlight w:val="none"/>
        </w:rPr>
        <w:t xml:space="preserve">第一章 </w:t>
      </w:r>
      <w:bookmarkStart w:id="5" w:name="_Toc27417"/>
      <w:r/>
      <w:bookmarkStart w:id="6" w:name="_Toc28446"/>
      <w:r>
        <w:rPr>
          <w:rFonts w:hint="eastAsia" w:ascii="Times New Roman" w:hAnsi="Times New Roman" w:eastAsia="宋体"/>
          <w:color w:val="auto"/>
          <w:highlight w:val="none"/>
        </w:rPr>
        <w:t xml:space="preserve">采购公告</w:t>
      </w:r>
      <w:bookmarkEnd w:id="0"/>
      <w:r/>
      <w:bookmarkEnd w:id="1"/>
      <w:r/>
      <w:bookmarkEnd w:id="2"/>
      <w:r/>
      <w:bookmarkEnd w:id="3"/>
      <w:r/>
      <w:bookmarkEnd w:id="4"/>
      <w:r/>
      <w:bookmarkEnd w:id="5"/>
      <w:r/>
      <w:bookmarkEnd w:id="6"/>
      <w:r/>
      <w:r/>
    </w:p>
    <w:p>
      <w:pPr>
        <w:ind w:firstLine="420"/>
        <w:jc w:val="left"/>
        <w:pageBreakBefore w:val="0"/>
        <w:spacing w:line="360" w:lineRule="auto"/>
        <w:tabs>
          <w:tab w:val="left" w:pos="266" w:leader="none"/>
        </w:tabs>
        <w:rPr>
          <w:rFonts w:hint="eastAsia" w:ascii="Times New Roman" w:hAnsi="Times New Roman" w:eastAsia="宋体" w:cs="宋体"/>
          <w:color w:val="auto"/>
          <w:szCs w:val="21"/>
          <w:highlight w:val="none"/>
        </w:rPr>
      </w:pPr>
      <w:r>
        <w:rPr>
          <w:rFonts w:hint="eastAsia" w:ascii="Times New Roman" w:hAnsi="Times New Roman" w:eastAsia="宋体" w:cs="宋体"/>
          <w:color w:val="auto"/>
          <w:highlight w:val="none"/>
        </w:rPr>
        <w:t xml:space="preserve">受</w:t>
      </w:r>
      <w:r>
        <w:rPr>
          <w:rFonts w:hint="eastAsia" w:ascii="Times New Roman" w:hAnsi="Times New Roman" w:cs="宋体"/>
          <w:color w:val="auto"/>
          <w:highlight w:val="none"/>
          <w:lang w:eastAsia="zh-CN"/>
        </w:rPr>
        <w:t xml:space="preserve">扬州市城市河道管理处</w:t>
      </w:r>
      <w:r>
        <w:rPr>
          <w:rFonts w:hint="eastAsia" w:ascii="Times New Roman" w:hAnsi="Times New Roman" w:eastAsia="宋体" w:cs="宋体"/>
          <w:color w:val="auto"/>
          <w:highlight w:val="none"/>
        </w:rPr>
        <w:t xml:space="preserve">的委托，</w:t>
      </w:r>
      <w:r>
        <w:rPr>
          <w:rFonts w:hint="eastAsia" w:ascii="Times New Roman" w:hAnsi="Times New Roman" w:cs="宋体"/>
          <w:color w:val="auto"/>
          <w:highlight w:val="none"/>
          <w:lang w:eastAsia="zh-CN"/>
        </w:rPr>
        <w:t xml:space="preserve">江苏苏中兴工程造价咨询有限公司</w:t>
      </w:r>
      <w:r>
        <w:rPr>
          <w:rFonts w:hint="eastAsia" w:ascii="Times New Roman" w:hAnsi="Times New Roman" w:eastAsia="宋体" w:cs="宋体"/>
          <w:color w:val="auto"/>
          <w:highlight w:val="none"/>
        </w:rPr>
        <w:t xml:space="preserve">就</w:t>
      </w:r>
      <w:r>
        <w:rPr>
          <w:rFonts w:hint="eastAsia" w:ascii="Times New Roman" w:hAnsi="Times New Roman" w:cs="宋体"/>
          <w:color w:val="auto"/>
          <w:highlight w:val="none"/>
          <w:lang w:eastAsia="zh-CN"/>
        </w:rPr>
        <w:t xml:space="preserve">扬州市城区河道水利运维安防监控完善项目</w:t>
      </w:r>
      <w:r>
        <w:rPr>
          <w:rFonts w:hint="eastAsia" w:ascii="Times New Roman" w:hAnsi="Times New Roman" w:eastAsia="宋体" w:cs="宋体"/>
          <w:color w:val="auto"/>
          <w:highlight w:val="none"/>
        </w:rPr>
        <w:t xml:space="preserve">（</w:t>
      </w:r>
      <w:r>
        <w:rPr>
          <w:rFonts w:hint="eastAsia" w:ascii="Times New Roman" w:hAnsi="Times New Roman" w:cs="宋体"/>
          <w:color w:val="auto"/>
          <w:szCs w:val="21"/>
          <w:highlight w:val="none"/>
          <w:lang w:eastAsia="zh-CN"/>
        </w:rPr>
        <w:t xml:space="preserve">JSZC-321000-SSZX-G2026-0007号</w:t>
      </w:r>
      <w:r>
        <w:rPr>
          <w:rFonts w:hint="eastAsia" w:ascii="Times New Roman" w:hAnsi="Times New Roman" w:eastAsia="宋体" w:cs="宋体"/>
          <w:color w:val="auto"/>
          <w:szCs w:val="21"/>
          <w:highlight w:val="none"/>
        </w:rPr>
        <w:t xml:space="preserve">）</w:t>
      </w:r>
      <w:r>
        <w:rPr>
          <w:rFonts w:hint="eastAsia" w:ascii="Times New Roman" w:hAnsi="Times New Roman" w:eastAsia="宋体" w:cs="宋体"/>
          <w:color w:val="auto"/>
          <w:highlight w:val="none"/>
        </w:rPr>
        <w:t xml:space="preserve">进行公开招标采购，欢迎符合条件的供应商投标。</w:t>
      </w:r>
      <w:r/>
    </w:p>
    <w:p>
      <w:pPr>
        <w:ind w:firstLine="422"/>
        <w:pageBreakBefore w:val="0"/>
        <w:spacing w:line="360" w:lineRule="auto"/>
        <w:rPr>
          <w:rFonts w:hint="eastAsia" w:ascii="Times New Roman" w:hAnsi="Times New Roman" w:eastAsia="宋体" w:cs="宋体"/>
          <w:b/>
          <w:bCs/>
          <w:color w:val="auto"/>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eastAsia="宋体" w:cs="宋体"/>
          <w:b/>
          <w:bCs/>
          <w:color w:val="auto"/>
          <w:highlight w:val="none"/>
        </w:rPr>
        <w:t xml:space="preserve">项目概况</w:t>
      </w:r>
      <w:r/>
    </w:p>
    <w:p>
      <w:pPr>
        <w:ind w:firstLine="420"/>
        <w:pageBreakBefore w:val="0"/>
        <w:spacing w:line="360" w:lineRule="auto"/>
        <w:rPr>
          <w:rFonts w:hint="eastAsia" w:ascii="Times New Roman" w:hAnsi="Times New Roman" w:eastAsia="宋体" w:cs="宋体"/>
          <w:color w:val="auto"/>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宋体"/>
          <w:color w:val="auto"/>
          <w:highlight w:val="none"/>
          <w:u w:val="single"/>
          <w:lang w:eastAsia="zh-CN"/>
        </w:rPr>
        <w:t xml:space="preserve">扬州市城区河道水利运维安防监控完善项目</w:t>
      </w:r>
      <w:r>
        <w:rPr>
          <w:rFonts w:hint="eastAsia" w:ascii="Times New Roman" w:hAnsi="Times New Roman" w:eastAsia="宋体" w:cs="宋体"/>
          <w:color w:val="auto"/>
          <w:highlight w:val="none"/>
        </w:rPr>
        <w:t xml:space="preserve">的潜在投标人可在</w:t>
      </w:r>
      <w:r>
        <w:rPr>
          <w:rFonts w:hint="eastAsia" w:ascii="Times New Roman" w:hAnsi="Times New Roman" w:eastAsia="宋体" w:cs="宋体"/>
          <w:color w:val="auto"/>
          <w:highlight w:val="none"/>
          <w:u w:val="single"/>
          <w:lang w:eastAsia="zh-CN"/>
        </w:rPr>
        <w:t xml:space="preserve">“扬州市政府采购网”、“江苏省政府采购网”和“中国政府采购网”</w:t>
      </w:r>
      <w:r>
        <w:rPr>
          <w:rFonts w:hint="eastAsia" w:ascii="Times New Roman" w:hAnsi="Times New Roman" w:eastAsia="宋体" w:cs="宋体"/>
          <w:color w:val="auto"/>
          <w:highlight w:val="none"/>
          <w:u w:val="single"/>
        </w:rPr>
        <w:t xml:space="preserve">自行免费下载</w:t>
      </w:r>
      <w:r>
        <w:rPr>
          <w:rFonts w:hint="eastAsia" w:ascii="Times New Roman" w:hAnsi="Times New Roman" w:eastAsia="宋体" w:cs="宋体"/>
          <w:color w:val="auto"/>
          <w:highlight w:val="none"/>
        </w:rPr>
        <w:t xml:space="preserve">招标文件，并于</w:t>
      </w:r>
      <w:r>
        <w:rPr>
          <w:rFonts w:hint="eastAsia" w:ascii="Times New Roman" w:hAnsi="Times New Roman" w:eastAsia="宋体" w:cs="宋体"/>
          <w:bCs/>
          <w:color w:val="auto"/>
          <w:highlight w:val="none"/>
          <w:u w:val="single"/>
        </w:rPr>
        <w:t xml:space="preserve">2026年</w:t>
      </w:r>
      <w:r>
        <w:rPr>
          <w:rFonts w:hint="eastAsia" w:ascii="Times New Roman" w:hAnsi="Times New Roman" w:cs="宋体"/>
          <w:bCs/>
          <w:color w:val="auto"/>
          <w:highlight w:val="none"/>
          <w:u w:val="single"/>
          <w:lang w:val="en-US" w:eastAsia="zh-CN"/>
        </w:rPr>
        <w:t xml:space="preserve">10</w:t>
      </w:r>
      <w:r>
        <w:rPr>
          <w:rFonts w:hint="eastAsia" w:ascii="Times New Roman" w:hAnsi="Times New Roman" w:eastAsia="宋体" w:cs="宋体"/>
          <w:bCs/>
          <w:color w:val="auto"/>
          <w:highlight w:val="none"/>
          <w:u w:val="single"/>
        </w:rPr>
        <w:t xml:space="preserve">月</w:t>
      </w:r>
      <w:r>
        <w:rPr>
          <w:rFonts w:hint="eastAsia" w:ascii="Times New Roman" w:hAnsi="Times New Roman" w:cs="宋体"/>
          <w:bCs/>
          <w:color w:val="auto"/>
          <w:highlight w:val="none"/>
          <w:u w:val="single"/>
          <w:lang w:val="en-US" w:eastAsia="zh-CN"/>
        </w:rPr>
        <w:t xml:space="preserve">08</w:t>
      </w:r>
      <w:r>
        <w:rPr>
          <w:rFonts w:hint="eastAsia" w:ascii="Times New Roman" w:hAnsi="Times New Roman" w:eastAsia="宋体" w:cs="宋体"/>
          <w:bCs/>
          <w:color w:val="auto"/>
          <w:highlight w:val="none"/>
          <w:u w:val="single"/>
        </w:rPr>
        <w:t xml:space="preserve">日</w:t>
      </w:r>
      <w:r>
        <w:rPr>
          <w:rFonts w:hint="eastAsia" w:ascii="Times New Roman" w:hAnsi="Times New Roman" w:cs="宋体"/>
          <w:bCs/>
          <w:color w:val="auto"/>
          <w:highlight w:val="none"/>
          <w:u w:val="single"/>
          <w:lang w:val="en-US" w:eastAsia="zh-CN"/>
        </w:rPr>
        <w:t xml:space="preserve">下</w:t>
      </w:r>
      <w:r>
        <w:rPr>
          <w:rFonts w:hint="eastAsia" w:ascii="Times New Roman" w:hAnsi="Times New Roman" w:eastAsia="宋体" w:cs="宋体"/>
          <w:bCs/>
          <w:color w:val="auto"/>
          <w:highlight w:val="none"/>
          <w:u w:val="single"/>
        </w:rPr>
        <w:t xml:space="preserve">午</w:t>
      </w:r>
      <w:r>
        <w:rPr>
          <w:rFonts w:hint="eastAsia" w:ascii="Times New Roman" w:hAnsi="Times New Roman" w:cs="宋体"/>
          <w:bCs/>
          <w:color w:val="auto"/>
          <w:highlight w:val="none"/>
          <w:u w:val="single"/>
          <w:lang w:val="en-US" w:eastAsia="zh-CN"/>
        </w:rPr>
        <w:t xml:space="preserve">2</w:t>
      </w:r>
      <w:r>
        <w:rPr>
          <w:rFonts w:hint="eastAsia" w:ascii="Times New Roman" w:hAnsi="Times New Roman" w:eastAsia="宋体" w:cs="宋体"/>
          <w:bCs/>
          <w:color w:val="auto"/>
          <w:highlight w:val="none"/>
          <w:u w:val="single"/>
        </w:rPr>
        <w:t xml:space="preserve">:30</w:t>
      </w:r>
      <w:r>
        <w:rPr>
          <w:rFonts w:hint="eastAsia" w:ascii="Times New Roman" w:hAnsi="Times New Roman" w:eastAsia="宋体" w:cs="宋体"/>
          <w:bCs/>
          <w:color w:val="auto"/>
          <w:highlight w:val="none"/>
          <w:u w:val="single"/>
          <w:lang w:val="en-US" w:eastAsia="zh-CN"/>
        </w:rPr>
        <w:t xml:space="preserve"> </w:t>
      </w:r>
      <w:r>
        <w:rPr>
          <w:rFonts w:hint="eastAsia" w:ascii="Times New Roman" w:hAnsi="Times New Roman" w:eastAsia="宋体" w:cs="宋体"/>
          <w:bCs/>
          <w:color w:val="auto"/>
          <w:highlight w:val="none"/>
        </w:rPr>
        <w:t xml:space="preserve">（北京时间）前递交投标文件</w:t>
      </w:r>
      <w:r>
        <w:rPr>
          <w:rFonts w:hint="eastAsia" w:ascii="Times New Roman" w:hAnsi="Times New Roman" w:eastAsia="宋体" w:cs="宋体"/>
          <w:color w:val="auto"/>
          <w:highlight w:val="none"/>
        </w:rPr>
        <w:t xml:space="preserve">。</w:t>
      </w:r>
      <w:r/>
    </w:p>
    <w:p>
      <w:pPr>
        <w:ind w:firstLine="422"/>
        <w:pageBreakBefore w:val="0"/>
        <w:spacing w:line="360" w:lineRule="auto"/>
        <w:tabs>
          <w:tab w:val="left" w:pos="266" w:leader="none"/>
        </w:tabs>
        <w:rPr>
          <w:rFonts w:hint="eastAsia" w:ascii="Times New Roman" w:hAnsi="Times New Roman" w:eastAsia="宋体" w:cs="宋体"/>
          <w:b/>
          <w:bCs/>
          <w:color w:val="auto"/>
          <w:highlight w:val="none"/>
        </w:rPr>
      </w:pPr>
      <w:r/>
      <w:bookmarkStart w:id="7" w:name="_Toc28359002"/>
      <w:r/>
      <w:bookmarkStart w:id="8" w:name="_Toc35393621"/>
      <w:r/>
      <w:bookmarkStart w:id="9" w:name="_Toc38985263"/>
      <w:r/>
      <w:bookmarkStart w:id="10" w:name="_Toc28359079"/>
      <w:r/>
      <w:bookmarkStart w:id="11" w:name="_Toc35393790"/>
      <w:r/>
      <w:bookmarkStart w:id="12" w:name="_Hlk24379207"/>
      <w:r>
        <w:rPr>
          <w:rFonts w:hint="eastAsia" w:ascii="Times New Roman" w:hAnsi="Times New Roman" w:eastAsia="宋体" w:cs="宋体"/>
          <w:b/>
          <w:bCs/>
          <w:color w:val="auto"/>
          <w:highlight w:val="none"/>
        </w:rPr>
        <w:t xml:space="preserve">一、项目基本情况</w:t>
      </w:r>
      <w:bookmarkEnd w:id="7"/>
      <w:r/>
      <w:bookmarkEnd w:id="8"/>
      <w:r/>
      <w:bookmarkEnd w:id="9"/>
      <w:r/>
      <w:bookmarkEnd w:id="10"/>
      <w:r/>
      <w:bookmarkEnd w:id="11"/>
      <w:r/>
      <w:r/>
    </w:p>
    <w:p>
      <w:pPr>
        <w:ind w:firstLine="420"/>
        <w:keepLines w:val="0"/>
        <w:keepNext w:val="0"/>
        <w:pageBreakBefore w:val="0"/>
        <w:spacing w:line="360" w:lineRule="auto"/>
        <w:widowControl w:val="off"/>
        <w:rPr>
          <w:rFonts w:hint="eastAsia" w:ascii="Times New Roman" w:hAnsi="Times New Roman" w:eastAsia="宋体" w:cs="宋体"/>
          <w:color w:val="auto"/>
          <w:szCs w:val="21"/>
          <w:highlight w:val="none"/>
        </w:rPr>
      </w:pPr>
      <w:r>
        <w:rPr>
          <w:rFonts w:hint="eastAsia" w:ascii="Times New Roman" w:hAnsi="Times New Roman" w:eastAsia="宋体" w:cs="宋体"/>
          <w:color w:val="auto"/>
          <w:highlight w:val="none"/>
        </w:rPr>
        <w:t xml:space="preserve">1.项目编号：</w:t>
      </w:r>
      <w:r>
        <w:rPr>
          <w:rFonts w:hint="eastAsia" w:ascii="Times New Roman" w:hAnsi="Times New Roman" w:cs="宋体"/>
          <w:color w:val="auto"/>
          <w:szCs w:val="21"/>
          <w:highlight w:val="none"/>
          <w:lang w:eastAsia="zh-CN"/>
        </w:rPr>
        <w:t xml:space="preserve">JSZC-321000-SSZX-G2026-0007号</w:t>
      </w:r>
      <w:r/>
    </w:p>
    <w:p>
      <w:pPr>
        <w:ind w:firstLine="420"/>
        <w:keepLines w:val="0"/>
        <w:keepNext w:val="0"/>
        <w:pageBreakBefore w:val="0"/>
        <w:spacing w:line="360" w:lineRule="auto"/>
        <w:widowControl w:val="off"/>
        <w:rPr>
          <w:rFonts w:hint="eastAsia" w:ascii="Times New Roman" w:hAnsi="Times New Roman" w:eastAsia="宋体" w:cs="宋体"/>
          <w:color w:val="auto"/>
          <w:highlight w:val="none"/>
          <w:lang w:eastAsia="zh-CN"/>
        </w:rPr>
      </w:pPr>
      <w:r>
        <w:rPr>
          <w:rFonts w:hint="eastAsia" w:ascii="Times New Roman" w:hAnsi="Times New Roman" w:eastAsia="宋体" w:cs="宋体"/>
          <w:color w:val="auto"/>
          <w:highlight w:val="none"/>
        </w:rPr>
        <w:t xml:space="preserve">2.项目名称：</w:t>
      </w:r>
      <w:bookmarkEnd w:id="12"/>
      <w:r>
        <w:rPr>
          <w:rFonts w:hint="eastAsia" w:ascii="Times New Roman" w:hAnsi="Times New Roman" w:cs="宋体"/>
          <w:color w:val="auto"/>
          <w:highlight w:val="none"/>
          <w:lang w:eastAsia="zh-CN"/>
        </w:rPr>
        <w:t xml:space="preserve">扬州市城区河道水利运维安防监控完善项目</w:t>
      </w:r>
      <w:r/>
    </w:p>
    <w:p>
      <w:pPr>
        <w:ind w:firstLine="420"/>
        <w:pageBreakBefore w:val="0"/>
        <w:spacing w:line="360" w:lineRule="auto"/>
        <w:rPr>
          <w:rFonts w:hint="default" w:ascii="Times New Roman" w:hAnsi="Times New Roman" w:eastAsia="宋体"/>
          <w:color w:val="auto"/>
          <w:sz w:val="21"/>
          <w:szCs w:val="21"/>
          <w:highlight w:val="none"/>
          <w:lang w:val="en-US"/>
        </w:rPr>
      </w:pPr>
      <w:r>
        <w:rPr>
          <w:rFonts w:hint="eastAsia" w:ascii="Times New Roman" w:hAnsi="Times New Roman" w:eastAsia="宋体" w:cs="宋体"/>
          <w:color w:val="auto"/>
          <w:sz w:val="21"/>
          <w:szCs w:val="21"/>
          <w:highlight w:val="none"/>
        </w:rPr>
        <w:t xml:space="preserve">3.预算金额：</w:t>
      </w:r>
      <w:r>
        <w:rPr>
          <w:rFonts w:hint="eastAsia" w:ascii="Times New Roman" w:hAnsi="Times New Roman" w:eastAsia="宋体" w:cs="宋体"/>
          <w:color w:val="auto"/>
          <w:sz w:val="21"/>
          <w:szCs w:val="21"/>
          <w:highlight w:val="none"/>
          <w:lang w:val="en-US" w:eastAsia="zh-CN"/>
        </w:rPr>
        <w:t xml:space="preserve">180.88万元</w:t>
      </w:r>
      <w:r/>
    </w:p>
    <w:p>
      <w:pPr>
        <w:ind w:firstLine="420"/>
        <w:pageBreakBefore w:val="0"/>
        <w:spacing w:line="360" w:lineRule="auto"/>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rPr>
        <w:t xml:space="preserve">4.</w:t>
      </w:r>
      <w:r>
        <w:rPr>
          <w:rFonts w:hint="eastAsia" w:ascii="Times New Roman" w:hAnsi="Times New Roman" w:eastAsia="宋体" w:cs="宋体"/>
          <w:color w:val="auto"/>
          <w:sz w:val="21"/>
          <w:szCs w:val="22"/>
          <w:highlight w:val="none"/>
          <w:lang w:val="en-US" w:eastAsia="zh-CN" w:bidi="ar-SA"/>
        </w:rPr>
        <w:t xml:space="preserve">最高限价：</w:t>
      </w:r>
      <w:r>
        <w:rPr>
          <w:rFonts w:hint="eastAsia" w:ascii="Times New Roman" w:hAnsi="Times New Roman" w:eastAsia="宋体" w:cs="宋体"/>
          <w:color w:val="auto"/>
          <w:sz w:val="21"/>
          <w:szCs w:val="21"/>
          <w:highlight w:val="none"/>
          <w:lang w:val="en-US" w:eastAsia="zh-CN"/>
        </w:rPr>
        <w:t xml:space="preserve">本项目设定最高限价，最高限价为180.88万元</w:t>
      </w:r>
      <w:r>
        <w:rPr>
          <w:rFonts w:hint="eastAsia" w:ascii="Times New Roman" w:hAnsi="Times New Roman" w:eastAsia="宋体" w:cs="宋体"/>
          <w:color w:val="auto"/>
          <w:sz w:val="21"/>
          <w:szCs w:val="22"/>
          <w:highlight w:val="none"/>
          <w:lang w:val="en-US" w:eastAsia="zh-CN" w:bidi="ar-SA"/>
        </w:rPr>
        <w:t xml:space="preserve">，报价超过最高限价的为无效投标文件。</w:t>
      </w:r>
      <w:r/>
    </w:p>
    <w:p>
      <w:pPr>
        <w:ind w:firstLine="420"/>
        <w:pageBreakBefore w:val="0"/>
        <w:spacing w:line="360" w:lineRule="auto"/>
        <w:rPr>
          <w:rFonts w:hint="eastAsia" w:ascii="Times New Roman" w:hAnsi="Times New Roman" w:eastAsia="宋体" w:cs="宋体"/>
          <w:color w:val="auto"/>
          <w:highlight w:val="none"/>
          <w:u w:val="single"/>
        </w:rPr>
      </w:pPr>
      <w:r>
        <w:rPr>
          <w:rFonts w:hint="eastAsia" w:ascii="Times New Roman" w:hAnsi="Times New Roman" w:eastAsia="宋体" w:cs="宋体"/>
          <w:color w:val="auto"/>
          <w:highlight w:val="none"/>
        </w:rPr>
        <w:t xml:space="preserve">5.采购需求：见招标文件第四章。</w:t>
      </w:r>
      <w:r/>
    </w:p>
    <w:p>
      <w:pPr>
        <w:ind w:firstLine="420"/>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6.合同履行期限：见招标文件第四章。 </w:t>
      </w:r>
      <w:r/>
    </w:p>
    <w:p>
      <w:pPr>
        <w:ind w:firstLine="420"/>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7.本项目</w:t>
      </w:r>
      <w:r>
        <w:rPr>
          <w:rFonts w:hint="eastAsia" w:ascii="Times New Roman" w:hAnsi="Times New Roman" w:eastAsia="宋体" w:cs="宋体"/>
          <w:i/>
          <w:iCs/>
          <w:color w:val="auto"/>
          <w:highlight w:val="none"/>
          <w:u w:val="single"/>
        </w:rPr>
        <w:t xml:space="preserve">不接受</w:t>
      </w:r>
      <w:r>
        <w:rPr>
          <w:rFonts w:hint="eastAsia" w:ascii="Times New Roman" w:hAnsi="Times New Roman" w:eastAsia="宋体" w:cs="宋体"/>
          <w:color w:val="auto"/>
          <w:highlight w:val="none"/>
        </w:rPr>
        <w:t xml:space="preserve">进口产品投标。</w:t>
      </w:r>
      <w:r/>
    </w:p>
    <w:p>
      <w:pPr>
        <w:ind w:firstLine="422"/>
        <w:pageBreakBefore w:val="0"/>
        <w:spacing w:line="360" w:lineRule="auto"/>
        <w:tabs>
          <w:tab w:val="left" w:pos="266" w:leader="none"/>
        </w:tabs>
        <w:rPr>
          <w:rFonts w:hint="eastAsia" w:ascii="Times New Roman" w:hAnsi="Times New Roman" w:eastAsia="宋体" w:cs="宋体"/>
          <w:b/>
          <w:bCs/>
          <w:color w:val="auto"/>
          <w:highlight w:val="none"/>
        </w:rPr>
      </w:pPr>
      <w:r/>
      <w:bookmarkStart w:id="13" w:name="_Toc38985264"/>
      <w:r/>
      <w:bookmarkStart w:id="14" w:name="_Toc35393622"/>
      <w:r/>
      <w:bookmarkStart w:id="15" w:name="_Toc28359003"/>
      <w:r/>
      <w:bookmarkStart w:id="16" w:name="_Toc35393791"/>
      <w:r/>
      <w:bookmarkStart w:id="17" w:name="_Toc28359080"/>
      <w:r>
        <w:rPr>
          <w:rFonts w:hint="eastAsia" w:ascii="Times New Roman" w:hAnsi="Times New Roman" w:eastAsia="宋体" w:cs="宋体"/>
          <w:b/>
          <w:bCs/>
          <w:color w:val="auto"/>
          <w:highlight w:val="none"/>
        </w:rPr>
        <w:t xml:space="preserve">二、申请人的资格要求：</w:t>
      </w:r>
      <w:bookmarkEnd w:id="13"/>
      <w:r/>
      <w:bookmarkEnd w:id="14"/>
      <w:r/>
      <w:bookmarkEnd w:id="15"/>
      <w:r/>
      <w:bookmarkEnd w:id="16"/>
      <w:r/>
      <w:bookmarkEnd w:id="17"/>
      <w:r/>
      <w:r/>
    </w:p>
    <w:p>
      <w:pPr>
        <w:ind w:firstLine="420"/>
        <w:pageBreakBefore w:val="0"/>
        <w:spacing w:line="360" w:lineRule="auto"/>
        <w:rPr>
          <w:rFonts w:hint="eastAsia" w:ascii="Times New Roman" w:hAnsi="Times New Roman" w:eastAsia="宋体" w:cs="宋体"/>
          <w:color w:val="auto"/>
          <w:szCs w:val="21"/>
          <w:highlight w:val="none"/>
          <w:lang w:val="en-US" w:eastAsia="zh-CN"/>
        </w:rPr>
      </w:pPr>
      <w:r>
        <w:rPr>
          <w:rFonts w:hint="eastAsia" w:ascii="Times New Roman" w:hAnsi="Times New Roman" w:eastAsia="宋体" w:cs="宋体"/>
          <w:color w:val="auto"/>
          <w:szCs w:val="21"/>
          <w:highlight w:val="none"/>
        </w:rPr>
        <w:t xml:space="preserve">（一）通用资格要求</w:t>
      </w:r>
      <w:r>
        <w:rPr>
          <w:rFonts w:hint="eastAsia" w:ascii="Times New Roman" w:hAnsi="Times New Roman" w:eastAsia="宋体" w:cs="宋体"/>
          <w:color w:val="auto"/>
          <w:szCs w:val="21"/>
          <w:highlight w:val="none"/>
          <w:lang w:val="en-US" w:eastAsia="zh-CN"/>
        </w:rPr>
        <w:tab/>
      </w:r>
      <w:r/>
    </w:p>
    <w:p>
      <w:pPr>
        <w:ind w:firstLine="420"/>
        <w:pageBreakBefore w:val="0"/>
        <w:spacing w:line="360" w:lineRule="auto"/>
        <w:rPr>
          <w:rFonts w:hint="eastAsia" w:ascii="Times New Roman" w:hAnsi="Times New Roman" w:eastAsia="宋体" w:cs="宋体"/>
          <w:color w:val="auto"/>
          <w:szCs w:val="21"/>
          <w:highlight w:val="none"/>
        </w:rPr>
      </w:pPr>
      <w:r/>
      <w:bookmarkStart w:id="18" w:name="_Toc28359004"/>
      <w:r/>
      <w:bookmarkStart w:id="19" w:name="_Toc28359081"/>
      <w:r/>
      <w:bookmarkStart w:id="20" w:name="_Toc35393792"/>
      <w:r/>
      <w:bookmarkStart w:id="21" w:name="_Toc35393623"/>
      <w:r/>
      <w:bookmarkStart w:id="22" w:name="_Toc38985265"/>
      <w:r>
        <w:rPr>
          <w:rFonts w:hint="eastAsia" w:ascii="Times New Roman" w:hAnsi="Times New Roman" w:eastAsia="宋体" w:cs="宋体"/>
          <w:color w:val="auto"/>
          <w:szCs w:val="21"/>
          <w:highlight w:val="none"/>
        </w:rPr>
        <w:t xml:space="preserve">1.满足《中华人民共和国政府采购法》第二十二条规定：</w:t>
      </w:r>
      <w:r/>
    </w:p>
    <w:p>
      <w:pPr>
        <w:ind w:firstLine="420"/>
        <w:pageBreakBefore w:val="0"/>
        <w:spacing w:line="360" w:lineRule="auto"/>
        <w:rPr>
          <w:rFonts w:hint="eastAsia"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1.1法人或者其他组织的营业执照等证明文件，自然人的身份证明</w:t>
      </w:r>
      <w:r/>
    </w:p>
    <w:p>
      <w:pPr>
        <w:ind w:firstLine="420"/>
        <w:pageBreakBefore w:val="0"/>
        <w:spacing w:line="360" w:lineRule="auto"/>
        <w:rPr>
          <w:rFonts w:hint="eastAsia"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1.2 </w:t>
      </w:r>
      <w:r>
        <w:rPr>
          <w:rFonts w:hint="eastAsia" w:ascii="Times New Roman" w:hAnsi="Times New Roman" w:eastAsia="宋体" w:cs="宋体"/>
          <w:i/>
          <w:iCs/>
          <w:color w:val="auto"/>
          <w:szCs w:val="21"/>
          <w:highlight w:val="none"/>
          <w:u w:val="single"/>
          <w:lang w:eastAsia="zh-CN"/>
        </w:rPr>
        <w:t xml:space="preserve">上一年度</w:t>
      </w:r>
      <w:r>
        <w:rPr>
          <w:rFonts w:hint="eastAsia" w:ascii="Times New Roman" w:hAnsi="Times New Roman" w:eastAsia="宋体" w:cs="宋体"/>
          <w:i/>
          <w:iCs/>
          <w:color w:val="auto"/>
          <w:szCs w:val="21"/>
          <w:highlight w:val="none"/>
          <w:u w:val="single"/>
        </w:rPr>
        <w:t xml:space="preserve">的财务报告情况</w:t>
      </w:r>
      <w:r>
        <w:rPr>
          <w:rFonts w:hint="eastAsia" w:ascii="Times New Roman" w:hAnsi="Times New Roman" w:eastAsia="宋体" w:cs="宋体"/>
          <w:b/>
          <w:bCs/>
          <w:i/>
          <w:iCs/>
          <w:color w:val="auto"/>
          <w:szCs w:val="21"/>
          <w:highlight w:val="none"/>
          <w:u w:val="single"/>
        </w:rPr>
        <w:t xml:space="preserve">（成立不满一年无需提供）</w:t>
      </w:r>
      <w:r/>
    </w:p>
    <w:p>
      <w:pPr>
        <w:ind w:firstLine="420"/>
        <w:pageBreakBefore w:val="0"/>
        <w:spacing w:line="360" w:lineRule="auto"/>
        <w:rPr>
          <w:rFonts w:hint="eastAsia" w:ascii="Times New Roman" w:hAnsi="Times New Roman" w:eastAsia="宋体" w:cs="宋体"/>
          <w:i/>
          <w:iCs/>
          <w:color w:val="auto"/>
          <w:highlight w:val="none"/>
          <w:u w:val="single"/>
        </w:rPr>
      </w:pPr>
      <w:r>
        <w:rPr>
          <w:rFonts w:hint="eastAsia" w:ascii="Times New Roman" w:hAnsi="Times New Roman" w:eastAsia="宋体" w:cs="宋体"/>
          <w:i/>
          <w:iCs/>
          <w:color w:val="auto"/>
          <w:szCs w:val="21"/>
          <w:highlight w:val="none"/>
          <w:u w:val="single"/>
        </w:rPr>
        <w:t xml:space="preserve">1.3 依法缴纳税收和社会保障资金的相关材料</w:t>
      </w:r>
      <w:r>
        <w:rPr>
          <w:rFonts w:hint="eastAsia" w:ascii="Times New Roman" w:hAnsi="Times New Roman" w:eastAsia="宋体" w:cs="宋体"/>
          <w:b/>
          <w:bCs/>
          <w:i/>
          <w:iCs/>
          <w:color w:val="auto"/>
          <w:szCs w:val="21"/>
          <w:highlight w:val="none"/>
          <w:u w:val="single"/>
        </w:rPr>
        <w:t xml:space="preserve">（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p>
      <w:pPr>
        <w:ind w:firstLine="420"/>
        <w:pageBreakBefore w:val="0"/>
        <w:spacing w:line="360" w:lineRule="auto"/>
        <w:rPr>
          <w:rFonts w:hint="eastAsia" w:ascii="Times New Roman" w:hAnsi="Times New Roman" w:eastAsia="宋体" w:cs="宋体"/>
          <w:b/>
          <w:bCs/>
          <w:i/>
          <w:iCs/>
          <w:color w:val="auto"/>
          <w:szCs w:val="21"/>
          <w:highlight w:val="none"/>
          <w:u w:val="single"/>
        </w:rPr>
      </w:pPr>
      <w:r>
        <w:rPr>
          <w:rFonts w:hint="eastAsia" w:ascii="Times New Roman" w:hAnsi="Times New Roman" w:eastAsia="宋体" w:cs="宋体"/>
          <w:i/>
          <w:iCs/>
          <w:color w:val="auto"/>
          <w:szCs w:val="21"/>
          <w:highlight w:val="none"/>
          <w:u w:val="single"/>
        </w:rPr>
        <w:t xml:space="preserve">1.4 具备履行合同所必需的设备和专业技术能力的书面声明；</w:t>
      </w:r>
      <w:r/>
    </w:p>
    <w:p>
      <w:pPr>
        <w:ind w:firstLine="420"/>
        <w:pageBreakBefore w:val="0"/>
        <w:spacing w:line="360" w:lineRule="auto"/>
        <w:rPr>
          <w:rFonts w:hint="eastAsia"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1.5 参加政府采购活动前3年内在经营活动中没有重大违法记录的书面声明；</w:t>
      </w:r>
      <w:r/>
    </w:p>
    <w:p>
      <w:pPr>
        <w:ind w:firstLine="420"/>
        <w:pageBreakBefore w:val="0"/>
        <w:spacing w:line="360" w:lineRule="auto"/>
        <w:rPr>
          <w:rFonts w:hint="eastAsia"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1.6 供应商信用承诺书；</w:t>
      </w:r>
      <w:r/>
    </w:p>
    <w:p>
      <w:pPr>
        <w:ind w:firstLine="420"/>
        <w:pageBreakBefore w:val="0"/>
        <w:spacing w:line="360" w:lineRule="auto"/>
        <w:rPr>
          <w:rFonts w:hint="eastAsia"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w:t>
      </w:r>
      <w:r>
        <w:rPr>
          <w:rFonts w:hint="eastAsia" w:ascii="Times New Roman" w:hAnsi="Times New Roman" w:eastAsia="宋体" w:cs="宋体"/>
          <w:i/>
          <w:iCs/>
          <w:color w:val="auto"/>
          <w:szCs w:val="21"/>
          <w:highlight w:val="none"/>
          <w:u w:val="single"/>
          <w:lang w:val="en-US" w:eastAsia="zh-CN"/>
        </w:rPr>
        <w:t xml:space="preserve">7</w:t>
      </w:r>
      <w:r>
        <w:rPr>
          <w:rFonts w:hint="eastAsia" w:ascii="Times New Roman" w:hAnsi="Times New Roman" w:eastAsia="宋体" w:cs="宋体"/>
          <w:i/>
          <w:iCs/>
          <w:color w:val="auto"/>
          <w:szCs w:val="21"/>
          <w:highlight w:val="none"/>
          <w:u w:val="single"/>
          <w:lang w:eastAsia="zh-CN"/>
        </w:rPr>
        <w:t xml:space="preserve">投标函</w:t>
      </w:r>
      <w:r>
        <w:rPr>
          <w:rFonts w:hint="eastAsia" w:ascii="Times New Roman" w:hAnsi="Times New Roman" w:eastAsia="宋体" w:cs="宋体"/>
          <w:i/>
          <w:iCs/>
          <w:color w:val="auto"/>
          <w:szCs w:val="21"/>
          <w:highlight w:val="none"/>
          <w:u w:val="single"/>
        </w:rPr>
        <w:t xml:space="preserve">；</w:t>
      </w:r>
      <w:r/>
    </w:p>
    <w:p>
      <w:pPr>
        <w:ind w:firstLine="420"/>
        <w:pageBreakBefore w:val="0"/>
        <w:spacing w:line="360" w:lineRule="auto"/>
        <w:rPr>
          <w:rFonts w:hint="eastAsia" w:ascii="Times New Roman" w:hAnsi="Times New Roman" w:eastAsia="宋体" w:cs="宋体"/>
          <w:i/>
          <w:iCs/>
          <w:color w:val="auto"/>
          <w:szCs w:val="21"/>
          <w:highlight w:val="none"/>
          <w:u w:val="single"/>
          <w:lang w:val="en-US" w:eastAsia="zh-CN"/>
        </w:rPr>
      </w:pPr>
      <w:r>
        <w:rPr>
          <w:rFonts w:hint="eastAsia" w:ascii="Times New Roman" w:hAnsi="Times New Roman" w:eastAsia="宋体" w:cs="宋体"/>
          <w:i/>
          <w:iCs/>
          <w:color w:val="auto"/>
          <w:szCs w:val="21"/>
          <w:highlight w:val="none"/>
          <w:u w:val="single"/>
        </w:rPr>
        <w:t xml:space="preserve">1.</w:t>
      </w:r>
      <w:r>
        <w:rPr>
          <w:rFonts w:hint="eastAsia" w:ascii="Times New Roman" w:hAnsi="Times New Roman" w:eastAsia="宋体" w:cs="宋体"/>
          <w:i/>
          <w:iCs/>
          <w:color w:val="auto"/>
          <w:szCs w:val="21"/>
          <w:highlight w:val="none"/>
          <w:u w:val="single"/>
          <w:lang w:val="en-US" w:eastAsia="zh-CN"/>
        </w:rPr>
        <w:t xml:space="preserve">8</w:t>
      </w:r>
      <w:r>
        <w:rPr>
          <w:rFonts w:hint="eastAsia" w:ascii="Times New Roman" w:hAnsi="Times New Roman" w:eastAsia="宋体" w:cs="宋体"/>
          <w:i/>
          <w:iCs/>
          <w:color w:val="auto"/>
          <w:szCs w:val="21"/>
          <w:highlight w:val="none"/>
          <w:u w:val="single"/>
        </w:rPr>
        <w:t xml:space="preserve">若法定代表人参加</w:t>
      </w:r>
      <w:r>
        <w:rPr>
          <w:rFonts w:hint="eastAsia" w:ascii="Times New Roman" w:hAnsi="Times New Roman" w:eastAsia="宋体" w:cs="宋体"/>
          <w:i/>
          <w:iCs/>
          <w:color w:val="auto"/>
          <w:szCs w:val="21"/>
          <w:highlight w:val="none"/>
          <w:u w:val="single"/>
          <w:lang w:val="en-US" w:eastAsia="zh-CN"/>
        </w:rPr>
        <w:t xml:space="preserve">投标</w:t>
      </w:r>
      <w:r>
        <w:rPr>
          <w:rFonts w:hint="eastAsia" w:ascii="Times New Roman" w:hAnsi="Times New Roman" w:eastAsia="宋体" w:cs="宋体"/>
          <w:i/>
          <w:iCs/>
          <w:color w:val="auto"/>
          <w:szCs w:val="21"/>
          <w:highlight w:val="none"/>
          <w:u w:val="single"/>
        </w:rPr>
        <w:t xml:space="preserve">的，须提供本人身份证复印件(原件扫描上传)；若授权代表参加的，须提供《法人授权书》原件和授权代表身份证（原件扫描上传）</w:t>
      </w:r>
      <w:r>
        <w:rPr>
          <w:rFonts w:hint="eastAsia" w:ascii="Times New Roman" w:hAnsi="Times New Roman" w:eastAsia="宋体" w:cs="宋体"/>
          <w:i/>
          <w:iCs/>
          <w:color w:val="auto"/>
          <w:szCs w:val="21"/>
          <w:highlight w:val="none"/>
          <w:u w:val="single"/>
          <w:lang w:eastAsia="zh-CN"/>
        </w:rPr>
        <w:t xml:space="preserve">，</w:t>
      </w:r>
      <w:r>
        <w:rPr>
          <w:rFonts w:hint="eastAsia" w:ascii="Times New Roman" w:hAnsi="Times New Roman" w:eastAsia="宋体" w:cs="宋体"/>
          <w:i/>
          <w:iCs/>
          <w:color w:val="auto"/>
          <w:szCs w:val="21"/>
          <w:highlight w:val="none"/>
          <w:u w:val="single"/>
          <w:lang w:val="en-US" w:eastAsia="zh-CN"/>
        </w:rPr>
        <w:t xml:space="preserve">并且提供提交投标文件截止时间前一年内至少一个月投标单位为</w:t>
      </w:r>
      <w:r>
        <w:rPr>
          <w:rFonts w:hint="eastAsia" w:ascii="Times New Roman" w:hAnsi="Times New Roman" w:eastAsia="宋体" w:cs="宋体"/>
          <w:i/>
          <w:iCs/>
          <w:color w:val="auto"/>
          <w:szCs w:val="21"/>
          <w:highlight w:val="none"/>
          <w:u w:val="single"/>
        </w:rPr>
        <w:t xml:space="preserve">法定代表人</w:t>
      </w:r>
      <w:r>
        <w:rPr>
          <w:rFonts w:hint="eastAsia" w:ascii="Times New Roman" w:hAnsi="Times New Roman" w:eastAsia="宋体" w:cs="宋体"/>
          <w:i/>
          <w:iCs/>
          <w:color w:val="auto"/>
          <w:szCs w:val="21"/>
          <w:highlight w:val="none"/>
          <w:u w:val="single"/>
          <w:lang w:val="en-US" w:eastAsia="zh-CN"/>
        </w:rPr>
        <w:t xml:space="preserve">或者</w:t>
      </w:r>
      <w:r>
        <w:rPr>
          <w:rFonts w:hint="eastAsia" w:ascii="Times New Roman" w:hAnsi="Times New Roman" w:eastAsia="宋体" w:cs="宋体"/>
          <w:i/>
          <w:iCs/>
          <w:color w:val="auto"/>
          <w:szCs w:val="21"/>
          <w:highlight w:val="none"/>
          <w:u w:val="single"/>
        </w:rPr>
        <w:t xml:space="preserve">授权代表缴纳社会保障资金的证明材料</w:t>
      </w:r>
      <w:r>
        <w:rPr>
          <w:rFonts w:hint="eastAsia" w:ascii="Times New Roman" w:hAnsi="Times New Roman" w:eastAsia="宋体" w:cs="宋体"/>
          <w:i/>
          <w:iCs/>
          <w:color w:val="auto"/>
          <w:szCs w:val="21"/>
          <w:highlight w:val="none"/>
          <w:u w:val="single"/>
          <w:lang w:eastAsia="zh-CN"/>
        </w:rPr>
        <w:t xml:space="preserve">。</w:t>
      </w:r>
      <w:r/>
    </w:p>
    <w:p>
      <w:pPr>
        <w:ind w:firstLine="420"/>
        <w:pageBreakBefore w:val="0"/>
        <w:spacing w:line="360" w:lineRule="auto"/>
        <w:rPr>
          <w:rFonts w:hint="eastAsia"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2.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Times New Roman" w:hAnsi="Times New Roman" w:eastAsia="宋体" w:cs="宋体"/>
          <w:b/>
          <w:bCs/>
          <w:i/>
          <w:iCs/>
          <w:color w:val="auto"/>
          <w:szCs w:val="21"/>
          <w:highlight w:val="none"/>
          <w:u w:val="single"/>
        </w:rPr>
        <w:t xml:space="preserve">（投标文件中无需提供证明材料）</w:t>
      </w:r>
      <w:r>
        <w:rPr>
          <w:rFonts w:hint="eastAsia" w:ascii="Times New Roman" w:hAnsi="Times New Roman" w:eastAsia="宋体" w:cs="宋体"/>
          <w:i/>
          <w:iCs/>
          <w:color w:val="auto"/>
          <w:szCs w:val="21"/>
          <w:highlight w:val="none"/>
          <w:u w:val="single"/>
        </w:rPr>
        <w:t xml:space="preserve">。</w:t>
      </w:r>
      <w:r/>
    </w:p>
    <w:p>
      <w:pPr>
        <w:ind w:firstLine="420"/>
        <w:pageBreakBefore w:val="0"/>
        <w:spacing w:line="360" w:lineRule="auto"/>
        <w:rPr>
          <w:rFonts w:hint="eastAsia" w:ascii="Times New Roman" w:hAnsi="Times New Roman" w:cs="宋体"/>
          <w:i/>
          <w:color w:val="auto"/>
          <w:szCs w:val="21"/>
          <w:highlight w:val="none"/>
          <w:u w:val="single"/>
          <w:lang w:val="en-US" w:eastAsia="zh-CN"/>
        </w:rPr>
      </w:pPr>
      <w:r>
        <w:rPr>
          <w:rFonts w:hint="eastAsia" w:ascii="Times New Roman" w:hAnsi="Times New Roman" w:cs="宋体"/>
          <w:color w:val="auto"/>
          <w:szCs w:val="21"/>
          <w:highlight w:val="none"/>
          <w:lang w:val="en-US" w:eastAsia="zh-CN"/>
        </w:rPr>
        <w:t xml:space="preserve">3.</w:t>
      </w:r>
      <w:r>
        <w:rPr>
          <w:rFonts w:hint="eastAsia" w:ascii="Times New Roman" w:hAnsi="Times New Roman" w:eastAsia="宋体" w:cs="宋体"/>
          <w:color w:val="auto"/>
          <w:szCs w:val="21"/>
          <w:highlight w:val="none"/>
        </w:rPr>
        <w:t xml:space="preserve">落实政府采购政策需满足的资格要求：</w:t>
      </w:r>
      <w:r>
        <w:rPr>
          <w:rFonts w:hint="eastAsia" w:ascii="Times New Roman" w:hAnsi="Times New Roman" w:cs="宋体"/>
          <w:i/>
          <w:color w:val="auto"/>
          <w:szCs w:val="21"/>
          <w:highlight w:val="none"/>
          <w:u w:val="single"/>
          <w:lang w:val="en-US" w:eastAsia="zh-CN"/>
        </w:rPr>
        <w:t xml:space="preserve">根据《政府采购促进中小企业发展管理办法》的规定，本项目对小型和微型企业提供的货物、服务给予20%的价格扣除优惠。  </w:t>
      </w:r>
      <w:r/>
    </w:p>
    <w:p>
      <w:pPr>
        <w:ind w:firstLine="420"/>
        <w:pageBreakBefore w:val="0"/>
        <w:spacing w:line="360" w:lineRule="auto"/>
        <w:rPr>
          <w:rFonts w:hint="eastAsia" w:ascii="宋体" w:hAnsi="宋体" w:eastAsia="宋体" w:cs="宋体"/>
          <w:i/>
          <w:iCs/>
          <w:sz w:val="21"/>
          <w:szCs w:val="21"/>
          <w:highlight w:val="none"/>
          <w:u w:val="single"/>
        </w:rPr>
      </w:pPr>
      <w:r>
        <w:rPr>
          <w:rFonts w:hint="eastAsia" w:ascii="宋体" w:hAnsi="宋体" w:eastAsia="宋体" w:cs="宋体"/>
          <w:i/>
          <w:iCs/>
          <w:sz w:val="21"/>
          <w:szCs w:val="21"/>
          <w:highlight w:val="none"/>
          <w:u w:val="single"/>
        </w:rPr>
        <w:t xml:space="preserve">注：本项目中小企业划分标准</w:t>
      </w:r>
      <w:r>
        <w:rPr>
          <w:rFonts w:hint="eastAsia" w:ascii="宋体" w:hAnsi="宋体" w:cs="宋体"/>
          <w:i/>
          <w:iCs/>
          <w:sz w:val="21"/>
          <w:szCs w:val="21"/>
          <w:highlight w:val="none"/>
          <w:u w:val="single"/>
          <w:lang w:val="en-US" w:eastAsia="zh-CN"/>
        </w:rPr>
        <w:t xml:space="preserve">按照</w:t>
      </w:r>
      <w:r>
        <w:rPr>
          <w:rFonts w:hint="eastAsia" w:ascii="宋体" w:hAnsi="宋体" w:eastAsia="宋体" w:cs="宋体"/>
          <w:i/>
          <w:iCs/>
          <w:sz w:val="21"/>
          <w:szCs w:val="21"/>
          <w:highlight w:val="none"/>
          <w:u w:val="single"/>
        </w:rPr>
        <w:t xml:space="preserve">《关于印发中小企业划型标准规定的通知》（工信部联</w:t>
      </w:r>
      <w:r>
        <w:rPr>
          <w:rFonts w:hint="eastAsia" w:ascii="宋体" w:hAnsi="宋体" w:eastAsia="宋体" w:cs="宋体"/>
          <w:i/>
          <w:iCs/>
          <w:sz w:val="21"/>
          <w:szCs w:val="21"/>
          <w:highlight w:val="none"/>
          <w:u w:val="single"/>
          <w:lang w:val="en-US" w:eastAsia="zh-CN"/>
        </w:rPr>
        <w:t xml:space="preserve">企业</w:t>
      </w:r>
      <w:r>
        <w:rPr>
          <w:rFonts w:hint="eastAsia" w:ascii="宋体" w:hAnsi="宋体" w:eastAsia="宋体" w:cs="宋体"/>
          <w:i/>
          <w:iCs/>
          <w:sz w:val="21"/>
          <w:szCs w:val="21"/>
          <w:highlight w:val="none"/>
          <w:u w:val="single"/>
        </w:rPr>
        <w:t xml:space="preserve">[2011]300号）中第（</w:t>
      </w:r>
      <w:r>
        <w:rPr>
          <w:rFonts w:hint="eastAsia" w:ascii="宋体" w:hAnsi="宋体" w:eastAsia="宋体" w:cs="宋体"/>
          <w:i/>
          <w:iCs/>
          <w:sz w:val="21"/>
          <w:szCs w:val="21"/>
          <w:highlight w:val="none"/>
          <w:u w:val="single"/>
          <w:lang w:val="en-US" w:eastAsia="zh-CN"/>
        </w:rPr>
        <w:t xml:space="preserve">二</w:t>
      </w:r>
      <w:r>
        <w:rPr>
          <w:rFonts w:hint="eastAsia" w:ascii="宋体" w:hAnsi="宋体" w:eastAsia="宋体" w:cs="宋体"/>
          <w:i/>
          <w:iCs/>
          <w:sz w:val="21"/>
          <w:szCs w:val="21"/>
          <w:highlight w:val="none"/>
          <w:u w:val="single"/>
        </w:rPr>
        <w:t xml:space="preserve">）条：工业。</w:t>
      </w:r>
      <w:r/>
    </w:p>
    <w:p>
      <w:pPr>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cs="宋体"/>
          <w:color w:val="auto"/>
          <w:highlight w:val="none"/>
          <w:lang w:val="en-US" w:eastAsia="zh-CN"/>
        </w:rPr>
        <w:t xml:space="preserve">4</w:t>
      </w:r>
      <w:r>
        <w:rPr>
          <w:rFonts w:hint="eastAsia" w:ascii="Times New Roman" w:hAnsi="Times New Roman" w:eastAsia="宋体" w:cs="宋体"/>
          <w:color w:val="auto"/>
          <w:highlight w:val="none"/>
          <w:lang w:val="en-US" w:eastAsia="zh-CN"/>
        </w:rPr>
        <w:t xml:space="preserve">.</w:t>
      </w:r>
      <w:r>
        <w:rPr>
          <w:rFonts w:hint="eastAsia" w:ascii="Times New Roman" w:hAnsi="Times New Roman" w:eastAsia="宋体" w:cs="宋体"/>
          <w:color w:val="auto"/>
          <w:sz w:val="21"/>
          <w:szCs w:val="21"/>
          <w:highlight w:val="none"/>
        </w:rPr>
        <w:t xml:space="preserve">联合体投标。</w:t>
      </w:r>
      <w:r/>
    </w:p>
    <w:tbl>
      <w:tblPr>
        <w:tblStyle w:val="729"/>
        <w:tblW w:w="0" w:type="auto"/>
        <w:tblInd w:w="4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5"/>
        <w:gridCol w:w="2968"/>
        <w:gridCol w:w="3252"/>
      </w:tblGrid>
      <w:tr>
        <w:trPr>
          <w:trHeight w:val="593"/>
        </w:trPr>
        <w:tc>
          <w:tcPr>
            <w:tcW w:w="1115"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采购包号</w:t>
            </w:r>
            <w:r/>
          </w:p>
        </w:tc>
        <w:tc>
          <w:tcPr>
            <w:tcW w:w="296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是否接受联合体</w:t>
            </w:r>
            <w:r>
              <w:rPr>
                <w:rFonts w:ascii="Times New Roman" w:hAnsi="Times New Roman" w:eastAsia="宋体"/>
                <w:color w:val="auto"/>
                <w:sz w:val="21"/>
                <w:szCs w:val="21"/>
                <w:highlight w:val="none"/>
              </w:rPr>
              <w:t xml:space="preserve">投标</w:t>
            </w:r>
            <w:r/>
          </w:p>
        </w:tc>
        <w:tc>
          <w:tcPr>
            <w:tcW w:w="3252"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该采购包中</w:t>
            </w:r>
            <w:r>
              <w:rPr>
                <w:rFonts w:ascii="Times New Roman" w:hAnsi="Times New Roman" w:eastAsia="宋体"/>
                <w:color w:val="auto"/>
                <w:sz w:val="21"/>
                <w:szCs w:val="21"/>
                <w:highlight w:val="none"/>
              </w:rPr>
              <w:t xml:space="preserve">联合体成员数量</w:t>
            </w:r>
            <w:r>
              <w:rPr>
                <w:rFonts w:hint="eastAsia" w:ascii="Times New Roman" w:hAnsi="Times New Roman" w:eastAsia="宋体"/>
                <w:color w:val="auto"/>
                <w:sz w:val="21"/>
                <w:szCs w:val="21"/>
                <w:highlight w:val="none"/>
              </w:rPr>
              <w:t xml:space="preserve">上限</w:t>
            </w:r>
            <w:r/>
          </w:p>
        </w:tc>
      </w:tr>
      <w:tr>
        <w:trPr>
          <w:trHeight w:val="618"/>
        </w:trPr>
        <w:tc>
          <w:tcPr>
            <w:tcW w:w="1115" w:type="dxa"/>
            <w:vAlign w:val="center"/>
            <w:textDirection w:val="lrTb"/>
            <w:noWrap w:val="false"/>
          </w:tcPr>
          <w:p>
            <w:pPr>
              <w:jc w:val="center"/>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1</w:t>
            </w:r>
            <w:r/>
          </w:p>
        </w:tc>
        <w:tc>
          <w:tcPr>
            <w:tcW w:w="2968" w:type="dxa"/>
            <w:vAlign w:val="center"/>
            <w:textDirection w:val="lrTb"/>
            <w:noWrap w:val="false"/>
          </w:tcPr>
          <w:p>
            <w:pPr>
              <w:jc w:val="center"/>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否</w:t>
            </w:r>
            <w:r/>
          </w:p>
        </w:tc>
        <w:tc>
          <w:tcPr>
            <w:tcW w:w="3252" w:type="dxa"/>
            <w:vAlign w:val="center"/>
            <w:textDirection w:val="lrTb"/>
            <w:noWrap w:val="false"/>
          </w:tcPr>
          <w:p>
            <w:pPr>
              <w:jc w:val="center"/>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w:t>
            </w:r>
            <w:r/>
          </w:p>
        </w:tc>
      </w:tr>
    </w:tbl>
    <w:p>
      <w:pPr>
        <w:ind w:firstLine="42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（二）本项目的特定资格要求</w:t>
      </w:r>
      <w:r/>
    </w:p>
    <w:tbl>
      <w:tblPr>
        <w:tblStyle w:val="729"/>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6250"/>
      </w:tblGrid>
      <w:tr>
        <w:trPr>
          <w:trHeight w:val="623"/>
        </w:trPr>
        <w:tc>
          <w:tcPr>
            <w:tcW w:w="1148" w:type="dxa"/>
            <w:vAlign w:val="center"/>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采购包号</w:t>
            </w:r>
            <w:r/>
          </w:p>
        </w:tc>
        <w:tc>
          <w:tcPr>
            <w:tcW w:w="6250" w:type="dxa"/>
            <w:vAlign w:val="center"/>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特定资格要求</w:t>
            </w:r>
            <w:r/>
          </w:p>
        </w:tc>
      </w:tr>
      <w:tr>
        <w:trPr>
          <w:trHeight w:val="558"/>
        </w:trPr>
        <w:tc>
          <w:tcPr>
            <w:tcW w:w="1148" w:type="dxa"/>
            <w:vAlign w:val="center"/>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w:t>
            </w:r>
            <w:r/>
          </w:p>
        </w:tc>
        <w:tc>
          <w:tcPr>
            <w:tcW w:w="6250" w:type="dxa"/>
            <w:vAlign w:val="center"/>
            <w:textDirection w:val="lrTb"/>
            <w:noWrap w:val="false"/>
          </w:tcPr>
          <w:p>
            <w:pPr>
              <w:jc w:val="left"/>
              <w:pageBreakBefore w:val="0"/>
              <w:spacing w:line="360" w:lineRule="auto"/>
              <w:rPr>
                <w:rFonts w:hint="eastAsia" w:ascii="Times New Roman" w:hAnsi="Times New Roman" w:eastAsia="宋体" w:cs="宋体"/>
                <w:i w:val="0"/>
                <w:iCs w:val="0"/>
                <w:color w:val="auto"/>
                <w:sz w:val="21"/>
                <w:szCs w:val="21"/>
                <w:highlight w:val="none"/>
                <w:u w:val="none"/>
                <w:lang w:eastAsia="zh-CN"/>
              </w:rPr>
            </w:pPr>
            <w:r>
              <w:rPr>
                <w:rFonts w:hint="eastAsia" w:ascii="Times New Roman" w:hAnsi="Times New Roman" w:cs="Times New Roman"/>
                <w:i w:val="0"/>
                <w:iCs w:val="0"/>
                <w:color w:val="auto"/>
                <w:sz w:val="21"/>
                <w:szCs w:val="21"/>
                <w:highlight w:val="none"/>
                <w:u w:val="none"/>
                <w:lang w:val="en-US" w:eastAsia="zh-CN"/>
              </w:rPr>
              <w:t xml:space="preserve">无</w:t>
            </w:r>
            <w:r/>
          </w:p>
        </w:tc>
      </w:tr>
    </w:tbl>
    <w:p>
      <w:pPr>
        <w:ind w:firstLine="632"/>
        <w:pageBreakBefore w:val="0"/>
        <w:spacing w:line="360" w:lineRule="auto"/>
        <w:tabs>
          <w:tab w:val="left" w:pos="266" w:leader="none"/>
        </w:tabs>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三、获取招标文件</w:t>
      </w:r>
      <w:bookmarkEnd w:id="18"/>
      <w:r/>
      <w:bookmarkEnd w:id="19"/>
      <w:r/>
      <w:bookmarkEnd w:id="20"/>
      <w:r/>
      <w:bookmarkEnd w:id="21"/>
      <w:r/>
      <w:bookmarkEnd w:id="22"/>
      <w:r/>
      <w:r/>
    </w:p>
    <w:p>
      <w:pPr>
        <w:ind w:firstLine="420"/>
        <w:pageBreakBefore w:val="0"/>
        <w:spacing w:line="360" w:lineRule="auto"/>
        <w:rPr>
          <w:rFonts w:hint="eastAsia" w:ascii="Times New Roman" w:hAnsi="Times New Roman" w:eastAsia="宋体" w:cs="宋体"/>
          <w:color w:val="auto"/>
          <w:highlight w:val="none"/>
        </w:rPr>
      </w:pPr>
      <w:r/>
      <w:bookmarkStart w:id="23" w:name="_Toc28359082"/>
      <w:r/>
      <w:bookmarkStart w:id="24" w:name="_Toc28359005"/>
      <w:r/>
      <w:bookmarkStart w:id="25" w:name="_Toc35393793"/>
      <w:r/>
      <w:bookmarkStart w:id="26" w:name="_Toc35393624"/>
      <w:r/>
      <w:bookmarkStart w:id="27" w:name="_Toc38985266"/>
      <w:r>
        <w:rPr>
          <w:rFonts w:hint="eastAsia" w:ascii="Times New Roman" w:hAnsi="Times New Roman" w:eastAsia="宋体" w:cs="宋体"/>
          <w:color w:val="auto"/>
          <w:highlight w:val="none"/>
        </w:rPr>
        <w:t xml:space="preserve">1.时间：自招标文件公告发布之日起5个工作日。5个工作日后仍可下载招标文件，但不作为供应商权益受到损害的证明材料和依据。</w:t>
      </w:r>
      <w:r/>
    </w:p>
    <w:p>
      <w:pPr>
        <w:ind w:firstLine="422"/>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2.获取方式：本项目采用网上注册登记方式。</w:t>
      </w:r>
      <w:r/>
    </w:p>
    <w:p>
      <w:pPr>
        <w:ind w:firstLine="422"/>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3.潜在供应商访问政府采购管理交易系统（苏采云）的网络地址和方法：</w:t>
      </w:r>
      <w:r/>
    </w:p>
    <w:p>
      <w:pPr>
        <w:ind w:firstLine="422"/>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（1）潜在供应商访问政府采购管理交易系统（苏采云）的方法：“苏采云”系统用户注册－</w:t>
      </w:r>
      <w:r>
        <w:rPr>
          <w:rFonts w:hint="eastAsia" w:ascii="Times New Roman" w:hAnsi="Times New Roman" w:eastAsia="宋体" w:cs="宋体"/>
          <w:b/>
          <w:bCs/>
          <w:color w:val="auto"/>
          <w:szCs w:val="21"/>
          <w:highlight w:val="none"/>
          <w:lang w:eastAsia="zh-CN"/>
        </w:rPr>
        <w:t xml:space="preserve">－</w:t>
      </w:r>
      <w:r>
        <w:rPr>
          <w:rFonts w:hint="eastAsia" w:ascii="Times New Roman" w:hAnsi="Times New Roman" w:eastAsia="宋体" w:cs="宋体"/>
          <w:b/>
          <w:bCs/>
          <w:color w:val="auto"/>
          <w:szCs w:val="21"/>
          <w:highlight w:val="none"/>
        </w:rPr>
        <w:t xml:space="preserve">获取“CA数字证书”--CA绑定与登录--网上报名--下载采购文件（后缀名为“kedt”）--将后缀名为</w:t>
      </w:r>
      <w:r>
        <w:rPr>
          <w:rFonts w:hint="eastAsia" w:ascii="Times New Roman" w:hAnsi="Times New Roman" w:eastAsia="宋体" w:cs="宋体"/>
          <w:b/>
          <w:bCs/>
          <w:color w:val="auto"/>
          <w:szCs w:val="21"/>
          <w:highlight w:val="none"/>
          <w:lang w:eastAsia="zh-CN"/>
        </w:rPr>
        <w:t xml:space="preserve">“</w:t>
      </w:r>
      <w:r>
        <w:rPr>
          <w:rFonts w:hint="eastAsia" w:ascii="Times New Roman" w:hAnsi="Times New Roman" w:eastAsia="宋体" w:cs="宋体"/>
          <w:b/>
          <w:bCs/>
          <w:color w:val="auto"/>
          <w:szCs w:val="21"/>
          <w:highlight w:val="none"/>
        </w:rPr>
        <w:t xml:space="preserve">kedt”的采购文件导入政府采购客户端工具</w:t>
      </w:r>
      <w:r>
        <w:rPr>
          <w:rFonts w:hint="eastAsia" w:ascii="Times New Roman" w:hAnsi="Times New Roman" w:eastAsia="宋体" w:cs="宋体"/>
          <w:b/>
          <w:bCs/>
          <w:color w:val="auto"/>
          <w:szCs w:val="21"/>
          <w:highlight w:val="none"/>
          <w:lang w:eastAsia="zh-CN"/>
        </w:rPr>
        <w:t xml:space="preserve">－－</w:t>
      </w:r>
      <w:r>
        <w:rPr>
          <w:rFonts w:hint="eastAsia" w:ascii="Times New Roman" w:hAnsi="Times New Roman" w:eastAsia="宋体" w:cs="宋体"/>
          <w:b/>
          <w:bCs/>
          <w:color w:val="auto"/>
          <w:szCs w:val="21"/>
          <w:highlight w:val="none"/>
        </w:rPr>
        <w:t xml:space="preserve">制作投标文件</w:t>
      </w:r>
      <w:r>
        <w:rPr>
          <w:rFonts w:hint="eastAsia" w:ascii="Times New Roman" w:hAnsi="Times New Roman" w:eastAsia="宋体" w:cs="宋体"/>
          <w:b/>
          <w:bCs/>
          <w:color w:val="auto"/>
          <w:szCs w:val="21"/>
          <w:highlight w:val="none"/>
          <w:lang w:eastAsia="zh-CN"/>
        </w:rPr>
        <w:t xml:space="preserve">－－</w:t>
      </w:r>
      <w:r>
        <w:rPr>
          <w:rFonts w:hint="eastAsia" w:ascii="Times New Roman" w:hAnsi="Times New Roman" w:eastAsia="宋体" w:cs="宋体"/>
          <w:b/>
          <w:bCs/>
          <w:color w:val="auto"/>
          <w:szCs w:val="21"/>
          <w:highlight w:val="none"/>
        </w:rPr>
        <w:t xml:space="preserve">导出加密的投标文件（后缀名为zip）--通过“苏采云”系统上传投标文件。</w:t>
      </w:r>
      <w:r/>
    </w:p>
    <w:p>
      <w:pPr>
        <w:ind w:firstLine="422"/>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2"/>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（3）“CA数字证书”的办理材料以及供应商操作手册详见：</w:t>
      </w:r>
      <w:r/>
    </w:p>
    <w:p>
      <w:pPr>
        <w:pStyle w:val="755"/>
        <w:ind w:left="0" w:right="0" w:firstLine="600"/>
        <w:jc w:val="both"/>
        <w:keepLines w:val="0"/>
        <w:keepNext w:val="0"/>
        <w:pageBreakBefore w:val="0"/>
        <w:spacing w:beforeAutospacing="0" w:afterAutospacing="0" w:line="360" w:lineRule="auto"/>
        <w:widowControl w:val="off"/>
        <w:rPr>
          <w:rFonts w:ascii="Times New Roman" w:hAnsi="Times New Roman" w:eastAsia="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b/>
          <w:bCs/>
          <w:color w:val="auto"/>
          <w:sz w:val="21"/>
          <w:szCs w:val="21"/>
          <w:highlight w:val="none"/>
          <w:shd w:val="clear" w:color="auto" w:fill="ffffff"/>
        </w:rPr>
        <w:t xml:space="preserve">http://zfcg.yangzhou.gov.cn/xzzx/art/2023/art_4d7de1f7865f4a2894fc22bc452f94d8.html</w:t>
      </w:r>
      <w:r>
        <w:rPr>
          <w:rFonts w:hint="eastAsia" w:ascii="Times New Roman" w:hAnsi="Times New Roman" w:eastAsia="宋体" w:cs="宋体"/>
          <w:b/>
          <w:bCs/>
          <w:color w:val="auto"/>
          <w:sz w:val="21"/>
          <w:szCs w:val="21"/>
          <w:highlight w:val="none"/>
          <w:shd w:val="clear" w:color="auto" w:fill="ffffff"/>
          <w:lang w:eastAsia="zh-CN"/>
        </w:rPr>
        <w:t xml:space="preserve">.</w:t>
      </w:r>
      <w:r/>
    </w:p>
    <w:p>
      <w:pPr>
        <w:ind w:firstLine="422"/>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（4）潜在供应商访问“苏采云”系统的网络地址和方法：“苏采云”系统的网址：http</w:t>
      </w:r>
      <w:r>
        <w:rPr>
          <w:rFonts w:hint="eastAsia" w:ascii="Times New Roman" w:hAnsi="Times New Roman" w:eastAsia="宋体" w:cs="宋体"/>
          <w:b/>
          <w:bCs/>
          <w:color w:val="auto"/>
          <w:szCs w:val="21"/>
          <w:highlight w:val="none"/>
          <w:lang w:eastAsia="zh-CN"/>
        </w:rPr>
        <w:t xml:space="preserve">:</w:t>
      </w:r>
      <w:r>
        <w:rPr>
          <w:rFonts w:hint="eastAsia" w:ascii="Times New Roman" w:hAnsi="Times New Roman" w:eastAsia="宋体" w:cs="宋体"/>
          <w:b/>
          <w:bCs/>
          <w:color w:val="auto"/>
          <w:szCs w:val="21"/>
          <w:highlight w:val="none"/>
        </w:rPr>
        <w:t xml:space="preserve">//jszfcg.jsczt.cn/。</w:t>
      </w:r>
      <w:r/>
    </w:p>
    <w:p>
      <w:pPr>
        <w:ind w:firstLine="422"/>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（5）采购文件（后缀名为“.kedt”）、供应商操作手册及政府采购客户端工具也可通过“苏采云”系统</w:t>
      </w:r>
      <w:r>
        <w:rPr>
          <w:rFonts w:hint="eastAsia" w:ascii="Times New Roman" w:hAnsi="Times New Roman" w:eastAsia="宋体" w:cs="宋体"/>
          <w:b/>
          <w:bCs/>
          <w:color w:val="auto"/>
          <w:szCs w:val="21"/>
          <w:highlight w:val="none"/>
          <w:lang w:eastAsia="zh-CN"/>
        </w:rPr>
        <w:t xml:space="preserve">－－</w:t>
      </w:r>
      <w:r>
        <w:rPr>
          <w:rFonts w:hint="eastAsia" w:ascii="Times New Roman" w:hAnsi="Times New Roman" w:eastAsia="宋体" w:cs="宋体"/>
          <w:b/>
          <w:bCs/>
          <w:color w:val="auto"/>
          <w:szCs w:val="21"/>
          <w:highlight w:val="none"/>
        </w:rPr>
        <w:t xml:space="preserve">已报名项目</w:t>
      </w:r>
      <w:r>
        <w:rPr>
          <w:rFonts w:hint="eastAsia" w:ascii="Times New Roman" w:hAnsi="Times New Roman" w:eastAsia="宋体" w:cs="宋体"/>
          <w:b/>
          <w:bCs/>
          <w:color w:val="auto"/>
          <w:szCs w:val="21"/>
          <w:highlight w:val="none"/>
          <w:lang w:eastAsia="zh-CN"/>
        </w:rPr>
        <w:t xml:space="preserve">－－</w:t>
      </w:r>
      <w:r>
        <w:rPr>
          <w:rFonts w:hint="eastAsia" w:ascii="Times New Roman" w:hAnsi="Times New Roman" w:eastAsia="宋体" w:cs="宋体"/>
          <w:b/>
          <w:bCs/>
          <w:color w:val="auto"/>
          <w:szCs w:val="21"/>
          <w:highlight w:val="none"/>
        </w:rPr>
        <w:t xml:space="preserve">报名详情页面内相应链接进行下载。</w:t>
      </w:r>
      <w:r/>
    </w:p>
    <w:p>
      <w:pPr>
        <w:ind w:firstLine="422"/>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（6）招标代理机构（采购代理机构）将数据电文形式的采购文件加载至“苏采云”系统，供潜在供应商下载或者查阅。     </w:t>
      </w:r>
      <w:r/>
    </w:p>
    <w:p>
      <w:pPr>
        <w:ind w:firstLine="422"/>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（7）苏采云系统使用谷歌浏览器参与不见面开标。</w:t>
      </w:r>
      <w:r/>
    </w:p>
    <w:p>
      <w:pPr>
        <w:ind w:firstLine="422"/>
        <w:pageBreakBefore w:val="0"/>
        <w:spacing w:line="360" w:lineRule="auto"/>
        <w:tabs>
          <w:tab w:val="left" w:pos="266" w:leader="none"/>
        </w:tabs>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四、提交投标文件</w:t>
      </w:r>
      <w:bookmarkEnd w:id="23"/>
      <w:r/>
      <w:bookmarkEnd w:id="24"/>
      <w:r>
        <w:rPr>
          <w:rFonts w:hint="eastAsia" w:ascii="Times New Roman" w:hAnsi="Times New Roman" w:eastAsia="宋体" w:cs="宋体"/>
          <w:b/>
          <w:bCs/>
          <w:color w:val="auto"/>
          <w:highlight w:val="none"/>
        </w:rPr>
        <w:t xml:space="preserve">截止时间、开标时间和地点</w:t>
      </w:r>
      <w:bookmarkEnd w:id="25"/>
      <w:r/>
      <w:bookmarkEnd w:id="26"/>
      <w:r/>
      <w:bookmarkEnd w:id="27"/>
      <w:r/>
      <w:r/>
    </w:p>
    <w:p>
      <w:pPr>
        <w:ind w:firstLine="420"/>
        <w:pageBreakBefore w:val="0"/>
        <w:spacing w:line="360" w:lineRule="auto"/>
        <w:rPr>
          <w:rFonts w:hint="eastAsia" w:ascii="Times New Roman" w:hAnsi="Times New Roman" w:eastAsia="宋体" w:cs="宋体"/>
          <w:bCs/>
          <w:color w:val="auto"/>
          <w:szCs w:val="21"/>
          <w:highlight w:val="none"/>
          <w:u w:val="single"/>
        </w:rPr>
      </w:pPr>
      <w:r>
        <w:rPr>
          <w:rFonts w:hint="eastAsia" w:ascii="Times New Roman" w:hAnsi="Times New Roman" w:eastAsia="宋体" w:cs="宋体"/>
          <w:color w:val="auto"/>
          <w:highlight w:val="none"/>
        </w:rPr>
        <w:t xml:space="preserve">1.时间：</w:t>
      </w:r>
      <w:r>
        <w:rPr>
          <w:rFonts w:hint="eastAsia" w:ascii="Times New Roman" w:hAnsi="Times New Roman" w:eastAsia="宋体" w:cs="宋体"/>
          <w:bCs/>
          <w:color w:val="auto"/>
          <w:highlight w:val="none"/>
          <w:u w:val="single"/>
        </w:rPr>
        <w:t xml:space="preserve">2026年</w:t>
      </w:r>
      <w:r>
        <w:rPr>
          <w:rFonts w:hint="eastAsia" w:ascii="Times New Roman" w:hAnsi="Times New Roman" w:cs="宋体"/>
          <w:bCs/>
          <w:color w:val="auto"/>
          <w:highlight w:val="none"/>
          <w:u w:val="single"/>
          <w:lang w:val="en-US" w:eastAsia="zh-CN"/>
        </w:rPr>
        <w:t xml:space="preserve">10</w:t>
      </w:r>
      <w:r>
        <w:rPr>
          <w:rFonts w:hint="eastAsia" w:ascii="Times New Roman" w:hAnsi="Times New Roman" w:eastAsia="宋体" w:cs="宋体"/>
          <w:bCs/>
          <w:color w:val="auto"/>
          <w:highlight w:val="none"/>
          <w:u w:val="single"/>
        </w:rPr>
        <w:t xml:space="preserve">月</w:t>
      </w:r>
      <w:r>
        <w:rPr>
          <w:rFonts w:hint="eastAsia" w:ascii="Times New Roman" w:hAnsi="Times New Roman" w:cs="宋体"/>
          <w:bCs/>
          <w:color w:val="auto"/>
          <w:highlight w:val="none"/>
          <w:u w:val="single"/>
          <w:lang w:val="en-US" w:eastAsia="zh-CN"/>
        </w:rPr>
        <w:t xml:space="preserve">08</w:t>
      </w:r>
      <w:r>
        <w:rPr>
          <w:rFonts w:hint="eastAsia" w:ascii="Times New Roman" w:hAnsi="Times New Roman" w:eastAsia="宋体" w:cs="宋体"/>
          <w:bCs/>
          <w:color w:val="auto"/>
          <w:highlight w:val="none"/>
          <w:u w:val="single"/>
        </w:rPr>
        <w:t xml:space="preserve">日</w:t>
      </w:r>
      <w:r>
        <w:rPr>
          <w:rFonts w:hint="eastAsia" w:ascii="Times New Roman" w:hAnsi="Times New Roman" w:cs="宋体"/>
          <w:bCs/>
          <w:color w:val="auto"/>
          <w:highlight w:val="none"/>
          <w:u w:val="single"/>
          <w:lang w:val="en-US" w:eastAsia="zh-CN"/>
        </w:rPr>
        <w:t xml:space="preserve">下</w:t>
      </w:r>
      <w:r>
        <w:rPr>
          <w:rFonts w:hint="eastAsia" w:ascii="Times New Roman" w:hAnsi="Times New Roman" w:eastAsia="宋体" w:cs="宋体"/>
          <w:bCs/>
          <w:color w:val="auto"/>
          <w:highlight w:val="none"/>
          <w:u w:val="single"/>
        </w:rPr>
        <w:t xml:space="preserve">午</w:t>
      </w:r>
      <w:r>
        <w:rPr>
          <w:rFonts w:hint="eastAsia" w:ascii="Times New Roman" w:hAnsi="Times New Roman" w:cs="宋体"/>
          <w:bCs/>
          <w:color w:val="auto"/>
          <w:highlight w:val="none"/>
          <w:u w:val="single"/>
          <w:lang w:val="en-US" w:eastAsia="zh-CN"/>
        </w:rPr>
        <w:t xml:space="preserve">2</w:t>
      </w:r>
      <w:r>
        <w:rPr>
          <w:rFonts w:hint="eastAsia" w:ascii="Times New Roman" w:hAnsi="Times New Roman" w:eastAsia="宋体" w:cs="宋体"/>
          <w:bCs/>
          <w:color w:val="auto"/>
          <w:highlight w:val="none"/>
          <w:u w:val="single"/>
        </w:rPr>
        <w:t xml:space="preserve">:30  </w:t>
      </w:r>
      <w:r>
        <w:rPr>
          <w:rFonts w:hint="eastAsia" w:ascii="Times New Roman" w:hAnsi="Times New Roman" w:eastAsia="宋体" w:cs="宋体"/>
          <w:color w:val="auto"/>
          <w:highlight w:val="none"/>
        </w:rPr>
        <w:t xml:space="preserve">（北京时间）</w:t>
      </w:r>
      <w:r/>
    </w:p>
    <w:p>
      <w:pPr>
        <w:ind w:firstLine="420"/>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color w:val="auto"/>
          <w:highlight w:val="none"/>
        </w:rPr>
        <w:t xml:space="preserve">2.开标地点：</w:t>
      </w:r>
      <w:r>
        <w:rPr>
          <w:rFonts w:hint="eastAsia" w:ascii="Times New Roman" w:hAnsi="Times New Roman" w:eastAsia="宋体" w:cs="宋体"/>
          <w:color w:val="auto"/>
          <w:szCs w:val="21"/>
          <w:highlight w:val="none"/>
        </w:rPr>
        <w:t xml:space="preserve">“苏采云”政府采购交易系统网上开标大厅。</w:t>
      </w:r>
      <w:r/>
    </w:p>
    <w:p>
      <w:pPr>
        <w:ind w:firstLine="422"/>
        <w:pageBreakBefore w:val="0"/>
        <w:spacing w:line="360" w:lineRule="auto"/>
        <w:tabs>
          <w:tab w:val="left" w:pos="266" w:leader="none"/>
        </w:tabs>
        <w:rPr>
          <w:rFonts w:hint="eastAsia" w:ascii="Times New Roman" w:hAnsi="Times New Roman" w:eastAsia="宋体" w:cs="宋体"/>
          <w:b/>
          <w:bCs/>
          <w:color w:val="auto"/>
          <w:highlight w:val="none"/>
        </w:rPr>
      </w:pPr>
      <w:r/>
      <w:bookmarkStart w:id="28" w:name="_Toc28359084"/>
      <w:r/>
      <w:bookmarkStart w:id="29" w:name="_Toc28359007"/>
      <w:r/>
      <w:bookmarkStart w:id="30" w:name="_Toc35393625"/>
      <w:r/>
      <w:bookmarkStart w:id="31" w:name="_Toc38985267"/>
      <w:r/>
      <w:bookmarkStart w:id="32" w:name="_Toc35393794"/>
      <w:r>
        <w:rPr>
          <w:rFonts w:hint="eastAsia" w:ascii="Times New Roman" w:hAnsi="Times New Roman" w:eastAsia="宋体" w:cs="宋体"/>
          <w:b/>
          <w:bCs/>
          <w:color w:val="auto"/>
          <w:highlight w:val="none"/>
        </w:rPr>
        <w:t xml:space="preserve">五、公告期限</w:t>
      </w:r>
      <w:bookmarkEnd w:id="28"/>
      <w:r/>
      <w:bookmarkEnd w:id="29"/>
      <w:r/>
      <w:bookmarkEnd w:id="30"/>
      <w:r/>
      <w:bookmarkEnd w:id="31"/>
      <w:r/>
      <w:bookmarkEnd w:id="32"/>
      <w:r/>
      <w:r/>
    </w:p>
    <w:p>
      <w:pPr>
        <w:ind w:firstLine="420"/>
        <w:pageBreakBefore w:val="0"/>
        <w:spacing w:line="360" w:lineRule="auto"/>
        <w:rPr>
          <w:rFonts w:hint="eastAsia" w:ascii="Times New Roman" w:hAnsi="Times New Roman" w:eastAsia="宋体" w:cs="宋体"/>
          <w:color w:val="auto"/>
          <w:highlight w:val="none"/>
        </w:rPr>
      </w:pPr>
      <w:r/>
      <w:bookmarkStart w:id="33" w:name="_Toc38985268"/>
      <w:r/>
      <w:bookmarkStart w:id="34" w:name="_Toc35393795"/>
      <w:r/>
      <w:bookmarkStart w:id="35" w:name="_Toc35393626"/>
      <w:r>
        <w:rPr>
          <w:rFonts w:hint="eastAsia" w:ascii="Times New Roman" w:hAnsi="Times New Roman" w:eastAsia="宋体" w:cs="宋体"/>
          <w:color w:val="auto"/>
          <w:highlight w:val="none"/>
        </w:rPr>
        <w:t xml:space="preserve">招标公告及招标文件公告期限为自本公告发布之日起5个工作日。</w:t>
      </w:r>
      <w:r/>
    </w:p>
    <w:p>
      <w:pPr>
        <w:ind w:firstLine="422"/>
        <w:pageBreakBefore w:val="0"/>
        <w:spacing w:line="360" w:lineRule="auto"/>
        <w:tabs>
          <w:tab w:val="left" w:pos="266" w:leader="none"/>
        </w:tabs>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六、其他补充事宜</w:t>
      </w:r>
      <w:bookmarkEnd w:id="33"/>
      <w:r/>
      <w:bookmarkEnd w:id="34"/>
      <w:r/>
      <w:bookmarkEnd w:id="35"/>
      <w:r/>
      <w:r/>
    </w:p>
    <w:p>
      <w:pPr>
        <w:ind w:firstLine="422"/>
        <w:pageBreakBefore w:val="0"/>
        <w:spacing w:line="360" w:lineRule="auto"/>
        <w:rPr>
          <w:rFonts w:hint="eastAsia" w:ascii="Times New Roman" w:hAnsi="Times New Roman" w:eastAsia="宋体" w:cs="宋体"/>
          <w:b/>
          <w:bCs/>
          <w:color w:val="auto"/>
          <w:highlight w:val="none"/>
        </w:rPr>
      </w:pPr>
      <w:r/>
      <w:bookmarkStart w:id="36" w:name="_Toc35393627"/>
      <w:r/>
      <w:bookmarkStart w:id="37" w:name="_Toc38985269"/>
      <w:r/>
      <w:bookmarkStart w:id="38" w:name="_Toc28359085"/>
      <w:r/>
      <w:bookmarkStart w:id="39" w:name="_Toc28359008"/>
      <w:r/>
      <w:bookmarkStart w:id="40" w:name="_Toc35393796"/>
      <w:r>
        <w:rPr>
          <w:rFonts w:hint="eastAsia" w:ascii="Times New Roman" w:hAnsi="Times New Roman" w:eastAsia="宋体" w:cs="宋体"/>
          <w:b/>
          <w:bCs/>
          <w:color w:val="auto"/>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pageBreakBefore w:val="0"/>
        <w:spacing w:line="360" w:lineRule="auto"/>
        <w:rPr>
          <w:rFonts w:hint="eastAsia" w:ascii="Times New Roman" w:hAnsi="Times New Roman" w:eastAsia="宋体" w:cs="宋体"/>
          <w:bCs/>
          <w:color w:val="auto"/>
          <w:highlight w:val="none"/>
        </w:rPr>
      </w:pPr>
      <w:r>
        <w:rPr>
          <w:rFonts w:hint="eastAsia" w:ascii="Times New Roman" w:hAnsi="Times New Roman" w:eastAsia="宋体" w:cs="宋体"/>
          <w:bCs/>
          <w:color w:val="auto"/>
          <w:szCs w:val="21"/>
          <w:highlight w:val="none"/>
        </w:rPr>
        <w:t xml:space="preserve">3.</w:t>
      </w:r>
      <w:r>
        <w:rPr>
          <w:rFonts w:hint="eastAsia" w:ascii="Times New Roman" w:hAnsi="Times New Roman" w:eastAsia="宋体" w:cs="宋体"/>
          <w:color w:val="auto"/>
          <w:highlight w:val="none"/>
        </w:rPr>
        <w:t xml:space="preserve">本次招标</w:t>
      </w:r>
      <w:r>
        <w:rPr>
          <w:rFonts w:hint="eastAsia" w:ascii="Times New Roman" w:hAnsi="Times New Roman" w:eastAsia="宋体" w:cs="宋体"/>
          <w:color w:val="auto"/>
          <w:highlight w:val="none"/>
          <w:u w:val="single"/>
        </w:rPr>
        <w:t xml:space="preserve">不收取 </w:t>
      </w:r>
      <w:r>
        <w:rPr>
          <w:rFonts w:hint="eastAsia" w:ascii="Times New Roman" w:hAnsi="Times New Roman" w:eastAsia="宋体" w:cs="宋体"/>
          <w:color w:val="auto"/>
          <w:highlight w:val="none"/>
        </w:rPr>
        <w:t xml:space="preserve">投标保证金。</w:t>
      </w:r>
      <w:r/>
    </w:p>
    <w:p>
      <w:pPr>
        <w:ind w:firstLine="420"/>
        <w:pageBreakBefore w:val="0"/>
        <w:spacing w:line="360" w:lineRule="auto"/>
        <w:rPr>
          <w:rFonts w:hint="eastAsia" w:ascii="Times New Roman" w:hAnsi="Times New Roman" w:eastAsia="宋体" w:cs="宋体"/>
          <w:bCs/>
          <w:color w:val="auto"/>
          <w:highlight w:val="none"/>
        </w:rPr>
      </w:pPr>
      <w:r>
        <w:rPr>
          <w:rFonts w:hint="eastAsia" w:ascii="Times New Roman" w:hAnsi="Times New Roman" w:eastAsia="宋体" w:cs="宋体"/>
          <w:color w:val="auto"/>
          <w:szCs w:val="21"/>
          <w:highlight w:val="none"/>
        </w:rPr>
        <w:t xml:space="preserve">4.</w:t>
      </w:r>
      <w:r>
        <w:rPr>
          <w:rFonts w:hint="eastAsia" w:ascii="Times New Roman" w:hAnsi="Times New Roman" w:eastAsia="宋体" w:cs="宋体"/>
          <w:bCs/>
          <w:color w:val="auto"/>
          <w:highlight w:val="none"/>
        </w:rPr>
        <w:t xml:space="preserve">有关本次招标的事项若存在变动或修改，敬请及时关注</w:t>
      </w:r>
      <w:r>
        <w:rPr>
          <w:rFonts w:hint="eastAsia" w:ascii="Times New Roman" w:hAnsi="Times New Roman" w:eastAsia="宋体" w:cs="宋体"/>
          <w:bCs/>
          <w:color w:val="auto"/>
          <w:szCs w:val="21"/>
          <w:highlight w:val="none"/>
          <w:lang w:eastAsia="zh-CN"/>
        </w:rPr>
        <w:t xml:space="preserve">“扬州市政府采购网”“江苏省政府采购网”和“中国政府采购网”</w:t>
      </w:r>
      <w:r>
        <w:rPr>
          <w:rFonts w:hint="eastAsia" w:ascii="Times New Roman" w:hAnsi="Times New Roman" w:eastAsia="宋体" w:cs="宋体"/>
          <w:bCs/>
          <w:color w:val="auto"/>
          <w:highlight w:val="none"/>
        </w:rPr>
        <w:t xml:space="preserve">发布的信息。</w:t>
      </w:r>
      <w:r/>
    </w:p>
    <w:p>
      <w:pPr>
        <w:ind w:firstLine="422"/>
        <w:pageBreakBefore w:val="0"/>
        <w:spacing w:line="360" w:lineRule="auto"/>
        <w:tabs>
          <w:tab w:val="left" w:pos="266" w:leader="none"/>
        </w:tabs>
        <w:rPr>
          <w:rFonts w:hint="eastAsia" w:ascii="Times New Roman" w:hAnsi="Times New Roman" w:eastAsia="宋体" w:cs="宋体"/>
          <w:b/>
          <w:i/>
          <w:iCs/>
          <w:color w:val="auto"/>
          <w:highlight w:val="none"/>
          <w:u w:val="single"/>
        </w:rPr>
      </w:pPr>
      <w:r>
        <w:rPr>
          <w:rFonts w:hint="eastAsia" w:ascii="Times New Roman" w:hAnsi="Times New Roman" w:eastAsia="宋体" w:cs="宋体"/>
          <w:b/>
          <w:i/>
          <w:iCs/>
          <w:color w:val="auto"/>
          <w:highlight w:val="none"/>
          <w:u w:val="single"/>
        </w:rPr>
        <w:t xml:space="preserve">5.本项目招标文件中所有斜体下划线部分为实质性条款，如不满足，则为无效投标。</w:t>
      </w:r>
      <w:r/>
    </w:p>
    <w:p>
      <w:pPr>
        <w:ind w:firstLine="420"/>
        <w:pageBreakBefore w:val="0"/>
        <w:spacing w:line="360" w:lineRule="auto"/>
        <w:tabs>
          <w:tab w:val="left" w:pos="266" w:leader="none"/>
        </w:tabs>
        <w:rPr>
          <w:rFonts w:hint="eastAsia"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6.如在开标时间发生系统崩溃等不可预见的情况，造成开评标活动无法正常进行的，将延迟开评标，具体开评标时间另行通知。</w:t>
      </w:r>
      <w:r/>
    </w:p>
    <w:p>
      <w:pPr>
        <w:ind w:firstLine="420"/>
        <w:pageBreakBefore w:val="0"/>
        <w:spacing w:line="360" w:lineRule="auto"/>
        <w:tabs>
          <w:tab w:val="left" w:pos="266" w:leader="none"/>
        </w:tabs>
        <w:rPr>
          <w:rFonts w:hint="eastAsia"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7.为落实好政府采购履约资金扶持政策，中标/成交供应商可凭政府采购合同办理融资贷款，详见江苏政府采购网“政采贷”专栏。</w:t>
      </w:r>
      <w:r/>
    </w:p>
    <w:p>
      <w:pPr>
        <w:ind w:firstLine="420"/>
        <w:pageBreakBefore w:val="0"/>
        <w:spacing w:line="360" w:lineRule="auto"/>
        <w:tabs>
          <w:tab w:val="left" w:pos="266" w:leader="none"/>
        </w:tabs>
        <w:rPr>
          <w:rFonts w:hint="eastAsia"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8.本项目严格执行政府采购关于支持节能产品</w:t>
      </w:r>
      <w:r>
        <w:rPr>
          <w:rFonts w:hint="eastAsia" w:ascii="Times New Roman" w:hAnsi="Times New Roman" w:eastAsia="宋体" w:cs="宋体"/>
          <w:bCs/>
          <w:color w:val="auto"/>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pageBreakBefore w:val="0"/>
        <w:spacing w:line="360" w:lineRule="auto"/>
        <w:tabs>
          <w:tab w:val="left" w:pos="266" w:leader="none"/>
        </w:tabs>
        <w:rPr>
          <w:rFonts w:hint="eastAsia"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9.供应商对于所投产品的包装应按照“财办库〔2020〕123号《关于印发《商品包装政府采购需求标准（试行）》《快递包装政府采购需求标准（试行）》的通知》”执行。</w:t>
      </w:r>
      <w:r/>
    </w:p>
    <w:p>
      <w:pPr>
        <w:ind w:firstLine="420"/>
        <w:keepLines w:val="0"/>
        <w:keepNext w:val="0"/>
        <w:pageBreakBefore w:val="0"/>
        <w:spacing w:line="360" w:lineRule="auto"/>
        <w:tabs>
          <w:tab w:val="left" w:pos="266" w:leader="none"/>
        </w:tabs>
        <w:rPr>
          <w:rFonts w:hint="eastAsia"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10.集中现场考察或答疑：采购人不组织，各投标人自行进行现场勘察，各投标人请务必对项目现场和周围环境进行仔细认真查勘，须充分了解本项目具体工作内容，在随后的采购活动中，对现场资料和数据所做出的推论、解释和结论及因勘察不到位造成的后果由投标人负责，并自行承担因了解不充分而影响报价准确性的风险。</w:t>
      </w:r>
      <w:r/>
    </w:p>
    <w:p>
      <w:pPr>
        <w:ind w:firstLine="420"/>
        <w:keepLines w:val="0"/>
        <w:keepNext w:val="0"/>
        <w:pageBreakBefore w:val="0"/>
        <w:spacing w:line="360" w:lineRule="auto"/>
        <w:tabs>
          <w:tab w:val="left" w:pos="266" w:leader="none"/>
        </w:tabs>
        <w:rPr>
          <w:rFonts w:hint="eastAsia" w:ascii="Times New Roman" w:hAnsi="Times New Roman" w:eastAsia="宋体" w:cs="宋体"/>
          <w:bCs/>
          <w:i/>
          <w:iCs/>
          <w:color w:val="auto"/>
          <w:highlight w:val="none"/>
          <w:u w:val="single"/>
        </w:rPr>
      </w:pPr>
      <w:r>
        <w:rPr>
          <w:rFonts w:hint="eastAsia" w:ascii="Times New Roman" w:hAnsi="Times New Roman" w:eastAsia="宋体" w:cs="宋体"/>
          <w:bCs/>
          <w:i/>
          <w:iCs/>
          <w:color w:val="auto"/>
          <w:highlight w:val="none"/>
          <w:u w:val="single"/>
        </w:rPr>
        <w:t xml:space="preserve">未考察现场或考察工作不详细的投标人中标后，不得以不完全了解现场情况为理由而向采购人提出任何索赔或其他要求，对此采购人不承担任何责任并将不作任何答复。</w:t>
      </w:r>
      <w:r/>
    </w:p>
    <w:p>
      <w:pPr>
        <w:ind w:firstLine="420"/>
        <w:pageBreakBefore w:val="0"/>
        <w:spacing w:line="360" w:lineRule="auto"/>
        <w:tabs>
          <w:tab w:val="left" w:pos="266" w:leader="none"/>
        </w:tabs>
        <w:rPr>
          <w:rFonts w:hint="eastAsia" w:ascii="Times New Roman" w:hAnsi="Times New Roman" w:eastAsia="宋体" w:cs="宋体"/>
          <w:bCs/>
          <w:color w:val="auto"/>
          <w:highlight w:val="none"/>
        </w:rPr>
      </w:pPr>
      <w:r>
        <w:rPr>
          <w:rFonts w:hint="eastAsia" w:ascii="Times New Roman" w:hAnsi="Times New Roman" w:eastAsia="宋体" w:cs="宋体"/>
          <w:bCs/>
          <w:color w:val="auto"/>
          <w:highlight w:val="none"/>
          <w:lang w:val="en-US" w:eastAsia="zh-CN"/>
        </w:rPr>
        <w:t xml:space="preserve">11.</w:t>
      </w:r>
      <w:r>
        <w:rPr>
          <w:rFonts w:hint="eastAsia" w:ascii="Times New Roman" w:hAnsi="Times New Roman" w:eastAsia="宋体" w:cs="宋体"/>
          <w:bCs/>
          <w:color w:val="auto"/>
          <w:highlight w:val="none"/>
        </w:rPr>
        <w:t xml:space="preserve">拒绝下述供应商参加本次采购活动：</w:t>
      </w:r>
      <w:r/>
    </w:p>
    <w:p>
      <w:pPr>
        <w:ind w:firstLine="420"/>
        <w:pageBreakBefore w:val="0"/>
        <w:spacing w:line="360" w:lineRule="auto"/>
        <w:tabs>
          <w:tab w:val="left" w:pos="266" w:leader="none"/>
        </w:tabs>
        <w:rPr>
          <w:rFonts w:hint="eastAsia"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（1）供应商单位负责人为同一人或者存在直接控股、管理关系的不同供应商，不得参加同一合同项下的政府采购活动。</w:t>
      </w:r>
      <w:r/>
    </w:p>
    <w:p>
      <w:pPr>
        <w:ind w:firstLine="420"/>
        <w:pageBreakBefore w:val="0"/>
        <w:spacing w:line="360" w:lineRule="auto"/>
        <w:tabs>
          <w:tab w:val="left" w:pos="266" w:leader="none"/>
        </w:tabs>
        <w:rPr>
          <w:rFonts w:hint="eastAsia"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（2）凡为采购项目提供整体设计、规范编制或者项目管理、监理、检测等服务的供应商，不得再参加该项目的其他采购活动。</w:t>
      </w:r>
      <w:r/>
    </w:p>
    <w:p>
      <w:pPr>
        <w:ind w:firstLine="422"/>
        <w:pageBreakBefore w:val="0"/>
        <w:spacing w:line="360" w:lineRule="auto"/>
        <w:tabs>
          <w:tab w:val="left" w:pos="266" w:leader="none"/>
        </w:tabs>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七、本次招标联系方式</w:t>
      </w:r>
      <w:bookmarkEnd w:id="36"/>
      <w:r/>
      <w:bookmarkEnd w:id="37"/>
      <w:r/>
      <w:bookmarkEnd w:id="38"/>
      <w:r/>
      <w:bookmarkEnd w:id="39"/>
      <w:r/>
      <w:bookmarkEnd w:id="40"/>
      <w:r/>
      <w:r/>
    </w:p>
    <w:p>
      <w:pPr>
        <w:ind w:firstLine="420"/>
        <w:jc w:val="left"/>
        <w:pageBreakBefore w:val="0"/>
        <w:spacing w:line="360" w:lineRule="auto"/>
        <w:widowControl/>
        <w:rPr>
          <w:rFonts w:hint="eastAsia" w:ascii="Times New Roman" w:hAnsi="Times New Roman" w:eastAsia="宋体" w:cs="宋体"/>
          <w:color w:val="auto"/>
          <w:szCs w:val="21"/>
          <w:highlight w:val="none"/>
        </w:rPr>
      </w:pPr>
      <w:r/>
      <w:bookmarkStart w:id="41" w:name="_Toc28359087"/>
      <w:r/>
      <w:bookmarkStart w:id="42" w:name="_Toc28359010"/>
      <w:r>
        <w:rPr>
          <w:rFonts w:hint="eastAsia" w:ascii="Times New Roman" w:hAnsi="Times New Roman" w:eastAsia="宋体" w:cs="宋体"/>
          <w:color w:val="auto"/>
          <w:highlight w:val="none"/>
        </w:rPr>
        <w:t xml:space="preserve">1.采购人信息</w:t>
      </w:r>
      <w:r/>
    </w:p>
    <w:p>
      <w:pPr>
        <w:ind w:firstLine="420"/>
        <w:jc w:val="left"/>
        <w:pageBreakBefore w:val="0"/>
        <w:spacing w:line="360" w:lineRule="auto"/>
        <w:rPr>
          <w:rFonts w:hint="eastAsia" w:ascii="Times New Roman" w:hAnsi="Times New Roman" w:eastAsia="宋体" w:cs="宋体"/>
          <w:color w:val="auto"/>
          <w:highlight w:val="none"/>
          <w:lang w:eastAsia="zh-CN"/>
        </w:rPr>
      </w:pPr>
      <w:r>
        <w:rPr>
          <w:rFonts w:hint="eastAsia" w:ascii="Times New Roman" w:hAnsi="Times New Roman" w:eastAsia="宋体" w:cs="宋体"/>
          <w:color w:val="auto"/>
          <w:highlight w:val="none"/>
        </w:rPr>
        <w:t xml:space="preserve">名 称：</w:t>
      </w:r>
      <w:r>
        <w:rPr>
          <w:rFonts w:hint="eastAsia" w:ascii="Times New Roman" w:hAnsi="Times New Roman" w:cs="宋体"/>
          <w:color w:val="auto"/>
          <w:szCs w:val="21"/>
          <w:highlight w:val="none"/>
          <w:lang w:eastAsia="zh-CN"/>
        </w:rPr>
        <w:t xml:space="preserve">扬州市城市河道管理处</w:t>
      </w:r>
      <w:r/>
    </w:p>
    <w:p>
      <w:pPr>
        <w:ind w:firstLine="420"/>
        <w:jc w:val="left"/>
        <w:pageBreakBefore w:val="0"/>
        <w:spacing w:line="360" w:lineRule="auto"/>
        <w:rPr>
          <w:rFonts w:hint="eastAsia" w:ascii="Times New Roman" w:hAnsi="Times New Roman" w:eastAsia="宋体" w:cs="宋体"/>
          <w:color w:val="auto"/>
          <w:highlight w:val="none"/>
          <w:lang w:eastAsia="zh-CN"/>
        </w:rPr>
      </w:pPr>
      <w:r/>
      <w:bookmarkStart w:id="43" w:name="_Toc28359009"/>
      <w:r/>
      <w:bookmarkStart w:id="44" w:name="_Toc28359086"/>
      <w:r>
        <w:rPr>
          <w:rFonts w:hint="eastAsia" w:ascii="Times New Roman" w:hAnsi="Times New Roman" w:eastAsia="宋体" w:cs="宋体"/>
          <w:color w:val="auto"/>
          <w:highlight w:val="none"/>
        </w:rPr>
        <w:t xml:space="preserve">地 址：</w:t>
      </w:r>
      <w:r>
        <w:rPr>
          <w:rFonts w:hint="eastAsia" w:ascii="Times New Roman" w:hAnsi="Times New Roman" w:eastAsia="宋体"/>
          <w:color w:val="auto"/>
          <w:szCs w:val="21"/>
          <w:highlight w:val="none"/>
          <w:lang w:eastAsia="zh-CN"/>
        </w:rPr>
        <w:t xml:space="preserve">扬州市太平北路16号</w:t>
      </w:r>
      <w:r/>
    </w:p>
    <w:p>
      <w:pPr>
        <w:ind w:firstLine="420"/>
        <w:jc w:val="left"/>
        <w:spacing w:line="360" w:lineRule="auto"/>
        <w:rPr>
          <w:rFonts w:ascii="宋体" w:hAnsi="宋体" w:cs="宋体"/>
          <w:highlight w:val="none"/>
        </w:rPr>
      </w:pPr>
      <w:r>
        <w:rPr>
          <w:rFonts w:hint="eastAsia" w:ascii="宋体" w:hAnsi="宋体" w:cs="宋体"/>
          <w:highlight w:val="none"/>
        </w:rPr>
        <w:t xml:space="preserve">联系人：</w:t>
      </w:r>
      <w:r>
        <w:rPr>
          <w:rFonts w:hint="eastAsia" w:ascii="宋体" w:hAnsi="宋体" w:cs="宋体"/>
          <w:highlight w:val="none"/>
          <w:u w:val="none"/>
        </w:rPr>
        <w:t xml:space="preserve">彭工</w:t>
      </w:r>
      <w:bookmarkStart w:id="137" w:name="_GoBack"/>
      <w:r/>
      <w:bookmarkEnd w:id="137"/>
      <w:r/>
      <w:r/>
    </w:p>
    <w:p>
      <w:pPr>
        <w:ind w:firstLine="420"/>
        <w:jc w:val="left"/>
        <w:spacing w:line="360" w:lineRule="auto"/>
        <w:rPr>
          <w:rFonts w:ascii="宋体" w:hAnsi="宋体" w:cs="宋体"/>
          <w:highlight w:val="none"/>
          <w:u w:val="single"/>
        </w:rPr>
      </w:pPr>
      <w:r>
        <w:rPr>
          <w:rFonts w:hint="eastAsia" w:ascii="宋体" w:hAnsi="宋体" w:cs="宋体"/>
          <w:highlight w:val="none"/>
        </w:rPr>
        <w:t xml:space="preserve">联系方</w:t>
      </w:r>
      <w:r>
        <w:rPr>
          <w:rFonts w:hint="eastAsia" w:ascii="宋体" w:hAnsi="宋体" w:cs="宋体"/>
          <w:highlight w:val="none"/>
          <w:u w:val="none"/>
        </w:rPr>
        <w:t xml:space="preserve">式：0514-87015051</w:t>
      </w:r>
      <w:r/>
    </w:p>
    <w:p>
      <w:pPr>
        <w:ind w:firstLine="420"/>
        <w:jc w:val="left"/>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2.采购代理机构信息</w:t>
      </w:r>
      <w:bookmarkEnd w:id="43"/>
      <w:r/>
      <w:bookmarkEnd w:id="44"/>
      <w:r/>
      <w:r/>
    </w:p>
    <w:p>
      <w:pPr>
        <w:ind w:firstLine="420"/>
        <w:pageBreakBefore w:val="0"/>
        <w:spacing w:line="360" w:lineRule="auto"/>
        <w:rPr>
          <w:rFonts w:hint="eastAsia" w:ascii="Times New Roman" w:hAnsi="Times New Roman" w:eastAsia="宋体" w:cs="宋体"/>
          <w:color w:val="auto"/>
          <w:highlight w:val="none"/>
          <w:lang w:eastAsia="zh-CN"/>
        </w:rPr>
      </w:pPr>
      <w:r>
        <w:rPr>
          <w:rFonts w:hint="eastAsia" w:ascii="Times New Roman" w:hAnsi="Times New Roman" w:eastAsia="宋体" w:cs="宋体"/>
          <w:color w:val="auto"/>
          <w:highlight w:val="none"/>
        </w:rPr>
        <w:t xml:space="preserve">名称：</w:t>
      </w:r>
      <w:r>
        <w:rPr>
          <w:rFonts w:hint="eastAsia" w:ascii="Times New Roman" w:hAnsi="Times New Roman" w:cs="宋体"/>
          <w:color w:val="auto"/>
          <w:szCs w:val="21"/>
          <w:highlight w:val="none"/>
          <w:lang w:eastAsia="zh-CN"/>
        </w:rPr>
        <w:t xml:space="preserve">江苏苏中兴工程造价咨询有限公司</w:t>
      </w:r>
      <w:r/>
    </w:p>
    <w:p>
      <w:pPr>
        <w:ind w:firstLine="420"/>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地　址：</w:t>
      </w:r>
      <w:r>
        <w:rPr>
          <w:rFonts w:hint="eastAsia" w:ascii="Times New Roman" w:hAnsi="Times New Roman" w:eastAsia="宋体" w:cs="宋体"/>
          <w:color w:val="auto"/>
          <w:szCs w:val="21"/>
          <w:highlight w:val="none"/>
        </w:rPr>
        <w:t xml:space="preserve">扬州市文昌中路20号文昌国际大厦5楼</w:t>
      </w:r>
      <w:r/>
    </w:p>
    <w:p>
      <w:pPr>
        <w:ind w:firstLine="420"/>
        <w:pageBreakBefore w:val="0"/>
        <w:spacing w:line="360" w:lineRule="auto"/>
        <w:rPr>
          <w:rFonts w:hint="default" w:ascii="Times New Roman" w:hAnsi="Times New Roman" w:eastAsia="宋体" w:cs="宋体"/>
          <w:color w:val="auto"/>
          <w:highlight w:val="none"/>
          <w:lang w:val="en-US" w:eastAsia="zh-CN"/>
        </w:rPr>
      </w:pPr>
      <w:r>
        <w:rPr>
          <w:rFonts w:hint="eastAsia" w:ascii="Times New Roman" w:hAnsi="Times New Roman" w:eastAsia="宋体" w:cs="宋体"/>
          <w:color w:val="auto"/>
          <w:highlight w:val="none"/>
        </w:rPr>
        <w:t xml:space="preserve">联系人：</w:t>
      </w:r>
      <w:r>
        <w:rPr>
          <w:rFonts w:hint="eastAsia" w:ascii="Times New Roman" w:hAnsi="Times New Roman" w:eastAsia="宋体" w:cs="宋体"/>
          <w:color w:val="auto"/>
          <w:szCs w:val="21"/>
          <w:highlight w:val="none"/>
          <w:lang w:val="en-US" w:eastAsia="zh-CN"/>
        </w:rPr>
        <w:t xml:space="preserve">刘洋</w:t>
      </w:r>
      <w:r/>
    </w:p>
    <w:p>
      <w:pPr>
        <w:ind w:firstLine="420"/>
        <w:pageBreakBefore w:val="0"/>
        <w:spacing w:line="360" w:lineRule="auto"/>
        <w:rPr>
          <w:rFonts w:hint="default" w:ascii="Times New Roman" w:hAnsi="Times New Roman" w:eastAsia="宋体" w:cs="宋体"/>
          <w:color w:val="auto"/>
          <w:highlight w:val="none"/>
          <w:u w:val="single"/>
          <w:lang w:val="en-US" w:eastAsia="zh-CN"/>
        </w:rPr>
      </w:pPr>
      <w:r>
        <w:rPr>
          <w:rFonts w:hint="eastAsia" w:ascii="Times New Roman" w:hAnsi="Times New Roman" w:eastAsia="宋体" w:cs="宋体"/>
          <w:color w:val="auto"/>
          <w:highlight w:val="none"/>
        </w:rPr>
        <w:t xml:space="preserve">联系方式：</w:t>
      </w:r>
      <w:bookmarkEnd w:id="41"/>
      <w:r/>
      <w:bookmarkEnd w:id="42"/>
      <w:r>
        <w:rPr>
          <w:rFonts w:hint="eastAsia" w:ascii="Times New Roman" w:hAnsi="Times New Roman" w:eastAsia="宋体" w:cs="宋体"/>
          <w:color w:val="auto"/>
          <w:highlight w:val="none"/>
          <w:lang w:val="en-US" w:eastAsia="zh-CN"/>
        </w:rPr>
        <w:t xml:space="preserve">0514-85165770、15152732066</w:t>
      </w:r>
      <w:r/>
    </w:p>
    <w:p>
      <w:pPr>
        <w:pageBreakBefore w:val="0"/>
        <w:spacing w:line="360" w:lineRule="auto"/>
        <w:rPr>
          <w:rFonts w:hint="eastAsia" w:ascii="Times New Roman" w:hAnsi="Times New Roman" w:eastAsia="宋体"/>
          <w:color w:val="auto"/>
          <w:highlight w:val="none"/>
        </w:rPr>
      </w:pPr>
      <w:r/>
      <w:bookmarkStart w:id="45" w:name="_Toc55204178"/>
      <w:r/>
      <w:bookmarkStart w:id="46" w:name="_Toc13371"/>
      <w:r/>
      <w:r/>
    </w:p>
    <w:p>
      <w:pPr>
        <w:jc w:val="right"/>
        <w:pageBreakBefore w:val="0"/>
        <w:spacing w:line="360" w:lineRule="auto"/>
        <w:rPr>
          <w:rFonts w:hint="eastAsia" w:ascii="Times New Roman" w:hAnsi="Times New Roman" w:eastAsia="宋体"/>
          <w:color w:val="auto"/>
          <w:highlight w:val="none"/>
        </w:rPr>
      </w:pPr>
      <w:r>
        <w:rPr>
          <w:rFonts w:hint="eastAsia" w:ascii="Times New Roman" w:hAnsi="Times New Roman" w:eastAsia="宋体"/>
          <w:color w:val="auto"/>
          <w:highlight w:val="none"/>
        </w:rPr>
        <w:t xml:space="preserve">江苏苏中兴工程造价咨询有限公司</w:t>
      </w:r>
      <w:r/>
    </w:p>
    <w:p>
      <w:pPr>
        <w:jc w:val="right"/>
        <w:pageBreakBefore w:val="0"/>
        <w:spacing w:line="360" w:lineRule="auto"/>
        <w:rPr>
          <w:rFonts w:hint="eastAsia" w:ascii="Times New Roman" w:hAnsi="Times New Roman" w:eastAsia="宋体"/>
          <w:color w:val="auto"/>
          <w:highlight w:val="none"/>
        </w:rPr>
      </w:pPr>
      <w:r>
        <w:rPr>
          <w:rFonts w:hint="eastAsia" w:ascii="Times New Roman" w:hAnsi="Times New Roman" w:eastAsia="宋体"/>
          <w:color w:val="auto"/>
          <w:highlight w:val="none"/>
        </w:rPr>
        <w:t xml:space="preserve">2026年</w:t>
      </w:r>
      <w:r>
        <w:rPr>
          <w:rFonts w:hint="eastAsia" w:ascii="Times New Roman" w:hAnsi="Times New Roman"/>
          <w:color w:val="auto"/>
          <w:highlight w:val="none"/>
          <w:lang w:val="en-US" w:eastAsia="zh-CN"/>
        </w:rPr>
        <w:t xml:space="preserve">9</w:t>
      </w:r>
      <w:r>
        <w:rPr>
          <w:rFonts w:hint="eastAsia" w:ascii="Times New Roman" w:hAnsi="Times New Roman" w:eastAsia="宋体"/>
          <w:color w:val="auto"/>
          <w:highlight w:val="none"/>
        </w:rPr>
        <w:t xml:space="preserve">月</w:t>
      </w:r>
      <w:r>
        <w:rPr>
          <w:rFonts w:hint="eastAsia" w:ascii="Times New Roman" w:hAnsi="Times New Roman"/>
          <w:color w:val="auto"/>
          <w:highlight w:val="none"/>
          <w:lang w:val="en-US" w:eastAsia="zh-CN"/>
        </w:rPr>
        <w:t xml:space="preserve">16 </w:t>
      </w:r>
      <w:r>
        <w:rPr>
          <w:rFonts w:hint="eastAsia" w:ascii="Times New Roman" w:hAnsi="Times New Roman" w:eastAsia="宋体"/>
          <w:color w:val="auto"/>
          <w:highlight w:val="none"/>
        </w:rPr>
        <w:t xml:space="preserve">日</w:t>
      </w:r>
      <w:r/>
    </w:p>
    <w:p>
      <w:pPr>
        <w:pStyle w:val="719"/>
        <w:pageBreakBefore w:val="0"/>
        <w:spacing w:line="360" w:lineRule="auto"/>
        <w:rPr>
          <w:rFonts w:hint="eastAsia" w:ascii="Times New Roman" w:hAnsi="Times New Roman" w:eastAsia="宋体"/>
          <w:color w:val="auto"/>
          <w:highlight w:val="none"/>
        </w:rPr>
      </w:pPr>
      <w:r/>
      <w:bookmarkStart w:id="47" w:name="_Toc8455"/>
      <w:r/>
      <w:bookmarkStart w:id="48" w:name="_Toc27937"/>
      <w:r/>
      <w:bookmarkStart w:id="49" w:name="_Toc15067"/>
      <w:r/>
      <w:bookmarkStart w:id="50" w:name="_Toc19440"/>
      <w:r/>
      <w:bookmarkStart w:id="51" w:name="_Toc23235"/>
      <w:r/>
      <w:r/>
    </w:p>
    <w:p>
      <w:pPr>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pStyle w:val="719"/>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第二章 投标人须知</w:t>
      </w:r>
      <w:bookmarkEnd w:id="45"/>
      <w:r/>
      <w:bookmarkEnd w:id="46"/>
      <w:r/>
      <w:bookmarkEnd w:id="47"/>
      <w:r/>
      <w:bookmarkEnd w:id="48"/>
      <w:r/>
      <w:bookmarkEnd w:id="49"/>
      <w:r/>
      <w:bookmarkEnd w:id="50"/>
      <w:r/>
      <w:bookmarkEnd w:id="51"/>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1.招标方式</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1.1</w:t>
      </w:r>
      <w:r>
        <w:rPr>
          <w:rFonts w:hint="eastAsia" w:ascii="Times New Roman" w:hAnsi="Times New Roman" w:eastAsia="宋体" w:cs="宋体"/>
          <w:bCs/>
          <w:color w:val="auto"/>
          <w:szCs w:val="21"/>
          <w:highlight w:val="none"/>
        </w:rPr>
        <w:t xml:space="preserve">本次招标采取公开招标方式，本招标文件仅适用于</w:t>
      </w:r>
      <w:r>
        <w:rPr>
          <w:rFonts w:hint="eastAsia" w:ascii="Times New Roman" w:hAnsi="Times New Roman" w:cs="宋体"/>
          <w:bCs/>
          <w:color w:val="auto"/>
          <w:szCs w:val="21"/>
          <w:highlight w:val="none"/>
          <w:lang w:eastAsia="zh-CN"/>
        </w:rPr>
        <w:t xml:space="preserve">JSZC-321000-SSZX-G2026-0007号</w:t>
      </w:r>
      <w:r>
        <w:rPr>
          <w:rFonts w:hint="eastAsia" w:ascii="Times New Roman" w:hAnsi="Times New Roman" w:eastAsia="宋体" w:cs="宋体"/>
          <w:bCs/>
          <w:color w:val="auto"/>
          <w:szCs w:val="21"/>
          <w:highlight w:val="none"/>
        </w:rPr>
        <w:t xml:space="preserve">项目。</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2.投标人</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2.1 本招标文件中“供应商”，即“投标人”，是指参加投标竞争，并符合招标文件规定资格条件的法人、其他组织或者自然人。</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2.2合格的投标人</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2.2.1 满足招标公告中供应商的资格条件要求的规定。</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2.2.2 满足本文件实质性条款的规定。</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3.适用法律</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3.1 本次招标及由此产生的合同受中华人民共和国有关的法律法规制约和保护。</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bCs/>
          <w:color w:val="auto"/>
          <w:szCs w:val="21"/>
          <w:highlight w:val="none"/>
        </w:rPr>
        <w:t xml:space="preserve">3.2在本项目政府采购活动过程中，如果所执行的标准有更新的，按照最新标准执行。</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4.投标费用</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4.1 投标人应自行承担所有与参加投标有关的费用，无论投标过程中的做法和结果如 何，代理机构在任何情况下均无义务和责任承担这些费用。 </w:t>
      </w:r>
      <w:r/>
    </w:p>
    <w:p>
      <w:pPr>
        <w:ind w:firstLine="422"/>
        <w:pageBreakBefore w:val="0"/>
        <w:spacing w:line="360" w:lineRule="auto"/>
        <w:rPr>
          <w:rFonts w:hint="eastAsia" w:ascii="Times New Roman" w:hAnsi="Times New Roman" w:eastAsia="宋体"/>
          <w:b/>
          <w:bCs/>
          <w:color w:val="auto"/>
          <w:szCs w:val="21"/>
          <w:highlight w:val="none"/>
        </w:rPr>
      </w:pPr>
      <w:r>
        <w:rPr>
          <w:rFonts w:hint="eastAsia" w:ascii="Times New Roman" w:hAnsi="Times New Roman" w:eastAsia="宋体" w:cs="宋体"/>
          <w:b/>
          <w:bCs/>
          <w:color w:val="auto"/>
          <w:szCs w:val="21"/>
          <w:highlight w:val="none"/>
        </w:rPr>
        <w:t xml:space="preserve">4.2</w:t>
      </w:r>
      <w:r>
        <w:rPr>
          <w:rFonts w:hint="eastAsia" w:ascii="Times New Roman" w:hAnsi="Times New Roman" w:eastAsia="宋体"/>
          <w:b/>
          <w:bCs/>
          <w:color w:val="auto"/>
          <w:szCs w:val="21"/>
          <w:highlight w:val="none"/>
        </w:rPr>
        <w:t xml:space="preserve">本次采购</w:t>
      </w:r>
      <w:r>
        <w:rPr>
          <w:rFonts w:hint="eastAsia" w:ascii="Times New Roman" w:hAnsi="Times New Roman" w:eastAsia="宋体"/>
          <w:b/>
          <w:bCs/>
          <w:color w:val="auto"/>
          <w:szCs w:val="21"/>
          <w:highlight w:val="none"/>
          <w:lang w:val="en-US" w:eastAsia="zh-CN"/>
        </w:rPr>
        <w:t xml:space="preserve">预算中已包含代理服务费，</w:t>
      </w:r>
      <w:r>
        <w:rPr>
          <w:rFonts w:hint="eastAsia" w:ascii="Times New Roman" w:hAnsi="Times New Roman" w:eastAsia="宋体"/>
          <w:b/>
          <w:bCs/>
          <w:color w:val="auto"/>
          <w:szCs w:val="21"/>
          <w:highlight w:val="none"/>
        </w:rPr>
        <w:t xml:space="preserve">由</w:t>
      </w:r>
      <w:r>
        <w:rPr>
          <w:rFonts w:hint="eastAsia" w:ascii="Times New Roman" w:hAnsi="Times New Roman" w:eastAsia="宋体"/>
          <w:b/>
          <w:bCs/>
          <w:color w:val="auto"/>
          <w:szCs w:val="21"/>
          <w:highlight w:val="none"/>
          <w:lang w:val="en-US" w:eastAsia="zh-CN"/>
        </w:rPr>
        <w:t xml:space="preserve">中标人</w:t>
      </w:r>
      <w:r>
        <w:rPr>
          <w:rFonts w:hint="eastAsia" w:ascii="Times New Roman" w:hAnsi="Times New Roman" w:eastAsia="宋体"/>
          <w:b/>
          <w:bCs/>
          <w:color w:val="auto"/>
          <w:szCs w:val="21"/>
          <w:highlight w:val="none"/>
        </w:rPr>
        <w:t xml:space="preserve">在领取</w:t>
      </w:r>
      <w:r>
        <w:rPr>
          <w:rFonts w:hint="eastAsia" w:ascii="Times New Roman" w:hAnsi="Times New Roman" w:eastAsia="宋体"/>
          <w:b/>
          <w:bCs/>
          <w:color w:val="auto"/>
          <w:szCs w:val="21"/>
          <w:highlight w:val="none"/>
          <w:lang w:val="en-US" w:eastAsia="zh-CN"/>
        </w:rPr>
        <w:t xml:space="preserve">中标</w:t>
      </w:r>
      <w:r>
        <w:rPr>
          <w:rFonts w:hint="eastAsia" w:ascii="Times New Roman" w:hAnsi="Times New Roman" w:eastAsia="宋体"/>
          <w:b/>
          <w:bCs/>
          <w:color w:val="auto"/>
          <w:szCs w:val="21"/>
          <w:highlight w:val="none"/>
        </w:rPr>
        <w:t xml:space="preserve">通知书前按照《国家发展改革委关于降低部分建设项目收费标准规范收费行为等有关问题的通知》(发改价格(2011)534号)</w:t>
      </w:r>
      <w:r>
        <w:rPr>
          <w:rFonts w:hint="eastAsia" w:ascii="Times New Roman" w:hAnsi="Times New Roman" w:eastAsia="宋体"/>
          <w:b/>
          <w:bCs/>
          <w:color w:val="auto"/>
          <w:szCs w:val="21"/>
          <w:highlight w:val="none"/>
          <w:lang w:val="en-US" w:eastAsia="zh-CN"/>
        </w:rPr>
        <w:t xml:space="preserve">货物</w:t>
      </w:r>
      <w:r>
        <w:rPr>
          <w:rFonts w:hint="eastAsia" w:ascii="Times New Roman" w:hAnsi="Times New Roman" w:eastAsia="宋体"/>
          <w:b/>
          <w:bCs/>
          <w:color w:val="auto"/>
          <w:szCs w:val="21"/>
          <w:highlight w:val="none"/>
        </w:rPr>
        <w:t xml:space="preserve">类标准</w:t>
      </w:r>
      <w:r>
        <w:rPr>
          <w:rFonts w:hint="eastAsia" w:ascii="Times New Roman" w:hAnsi="Times New Roman" w:eastAsia="宋体"/>
          <w:b/>
          <w:bCs/>
          <w:color w:val="auto"/>
          <w:szCs w:val="21"/>
          <w:highlight w:val="none"/>
          <w:u w:val="none"/>
        </w:rPr>
        <w:t xml:space="preserve">一</w:t>
      </w:r>
      <w:r>
        <w:rPr>
          <w:rFonts w:hint="eastAsia" w:ascii="Times New Roman" w:hAnsi="Times New Roman" w:eastAsia="宋体"/>
          <w:b/>
          <w:bCs/>
          <w:color w:val="auto"/>
          <w:szCs w:val="21"/>
          <w:highlight w:val="none"/>
        </w:rPr>
        <w:t xml:space="preserve">次性支付给招标代理机构。</w:t>
      </w:r>
      <w:r/>
    </w:p>
    <w:p>
      <w:pPr>
        <w:ind w:firstLine="422"/>
        <w:pageBreakBefore w:val="0"/>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（1）代理服务费以人民币支付；</w:t>
      </w:r>
      <w:r/>
    </w:p>
    <w:p>
      <w:pPr>
        <w:ind w:firstLine="422"/>
        <w:pageBreakBefore w:val="0"/>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（2）代理服务费一次性以电汇或转账等非现金形式支付。</w:t>
      </w:r>
      <w:r/>
    </w:p>
    <w:p>
      <w:pPr>
        <w:ind w:firstLine="422"/>
        <w:spacing w:line="360" w:lineRule="auto"/>
        <w:rPr>
          <w:rFonts w:hint="eastAsia" w:ascii="宋体" w:hAnsi="宋体"/>
          <w:b/>
          <w:bCs/>
          <w:szCs w:val="21"/>
          <w:highlight w:val="none"/>
        </w:rPr>
      </w:pPr>
      <w:r>
        <w:rPr>
          <w:rFonts w:hint="eastAsia" w:ascii="宋体" w:hAnsi="宋体"/>
          <w:b/>
          <w:bCs/>
          <w:szCs w:val="21"/>
          <w:highlight w:val="none"/>
        </w:rPr>
        <w:t xml:space="preserve">代理服务费户名：江苏苏中兴工程造价咨</w:t>
      </w:r>
      <w:r>
        <w:rPr>
          <w:rFonts w:hint="eastAsia" w:ascii="宋体" w:hAnsi="宋体"/>
          <w:b/>
          <w:bCs/>
          <w:color w:val="000000"/>
          <w:szCs w:val="21"/>
          <w:highlight w:val="none"/>
        </w:rPr>
        <w:t xml:space="preserve">询有限公司</w:t>
      </w:r>
      <w:r/>
    </w:p>
    <w:p>
      <w:pPr>
        <w:ind w:firstLine="422"/>
        <w:spacing w:line="360" w:lineRule="auto"/>
        <w:rPr>
          <w:rFonts w:hint="eastAsia" w:ascii="宋体" w:hAnsi="宋体"/>
          <w:b/>
          <w:bCs/>
          <w:szCs w:val="21"/>
          <w:highlight w:val="none"/>
        </w:rPr>
      </w:pPr>
      <w:r>
        <w:rPr>
          <w:rFonts w:hint="eastAsia" w:ascii="宋体" w:hAnsi="宋体"/>
          <w:b/>
          <w:bCs/>
          <w:szCs w:val="21"/>
          <w:highlight w:val="none"/>
        </w:rPr>
        <w:t xml:space="preserve">开户行：</w:t>
      </w:r>
      <w:r>
        <w:rPr>
          <w:rFonts w:hint="eastAsia" w:ascii="宋体" w:hAnsi="宋体"/>
          <w:b/>
          <w:bCs/>
          <w:color w:val="000000"/>
          <w:szCs w:val="21"/>
          <w:highlight w:val="none"/>
        </w:rPr>
        <w:t xml:space="preserve">江苏银行扬州甘泉支行</w:t>
      </w:r>
      <w:r/>
    </w:p>
    <w:p>
      <w:pPr>
        <w:ind w:firstLine="422"/>
        <w:spacing w:line="360" w:lineRule="auto"/>
        <w:rPr>
          <w:rFonts w:hint="eastAsia" w:ascii="宋体" w:hAnsi="宋体"/>
          <w:b/>
          <w:bCs/>
          <w:szCs w:val="21"/>
          <w:highlight w:val="none"/>
        </w:rPr>
      </w:pPr>
      <w:r>
        <w:rPr>
          <w:rFonts w:hint="eastAsia" w:ascii="宋体" w:hAnsi="宋体"/>
          <w:b/>
          <w:bCs/>
          <w:szCs w:val="21"/>
          <w:highlight w:val="none"/>
        </w:rPr>
        <w:t xml:space="preserve">行  号：</w:t>
      </w:r>
      <w:r>
        <w:rPr>
          <w:rFonts w:hint="eastAsia" w:ascii="宋体" w:hAnsi="宋体"/>
          <w:b/>
          <w:bCs/>
          <w:color w:val="000000"/>
          <w:szCs w:val="21"/>
          <w:highlight w:val="none"/>
        </w:rPr>
        <w:t xml:space="preserve">313312000111</w:t>
      </w:r>
      <w:r/>
    </w:p>
    <w:p>
      <w:pPr>
        <w:ind w:firstLine="422"/>
        <w:spacing w:line="360" w:lineRule="auto"/>
        <w:rPr>
          <w:rFonts w:hint="eastAsia" w:ascii="宋体" w:hAnsi="宋体"/>
          <w:b/>
          <w:bCs/>
          <w:szCs w:val="21"/>
          <w:highlight w:val="none"/>
        </w:rPr>
      </w:pPr>
      <w:r>
        <w:rPr>
          <w:rFonts w:hint="eastAsia" w:ascii="宋体" w:hAnsi="宋体"/>
          <w:b/>
          <w:bCs/>
          <w:szCs w:val="21"/>
          <w:highlight w:val="none"/>
        </w:rPr>
        <w:t xml:space="preserve">账  号：7560020109030383</w:t>
      </w:r>
      <w:r/>
    </w:p>
    <w:p>
      <w:pPr>
        <w:ind w:firstLine="422"/>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b/>
          <w:bCs/>
          <w:color w:val="auto"/>
          <w:szCs w:val="21"/>
          <w:highlight w:val="none"/>
        </w:rPr>
        <w:t xml:space="preserve">4.</w:t>
      </w:r>
      <w:r>
        <w:rPr>
          <w:rFonts w:hint="eastAsia" w:ascii="Times New Roman" w:hAnsi="Times New Roman" w:eastAsia="宋体"/>
          <w:b/>
          <w:bCs/>
          <w:color w:val="auto"/>
          <w:szCs w:val="21"/>
          <w:highlight w:val="none"/>
          <w:lang w:val="en-US" w:eastAsia="zh-CN"/>
        </w:rPr>
        <w:t xml:space="preserve">3</w:t>
      </w:r>
      <w:r>
        <w:rPr>
          <w:rFonts w:hint="eastAsia" w:ascii="Times New Roman" w:hAnsi="Times New Roman" w:eastAsia="宋体" w:cs="宋体"/>
          <w:b/>
          <w:bCs/>
          <w:color w:val="auto"/>
          <w:sz w:val="21"/>
          <w:szCs w:val="21"/>
          <w:highlight w:val="none"/>
        </w:rPr>
        <w:t xml:space="preserve">专家评审费按照《扬州市财政局关于进一步规范扬州市政府采购专家评审费标准的通知》（扬财购〔2020〕40号）执行。</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5.招标文件的约束力</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5.1 投标人一旦参加本项目采购活动，即被认为接受了本招标文件的规定和约束。</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6.招标文件构成</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6.1 招标文件由以下部分组成：</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（1）招标公告</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（2）投标人须知</w:t>
      </w:r>
      <w:r>
        <w:rPr>
          <w:rFonts w:hint="eastAsia" w:ascii="Times New Roman" w:hAnsi="Times New Roman" w:eastAsia="宋体" w:cs="宋体"/>
          <w:bCs/>
          <w:color w:val="auto"/>
          <w:szCs w:val="21"/>
          <w:highlight w:val="none"/>
        </w:rPr>
        <w:tab/>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（3）合同条款及格式</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（4）项目需求</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（5）评标方法与评标标准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（6）投标文件格式</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请仔细检查招标文件是否齐全，如有缺漏请立即与代理机构联系解决。</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6.3 招标文件如果要求供应商提交备选投标方案的，供应商可以提交备选方案；否则，备选方案将被拒绝。</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7.招标文件的澄清</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8.招标文件的修改</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8.1 在投标截止时间前，代理机构可以对招标文件进行修改。</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8.2代理机构在招标文件要求提交投标文件截止时间前，有权按照法定要求推迟投标截止时间和开标时间。</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8.3招标文件的修改将在</w:t>
      </w:r>
      <w:r>
        <w:rPr>
          <w:rFonts w:hint="eastAsia" w:ascii="Times New Roman" w:hAnsi="Times New Roman" w:eastAsia="宋体" w:cs="宋体"/>
          <w:bCs/>
          <w:color w:val="auto"/>
          <w:szCs w:val="21"/>
          <w:highlight w:val="none"/>
          <w:lang w:eastAsia="zh-CN"/>
        </w:rPr>
        <w:t xml:space="preserve">“扬州市政府采购网”“江苏省政府采购网”和“中国政府采购网”</w:t>
      </w:r>
      <w:r>
        <w:rPr>
          <w:rFonts w:hint="eastAsia" w:ascii="Times New Roman" w:hAnsi="Times New Roman" w:eastAsia="宋体" w:cs="宋体"/>
          <w:bCs/>
          <w:color w:val="auto"/>
          <w:szCs w:val="21"/>
          <w:highlight w:val="none"/>
        </w:rPr>
        <w:t xml:space="preserve">公布，补充文件将作为招标文件的组成部分，并对投标人具有约束力。</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9.投标文件的语言、度量衡单位、货币</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9.1投标人提交的投标文件以及投标人与代理机构就有关投标的所有来往通知、函件和文件均应使用简体中文。</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9.2 除技术性能另有规定外，投标文件所使用的度量衡单位，均须采用国家法定计量单位。</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9.3投标人应使用人民币报价。</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10.投标文件构成</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10.1投标文件由以下部分组成</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（1）资格审查响应对照表</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（2）符合性审查响应对照表</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（3）非实质性响应对照表</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（4）开标一览表 </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（5）投标产品配置及分项报价表 </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（6）技术参数响应及偏离表 </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（7）商务条款响应及偏离表 </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（8）其他 （投标人认为有必要提供的声明和文件，如有自拟并自行添加）</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11.证明投标人资格及符合招标文件规定的文件</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11.1投标人应按要求提交资格证明文件及符合招标文件规定的文件。</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11.2投标人应提交证明其有资格参加投标和中标后有能力独立履行合同的文件。</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11.3投标人除必须具有履行合同所需提供的产品或服务的能力外，还必须具备相应的财务、技术方面的能力。</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11.4投标人应提交根据合同要求提供的证明服务质量合格以及符合招标文件规定的证明文件。</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11.5证明投标人所提供服务与招标文件的要求相一致的文件可以是手册、图纸、文字资料和数据。</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12.投标配置与分项报价表</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12.2 标的物</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采购人需求的服务供应、安装，调试及有关技术服务等。</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12.3有关费用处理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12.4其它费用处理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招标文件未列明，而投标人认为必需的费用也需列入报价。</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12.5投标货币</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投标文件中的服务单价和总价无特殊规定的采用人民币报价，以元为单位标注。招标文件中另有规定的按规定执行。</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12.6 投标配置与分项报价表上的价格应按下列方式分开填写：</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2.项目单价按投标配置及分项报价表中要求填报。</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13.技术参数响应及偏离表、商务条款响应及偏离表及投标货物说明</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13.1 对招标文件中的技术与商务条款要求逐项作出响应或偏离，并说明原因；</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13.2 提供参加本项目类似案例简介；</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13.3 培训计划；</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13.4 详细阐述所投货物的主要组成部分、功能设计、实现思路及关键技术；</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13.5 投标人认为需要的其他技术文件或说明。</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14.服务承诺及售后服务机构、人员的情况介绍</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14.1投标人的服务承诺应按不低于招标文件中商务要求的标准。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15.投标函和开标一览表</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15.1 投标人应按照招标文件中提供的格式完整、正确填写投标函、开标一览表。</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16.投标有效期</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16.1 投标有效期为开标之日起六十（60）天。投标有效期比规定短的将被视为非响应性投标而予以拒绝。</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pageBreakBefore w:val="0"/>
        <w:spacing w:line="360" w:lineRule="auto"/>
        <w:rPr>
          <w:rFonts w:hint="eastAsia" w:ascii="Times New Roman" w:hAnsi="Times New Roman" w:eastAsia="宋体" w:cs="宋体"/>
          <w:b/>
          <w:color w:val="auto"/>
          <w:szCs w:val="21"/>
          <w:highlight w:val="none"/>
        </w:rPr>
      </w:pPr>
      <w:r/>
      <w:bookmarkStart w:id="52" w:name="_Toc20823297"/>
      <w:r/>
      <w:bookmarkStart w:id="53" w:name="_Toc513029225"/>
      <w:r/>
      <w:bookmarkStart w:id="54" w:name="_Toc462564084"/>
      <w:r/>
      <w:bookmarkStart w:id="55" w:name="_Toc16938541"/>
      <w:r>
        <w:rPr>
          <w:rFonts w:hint="eastAsia" w:ascii="Times New Roman" w:hAnsi="Times New Roman" w:eastAsia="宋体" w:cs="宋体"/>
          <w:b/>
          <w:color w:val="auto"/>
          <w:szCs w:val="21"/>
          <w:highlight w:val="none"/>
        </w:rPr>
        <w:t xml:space="preserve">17.投标文件</w:t>
      </w:r>
      <w:bookmarkEnd w:id="52"/>
      <w:r/>
      <w:bookmarkEnd w:id="53"/>
      <w:r/>
      <w:bookmarkEnd w:id="54"/>
      <w:r/>
      <w:bookmarkEnd w:id="55"/>
      <w:r>
        <w:rPr>
          <w:rFonts w:hint="eastAsia" w:ascii="Times New Roman" w:hAnsi="Times New Roman" w:eastAsia="宋体" w:cs="宋体"/>
          <w:b/>
          <w:color w:val="auto"/>
          <w:szCs w:val="21"/>
          <w:highlight w:val="none"/>
        </w:rPr>
        <w:t xml:space="preserve">的递交</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17.1 电子投标文件的递交投标人应当按照《操作手册》规定，在投标截止时间前制作并上传电子投标文件。</w:t>
      </w:r>
      <w:bookmarkStart w:id="56" w:name="_Toc16938542"/>
      <w:r/>
      <w:bookmarkStart w:id="57" w:name="_Toc20823298"/>
      <w:r/>
      <w:bookmarkStart w:id="58" w:name="_Toc513029226"/>
      <w:r/>
      <w:r/>
    </w:p>
    <w:p>
      <w:pPr>
        <w:ind w:firstLine="420"/>
        <w:pageBreakBefore w:val="0"/>
        <w:spacing w:line="360" w:lineRule="auto"/>
        <w:rPr>
          <w:rFonts w:hint="eastAsia" w:ascii="Times New Roman" w:hAnsi="Times New Roman" w:eastAsia="宋体" w:cs="宋体"/>
          <w:b/>
          <w:bCs w:val="0"/>
          <w:color w:val="auto"/>
          <w:szCs w:val="21"/>
          <w:highlight w:val="none"/>
        </w:rPr>
      </w:pPr>
      <w:r>
        <w:rPr>
          <w:rFonts w:hint="eastAsia" w:ascii="Times New Roman" w:hAnsi="Times New Roman" w:eastAsia="宋体" w:cs="宋体"/>
          <w:b/>
          <w:bCs w:val="0"/>
          <w:color w:val="auto"/>
          <w:szCs w:val="21"/>
          <w:highlight w:val="none"/>
        </w:rPr>
        <w:t xml:space="preserve">17.2政府采购管理交易系统（苏采云）相关要求是本招标文件的组成部分。</w:t>
      </w:r>
      <w:r/>
    </w:p>
    <w:p>
      <w:pPr>
        <w:ind w:firstLine="420"/>
        <w:pageBreakBefore w:val="0"/>
        <w:spacing w:line="360" w:lineRule="auto"/>
        <w:rPr>
          <w:rFonts w:hint="eastAsia" w:ascii="Times New Roman" w:hAnsi="Times New Roman" w:eastAsia="宋体" w:cs="宋体"/>
          <w:b/>
          <w:bCs w:val="0"/>
          <w:color w:val="auto"/>
          <w:szCs w:val="21"/>
          <w:highlight w:val="none"/>
        </w:rPr>
      </w:pPr>
      <w:r>
        <w:rPr>
          <w:rFonts w:hint="eastAsia" w:ascii="Times New Roman" w:hAnsi="Times New Roman" w:eastAsia="宋体" w:cs="宋体"/>
          <w:b/>
          <w:bCs w:val="0"/>
          <w:color w:val="auto"/>
          <w:szCs w:val="21"/>
          <w:highlight w:val="none"/>
        </w:rPr>
        <w:t xml:space="preserve">17.3投标人应对 CA 证书妥善保管，如被他人盗用投标，因此带来的结果均由投标人自行承担。</w:t>
      </w:r>
      <w:r/>
    </w:p>
    <w:p>
      <w:pPr>
        <w:ind w:firstLine="420"/>
        <w:pageBreakBefore w:val="0"/>
        <w:spacing w:line="360" w:lineRule="auto"/>
        <w:rPr>
          <w:rFonts w:hint="eastAsia" w:ascii="Times New Roman" w:hAnsi="Times New Roman" w:eastAsia="宋体" w:cs="宋体"/>
          <w:b/>
          <w:bCs w:val="0"/>
          <w:color w:val="auto"/>
          <w:szCs w:val="21"/>
          <w:highlight w:val="none"/>
        </w:rPr>
      </w:pPr>
      <w:r>
        <w:rPr>
          <w:rFonts w:hint="eastAsia" w:ascii="Times New Roman" w:hAnsi="Times New Roman" w:eastAsia="宋体" w:cs="宋体"/>
          <w:b/>
          <w:bCs w:val="0"/>
          <w:color w:val="auto"/>
          <w:szCs w:val="21"/>
          <w:highlight w:val="none"/>
        </w:rPr>
        <w:t xml:space="preserve">17.4投标人应当对招标文件提出的要求和条件作出实质性响应，并在电子投标系统逐条应答。</w:t>
      </w:r>
      <w:r/>
    </w:p>
    <w:p>
      <w:pPr>
        <w:ind w:firstLine="420"/>
        <w:pageBreakBefore w:val="0"/>
        <w:spacing w:line="360" w:lineRule="auto"/>
        <w:rPr>
          <w:rFonts w:hint="eastAsia" w:ascii="Times New Roman" w:hAnsi="Times New Roman" w:eastAsia="宋体" w:cs="宋体"/>
          <w:b/>
          <w:bCs w:val="0"/>
          <w:color w:val="auto"/>
          <w:szCs w:val="21"/>
          <w:highlight w:val="none"/>
        </w:rPr>
      </w:pPr>
      <w:r>
        <w:rPr>
          <w:rFonts w:hint="eastAsia" w:ascii="Times New Roman" w:hAnsi="Times New Roman" w:eastAsia="宋体" w:cs="宋体"/>
          <w:b/>
          <w:bCs w:val="0"/>
          <w:color w:val="auto"/>
          <w:szCs w:val="21"/>
          <w:highlight w:val="none"/>
        </w:rPr>
        <w:t xml:space="preserve">17.5投标人应对要求提供的资格证明文件（如资质证书、资格证书）、技术资料（如白皮书、彩页、手册、检测报告等）扫描上传至投标系统。</w:t>
      </w:r>
      <w:r/>
    </w:p>
    <w:p>
      <w:pPr>
        <w:ind w:firstLine="420"/>
        <w:pageBreakBefore w:val="0"/>
        <w:spacing w:line="360" w:lineRule="auto"/>
        <w:rPr>
          <w:rFonts w:hint="eastAsia" w:ascii="Times New Roman" w:hAnsi="Times New Roman" w:eastAsia="宋体" w:cs="宋体"/>
          <w:b/>
          <w:bCs w:val="0"/>
          <w:color w:val="auto"/>
          <w:szCs w:val="21"/>
          <w:highlight w:val="none"/>
        </w:rPr>
      </w:pPr>
      <w:r>
        <w:rPr>
          <w:rFonts w:hint="eastAsia" w:ascii="Times New Roman" w:hAnsi="Times New Roman" w:eastAsia="宋体" w:cs="宋体"/>
          <w:b/>
          <w:bCs w:val="0"/>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0"/>
        <w:pageBreakBefore w:val="0"/>
        <w:spacing w:line="360" w:lineRule="auto"/>
        <w:rPr>
          <w:rFonts w:hint="eastAsia" w:ascii="Times New Roman" w:hAnsi="Times New Roman" w:eastAsia="宋体" w:cs="宋体"/>
          <w:bCs/>
          <w:color w:val="auto"/>
          <w:highlight w:val="none"/>
        </w:rPr>
      </w:pPr>
      <w:r>
        <w:rPr>
          <w:rFonts w:hint="eastAsia" w:ascii="Times New Roman" w:hAnsi="Times New Roman" w:eastAsia="宋体" w:cs="宋体"/>
          <w:b/>
          <w:bCs w:val="0"/>
          <w:color w:val="auto"/>
          <w:szCs w:val="21"/>
          <w:highlight w:val="none"/>
        </w:rPr>
        <w:t xml:space="preserve">17.7各投标人应在规定时间内凭CA证书进行网上解密。</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18.投标截止日期</w:t>
      </w:r>
      <w:bookmarkEnd w:id="56"/>
      <w:r/>
      <w:bookmarkEnd w:id="57"/>
      <w:r/>
      <w:bookmarkEnd w:id="58"/>
      <w:r/>
      <w:r/>
    </w:p>
    <w:p>
      <w:pPr>
        <w:ind w:firstLine="420"/>
        <w:pageBreakBefore w:val="0"/>
        <w:spacing w:line="360" w:lineRule="auto"/>
        <w:rPr>
          <w:rFonts w:hint="eastAsia" w:ascii="Times New Roman" w:hAnsi="Times New Roman" w:eastAsia="宋体" w:cs="宋体"/>
          <w:bCs/>
          <w:i/>
          <w:iCs/>
          <w:color w:val="auto"/>
          <w:szCs w:val="21"/>
          <w:highlight w:val="none"/>
          <w:u w:val="single"/>
        </w:rPr>
      </w:pPr>
      <w:r>
        <w:rPr>
          <w:rFonts w:hint="eastAsia" w:ascii="Times New Roman" w:hAnsi="Times New Roman" w:eastAsia="宋体" w:cs="宋体"/>
          <w:bCs/>
          <w:i/>
          <w:iCs/>
          <w:color w:val="auto"/>
          <w:szCs w:val="21"/>
          <w:highlight w:val="none"/>
          <w:u w:val="single"/>
        </w:rPr>
        <w:t xml:space="preserve">18.1 投标人上传电子投标文件的时间不得迟于招标公告中规定的投标截止时间。</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投标人应充分考虑网络环境、网络带宽等风险因素，如因投标人自身原因造成的电子投标文件上传不成功由投标人自行承担全部责任。</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pageBreakBefore w:val="0"/>
        <w:spacing w:line="360" w:lineRule="auto"/>
        <w:rPr>
          <w:rFonts w:hint="eastAsia" w:ascii="Times New Roman" w:hAnsi="Times New Roman" w:eastAsia="宋体" w:cs="宋体"/>
          <w:b/>
          <w:color w:val="auto"/>
          <w:szCs w:val="21"/>
          <w:highlight w:val="none"/>
        </w:rPr>
      </w:pPr>
      <w:r/>
      <w:bookmarkStart w:id="59" w:name="_Toc20823299"/>
      <w:r/>
      <w:bookmarkStart w:id="60" w:name="_Toc16938543"/>
      <w:r/>
      <w:bookmarkStart w:id="61" w:name="_Toc513029227"/>
      <w:r>
        <w:rPr>
          <w:rFonts w:hint="eastAsia" w:ascii="Times New Roman" w:hAnsi="Times New Roman" w:eastAsia="宋体" w:cs="宋体"/>
          <w:b/>
          <w:color w:val="auto"/>
          <w:szCs w:val="21"/>
          <w:highlight w:val="none"/>
        </w:rPr>
        <w:t xml:space="preserve">19.投标文件</w:t>
      </w:r>
      <w:bookmarkEnd w:id="59"/>
      <w:r/>
      <w:bookmarkEnd w:id="60"/>
      <w:r/>
      <w:bookmarkEnd w:id="61"/>
      <w:r>
        <w:rPr>
          <w:rFonts w:hint="eastAsia" w:ascii="Times New Roman" w:hAnsi="Times New Roman" w:eastAsia="宋体" w:cs="宋体"/>
          <w:b/>
          <w:color w:val="auto"/>
          <w:szCs w:val="21"/>
          <w:highlight w:val="none"/>
        </w:rPr>
        <w:t xml:space="preserve">的拒收</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19.1代理机构拒绝接收在其规定的投标截止时间后上传的任何投标文件。</w:t>
      </w:r>
      <w:r/>
    </w:p>
    <w:p>
      <w:pPr>
        <w:ind w:firstLine="422"/>
        <w:pageBreakBefore w:val="0"/>
        <w:spacing w:line="360" w:lineRule="auto"/>
        <w:rPr>
          <w:rFonts w:hint="eastAsia" w:ascii="Times New Roman" w:hAnsi="Times New Roman" w:eastAsia="宋体" w:cs="宋体"/>
          <w:b/>
          <w:color w:val="auto"/>
          <w:szCs w:val="21"/>
          <w:highlight w:val="none"/>
        </w:rPr>
      </w:pPr>
      <w:r/>
      <w:bookmarkStart w:id="62" w:name="_Toc16938544"/>
      <w:r/>
      <w:bookmarkStart w:id="63" w:name="_Toc20823300"/>
      <w:r/>
      <w:bookmarkStart w:id="64" w:name="_Toc513029228"/>
      <w:r>
        <w:rPr>
          <w:rFonts w:hint="eastAsia" w:ascii="Times New Roman" w:hAnsi="Times New Roman" w:eastAsia="宋体" w:cs="宋体"/>
          <w:b/>
          <w:color w:val="auto"/>
          <w:szCs w:val="21"/>
          <w:highlight w:val="none"/>
        </w:rPr>
        <w:t xml:space="preserve">20.投标文件的撤回和修改</w:t>
      </w:r>
      <w:bookmarkEnd w:id="62"/>
      <w:r/>
      <w:bookmarkEnd w:id="63"/>
      <w:r/>
      <w:bookmarkEnd w:id="64"/>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20.1 投标文件的撤回</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20.1.1 电子投标文件的撤回</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投标人可在投标截止时间前，撤回其电子投标文件，具体操作方法见《操作手册》。</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20.1.2 投标人撤回电子投标文件，则认为其不再参与本项目投标活动。</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20.2 投标文件的修改</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投标人可在投标截止时间前，对其电子投标文件进行修改，具体操作方法见《操作手册》。</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20.3 在投标截止时间之后，投标人不得对其电子投标文件作任何修改。</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20.4 在投标截止时间至招标文件中规定的投标有效期满之间的这段时间内，投标人不得撤回其投标。</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21.开标</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pageBreakBefore w:val="0"/>
        <w:spacing w:line="360" w:lineRule="auto"/>
        <w:rPr>
          <w:rFonts w:hint="eastAsia" w:ascii="Times New Roman" w:hAnsi="Times New Roman" w:eastAsia="宋体" w:cs="宋体"/>
          <w:b/>
          <w:bCs w:val="0"/>
          <w:color w:val="auto"/>
          <w:szCs w:val="21"/>
          <w:highlight w:val="none"/>
        </w:rPr>
      </w:pPr>
      <w:r>
        <w:rPr>
          <w:rFonts w:hint="eastAsia" w:ascii="Times New Roman" w:hAnsi="Times New Roman" w:eastAsia="宋体" w:cs="宋体"/>
          <w:b/>
          <w:bCs w:val="0"/>
          <w:color w:val="auto"/>
          <w:szCs w:val="21"/>
          <w:highlight w:val="none"/>
        </w:rPr>
        <w:t xml:space="preserve">21.2开标仪式由代理机构组织。“政府采购管理交易系统（苏采云）”将自动对项目进行开标，并宣布各投标人名称和投标价格。</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21.3投标人在开标过程中</w:t>
      </w:r>
      <w:r>
        <w:rPr>
          <w:rFonts w:hint="eastAsia" w:ascii="Times New Roman" w:hAnsi="Times New Roman" w:eastAsia="宋体" w:cs="宋体"/>
          <w:bCs/>
          <w:color w:val="auto"/>
          <w:szCs w:val="21"/>
          <w:highlight w:val="none"/>
          <w:lang w:eastAsia="zh-CN"/>
        </w:rPr>
        <w:t xml:space="preserve">涉及</w:t>
      </w:r>
      <w:r>
        <w:rPr>
          <w:rFonts w:hint="eastAsia" w:ascii="Times New Roman" w:hAnsi="Times New Roman" w:eastAsia="宋体" w:cs="宋体"/>
          <w:bCs/>
          <w:color w:val="auto"/>
          <w:szCs w:val="21"/>
          <w:highlight w:val="none"/>
        </w:rPr>
        <w:t xml:space="preserve">的投标文件解密、开标结果确认等工作，应按照《操作手册》规定执行。</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22.评标委员会</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22.1 开标后，代理机构将立即组织评标委员会（以下简称评委会）进行评标。</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22.2 评委会由采购人代表和有关技术、经济等方面的专家组成，且人员构成符合政府采购有关规定。</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22.3评委会独立工作，负责评审所有投标文件并确定中标候选人。</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23.评标过程的保密与公正</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23.2在评标过程中，投标人不得以任何行为影响评标过程，否则其投标文件将被作为无效投标文件。</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23.3 在评标期间，代理机构将设专门工作人员与投标人联系。</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23.4 代理机构和评委会不向未中标的投标人解释未中标原因，也不公布评标过程中的相关细节。</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24.投标的澄清</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24.3 接到评委会澄清要求的投标人如未按规定作出澄清，其风险由投标人自行承担。</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25.对投标文件的初审</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25.1投标文件初审分为资格审查和符合性审查。</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jc w:val="left"/>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25.3如果投标文件实质上没有响应招标文件的要求，评委会将予以拒绝，投标人不得通过修改或撤销不符合要求的偏离或保留而使其投标成为实质性响应的投标。</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25.4评委会将对确定为实质性响应的投标进行进一步审核，看其是否有计算上或累加上的算术错误，修正错误的原则如下：</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（1）投标文件中开标一览表内容与投标文件中相应内容不一致的，以开标一览表为准。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（2）大写金额与小写金额不一致的，以大写金额为准。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（3）单价金额小数点或者百分比有明显错位的，以开标一览表的总价为准，并修改单价。</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（4）总价金额与按单价汇总金额不一致的，以单价金额计算结果为准。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同时出现两种以上错误的，按照前款规定的顺序修正。</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25.5评委会将按上述修正错误的方法调整投标文件中的投标报价，并通过“政府采购管理交易系统（苏采云）”告知投标人，调整后的价格对投标人具有约束力。如果投标人不接受修正后的价格，则其投标将被拒绝。</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非单一产品采购项目，招标文件中将载明其中的核心产品</w:t>
      </w:r>
      <w:r>
        <w:rPr>
          <w:rFonts w:hint="eastAsia" w:ascii="Times New Roman" w:hAnsi="Times New Roman" w:eastAsia="宋体" w:cs="宋体"/>
          <w:b/>
          <w:bCs/>
          <w:color w:val="auto"/>
          <w:szCs w:val="21"/>
          <w:highlight w:val="none"/>
          <w:u w:val="single"/>
        </w:rPr>
        <w:t xml:space="preserve">（本项目的核心产品为“</w:t>
      </w:r>
      <w:r>
        <w:rPr>
          <w:rFonts w:hint="eastAsia" w:ascii="Times New Roman" w:hAnsi="Times New Roman" w:cs="宋体"/>
          <w:b/>
          <w:bCs/>
          <w:color w:val="auto"/>
          <w:szCs w:val="21"/>
          <w:highlight w:val="none"/>
          <w:u w:val="single"/>
          <w:lang w:eastAsia="zh-CN"/>
        </w:rPr>
        <w:t xml:space="preserve">网络智能球型摄像机</w:t>
      </w:r>
      <w:r>
        <w:rPr>
          <w:rFonts w:hint="eastAsia" w:ascii="Times New Roman" w:hAnsi="Times New Roman" w:eastAsia="宋体" w:cs="宋体"/>
          <w:b/>
          <w:bCs/>
          <w:color w:val="auto"/>
          <w:szCs w:val="21"/>
          <w:highlight w:val="none"/>
          <w:u w:val="single"/>
        </w:rPr>
        <w:t xml:space="preserve">”</w:t>
      </w:r>
      <w:r>
        <w:rPr>
          <w:rFonts w:hint="eastAsia" w:ascii="Times New Roman" w:hAnsi="Times New Roman" w:eastAsia="宋体" w:cs="宋体"/>
          <w:b/>
          <w:bCs/>
          <w:color w:val="auto"/>
          <w:szCs w:val="21"/>
          <w:highlight w:val="none"/>
          <w:u w:val="single"/>
          <w:lang w:eastAsia="zh-CN"/>
        </w:rPr>
        <w:t xml:space="preserve">）</w:t>
      </w:r>
      <w:r>
        <w:rPr>
          <w:rFonts w:hint="eastAsia" w:ascii="Times New Roman" w:hAnsi="Times New Roman" w:eastAsia="宋体" w:cs="宋体"/>
          <w:bCs/>
          <w:color w:val="auto"/>
          <w:szCs w:val="21"/>
          <w:highlight w:val="none"/>
        </w:rPr>
        <w:t xml:space="preserve">。多家投标人提供的核心产品品牌相同的，按前两款规定处理。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25.8 投标人在开、评标全过程中应保持通信畅通，并安排专人与代理机构及评委会联系。</w:t>
      </w:r>
      <w:r/>
    </w:p>
    <w:p>
      <w:pPr>
        <w:ind w:firstLine="422"/>
        <w:keepLines w:val="0"/>
        <w:keepNext w:val="0"/>
        <w:pageBreakBefore w:val="0"/>
        <w:spacing w:line="360" w:lineRule="auto"/>
        <w:widowControl w:val="off"/>
        <w:rPr>
          <w:rFonts w:hint="eastAsia"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t xml:space="preserve">25.</w:t>
      </w:r>
      <w:r>
        <w:rPr>
          <w:rFonts w:hint="eastAsia" w:ascii="Times New Roman" w:hAnsi="Times New Roman" w:eastAsia="宋体"/>
          <w:b/>
          <w:bCs/>
          <w:color w:val="auto"/>
          <w:sz w:val="21"/>
          <w:szCs w:val="21"/>
          <w:highlight w:val="none"/>
          <w:lang w:val="en-US" w:eastAsia="zh-CN"/>
        </w:rPr>
        <w:t xml:space="preserve">9</w:t>
      </w:r>
      <w:r>
        <w:rPr>
          <w:rFonts w:hint="eastAsia" w:ascii="Times New Roman" w:hAnsi="Times New Roman" w:eastAsia="宋体"/>
          <w:b/>
          <w:bCs/>
          <w:color w:val="auto"/>
          <w:sz w:val="21"/>
          <w:szCs w:val="21"/>
          <w:highlight w:val="none"/>
        </w:rPr>
        <w:t xml:space="preserve"> 异常低价投标审查</w:t>
      </w:r>
      <w:r/>
    </w:p>
    <w:p>
      <w:pPr>
        <w:ind w:firstLine="422"/>
        <w:keepLines w:val="0"/>
        <w:keepNext w:val="0"/>
        <w:pageBreakBefore w:val="0"/>
        <w:spacing w:line="360" w:lineRule="auto"/>
        <w:widowControl w:val="off"/>
        <w:rPr>
          <w:rFonts w:hint="eastAsia"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t xml:space="preserve">25.9.1评标过程中出现下列情形之一的，评标委员会应当启动异常低价投标审查程序:</w:t>
      </w:r>
      <w:r/>
    </w:p>
    <w:p>
      <w:pPr>
        <w:ind w:firstLine="422"/>
        <w:keepLines w:val="0"/>
        <w:keepNext w:val="0"/>
        <w:pageBreakBefore w:val="0"/>
        <w:spacing w:line="360" w:lineRule="auto"/>
        <w:widowControl w:val="off"/>
        <w:rPr>
          <w:rFonts w:hint="eastAsia" w:ascii="Times New Roman" w:hAnsi="Times New Roman" w:eastAsia="宋体"/>
          <w:b/>
          <w:bCs/>
          <w:color w:val="auto"/>
          <w:sz w:val="21"/>
          <w:szCs w:val="21"/>
          <w:highlight w:val="none"/>
          <w:lang w:eastAsia="zh-CN"/>
        </w:rPr>
      </w:pPr>
      <w:r>
        <w:rPr>
          <w:rFonts w:hint="eastAsia" w:ascii="Times New Roman" w:hAnsi="Times New Roman" w:eastAsia="宋体"/>
          <w:b/>
          <w:bCs/>
          <w:color w:val="auto"/>
          <w:sz w:val="21"/>
          <w:szCs w:val="21"/>
          <w:highlight w:val="none"/>
        </w:rPr>
        <w:t xml:space="preserve">1.投标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响应)报价低于全部通过符合性审查供应商投标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响应)报价平均值50%的，即投标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响应)报价〈全部通过符合性审查供应商投标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响应)报价平均值</w:t>
      </w:r>
      <w:r>
        <w:rPr>
          <w:rFonts w:hint="eastAsia" w:ascii="Times New Roman" w:hAnsi="Times New Roman" w:eastAsia="宋体"/>
          <w:b/>
          <w:bCs/>
          <w:color w:val="auto"/>
          <w:sz w:val="21"/>
          <w:szCs w:val="21"/>
          <w:highlight w:val="none"/>
          <w:lang w:val="en-US" w:eastAsia="zh-CN"/>
        </w:rPr>
        <w:t xml:space="preserve">×</w:t>
      </w:r>
      <w:r>
        <w:rPr>
          <w:rFonts w:hint="eastAsia" w:ascii="Times New Roman" w:hAnsi="Times New Roman" w:eastAsia="宋体"/>
          <w:b/>
          <w:bCs/>
          <w:color w:val="auto"/>
          <w:sz w:val="21"/>
          <w:szCs w:val="21"/>
          <w:highlight w:val="none"/>
        </w:rPr>
        <w:t xml:space="preserve">50%</w:t>
      </w:r>
      <w:r>
        <w:rPr>
          <w:rFonts w:hint="eastAsia" w:ascii="Times New Roman" w:hAnsi="Times New Roman" w:eastAsia="宋体"/>
          <w:b/>
          <w:bCs/>
          <w:color w:val="auto"/>
          <w:sz w:val="21"/>
          <w:szCs w:val="21"/>
          <w:highlight w:val="none"/>
          <w:lang w:eastAsia="zh-CN"/>
        </w:rPr>
        <w:t xml:space="preserve">；</w:t>
      </w:r>
      <w:r/>
    </w:p>
    <w:p>
      <w:pPr>
        <w:ind w:firstLine="422"/>
        <w:keepLines w:val="0"/>
        <w:keepNext w:val="0"/>
        <w:pageBreakBefore w:val="0"/>
        <w:spacing w:line="360" w:lineRule="auto"/>
        <w:widowControl w:val="off"/>
        <w:rPr>
          <w:rFonts w:hint="eastAsia" w:ascii="Times New Roman" w:hAnsi="Times New Roman" w:eastAsia="宋体"/>
          <w:b/>
          <w:bCs/>
          <w:color w:val="auto"/>
          <w:sz w:val="21"/>
          <w:szCs w:val="21"/>
          <w:highlight w:val="none"/>
          <w:lang w:eastAsia="zh-CN"/>
        </w:rPr>
      </w:pPr>
      <w:r>
        <w:rPr>
          <w:rFonts w:hint="eastAsia" w:ascii="Times New Roman" w:hAnsi="Times New Roman" w:eastAsia="宋体"/>
          <w:b/>
          <w:bCs/>
          <w:color w:val="auto"/>
          <w:sz w:val="21"/>
          <w:szCs w:val="21"/>
          <w:highlight w:val="none"/>
        </w:rPr>
        <w:t xml:space="preserve">2.投标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响应)报价低于通过符合性审查的次低报价供应商投标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响应)报价50%的，即投标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响应)报价〈通过符合性审查的次低报价供应商投标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响应)报价</w:t>
      </w:r>
      <w:r>
        <w:rPr>
          <w:rFonts w:hint="eastAsia" w:ascii="Times New Roman" w:hAnsi="Times New Roman" w:eastAsia="宋体"/>
          <w:b/>
          <w:bCs/>
          <w:color w:val="auto"/>
          <w:sz w:val="21"/>
          <w:szCs w:val="21"/>
          <w:highlight w:val="none"/>
          <w:lang w:val="en-US" w:eastAsia="zh-CN"/>
        </w:rPr>
        <w:t xml:space="preserve">×</w:t>
      </w:r>
      <w:r>
        <w:rPr>
          <w:rFonts w:hint="eastAsia" w:ascii="Times New Roman" w:hAnsi="Times New Roman" w:eastAsia="宋体"/>
          <w:b/>
          <w:bCs/>
          <w:color w:val="auto"/>
          <w:sz w:val="21"/>
          <w:szCs w:val="21"/>
          <w:highlight w:val="none"/>
        </w:rPr>
        <w:t xml:space="preserve">50%</w:t>
      </w:r>
      <w:r>
        <w:rPr>
          <w:rFonts w:hint="eastAsia" w:ascii="Times New Roman" w:hAnsi="Times New Roman" w:eastAsia="宋体"/>
          <w:b/>
          <w:bCs/>
          <w:color w:val="auto"/>
          <w:sz w:val="21"/>
          <w:szCs w:val="21"/>
          <w:highlight w:val="none"/>
          <w:lang w:eastAsia="zh-CN"/>
        </w:rPr>
        <w:t xml:space="preserve">；</w:t>
      </w:r>
      <w:r/>
    </w:p>
    <w:p>
      <w:pPr>
        <w:ind w:firstLine="422"/>
        <w:keepLines w:val="0"/>
        <w:keepNext w:val="0"/>
        <w:pageBreakBefore w:val="0"/>
        <w:spacing w:line="360" w:lineRule="auto"/>
        <w:widowControl w:val="off"/>
        <w:rPr>
          <w:rFonts w:hint="eastAsia" w:ascii="Times New Roman" w:hAnsi="Times New Roman" w:eastAsia="宋体"/>
          <w:b/>
          <w:bCs/>
          <w:color w:val="auto"/>
          <w:sz w:val="21"/>
          <w:szCs w:val="21"/>
          <w:highlight w:val="none"/>
          <w:lang w:eastAsia="zh-CN"/>
        </w:rPr>
      </w:pPr>
      <w:r>
        <w:rPr>
          <w:rFonts w:hint="eastAsia" w:ascii="Times New Roman" w:hAnsi="Times New Roman" w:eastAsia="宋体"/>
          <w:b/>
          <w:bCs/>
          <w:color w:val="auto"/>
          <w:sz w:val="21"/>
          <w:szCs w:val="21"/>
          <w:highlight w:val="none"/>
        </w:rPr>
        <w:t xml:space="preserve">3.投标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响应)报价低于采购项目最高限价45%的，即投标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响应)报价&lt;采购项目最高限价</w:t>
      </w:r>
      <w:r>
        <w:rPr>
          <w:rFonts w:hint="eastAsia" w:ascii="Times New Roman" w:hAnsi="Times New Roman" w:eastAsia="宋体"/>
          <w:b/>
          <w:bCs/>
          <w:color w:val="auto"/>
          <w:sz w:val="21"/>
          <w:szCs w:val="21"/>
          <w:highlight w:val="none"/>
          <w:lang w:val="en-US" w:eastAsia="zh-CN"/>
        </w:rPr>
        <w:t xml:space="preserve">×</w:t>
      </w:r>
      <w:r>
        <w:rPr>
          <w:rFonts w:hint="eastAsia" w:ascii="Times New Roman" w:hAnsi="Times New Roman" w:eastAsia="宋体"/>
          <w:b/>
          <w:bCs/>
          <w:color w:val="auto"/>
          <w:sz w:val="21"/>
          <w:szCs w:val="21"/>
          <w:highlight w:val="none"/>
        </w:rPr>
        <w:t xml:space="preserve">45%</w:t>
      </w:r>
      <w:r>
        <w:rPr>
          <w:rFonts w:hint="eastAsia" w:ascii="Times New Roman" w:hAnsi="Times New Roman" w:eastAsia="宋体"/>
          <w:b/>
          <w:bCs/>
          <w:color w:val="auto"/>
          <w:sz w:val="21"/>
          <w:szCs w:val="21"/>
          <w:highlight w:val="none"/>
          <w:lang w:eastAsia="zh-CN"/>
        </w:rPr>
        <w:t xml:space="preserve">；</w:t>
      </w:r>
      <w:r/>
    </w:p>
    <w:p>
      <w:pPr>
        <w:ind w:firstLine="422"/>
        <w:keepLines w:val="0"/>
        <w:keepNext w:val="0"/>
        <w:pageBreakBefore w:val="0"/>
        <w:spacing w:line="360" w:lineRule="auto"/>
        <w:widowControl w:val="off"/>
        <w:rPr>
          <w:rFonts w:hint="eastAsia"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t xml:space="preserve">4.评审委员会基于专业判断，认为供应商报价过低，有可能影响产品质量或者不能诚信履约的其他情形。</w:t>
      </w:r>
      <w:r/>
    </w:p>
    <w:p>
      <w:pPr>
        <w:ind w:firstLine="422"/>
        <w:keepLines w:val="0"/>
        <w:keepNext w:val="0"/>
        <w:pageBreakBefore w:val="0"/>
        <w:spacing w:line="360" w:lineRule="auto"/>
        <w:widowControl w:val="off"/>
        <w:rPr>
          <w:rFonts w:hint="eastAsia"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t xml:space="preserve">25.9.2评审委员会启动异常低价投标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响应)审查后，属于前述第1项至第4项情形的，应当要求相关供应商在评审现场合理的时间内对投标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价格作出解释，提供项目具体成本测算等与报价合理性相关的书面说明及必要的证明材料，包括但不限于原材料成本、人工成本、制造费用等，给予相关供应商的合理时间不少于30分钟。其中，属于第3项情形，供应商已随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响应)文件一并提交相关书面说明及必要的证明材料的，在评审现场可不再重复提交。</w:t>
      </w:r>
      <w:r/>
    </w:p>
    <w:p>
      <w:pPr>
        <w:ind w:firstLine="422"/>
        <w:keepLines w:val="0"/>
        <w:keepNext w:val="0"/>
        <w:pageBreakBefore w:val="0"/>
        <w:spacing w:line="360" w:lineRule="auto"/>
        <w:widowControl w:val="off"/>
        <w:rPr>
          <w:rFonts w:hint="eastAsia" w:ascii="Times New Roman" w:hAnsi="Times New Roman" w:eastAsia="宋体" w:cs="宋体"/>
          <w:b/>
          <w:bCs/>
          <w:color w:val="auto"/>
          <w:szCs w:val="21"/>
          <w:highlight w:val="none"/>
        </w:rPr>
      </w:pPr>
      <w:r>
        <w:rPr>
          <w:rFonts w:hint="eastAsia" w:ascii="Times New Roman" w:hAnsi="Times New Roman" w:eastAsia="宋体"/>
          <w:b/>
          <w:bCs/>
          <w:color w:val="auto"/>
          <w:sz w:val="21"/>
          <w:szCs w:val="21"/>
          <w:highlight w:val="none"/>
        </w:rPr>
        <w:t xml:space="preserve">25.9.3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26.无效投标、废标及投标人不足三家的处理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26.1无效投标条款</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26.1.1 投标人未成功解密电子投标文件的。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26.1.2 投标人未按照招标文件要求上传电子投标文件的。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26.1.3投标人在报价时采用选择性报价的。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26.1.4投标人不具备招标文件中规定的资格要求的。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26.1.5投标人的报价超过了采购预算或最高限价的。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26.1.6未通过符合性审查的。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26.1.7不符合招标文件中规定的其他实质性要求和条件的（</w:t>
      </w:r>
      <w:r>
        <w:rPr>
          <w:rFonts w:hint="eastAsia" w:ascii="Times New Roman" w:hAnsi="Times New Roman" w:eastAsia="宋体" w:cs="宋体"/>
          <w:bCs/>
          <w:i/>
          <w:iCs/>
          <w:color w:val="auto"/>
          <w:szCs w:val="21"/>
          <w:highlight w:val="none"/>
          <w:u w:val="single"/>
        </w:rPr>
        <w:t xml:space="preserve">本招标文件中斜体且有下划线部分为实质性要求和条件</w:t>
      </w:r>
      <w:r>
        <w:rPr>
          <w:rFonts w:hint="eastAsia" w:ascii="Times New Roman" w:hAnsi="Times New Roman" w:eastAsia="宋体" w:cs="宋体"/>
          <w:bCs/>
          <w:color w:val="auto"/>
          <w:szCs w:val="21"/>
          <w:highlight w:val="none"/>
        </w:rPr>
        <w:t xml:space="preserve">）。</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26.1.8 投标人被 “信用中国”网站（www.creditchina.gov.cn）、“中国政府采购网"</w:t>
      </w:r>
      <w:r>
        <w:rPr>
          <w:rFonts w:hint="eastAsia" w:ascii="Times New Roman" w:hAnsi="Times New Roman" w:eastAsia="宋体" w:cs="宋体"/>
          <w:bCs/>
          <w:color w:val="auto"/>
          <w:szCs w:val="21"/>
          <w:highlight w:val="none"/>
          <w:lang w:eastAsia="zh-CN"/>
        </w:rPr>
        <w:t xml:space="preserve">（</w:t>
      </w:r>
      <w:r>
        <w:rPr>
          <w:rFonts w:hint="eastAsia" w:ascii="Times New Roman" w:hAnsi="Times New Roman" w:eastAsia="宋体" w:cs="宋体"/>
          <w:bCs/>
          <w:color w:val="auto"/>
          <w:szCs w:val="21"/>
          <w:highlight w:val="none"/>
        </w:rPr>
        <w:t xml:space="preserve">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信用记录。</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26.1.9  投标文件含有采购人不能接受的附加条件的。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26.1.10 评标委员会按照本招标文件规定对投标人进行异常低价投标审查后，认为投标人不能证明其报价合理性的。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w:t>
      </w:r>
      <w:r>
        <w:rPr>
          <w:rFonts w:hint="eastAsia" w:ascii="Times New Roman" w:hAnsi="Times New Roman" w:eastAsia="宋体" w:cs="宋体"/>
          <w:bCs/>
          <w:i w:val="0"/>
          <w:iCs w:val="0"/>
          <w:color w:val="auto"/>
          <w:szCs w:val="21"/>
          <w:highlight w:val="none"/>
          <w:u w:val="single"/>
        </w:rPr>
        <w:t xml:space="preserve">（投标产品如属于政府强制采购节能产品品目清单范围内，投标文件中必须提供国家确定的认证机构出具的、处于有效期之内的该节能产品认证证书图片）</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26.1.12 投标文件未按照招标文件要求加盖电子签章。</w:t>
      </w:r>
      <w:r/>
    </w:p>
    <w:p>
      <w:pPr>
        <w:ind w:firstLine="420"/>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val="0"/>
          <w:bCs/>
          <w:color w:val="auto"/>
          <w:szCs w:val="21"/>
          <w:highlight w:val="none"/>
        </w:rPr>
        <w:t xml:space="preserve">26.1.13 </w:t>
      </w:r>
      <w:r>
        <w:rPr>
          <w:rFonts w:hint="eastAsia" w:ascii="Times New Roman" w:hAnsi="Times New Roman" w:eastAsia="宋体" w:cs="宋体"/>
          <w:b w:val="0"/>
          <w:bCs/>
          <w:color w:val="auto"/>
          <w:szCs w:val="21"/>
          <w:highlight w:val="none"/>
          <w:lang w:val="en-US" w:eastAsia="zh-CN"/>
        </w:rPr>
        <w:t xml:space="preserve">投标人所投标产品不符合招标文件中所列国家强制性标准的。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26.1.14其他</w:t>
      </w:r>
      <w:r>
        <w:rPr>
          <w:rFonts w:hint="eastAsia" w:ascii="Times New Roman" w:hAnsi="Times New Roman" w:eastAsia="宋体" w:cs="宋体"/>
          <w:bCs/>
          <w:color w:val="auto"/>
          <w:szCs w:val="21"/>
          <w:highlight w:val="none"/>
          <w:lang w:eastAsia="zh-CN"/>
        </w:rPr>
        <w:t xml:space="preserve">法律法规</w:t>
      </w:r>
      <w:r>
        <w:rPr>
          <w:rFonts w:hint="eastAsia" w:ascii="Times New Roman" w:hAnsi="Times New Roman" w:eastAsia="宋体" w:cs="宋体"/>
          <w:bCs/>
          <w:color w:val="auto"/>
          <w:szCs w:val="21"/>
          <w:highlight w:val="none"/>
        </w:rPr>
        <w:t xml:space="preserve">及本招标文件规定的无效投标的情形。</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26.2废标条款：</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26.2.1符合专业条件的供应商或者对招标文件作实质响应的供应商不足三家的。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26.2.2出现影响采购公正的违法、违规行为的。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26.2.3因重大变故，采购任务取消的。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26.2.4评委会认定招标文件存在歧义、重大缺陷导致评审工作无法进行。</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26.3 投标截止时间结束后参加投标的供应商不足三家的处理：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27.确定中标单位</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27.1评委会根据本招标文件规定的评标方法与评标标准向采购人推荐出中标候选人。</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27.2 采购人应根据评委会推荐的中标候选人确定中标人。</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27.3代理机构将在</w:t>
      </w:r>
      <w:r>
        <w:rPr>
          <w:rFonts w:hint="eastAsia" w:ascii="Times New Roman" w:hAnsi="Times New Roman" w:eastAsia="宋体" w:cs="宋体"/>
          <w:bCs/>
          <w:color w:val="auto"/>
          <w:szCs w:val="21"/>
          <w:highlight w:val="none"/>
          <w:lang w:eastAsia="zh-CN"/>
        </w:rPr>
        <w:t xml:space="preserve">“扬州市政府采购网”“江苏省政府采购网”和“中国政府采购网”</w:t>
      </w:r>
      <w:r>
        <w:rPr>
          <w:rFonts w:hint="eastAsia" w:ascii="Times New Roman" w:hAnsi="Times New Roman" w:eastAsia="宋体" w:cs="宋体"/>
          <w:bCs/>
          <w:color w:val="auto"/>
          <w:szCs w:val="21"/>
          <w:highlight w:val="none"/>
        </w:rPr>
        <w:t xml:space="preserve">发布中标公告，公告期限为1个工作日。</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27.4若有充分证据证明，中标人出现下列情况之一的，一经查实，将被取消中标资格：</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27.4.1提供虚假材料谋取中标的；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27.4.2向采购人、代理机构行贿或者提供其他不正当利益的；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27.4.3恶意竞争，投标总报价明显低于其自身合理成本且又无法提供证明的；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27.4.4属于本文件规定的无效条件，但在评标过程中又未被评委会发现的；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27.4.5与采购人或者其他投标人恶意串通的；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27.4.6采取不正当手段诋毁、排挤其他供应商的；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27.4.7不符合法律法规的规定的。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27.5. 有下列情形之一的，视为投标人串通投标，投标无效：</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27.5.1不同投标人的投标文件由同一单位或者个人编制。</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经查实，不同投标人的电子投标文件出自同一台电脑的：不同投标人的标书制作工具客户端标识码存在一致的；不同投标人从同一互联网协议地址上传投标文件的。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27.5.2不同投标人委托同一单位或者个人办理投标事宜。</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27.5.3 不同投标人的投标文件载明的项目管理成员或者联系人员为同一人。</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27.5.4不同投标人的投标文件异常一致或者投标报价呈规律性差异。</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27.5.5不同投标人的投标文件相互混装。</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28、质疑处理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对项目需求部分的质疑，潜在供应商应向采购人提出，由采购人负责答复。</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28.2.1对采购文件提出质疑的，应当在获取采购文件之日或者采购文件公告期限届满之日起7个工作日内提出。</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28.2.2对采购过程提出质疑的，为各采购程序环节结束之日起7个工作日内提出。</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28.2.3对中标结果提出质疑的，为中标结果公告期限届满之日起7个工作日内提出。</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28.5 采购人及</w:t>
      </w:r>
      <w:r>
        <w:rPr>
          <w:rFonts w:hint="eastAsia" w:ascii="Times New Roman" w:hAnsi="Times New Roman" w:eastAsia="宋体" w:cs="宋体"/>
          <w:bCs/>
          <w:color w:val="auto"/>
          <w:szCs w:val="21"/>
          <w:highlight w:val="none"/>
          <w:lang w:eastAsia="zh-CN"/>
        </w:rPr>
        <w:t xml:space="preserve">代理机构</w:t>
      </w:r>
      <w:r>
        <w:rPr>
          <w:rFonts w:hint="eastAsia" w:ascii="Times New Roman" w:hAnsi="Times New Roman" w:eastAsia="宋体" w:cs="宋体"/>
          <w:bCs/>
          <w:color w:val="auto"/>
          <w:szCs w:val="21"/>
          <w:highlight w:val="none"/>
        </w:rPr>
        <w:t xml:space="preserve">只接收以纸质原件形式送达的质疑,同时需与采购代理机构经办人确认是否收到《质疑函》，如供应商未按上述要求去做，将自行承担所产生的风险。</w:t>
      </w:r>
      <w:r>
        <w:rPr>
          <w:rFonts w:hint="eastAsia" w:ascii="Times New Roman" w:hAnsi="Times New Roman" w:eastAsia="宋体"/>
          <w:bCs/>
          <w:color w:val="auto"/>
          <w:szCs w:val="21"/>
          <w:highlight w:val="none"/>
        </w:rPr>
        <w:t xml:space="preserve">（代理机构及采购人不接受无快递运单号的快递。）</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采购人质疑接收人及联系方式见招标文件第一章。</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28.7质疑人应当在法定质疑期限内进行补正并重新提交质疑函。</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28.8 以下情形的质疑不予受理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28.8.1 内容不符合《政府采购质疑和投诉办法》第十二条规定的质疑。</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28.8.2 超出政府采购法定期限的质疑。</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28.8.3 以传真、电子邮件等方式递交的非原件形式的质疑。</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28.8.4 未参加投标活动的供应商或在投标活动中自身权益未受到损害的供应商所提出的质疑。</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28.8.5供应商组成联合体参加投标，联合体中任何一方或多方未按要求签字、盖章、加盖公章的质疑。</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29.中标通知书</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29.l 中标结果确定后，代理机构将向中标人发出中标通知书。</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cs="宋体"/>
          <w:bCs/>
          <w:color w:val="auto"/>
          <w:szCs w:val="21"/>
          <w:highlight w:val="none"/>
        </w:rPr>
        <w:t xml:space="preserve">29.</w:t>
      </w:r>
      <w:r>
        <w:rPr>
          <w:rFonts w:hint="eastAsia" w:ascii="Times New Roman" w:hAnsi="Times New Roman" w:eastAsia="宋体" w:cs="宋体"/>
          <w:bCs/>
          <w:color w:val="auto"/>
          <w:szCs w:val="21"/>
          <w:highlight w:val="none"/>
          <w:lang w:val="en-US" w:eastAsia="zh-CN"/>
        </w:rPr>
        <w:t xml:space="preserve">2</w:t>
      </w:r>
      <w:r>
        <w:rPr>
          <w:rFonts w:hint="eastAsia" w:ascii="Times New Roman" w:hAnsi="Times New Roman" w:eastAsia="宋体"/>
          <w:bCs/>
          <w:color w:val="auto"/>
          <w:szCs w:val="21"/>
          <w:highlight w:val="none"/>
        </w:rPr>
        <w:t xml:space="preserve">中标人可在“政府采购管理交易系统（苏采云）”中标通知书下载模块中自行下载中标通知书。</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lang w:val="en-US" w:eastAsia="zh-CN"/>
        </w:rPr>
        <w:t xml:space="preserve">29.3</w:t>
      </w:r>
      <w:r>
        <w:rPr>
          <w:rFonts w:hint="eastAsia" w:ascii="Times New Roman" w:hAnsi="Times New Roman" w:eastAsia="宋体" w:cs="宋体"/>
          <w:bCs/>
          <w:color w:val="auto"/>
          <w:szCs w:val="21"/>
          <w:highlight w:val="none"/>
        </w:rPr>
        <w:t xml:space="preserve">中标通知书将是合同的一个组成部分。对采购人和中标人均具有法律效力。中标通知书发出后，采购人改变中标结果的，或者中标人放弃中标项目的，应当依法承担法律责任。</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30. 签订合同</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30.l中标人应在中标通知书发出之日起三十日内，按照招标文件确定的事项与采购人签订政府采购合同。</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30.2 招标文件、中标人的投标文件及招标过程中有关澄清、承诺文件均应作为合同附件。</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30.3 合同在“政府采购管理交易系统（苏采云）”中签订，签订合同后，</w:t>
      </w:r>
      <w:r>
        <w:rPr>
          <w:rFonts w:hint="eastAsia" w:ascii="Times New Roman" w:hAnsi="Times New Roman" w:eastAsia="宋体" w:cs="宋体"/>
          <w:bCs/>
          <w:i/>
          <w:iCs/>
          <w:color w:val="auto"/>
          <w:szCs w:val="21"/>
          <w:highlight w:val="none"/>
          <w:u w:val="single"/>
        </w:rPr>
        <w:t xml:space="preserve">中标人不得将货物或服务及其他服务进行转包</w:t>
      </w:r>
      <w:r>
        <w:rPr>
          <w:rFonts w:hint="eastAsia" w:ascii="Times New Roman" w:hAnsi="Times New Roman" w:eastAsia="宋体"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31、货物（包含与货物相关的服务）的追加</w:t>
      </w:r>
      <w:r/>
    </w:p>
    <w:p>
      <w:pPr>
        <w:ind w:firstLine="420"/>
        <w:pageBreakBefore w:val="0"/>
        <w:spacing w:line="360" w:lineRule="auto"/>
        <w:rPr>
          <w:rFonts w:hint="eastAsia" w:ascii="Times New Roman" w:hAnsi="Times New Roman" w:eastAsia="宋体" w:cs="宋体"/>
          <w:b w:val="0"/>
          <w:bCs/>
          <w:color w:val="auto"/>
          <w:szCs w:val="21"/>
          <w:highlight w:val="none"/>
        </w:rPr>
      </w:pPr>
      <w:r>
        <w:rPr>
          <w:rFonts w:hint="eastAsia" w:ascii="Times New Roman" w:hAnsi="Times New Roman" w:eastAsia="宋体" w:cs="宋体"/>
          <w:b w:val="0"/>
          <w:bCs/>
          <w:color w:val="auto"/>
          <w:szCs w:val="21"/>
          <w:highlight w:val="none"/>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32、政府采购履约资金扶持政策</w:t>
      </w:r>
      <w:r/>
    </w:p>
    <w:p>
      <w:pPr>
        <w:ind w:firstLine="420"/>
        <w:pageBreakBefore w:val="0"/>
        <w:spacing w:line="360" w:lineRule="auto"/>
        <w:rPr>
          <w:rFonts w:hint="eastAsia" w:ascii="Times New Roman" w:hAnsi="Times New Roman" w:eastAsia="宋体" w:cs="宋体"/>
          <w:b w:val="0"/>
          <w:bCs/>
          <w:color w:val="auto"/>
          <w:szCs w:val="21"/>
          <w:highlight w:val="none"/>
        </w:rPr>
      </w:pPr>
      <w:r>
        <w:rPr>
          <w:rFonts w:hint="eastAsia" w:ascii="Times New Roman" w:hAnsi="Times New Roman" w:eastAsia="宋体" w:cs="宋体"/>
          <w:b w:val="0"/>
          <w:bCs/>
          <w:color w:val="auto"/>
          <w:szCs w:val="21"/>
          <w:highlight w:val="none"/>
        </w:rPr>
        <w:t xml:space="preserve">中标供应商可凭政府采购合同办理融资贷款，详情请见江苏政府采购网“政采贷”专栏。</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lang w:val="en-US" w:eastAsia="zh-CN"/>
        </w:rPr>
        <w:t xml:space="preserve">33</w:t>
      </w:r>
      <w:r>
        <w:rPr>
          <w:rFonts w:hint="eastAsia" w:ascii="Times New Roman" w:hAnsi="Times New Roman" w:eastAsia="宋体" w:cs="宋体"/>
          <w:b/>
          <w:color w:val="auto"/>
          <w:szCs w:val="21"/>
          <w:highlight w:val="none"/>
        </w:rPr>
        <w:t xml:space="preserve">、电子投标文件要求</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lang w:val="en-US" w:eastAsia="zh-CN"/>
        </w:rPr>
        <w:t xml:space="preserve">33</w:t>
      </w:r>
      <w:r>
        <w:rPr>
          <w:rFonts w:hint="eastAsia" w:ascii="Times New Roman" w:hAnsi="Times New Roman" w:eastAsia="宋体" w:cs="宋体"/>
          <w:bCs/>
          <w:color w:val="auto"/>
          <w:szCs w:val="21"/>
          <w:highlight w:val="none"/>
        </w:rPr>
        <w:t xml:space="preserve">.1政府采购管理交易系统（苏采云）相关要求是本招标文件的组成部分。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lang w:val="en-US" w:eastAsia="zh-CN"/>
        </w:rPr>
        <w:t xml:space="preserve">33</w:t>
      </w:r>
      <w:r>
        <w:rPr>
          <w:rFonts w:hint="eastAsia" w:ascii="Times New Roman" w:hAnsi="Times New Roman" w:eastAsia="宋体" w:cs="宋体"/>
          <w:bCs/>
          <w:color w:val="auto"/>
          <w:szCs w:val="21"/>
          <w:highlight w:val="none"/>
        </w:rPr>
        <w:t xml:space="preserve">.2投标人应对 CA 证书妥善保管，如被他人盗用投标，因此带来的结果均由投标人自行承担。</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lang w:val="en-US" w:eastAsia="zh-CN"/>
        </w:rPr>
        <w:t xml:space="preserve">33</w:t>
      </w:r>
      <w:r>
        <w:rPr>
          <w:rFonts w:hint="eastAsia" w:ascii="Times New Roman" w:hAnsi="Times New Roman" w:eastAsia="宋体" w:cs="宋体"/>
          <w:bCs/>
          <w:color w:val="auto"/>
          <w:szCs w:val="21"/>
          <w:highlight w:val="none"/>
        </w:rPr>
        <w:t xml:space="preserve">.3投标人应当对招标文件提出的要求和条件作出实质性响应，并在电子投标系统逐条应答。</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lang w:val="en-US" w:eastAsia="zh-CN"/>
        </w:rPr>
        <w:t xml:space="preserve">33</w:t>
      </w:r>
      <w:r>
        <w:rPr>
          <w:rFonts w:hint="eastAsia" w:ascii="Times New Roman" w:hAnsi="Times New Roman" w:eastAsia="宋体" w:cs="宋体"/>
          <w:bCs/>
          <w:color w:val="auto"/>
          <w:szCs w:val="21"/>
          <w:highlight w:val="none"/>
        </w:rPr>
        <w:t xml:space="preserve">.4投标人应对要求提供的资格证明文件（如资质证书、资格证书）、技术资料（如白皮书、彩页、手册、检测报告等）扫描上传至投标系统。</w:t>
      </w:r>
      <w:r/>
    </w:p>
    <w:p>
      <w:pPr>
        <w:ind w:firstLine="422"/>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lang w:val="en-US" w:eastAsia="zh-CN"/>
        </w:rPr>
        <w:t xml:space="preserve">34</w:t>
      </w:r>
      <w:r>
        <w:rPr>
          <w:rFonts w:hint="eastAsia" w:ascii="Times New Roman" w:hAnsi="Times New Roman" w:eastAsia="宋体" w:cs="宋体"/>
          <w:b/>
          <w:bCs/>
          <w:color w:val="auto"/>
          <w:highlight w:val="none"/>
        </w:rPr>
        <w:t xml:space="preserve">、其他</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color w:val="auto"/>
          <w:highlight w:val="none"/>
          <w:lang w:val="en-US" w:eastAsia="zh-CN"/>
        </w:rPr>
        <w:t xml:space="preserve">34</w:t>
      </w:r>
      <w:r>
        <w:rPr>
          <w:rFonts w:hint="eastAsia" w:ascii="Times New Roman" w:hAnsi="Times New Roman" w:eastAsia="宋体" w:cs="宋体"/>
          <w:color w:val="auto"/>
          <w:highlight w:val="none"/>
        </w:rPr>
        <w:t xml:space="preserve">.1 依据《政府采购促进中小企业发展管理办法》享受享受扶持政策获得政府采购合同的，小微企业不得将合同分包给大中型企业，中型企业不得将合同分包给大型企业。</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br w:type="page" w:clear="all"/>
      </w:r>
      <w:r/>
    </w:p>
    <w:p>
      <w:pPr>
        <w:pStyle w:val="719"/>
        <w:pageBreakBefore w:val="0"/>
        <w:spacing w:line="360" w:lineRule="auto"/>
        <w:rPr>
          <w:rFonts w:ascii="Times New Roman" w:hAnsi="Times New Roman" w:eastAsia="宋体"/>
          <w:color w:val="auto"/>
          <w:highlight w:val="none"/>
        </w:rPr>
      </w:pPr>
      <w:r/>
      <w:bookmarkStart w:id="65" w:name="_Toc1445"/>
      <w:r/>
      <w:bookmarkStart w:id="66" w:name="_Toc18307"/>
      <w:r/>
      <w:bookmarkStart w:id="67" w:name="_Toc23141"/>
      <w:r/>
      <w:bookmarkStart w:id="68" w:name="_Toc30440"/>
      <w:r/>
      <w:bookmarkStart w:id="69" w:name="_Toc7691"/>
      <w:r/>
      <w:bookmarkStart w:id="70" w:name="_Toc55204179"/>
      <w:r/>
      <w:bookmarkStart w:id="71" w:name="_Toc12895"/>
      <w:r/>
      <w:bookmarkStart w:id="72" w:name="_Hlk69392822"/>
      <w:r>
        <w:rPr>
          <w:rFonts w:hint="eastAsia" w:ascii="Times New Roman" w:hAnsi="Times New Roman" w:eastAsia="宋体"/>
          <w:color w:val="auto"/>
          <w:highlight w:val="none"/>
        </w:rPr>
        <w:t xml:space="preserve">第三章 合同条款及格式</w:t>
      </w:r>
      <w:bookmarkEnd w:id="65"/>
      <w:r/>
      <w:bookmarkEnd w:id="66"/>
      <w:r/>
      <w:bookmarkEnd w:id="67"/>
      <w:r/>
      <w:bookmarkEnd w:id="68"/>
      <w:r/>
      <w:bookmarkEnd w:id="69"/>
      <w:r/>
      <w:bookmarkEnd w:id="70"/>
      <w:r/>
      <w:bookmarkEnd w:id="71"/>
      <w:r/>
      <w:r/>
    </w:p>
    <w:p>
      <w:pPr>
        <w:pStyle w:val="980"/>
        <w:ind w:firstLine="420"/>
        <w:pageBreakBefore w:val="0"/>
        <w:spacing w:line="360" w:lineRule="auto"/>
        <w:rPr>
          <w:rFonts w:hint="eastAsia"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以下为中标后签订本项目合同的通用条款，中标人不得提出实质性的修改，关于专用条款将由采购人与中标人结合本项目具体情况协商后签订。</w:t>
      </w:r>
      <w:bookmarkEnd w:id="72"/>
      <w:r/>
      <w:r/>
    </w:p>
    <w:p>
      <w:pPr>
        <w:pStyle w:val="980"/>
        <w:ind w:firstLine="422"/>
        <w:jc w:val="center"/>
        <w:pageBreakBefore w:val="0"/>
        <w:spacing w:line="360" w:lineRule="auto"/>
        <w:rPr>
          <w:rFonts w:hint="eastAsia" w:ascii="Times New Roman" w:hAnsi="Times New Roman" w:eastAsia="宋体" w:cs="宋体"/>
          <w:b/>
          <w:bCs/>
          <w:color w:val="auto"/>
          <w:sz w:val="21"/>
          <w:highlight w:val="none"/>
        </w:rPr>
      </w:pPr>
      <w:r>
        <w:rPr>
          <w:rFonts w:hint="eastAsia" w:ascii="Times New Roman" w:hAnsi="Times New Roman" w:eastAsia="宋体" w:cs="宋体"/>
          <w:b/>
          <w:bCs/>
          <w:color w:val="auto"/>
          <w:sz w:val="21"/>
          <w:highlight w:val="none"/>
        </w:rPr>
      </w:r>
      <w:r/>
    </w:p>
    <w:p>
      <w:pPr>
        <w:pStyle w:val="740"/>
        <w:ind w:firstLine="422"/>
        <w:jc w:val="center"/>
        <w:pageBreakBefore w:val="0"/>
        <w:spacing w:line="360" w:lineRule="auto"/>
        <w:rPr>
          <w:rFonts w:hint="eastAsia" w:ascii="Times New Roman" w:hAnsi="Times New Roman" w:eastAsia="宋体"/>
          <w:b/>
          <w:bCs/>
          <w:color w:val="auto"/>
          <w:sz w:val="21"/>
          <w:highlight w:val="none"/>
        </w:rPr>
      </w:pPr>
      <w:r/>
      <w:bookmarkStart w:id="73" w:name="_Toc3819"/>
      <w:r/>
      <w:bookmarkStart w:id="74" w:name="_Toc15957"/>
      <w:r/>
      <w:bookmarkStart w:id="75" w:name="_Toc14006"/>
      <w:r/>
      <w:bookmarkStart w:id="76" w:name="_Toc17457"/>
      <w:r>
        <w:rPr>
          <w:rFonts w:hint="eastAsia" w:ascii="Times New Roman" w:hAnsi="Times New Roman" w:eastAsia="宋体"/>
          <w:b/>
          <w:bCs/>
          <w:color w:val="auto"/>
          <w:sz w:val="21"/>
          <w:highlight w:val="none"/>
        </w:rPr>
        <w:t xml:space="preserve">扬州市政府采购合同（货物</w:t>
      </w:r>
      <w:r>
        <w:rPr>
          <w:rFonts w:hint="eastAsia" w:ascii="Times New Roman" w:hAnsi="Times New Roman" w:eastAsia="宋体"/>
          <w:b/>
          <w:bCs/>
          <w:color w:val="auto"/>
          <w:sz w:val="21"/>
          <w:highlight w:val="none"/>
          <w:lang w:eastAsia="zh-CN"/>
        </w:rPr>
        <w:t xml:space="preserve">）</w:t>
      </w:r>
      <w:r>
        <w:rPr>
          <w:rFonts w:hint="eastAsia" w:ascii="Times New Roman" w:hAnsi="Times New Roman" w:eastAsia="宋体"/>
          <w:b/>
          <w:bCs/>
          <w:color w:val="auto"/>
          <w:sz w:val="21"/>
          <w:highlight w:val="none"/>
        </w:rPr>
        <w:t xml:space="preserve">（合同编号）</w:t>
      </w:r>
      <w:r/>
    </w:p>
    <w:p>
      <w:pPr>
        <w:pStyle w:val="740"/>
        <w:ind w:firstLine="420"/>
        <w:pageBreakBefore w:val="0"/>
        <w:spacing w:line="360" w:lineRule="auto"/>
        <w:rPr>
          <w:rFonts w:hint="eastAsia" w:ascii="Times New Roman" w:hAnsi="Times New Roman" w:eastAsia="宋体"/>
          <w:color w:val="auto"/>
          <w:sz w:val="21"/>
          <w:highlight w:val="none"/>
          <w:lang w:eastAsia="zh-CN"/>
        </w:rPr>
      </w:pPr>
      <w:r>
        <w:rPr>
          <w:rFonts w:hint="eastAsia" w:ascii="Times New Roman" w:hAnsi="Times New Roman" w:eastAsia="宋体"/>
          <w:color w:val="auto"/>
          <w:sz w:val="21"/>
          <w:highlight w:val="none"/>
        </w:rPr>
        <w:t xml:space="preserve">项目名称：</w:t>
      </w:r>
      <w:r>
        <w:rPr>
          <w:rFonts w:hint="eastAsia" w:ascii="Times New Roman" w:hAnsi="Times New Roman"/>
          <w:color w:val="auto"/>
          <w:sz w:val="21"/>
          <w:highlight w:val="none"/>
          <w:lang w:eastAsia="zh-CN"/>
        </w:rPr>
        <w:t xml:space="preserve">扬州市城区河道水利运维安防监控完善项目</w:t>
      </w:r>
      <w:r/>
    </w:p>
    <w:p>
      <w:pPr>
        <w:pStyle w:val="740"/>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项目编号：</w:t>
      </w:r>
      <w:r>
        <w:rPr>
          <w:rFonts w:hint="eastAsia" w:ascii="Times New Roman" w:hAnsi="Times New Roman"/>
          <w:color w:val="auto"/>
          <w:sz w:val="21"/>
          <w:highlight w:val="none"/>
          <w:lang w:eastAsia="zh-CN"/>
        </w:rPr>
        <w:t xml:space="preserve">JSZC-321000-SSZX-G2026-0007号</w:t>
      </w:r>
      <w:r/>
    </w:p>
    <w:p>
      <w:pPr>
        <w:pStyle w:val="740"/>
        <w:ind w:firstLine="420"/>
        <w:pageBreakBefore w:val="0"/>
        <w:spacing w:line="360" w:lineRule="auto"/>
        <w:rPr>
          <w:rFonts w:hint="eastAsia" w:ascii="Times New Roman" w:hAnsi="Times New Roman" w:eastAsia="宋体"/>
          <w:color w:val="auto"/>
          <w:sz w:val="21"/>
          <w:highlight w:val="none"/>
          <w:lang w:eastAsia="zh-CN"/>
        </w:rPr>
      </w:pPr>
      <w:r>
        <w:rPr>
          <w:rFonts w:hint="eastAsia" w:ascii="Times New Roman" w:hAnsi="Times New Roman" w:eastAsia="宋体"/>
          <w:color w:val="auto"/>
          <w:sz w:val="21"/>
          <w:highlight w:val="none"/>
        </w:rPr>
        <w:t xml:space="preserve">甲方：（买方）</w:t>
      </w:r>
      <w:r>
        <w:rPr>
          <w:rFonts w:hint="eastAsia" w:ascii="Times New Roman" w:hAnsi="Times New Roman"/>
          <w:color w:val="auto"/>
          <w:sz w:val="21"/>
          <w:highlight w:val="none"/>
          <w:lang w:eastAsia="zh-CN"/>
        </w:rPr>
        <w:t xml:space="preserve">扬州市城市河道管理处</w:t>
      </w:r>
      <w:r/>
    </w:p>
    <w:p>
      <w:pPr>
        <w:pStyle w:val="740"/>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乙方：（卖方）_________</w:t>
      </w:r>
      <w:r/>
    </w:p>
    <w:p>
      <w:pPr>
        <w:pStyle w:val="740"/>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甲、乙双方根据</w:t>
      </w:r>
      <w:r>
        <w:rPr>
          <w:rFonts w:hint="eastAsia" w:ascii="Times New Roman" w:hAnsi="Times New Roman"/>
          <w:color w:val="auto"/>
          <w:sz w:val="21"/>
          <w:highlight w:val="none"/>
          <w:lang w:eastAsia="zh-CN"/>
        </w:rPr>
        <w:t xml:space="preserve">江苏苏中兴工程造价咨询有限公司</w:t>
      </w:r>
      <w:r>
        <w:rPr>
          <w:rFonts w:hint="eastAsia" w:ascii="Times New Roman" w:hAnsi="Times New Roman" w:eastAsia="宋体"/>
          <w:color w:val="auto"/>
          <w:sz w:val="21"/>
          <w:highlight w:val="none"/>
        </w:rPr>
        <w:t xml:space="preserve">项目公开招标的结果，签署本合同。</w:t>
      </w:r>
      <w:r/>
    </w:p>
    <w:p>
      <w:pPr>
        <w:pStyle w:val="740"/>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一、货物及伴随服务</w:t>
      </w:r>
      <w:r/>
    </w:p>
    <w:p>
      <w:pPr>
        <w:pStyle w:val="740"/>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1.1 货物及服务名称：</w:t>
      </w:r>
      <w:r/>
    </w:p>
    <w:p>
      <w:pPr>
        <w:pStyle w:val="740"/>
        <w:ind w:firstLine="420"/>
        <w:pageBreakBefore w:val="0"/>
        <w:spacing w:line="360" w:lineRule="auto"/>
        <w:rPr>
          <w:rFonts w:hint="eastAsia" w:ascii="Times New Roman" w:hAnsi="Times New Roman" w:eastAsia="宋体"/>
          <w:color w:val="auto"/>
          <w:sz w:val="21"/>
          <w:highlight w:val="none"/>
        </w:rPr>
      </w:pPr>
      <w:r>
        <w:rPr>
          <w:rFonts w:ascii="Times New Roman" w:hAnsi="Times New Roman" w:eastAsia="宋体"/>
          <w:color w:val="auto"/>
          <w:sz w:val="21"/>
          <w:highlight w:val="none"/>
        </w:rPr>
        <w:t xml:space="preserve">1.2 型号规格：</w:t>
      </w:r>
      <w:r/>
    </w:p>
    <w:p>
      <w:pPr>
        <w:pStyle w:val="740"/>
        <w:ind w:firstLine="420"/>
        <w:pageBreakBefore w:val="0"/>
        <w:spacing w:line="360" w:lineRule="auto"/>
        <w:rPr>
          <w:rFonts w:hint="eastAsia" w:ascii="Times New Roman" w:hAnsi="Times New Roman" w:eastAsia="宋体"/>
          <w:color w:val="auto"/>
          <w:sz w:val="21"/>
          <w:highlight w:val="none"/>
        </w:rPr>
      </w:pPr>
      <w:r>
        <w:rPr>
          <w:rFonts w:ascii="Times New Roman" w:hAnsi="Times New Roman" w:eastAsia="宋体"/>
          <w:color w:val="auto"/>
          <w:sz w:val="21"/>
          <w:highlight w:val="none"/>
        </w:rPr>
        <w:t xml:space="preserve">1.3 数量（单位）</w:t>
      </w:r>
      <w:r/>
    </w:p>
    <w:p>
      <w:pPr>
        <w:pStyle w:val="740"/>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二、合同金额</w:t>
      </w:r>
      <w:r/>
    </w:p>
    <w:p>
      <w:pPr>
        <w:pStyle w:val="740"/>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2.1</w:t>
      </w:r>
      <w:r>
        <w:rPr>
          <w:rFonts w:hint="eastAsia" w:ascii="Times New Roman" w:hAnsi="Times New Roman" w:eastAsia="宋体"/>
          <w:color w:val="auto"/>
          <w:sz w:val="21"/>
          <w:highlight w:val="none"/>
        </w:rPr>
        <w:t xml:space="preserve">本合同金额为（大写）：____________________________________圆（_______________元）人民币。</w:t>
      </w:r>
      <w:r/>
    </w:p>
    <w:p>
      <w:pPr>
        <w:pStyle w:val="740"/>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三、技术资料</w:t>
      </w:r>
      <w:r/>
    </w:p>
    <w:p>
      <w:pPr>
        <w:pStyle w:val="740"/>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3.1乙方应按招标文件规定的时间向甲方提供使用货物及服务的有关技术资料。</w:t>
      </w:r>
      <w:r/>
    </w:p>
    <w:p>
      <w:pPr>
        <w:pStyle w:val="740"/>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40"/>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四、知识产权</w:t>
      </w:r>
      <w:r/>
    </w:p>
    <w:p>
      <w:pPr>
        <w:pStyle w:val="740"/>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740"/>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五、产权担保</w:t>
      </w:r>
      <w:r/>
    </w:p>
    <w:p>
      <w:pPr>
        <w:pStyle w:val="740"/>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5.1 乙方保证所交付的货物及服务的所有权完全属于乙方且无任何抵押、查封等产权瑕疵。</w:t>
      </w:r>
      <w:r/>
    </w:p>
    <w:p>
      <w:pPr>
        <w:pStyle w:val="740"/>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六、履约保证金</w:t>
      </w:r>
      <w:r/>
    </w:p>
    <w:p>
      <w:pPr>
        <w:pStyle w:val="740"/>
        <w:ind w:firstLine="420"/>
        <w:pageBreakBefore w:val="0"/>
        <w:spacing w:line="360" w:lineRule="auto"/>
        <w:rPr>
          <w:rFonts w:hint="eastAsia" w:ascii="Times New Roman" w:hAnsi="Times New Roman" w:eastAsia="宋体"/>
          <w:color w:val="auto"/>
          <w:sz w:val="21"/>
          <w:highlight w:val="none"/>
        </w:rPr>
      </w:pPr>
      <w:r>
        <w:rPr>
          <w:rFonts w:ascii="Times New Roman" w:hAnsi="Times New Roman" w:eastAsia="宋体"/>
          <w:color w:val="auto"/>
          <w:sz w:val="21"/>
          <w:highlight w:val="none"/>
        </w:rPr>
        <w:t xml:space="preserve">6.1 收取履约保证金的，</w:t>
      </w:r>
      <w:r>
        <w:rPr>
          <w:rFonts w:hint="eastAsia" w:ascii="Times New Roman" w:hAnsi="Times New Roman" w:eastAsia="宋体"/>
          <w:color w:val="auto"/>
          <w:sz w:val="21"/>
          <w:highlight w:val="none"/>
        </w:rPr>
        <w:t xml:space="preserve">允许中标人自主选择支票、汇票、本票、保函等非现金形式缴纳或提交，</w:t>
      </w:r>
      <w:r>
        <w:rPr>
          <w:rFonts w:ascii="Times New Roman" w:hAnsi="Times New Roman" w:eastAsia="宋体"/>
          <w:color w:val="auto"/>
          <w:sz w:val="21"/>
          <w:highlight w:val="none"/>
        </w:rPr>
        <w:t xml:space="preserve">应当在采购合同中约定履约保证金退还的方式、时间、条件和不予退还的情形，明确逾期退还履约保证金的违约责任。</w:t>
      </w:r>
      <w:r/>
    </w:p>
    <w:p>
      <w:pPr>
        <w:pStyle w:val="740"/>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740"/>
        <w:ind w:firstLine="420"/>
        <w:pageBreakBefore w:val="0"/>
        <w:spacing w:line="360" w:lineRule="auto"/>
        <w:rPr>
          <w:rFonts w:hint="eastAsia"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740"/>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6.4 履约保证金收取：</w:t>
      </w:r>
      <w:r>
        <w:rPr>
          <w:rFonts w:hint="eastAsia" w:ascii="Times New Roman" w:hAnsi="Times New Roman" w:eastAsia="宋体"/>
          <w:color w:val="auto"/>
          <w:sz w:val="21"/>
          <w:highlight w:val="none"/>
          <w:u w:val="single"/>
        </w:rPr>
        <w:t xml:space="preserve">无</w:t>
      </w:r>
      <w:r/>
    </w:p>
    <w:p>
      <w:pPr>
        <w:pStyle w:val="740"/>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七、转包或分包</w:t>
      </w:r>
      <w:r/>
    </w:p>
    <w:p>
      <w:pPr>
        <w:pStyle w:val="740"/>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7.1本合同范围的货物及服务，应由乙方直接供应，不得转让他人供应；</w:t>
      </w:r>
      <w:r/>
    </w:p>
    <w:p>
      <w:pPr>
        <w:pStyle w:val="740"/>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7.2 除非得到甲方的书面同意，乙方不得部分分包给他人供应。</w:t>
      </w:r>
      <w:r/>
    </w:p>
    <w:p>
      <w:pPr>
        <w:pStyle w:val="740"/>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7.3如有转让和未经甲方同意的分包行为，甲方有权给予终止合同。</w:t>
      </w:r>
      <w:r/>
    </w:p>
    <w:p>
      <w:pPr>
        <w:pStyle w:val="740"/>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八、质保期</w:t>
      </w:r>
      <w:r/>
    </w:p>
    <w:p>
      <w:pPr>
        <w:pStyle w:val="740"/>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8.1 质保期</w:t>
      </w:r>
      <w:r>
        <w:rPr>
          <w:rFonts w:hint="eastAsia" w:ascii="Times New Roman" w:hAnsi="Times New Roman" w:eastAsia="宋体"/>
          <w:color w:val="auto"/>
          <w:sz w:val="21"/>
          <w:highlight w:val="none"/>
          <w:u w:val="single"/>
        </w:rPr>
        <w:t xml:space="preserve"> </w:t>
      </w:r>
      <w:r>
        <w:rPr>
          <w:rFonts w:hint="eastAsia" w:ascii="Times New Roman" w:hAnsi="Times New Roman"/>
          <w:color w:val="auto"/>
          <w:sz w:val="21"/>
          <w:highlight w:val="none"/>
          <w:u w:val="single"/>
          <w:lang w:val="en-US" w:eastAsia="zh-CN"/>
        </w:rPr>
        <w:t xml:space="preserve">2</w:t>
      </w:r>
      <w:r>
        <w:rPr>
          <w:rFonts w:hint="eastAsia" w:ascii="Times New Roman" w:hAnsi="Times New Roman" w:eastAsia="宋体"/>
          <w:color w:val="auto"/>
          <w:sz w:val="21"/>
          <w:highlight w:val="none"/>
        </w:rPr>
        <w:t xml:space="preserve">年。（自交货验收合格之日起计）</w:t>
      </w:r>
      <w:r/>
    </w:p>
    <w:p>
      <w:pPr>
        <w:pStyle w:val="740"/>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九、交付期、交付方式及交付地点</w:t>
      </w:r>
      <w:r/>
    </w:p>
    <w:p>
      <w:pPr>
        <w:pStyle w:val="740"/>
        <w:ind w:firstLine="420"/>
        <w:pageBreakBefore w:val="0"/>
        <w:spacing w:line="360" w:lineRule="auto"/>
        <w:rPr>
          <w:rFonts w:hint="eastAsia" w:ascii="Times New Roman" w:hAnsi="Times New Roman"/>
          <w:color w:val="auto"/>
          <w:sz w:val="21"/>
          <w:highlight w:val="none"/>
          <w:u w:val="single"/>
          <w:lang w:val="en-US" w:eastAsia="zh-CN"/>
        </w:rPr>
      </w:pPr>
      <w:r>
        <w:rPr>
          <w:rFonts w:hint="eastAsia" w:ascii="Times New Roman" w:hAnsi="Times New Roman" w:eastAsia="宋体"/>
          <w:color w:val="auto"/>
          <w:sz w:val="21"/>
          <w:highlight w:val="none"/>
        </w:rPr>
        <w:t xml:space="preserve">9.1 交付期：</w:t>
      </w:r>
      <w:r>
        <w:rPr>
          <w:rFonts w:hint="eastAsia" w:ascii="Times New Roman" w:hAnsi="Times New Roman"/>
          <w:color w:val="auto"/>
          <w:sz w:val="21"/>
          <w:highlight w:val="none"/>
          <w:u w:val="single"/>
          <w:lang w:val="en-US" w:eastAsia="zh-CN"/>
        </w:rPr>
        <w:t xml:space="preserve"> 40日历天 </w:t>
      </w:r>
      <w:r/>
    </w:p>
    <w:p>
      <w:pPr>
        <w:pStyle w:val="740"/>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9.2 交付方式：甲方指定方式</w:t>
      </w:r>
      <w:r/>
    </w:p>
    <w:p>
      <w:pPr>
        <w:pStyle w:val="740"/>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9.3 交付地点：甲方指定地点</w:t>
      </w:r>
      <w:r/>
    </w:p>
    <w:p>
      <w:pPr>
        <w:pStyle w:val="740"/>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十、货款支付</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10.1 本合同项下所有款项均以人民币支付。 </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10.2 本合同项下的采购资金由甲方支付，付款前乙方向甲方开具发票。</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10.3 甲方付款方式：</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cs="宋体"/>
          <w:color w:val="auto"/>
          <w:szCs w:val="21"/>
          <w:highlight w:val="none"/>
          <w:lang w:eastAsia="zh-CN"/>
        </w:rPr>
        <w:t xml:space="preserve">（</w:t>
      </w:r>
      <w:r>
        <w:rPr>
          <w:rFonts w:hint="eastAsia" w:ascii="Times New Roman" w:hAnsi="Times New Roman" w:cs="宋体"/>
          <w:color w:val="auto"/>
          <w:szCs w:val="21"/>
          <w:highlight w:val="none"/>
          <w:lang w:val="en-US" w:eastAsia="zh-CN"/>
        </w:rPr>
        <w:t xml:space="preserve">1</w:t>
      </w:r>
      <w:r>
        <w:rPr>
          <w:rFonts w:hint="eastAsia" w:ascii="Times New Roman" w:hAnsi="Times New Roman" w:cs="宋体"/>
          <w:color w:val="auto"/>
          <w:szCs w:val="21"/>
          <w:highlight w:val="none"/>
          <w:lang w:eastAsia="zh-CN"/>
        </w:rPr>
        <w:t xml:space="preserve">）</w:t>
      </w:r>
      <w:r>
        <w:rPr>
          <w:rFonts w:hint="eastAsia" w:ascii="Times New Roman" w:hAnsi="Times New Roman" w:eastAsia="宋体" w:cs="宋体"/>
          <w:color w:val="auto"/>
          <w:szCs w:val="21"/>
          <w:highlight w:val="none"/>
        </w:rPr>
        <w:t xml:space="preserve">合同签订后，乙方向甲方开具发票，甲方自收到发票之日起10</w:t>
      </w:r>
      <w:r>
        <w:rPr>
          <w:rFonts w:hint="eastAsia" w:ascii="Times New Roman" w:hAnsi="Times New Roman" w:eastAsia="宋体" w:cs="宋体"/>
          <w:color w:val="auto"/>
          <w:szCs w:val="21"/>
          <w:highlight w:val="none"/>
        </w:rPr>
        <w:t xml:space="preserve">个工作日内支付合同总价</w:t>
      </w:r>
      <w:r>
        <w:rPr>
          <w:rFonts w:hint="eastAsia" w:ascii="Times New Roman" w:hAnsi="Times New Roman" w:eastAsia="宋体" w:cs="宋体"/>
          <w:color w:val="auto"/>
          <w:szCs w:val="21"/>
          <w:highlight w:val="none"/>
          <w:lang w:val="en-US" w:eastAsia="zh-CN"/>
        </w:rPr>
        <w:t xml:space="preserve">30</w:t>
      </w:r>
      <w:r>
        <w:rPr>
          <w:rFonts w:hint="eastAsia" w:ascii="Times New Roman" w:hAnsi="Times New Roman" w:eastAsia="宋体" w:cs="宋体"/>
          <w:color w:val="auto"/>
          <w:szCs w:val="21"/>
          <w:highlight w:val="none"/>
        </w:rPr>
        <w:t xml:space="preserve">%的预付款；</w:t>
      </w:r>
      <w:r/>
    </w:p>
    <w:p>
      <w:pPr>
        <w:pStyle w:val="740"/>
        <w:ind w:firstLine="420"/>
        <w:pageBreakBefore w:val="0"/>
        <w:spacing w:line="360" w:lineRule="auto"/>
        <w:rPr>
          <w:rFonts w:hint="eastAsia" w:ascii="Times New Roman" w:hAnsi="Times New Roman" w:eastAsia="宋体" w:cs="宋体"/>
          <w:color w:val="auto"/>
          <w:sz w:val="21"/>
          <w:highlight w:val="none"/>
        </w:rPr>
      </w:pPr>
      <w:r>
        <w:rPr>
          <w:rFonts w:hint="eastAsia" w:ascii="Times New Roman" w:hAnsi="Times New Roman" w:cs="宋体"/>
          <w:color w:val="auto"/>
          <w:sz w:val="21"/>
          <w:highlight w:val="none"/>
          <w:lang w:eastAsia="zh-CN"/>
        </w:rPr>
        <w:t xml:space="preserve">（</w:t>
      </w:r>
      <w:r>
        <w:rPr>
          <w:rFonts w:hint="eastAsia" w:ascii="Times New Roman" w:hAnsi="Times New Roman" w:cs="宋体"/>
          <w:color w:val="auto"/>
          <w:sz w:val="21"/>
          <w:highlight w:val="none"/>
          <w:lang w:val="en-US" w:eastAsia="zh-CN"/>
        </w:rPr>
        <w:t xml:space="preserve">2</w:t>
      </w:r>
      <w:r>
        <w:rPr>
          <w:rFonts w:hint="eastAsia" w:ascii="Times New Roman" w:hAnsi="Times New Roman" w:cs="宋体"/>
          <w:color w:val="auto"/>
          <w:sz w:val="21"/>
          <w:highlight w:val="none"/>
          <w:lang w:eastAsia="zh-CN"/>
        </w:rPr>
        <w:t xml:space="preserve">）</w:t>
      </w:r>
      <w:r>
        <w:rPr>
          <w:rFonts w:hint="eastAsia" w:ascii="Times New Roman" w:hAnsi="Times New Roman" w:eastAsia="宋体" w:cs="宋体"/>
          <w:color w:val="auto"/>
          <w:sz w:val="21"/>
          <w:highlight w:val="none"/>
        </w:rPr>
        <w:t xml:space="preserve">项目经验收合格</w:t>
      </w:r>
      <w:r>
        <w:rPr>
          <w:rFonts w:hint="eastAsia" w:ascii="Times New Roman" w:hAnsi="Times New Roman" w:cs="宋体"/>
          <w:color w:val="auto"/>
          <w:sz w:val="21"/>
          <w:highlight w:val="none"/>
          <w:lang w:eastAsia="zh-CN"/>
        </w:rPr>
        <w:t xml:space="preserve">，</w:t>
      </w:r>
      <w:r>
        <w:rPr>
          <w:rFonts w:hint="eastAsia" w:ascii="Times New Roman" w:hAnsi="Times New Roman" w:eastAsia="宋体" w:cs="宋体"/>
          <w:color w:val="auto"/>
          <w:sz w:val="21"/>
          <w:highlight w:val="none"/>
        </w:rPr>
        <w:t xml:space="preserve">乙方向甲方开具发票，甲方自收到发票之日起10个工作日内支付</w:t>
      </w:r>
      <w:r>
        <w:rPr>
          <w:rFonts w:hint="eastAsia" w:ascii="Times New Roman" w:hAnsi="Times New Roman" w:cs="宋体"/>
          <w:color w:val="auto"/>
          <w:sz w:val="21"/>
          <w:highlight w:val="none"/>
          <w:lang w:val="en-US" w:eastAsia="zh-CN"/>
        </w:rPr>
        <w:t xml:space="preserve">至合同价的</w:t>
      </w:r>
      <w:r>
        <w:rPr>
          <w:rFonts w:hint="eastAsia" w:ascii="Times New Roman" w:hAnsi="Times New Roman" w:cs="宋体"/>
          <w:color w:val="auto"/>
          <w:szCs w:val="21"/>
          <w:highlight w:val="none"/>
          <w:lang w:val="en-US" w:eastAsia="zh-CN"/>
        </w:rPr>
        <w:t xml:space="preserve">85</w:t>
      </w:r>
      <w:r>
        <w:rPr>
          <w:rFonts w:hint="eastAsia" w:ascii="Times New Roman" w:hAnsi="Times New Roman" w:eastAsia="宋体" w:cs="宋体"/>
          <w:color w:val="auto"/>
          <w:szCs w:val="21"/>
          <w:highlight w:val="none"/>
        </w:rPr>
        <w:t xml:space="preserve">%</w:t>
      </w:r>
      <w:r>
        <w:rPr>
          <w:rFonts w:hint="eastAsia" w:ascii="Times New Roman" w:hAnsi="Times New Roman" w:eastAsia="宋体"/>
          <w:color w:val="auto"/>
          <w:sz w:val="21"/>
          <w:highlight w:val="none"/>
        </w:rPr>
        <w:t xml:space="preserve">。</w:t>
      </w:r>
      <w:r/>
    </w:p>
    <w:p>
      <w:pPr>
        <w:pStyle w:val="740"/>
        <w:ind w:firstLine="420"/>
        <w:pageBreakBefore w:val="0"/>
        <w:spacing w:line="360" w:lineRule="auto"/>
        <w:rPr>
          <w:rFonts w:hint="eastAsia" w:ascii="Times New Roman" w:hAnsi="Times New Roman" w:eastAsia="宋体" w:cs="宋体"/>
          <w:color w:val="auto"/>
          <w:sz w:val="21"/>
          <w:highlight w:val="none"/>
        </w:rPr>
      </w:pPr>
      <w:r>
        <w:rPr>
          <w:rFonts w:hint="eastAsia" w:ascii="Times New Roman" w:hAnsi="Times New Roman" w:cs="宋体"/>
          <w:color w:val="auto"/>
          <w:sz w:val="21"/>
          <w:highlight w:val="none"/>
          <w:lang w:val="en-US" w:eastAsia="zh-CN"/>
        </w:rPr>
        <w:t xml:space="preserve">（3）审计结束后</w:t>
      </w:r>
      <w:r>
        <w:rPr>
          <w:rFonts w:hint="eastAsia" w:ascii="Times New Roman" w:hAnsi="Times New Roman" w:eastAsia="宋体" w:cs="宋体"/>
          <w:color w:val="auto"/>
          <w:sz w:val="21"/>
          <w:highlight w:val="none"/>
        </w:rPr>
        <w:t xml:space="preserve">，乙方向甲方开具发票，甲方自收到发票之日起10个工作日内支付</w:t>
      </w:r>
      <w:r>
        <w:rPr>
          <w:rFonts w:hint="eastAsia" w:ascii="Times New Roman" w:hAnsi="Times New Roman" w:cs="宋体"/>
          <w:color w:val="auto"/>
          <w:sz w:val="21"/>
          <w:highlight w:val="none"/>
          <w:lang w:val="en-US" w:eastAsia="zh-CN"/>
        </w:rPr>
        <w:t xml:space="preserve">至</w:t>
      </w:r>
      <w:r>
        <w:rPr>
          <w:rFonts w:hint="eastAsia" w:ascii="Times New Roman" w:hAnsi="Times New Roman" w:eastAsia="宋体" w:cs="宋体"/>
          <w:color w:val="auto"/>
          <w:sz w:val="21"/>
          <w:highlight w:val="none"/>
        </w:rPr>
        <w:t xml:space="preserve">审计</w:t>
      </w:r>
      <w:r>
        <w:rPr>
          <w:rFonts w:hint="eastAsia" w:ascii="Times New Roman" w:hAnsi="Times New Roman" w:cs="宋体"/>
          <w:color w:val="auto"/>
          <w:sz w:val="21"/>
          <w:highlight w:val="none"/>
          <w:lang w:val="en-US" w:eastAsia="zh-CN"/>
        </w:rPr>
        <w:t xml:space="preserve">价格的</w:t>
      </w:r>
      <w:r>
        <w:rPr>
          <w:rFonts w:hint="eastAsia" w:ascii="Times New Roman" w:hAnsi="Times New Roman" w:cs="宋体"/>
          <w:color w:val="auto"/>
          <w:szCs w:val="21"/>
          <w:highlight w:val="none"/>
          <w:lang w:val="en-US" w:eastAsia="zh-CN"/>
        </w:rPr>
        <w:t xml:space="preserve">100</w:t>
      </w:r>
      <w:r>
        <w:rPr>
          <w:rFonts w:hint="eastAsia" w:ascii="Times New Roman" w:hAnsi="Times New Roman" w:eastAsia="宋体" w:cs="宋体"/>
          <w:color w:val="auto"/>
          <w:szCs w:val="21"/>
          <w:highlight w:val="none"/>
        </w:rPr>
        <w:t xml:space="preserve">%</w:t>
      </w:r>
      <w:r>
        <w:rPr>
          <w:rFonts w:hint="eastAsia" w:ascii="Times New Roman" w:hAnsi="Times New Roman" w:eastAsia="宋体"/>
          <w:color w:val="auto"/>
          <w:sz w:val="21"/>
          <w:highlight w:val="none"/>
        </w:rPr>
        <w:t xml:space="preserve">。</w:t>
      </w:r>
      <w:r/>
    </w:p>
    <w:p>
      <w:pPr>
        <w:pStyle w:val="740"/>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十一、税费</w:t>
      </w:r>
      <w:r/>
    </w:p>
    <w:p>
      <w:pPr>
        <w:pStyle w:val="740"/>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11.1本合同执行中相关的一切税费均由乙方负担。</w:t>
      </w:r>
      <w:r/>
    </w:p>
    <w:p>
      <w:pPr>
        <w:pStyle w:val="740"/>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十二、质量保证及售后服务</w:t>
      </w:r>
      <w:r/>
    </w:p>
    <w:p>
      <w:pPr>
        <w:pStyle w:val="740"/>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12.1 乙方应按招标文件规定的货物及服务性能、技术要求、质量标准向甲方提供。</w:t>
      </w:r>
      <w:r/>
    </w:p>
    <w:p>
      <w:pPr>
        <w:pStyle w:val="740"/>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12.2 乙方提供的货物及服务在质量期内因服务及产品本身的质量问题发生故障，乙方应负责免费更换。对达不到技术要求者，根据实际情况，经双方协商，可按以下办法处理：</w:t>
      </w:r>
      <w:r/>
    </w:p>
    <w:p>
      <w:pPr>
        <w:pStyle w:val="740"/>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⑴更换：由乙方承担所发生的全部费用。</w:t>
      </w:r>
      <w:r/>
    </w:p>
    <w:p>
      <w:pPr>
        <w:pStyle w:val="740"/>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⑵贬值处理：由甲乙双方合议定价。</w:t>
      </w:r>
      <w:r/>
    </w:p>
    <w:p>
      <w:pPr>
        <w:pStyle w:val="740"/>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⑶退还处理：乙方应退还甲方支付的合同款，同时应承担该货物及服务的直接费用（运输、保险、检验、款项利息及银行手续费等）。</w:t>
      </w:r>
      <w:r/>
    </w:p>
    <w:p>
      <w:pPr>
        <w:pStyle w:val="740"/>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12.3 如在使用过程中发生质量问题，乙方在接到甲方通知后</w:t>
      </w:r>
      <w:r>
        <w:rPr>
          <w:rFonts w:hint="eastAsia" w:ascii="Times New Roman" w:hAnsi="Times New Roman"/>
          <w:color w:val="auto"/>
          <w:sz w:val="21"/>
          <w:highlight w:val="none"/>
          <w:lang w:eastAsia="zh-CN"/>
        </w:rPr>
        <w:t xml:space="preserve">，</w:t>
      </w:r>
      <w:r>
        <w:rPr>
          <w:rFonts w:hint="eastAsia" w:ascii="Times New Roman" w:hAnsi="Times New Roman" w:eastAsia="宋体"/>
          <w:color w:val="auto"/>
          <w:sz w:val="21"/>
          <w:highlight w:val="none"/>
        </w:rPr>
        <w:t xml:space="preserve">提供7</w:t>
      </w:r>
      <w:r>
        <w:rPr>
          <w:rFonts w:hint="eastAsia" w:ascii="Times New Roman" w:hAnsi="Times New Roman"/>
          <w:color w:val="auto"/>
          <w:sz w:val="21"/>
          <w:highlight w:val="none"/>
          <w:lang w:val="en-US" w:eastAsia="zh-CN"/>
        </w:rPr>
        <w:t xml:space="preserve">✖</w:t>
      </w:r>
      <w:r>
        <w:rPr>
          <w:rFonts w:hint="eastAsia" w:ascii="Times New Roman" w:hAnsi="Times New Roman" w:eastAsia="宋体"/>
          <w:color w:val="auto"/>
          <w:sz w:val="21"/>
          <w:highlight w:val="none"/>
        </w:rPr>
        <w:t xml:space="preserve">24小时技术服务，故障报修后2小时内响应，城区范围内4小时内到场处置，偏远点位8小时内到场处置。</w:t>
      </w:r>
      <w:r/>
    </w:p>
    <w:p>
      <w:pPr>
        <w:pStyle w:val="740"/>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12.4 在质保期内，乙方应对货物及服务出现的质量及安全问题负责处理解决并承担一切费用。</w:t>
      </w:r>
      <w:r/>
    </w:p>
    <w:p>
      <w:pPr>
        <w:pStyle w:val="740"/>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12.5上述的货物及服务免费保修期为</w:t>
      </w:r>
      <w:r>
        <w:rPr>
          <w:rFonts w:hint="eastAsia" w:ascii="Times New Roman" w:hAnsi="Times New Roman"/>
          <w:color w:val="auto"/>
          <w:sz w:val="21"/>
          <w:highlight w:val="none"/>
          <w:u w:val="single"/>
          <w:lang w:val="en-US" w:eastAsia="zh-CN"/>
        </w:rPr>
        <w:t xml:space="preserve">2</w:t>
      </w:r>
      <w:r>
        <w:rPr>
          <w:rFonts w:hint="eastAsia" w:ascii="Times New Roman" w:hAnsi="Times New Roman" w:eastAsia="宋体"/>
          <w:color w:val="auto"/>
          <w:sz w:val="21"/>
          <w:highlight w:val="none"/>
        </w:rPr>
        <w:t xml:space="preserve">年，因人为因素出现的故障不在免费保修范围内。超过保修期的机器设备，终生维修，维修时只收部件成本费。</w:t>
      </w:r>
      <w:r/>
    </w:p>
    <w:p>
      <w:pPr>
        <w:pStyle w:val="740"/>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十三、调试和验收</w:t>
      </w:r>
      <w:r/>
    </w:p>
    <w:p>
      <w:pPr>
        <w:pStyle w:val="740"/>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p>
    <w:p>
      <w:pPr>
        <w:pStyle w:val="740"/>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13.2 乙方交付前应对货物及服务作出全面检查和对验收文件进行整理，并列出清单，作为甲方交付验收和使用的技术条件依据，检验的结果应随货物及服务交甲方。</w:t>
      </w:r>
      <w:r/>
    </w:p>
    <w:p>
      <w:pPr>
        <w:pStyle w:val="740"/>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13.3 甲方对乙方提供的货物及服务在使用前进行调试时，乙方需负责安装并培训甲方的使用操作人员，并协助甲方一起调试，直到符合技术要求，甲方才做最终验收。</w:t>
      </w:r>
      <w:r/>
    </w:p>
    <w:p>
      <w:pPr>
        <w:pStyle w:val="740"/>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13.4 对技术复杂的货物及服务，甲方可请国家认可的专业检测机构参与初步验收及最终验收，并由其出具质量检测报告。</w:t>
      </w:r>
      <w:r/>
    </w:p>
    <w:p>
      <w:pPr>
        <w:pStyle w:val="740"/>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13.5 验收时乙方必须在现场，验收完毕后作出验收结果报告；验收费用由甲乙双方协商解决。</w:t>
      </w:r>
      <w:r/>
    </w:p>
    <w:p>
      <w:pPr>
        <w:pStyle w:val="740"/>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十四、货物及服务包装、发运及运输</w:t>
      </w:r>
      <w:r/>
    </w:p>
    <w:p>
      <w:pPr>
        <w:pStyle w:val="740"/>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14.1 乙方应在货物及服务发运前对其进行满足运输距离、防潮、防震、防锈和防破损装卸等要求包装，以保证货物及服务安全运达甲方指定地点。</w:t>
      </w:r>
      <w:r/>
    </w:p>
    <w:p>
      <w:pPr>
        <w:pStyle w:val="740"/>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14.2 使用说明书、质量检验证明书、随配附件和工具以及清单一并交付甲方。</w:t>
      </w:r>
      <w:r/>
    </w:p>
    <w:p>
      <w:pPr>
        <w:pStyle w:val="740"/>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14.3 乙方在货物及服务发运手续办理完毕后24小时内或交付到甲方48小时前通知甲方，以准备接受交付。</w:t>
      </w:r>
      <w:r/>
    </w:p>
    <w:p>
      <w:pPr>
        <w:pStyle w:val="740"/>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14.4 货物在交付甲方前发生的风险均由乙方负责。</w:t>
      </w:r>
      <w:r/>
    </w:p>
    <w:p>
      <w:pPr>
        <w:pStyle w:val="740"/>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14.5 货物及服务在规定的交付期限内由乙方送达甲方指定的地点视为交付，乙方同时需通知甲方货物及服务已送达。</w:t>
      </w:r>
      <w:r/>
    </w:p>
    <w:p>
      <w:pPr>
        <w:pStyle w:val="740"/>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十五、违约责任</w:t>
      </w:r>
      <w:r/>
    </w:p>
    <w:p>
      <w:pPr>
        <w:pStyle w:val="740"/>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15.1 甲方无正当理由拒收货物及服务的，甲方向乙方偿付拒收款项总值的百分之五违约金。</w:t>
      </w:r>
      <w:r/>
    </w:p>
    <w:p>
      <w:pPr>
        <w:pStyle w:val="740"/>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15.2 甲方无故逾期验收和办理款项支付手续的</w:t>
      </w:r>
      <w:r>
        <w:rPr>
          <w:rFonts w:hint="eastAsia" w:ascii="Times New Roman" w:hAnsi="Times New Roman" w:eastAsia="宋体"/>
          <w:color w:val="auto"/>
          <w:sz w:val="21"/>
          <w:highlight w:val="none"/>
          <w:lang w:eastAsia="zh-CN"/>
        </w:rPr>
        <w:t xml:space="preserve">，</w:t>
      </w:r>
      <w:r>
        <w:rPr>
          <w:rFonts w:hint="eastAsia" w:ascii="Times New Roman" w:hAnsi="Times New Roman" w:eastAsia="宋体"/>
          <w:color w:val="auto"/>
          <w:sz w:val="21"/>
          <w:highlight w:val="none"/>
        </w:rPr>
        <w:t xml:space="preserve">甲方应按逾期付款总额每日万分之五向乙方支付违约金。</w:t>
      </w:r>
      <w:r/>
    </w:p>
    <w:p>
      <w:pPr>
        <w:pStyle w:val="740"/>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740"/>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740"/>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十六、不可抗力事件处理</w:t>
      </w:r>
      <w:r/>
    </w:p>
    <w:p>
      <w:pPr>
        <w:pStyle w:val="740"/>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16.1 在合同有效期内，任何一方因不可抗力事件导致不能履行合同，则合同履行期可延长，其延长期与不可抗力影响期相同。</w:t>
      </w:r>
      <w:r/>
    </w:p>
    <w:p>
      <w:pPr>
        <w:pStyle w:val="740"/>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16.2 不可抗力事件发生后，应立即通知对方，并寄送有关权威机构出具的证明。</w:t>
      </w:r>
      <w:r/>
    </w:p>
    <w:p>
      <w:pPr>
        <w:pStyle w:val="740"/>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16.3 不可抗力事件延续120天以上，双方应通过友好协商，确定是否继续履行合同。</w:t>
      </w:r>
      <w:r/>
    </w:p>
    <w:p>
      <w:pPr>
        <w:pStyle w:val="740"/>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十七、诉讼</w:t>
      </w:r>
      <w:r/>
    </w:p>
    <w:p>
      <w:pPr>
        <w:pStyle w:val="740"/>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17.1 双方在执行合同中所发生的一切争议，应通过协商解决。如协商不成，可向合同签订地法院起诉，合同签订地在此约定为扬州市。</w:t>
      </w:r>
      <w:r/>
    </w:p>
    <w:p>
      <w:pPr>
        <w:ind w:firstLine="422"/>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b/>
          <w:bCs/>
          <w:color w:val="auto"/>
          <w:szCs w:val="21"/>
          <w:highlight w:val="none"/>
        </w:rPr>
        <w:t xml:space="preserve">十八、</w:t>
      </w:r>
      <w:r>
        <w:rPr>
          <w:rFonts w:hint="eastAsia" w:ascii="Times New Roman" w:hAnsi="Times New Roman" w:eastAsia="宋体" w:cs="宋体"/>
          <w:bCs/>
          <w:color w:val="auto"/>
          <w:highlight w:val="none"/>
        </w:rPr>
        <w:t xml:space="preserve">为落实好政府采购履约资金扶持政策，乙方可凭政府采购合同办理融资贷款，详见江苏政府采购网“政采贷”专栏</w:t>
      </w:r>
      <w:r>
        <w:rPr>
          <w:rFonts w:hint="eastAsia" w:ascii="Times New Roman" w:hAnsi="Times New Roman" w:eastAsia="宋体"/>
          <w:color w:val="auto"/>
          <w:szCs w:val="21"/>
          <w:highlight w:val="none"/>
        </w:rPr>
        <w:t xml:space="preserve">。</w:t>
      </w:r>
      <w:r/>
    </w:p>
    <w:p>
      <w:pPr>
        <w:pStyle w:val="740"/>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十九、合同生效及其它</w:t>
      </w:r>
      <w:r/>
    </w:p>
    <w:p>
      <w:pPr>
        <w:pStyle w:val="740"/>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19.1 合同经双方法定代表人签章并加盖单位公章，并经</w:t>
      </w:r>
      <w:r>
        <w:rPr>
          <w:rFonts w:hint="eastAsia" w:ascii="Times New Roman" w:hAnsi="Times New Roman"/>
          <w:color w:val="auto"/>
          <w:sz w:val="21"/>
          <w:highlight w:val="none"/>
          <w:lang w:eastAsia="zh-CN"/>
        </w:rPr>
        <w:t xml:space="preserve">江苏苏中兴工程造价咨询有限公司</w:t>
      </w:r>
      <w:r>
        <w:rPr>
          <w:rFonts w:hint="eastAsia" w:ascii="Times New Roman" w:hAnsi="Times New Roman" w:eastAsia="宋体"/>
          <w:color w:val="auto"/>
          <w:sz w:val="21"/>
          <w:highlight w:val="none"/>
        </w:rPr>
        <w:t xml:space="preserve">见证盖章后生效。</w:t>
      </w:r>
      <w:r/>
    </w:p>
    <w:p>
      <w:pPr>
        <w:pStyle w:val="740"/>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19.2本合同未尽事宜，遵照《</w:t>
      </w:r>
      <w:r>
        <w:rPr>
          <w:rFonts w:hint="eastAsia" w:ascii="Times New Roman" w:hAnsi="Times New Roman" w:eastAsia="宋体"/>
          <w:color w:val="auto"/>
          <w:sz w:val="21"/>
          <w:highlight w:val="none"/>
          <w:lang w:val="en-US" w:eastAsia="zh-CN"/>
        </w:rPr>
        <w:t xml:space="preserve">中华人民共和国</w:t>
      </w:r>
      <w:r>
        <w:rPr>
          <w:rFonts w:hint="eastAsia" w:ascii="Times New Roman" w:hAnsi="Times New Roman" w:eastAsia="宋体"/>
          <w:color w:val="auto"/>
          <w:sz w:val="21"/>
          <w:highlight w:val="none"/>
        </w:rPr>
        <w:t xml:space="preserve">民法典》有关条文执行。</w:t>
      </w:r>
      <w:r/>
    </w:p>
    <w:p>
      <w:pPr>
        <w:pStyle w:val="740"/>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19.3 本合同正本一式</w:t>
      </w:r>
      <w:r>
        <w:rPr>
          <w:rFonts w:hint="eastAsia" w:ascii="Times New Roman" w:hAnsi="Times New Roman"/>
          <w:color w:val="auto"/>
          <w:sz w:val="21"/>
          <w:highlight w:val="none"/>
          <w:lang w:val="en-US" w:eastAsia="zh-CN"/>
        </w:rPr>
        <w:t xml:space="preserve">七</w:t>
      </w:r>
      <w:r>
        <w:rPr>
          <w:rFonts w:hint="eastAsia" w:ascii="Times New Roman" w:hAnsi="Times New Roman" w:eastAsia="宋体"/>
          <w:color w:val="auto"/>
          <w:sz w:val="21"/>
          <w:highlight w:val="none"/>
        </w:rPr>
        <w:t xml:space="preserve">份，具有同等法律效力，甲方</w:t>
      </w:r>
      <w:r>
        <w:rPr>
          <w:rFonts w:hint="eastAsia" w:ascii="Times New Roman" w:hAnsi="Times New Roman"/>
          <w:color w:val="auto"/>
          <w:sz w:val="21"/>
          <w:highlight w:val="none"/>
          <w:lang w:val="en-US" w:eastAsia="zh-CN"/>
        </w:rPr>
        <w:t xml:space="preserve">四份</w:t>
      </w:r>
      <w:r>
        <w:rPr>
          <w:rFonts w:hint="eastAsia" w:ascii="Times New Roman" w:hAnsi="Times New Roman" w:eastAsia="宋体"/>
          <w:color w:val="auto"/>
          <w:sz w:val="21"/>
          <w:highlight w:val="none"/>
        </w:rPr>
        <w:t xml:space="preserve">、乙方二份、见证方执一份。  </w:t>
      </w:r>
      <w:r/>
    </w:p>
    <w:tbl>
      <w:tblPr>
        <w:tblStyle w:val="729"/>
        <w:tblW w:w="0" w:type="auto"/>
        <w:tblInd w:w="-142" w:type="dxa"/>
        <w:tblLayout w:type="autofit"/>
        <w:tblCellMar>
          <w:left w:w="108" w:type="dxa"/>
          <w:top w:w="0" w:type="dxa"/>
          <w:right w:w="108" w:type="dxa"/>
          <w:bottom w:w="0" w:type="dxa"/>
        </w:tblCellMar>
        <w:tblLook w:val="04A0" w:firstRow="1" w:lastRow="0" w:firstColumn="1" w:lastColumn="0" w:noHBand="0" w:noVBand="1"/>
      </w:tblPr>
      <w:tblGrid>
        <w:gridCol w:w="4537"/>
        <w:gridCol w:w="3911"/>
      </w:tblGrid>
      <w:tr>
        <w:trPr>
          <w:trHeight w:val="510"/>
        </w:trPr>
        <w:tc>
          <w:tcPr>
            <w:shd w:val="clear" w:color="auto" w:fill="auto"/>
            <w:tcW w:w="4537" w:type="dxa"/>
            <w:textDirection w:val="lrTb"/>
            <w:noWrap w:val="false"/>
          </w:tcPr>
          <w:p>
            <w:pPr>
              <w:pStyle w:val="740"/>
              <w:ind w:firstLine="400"/>
              <w:rPr>
                <w:rFonts w:hint="eastAsia"/>
                <w:highlight w:val="none"/>
              </w:rPr>
            </w:pPr>
            <w:r>
              <w:rPr>
                <w:highlight w:val="none"/>
              </w:rPr>
              <w:t xml:space="preserve">甲方：</w:t>
            </w:r>
            <w:r/>
          </w:p>
        </w:tc>
        <w:tc>
          <w:tcPr>
            <w:shd w:val="clear" w:color="auto" w:fill="auto"/>
            <w:tcW w:w="3911" w:type="dxa"/>
            <w:textDirection w:val="lrTb"/>
            <w:noWrap w:val="false"/>
          </w:tcPr>
          <w:p>
            <w:pPr>
              <w:pStyle w:val="740"/>
              <w:ind w:firstLine="400"/>
              <w:rPr>
                <w:rFonts w:hint="eastAsia"/>
                <w:highlight w:val="none"/>
              </w:rPr>
            </w:pPr>
            <w:r>
              <w:rPr>
                <w:highlight w:val="none"/>
              </w:rPr>
              <w:t xml:space="preserve">乙方：</w:t>
            </w:r>
            <w:r/>
          </w:p>
        </w:tc>
      </w:tr>
      <w:tr>
        <w:trPr>
          <w:trHeight w:val="510"/>
        </w:trPr>
        <w:tc>
          <w:tcPr>
            <w:shd w:val="clear" w:color="auto" w:fill="auto"/>
            <w:tcW w:w="4537" w:type="dxa"/>
            <w:textDirection w:val="lrTb"/>
            <w:noWrap w:val="false"/>
          </w:tcPr>
          <w:p>
            <w:pPr>
              <w:pStyle w:val="740"/>
              <w:ind w:firstLine="400"/>
              <w:rPr>
                <w:rFonts w:hint="eastAsia"/>
                <w:highlight w:val="none"/>
              </w:rPr>
            </w:pPr>
            <w:r>
              <w:rPr>
                <w:highlight w:val="none"/>
              </w:rPr>
              <w:t xml:space="preserve">地址：</w:t>
            </w:r>
            <w:r/>
          </w:p>
        </w:tc>
        <w:tc>
          <w:tcPr>
            <w:shd w:val="clear" w:color="auto" w:fill="auto"/>
            <w:tcW w:w="3911" w:type="dxa"/>
            <w:textDirection w:val="lrTb"/>
            <w:noWrap w:val="false"/>
          </w:tcPr>
          <w:p>
            <w:pPr>
              <w:pStyle w:val="740"/>
              <w:ind w:firstLine="400"/>
              <w:rPr>
                <w:rFonts w:hint="eastAsia"/>
                <w:highlight w:val="none"/>
              </w:rPr>
            </w:pPr>
            <w:r>
              <w:rPr>
                <w:highlight w:val="none"/>
              </w:rPr>
              <w:t xml:space="preserve">地址：</w:t>
            </w:r>
            <w:r/>
          </w:p>
        </w:tc>
      </w:tr>
      <w:tr>
        <w:trPr>
          <w:trHeight w:val="510"/>
        </w:trPr>
        <w:tc>
          <w:tcPr>
            <w:shd w:val="clear" w:color="auto" w:fill="auto"/>
            <w:tcW w:w="4537" w:type="dxa"/>
            <w:textDirection w:val="lrTb"/>
            <w:noWrap w:val="false"/>
          </w:tcPr>
          <w:p>
            <w:pPr>
              <w:pStyle w:val="740"/>
              <w:ind w:firstLine="400"/>
              <w:rPr>
                <w:rFonts w:hint="eastAsia"/>
                <w:highlight w:val="none"/>
              </w:rPr>
            </w:pPr>
            <w:r>
              <w:rPr>
                <w:highlight w:val="none"/>
              </w:rPr>
              <w:t xml:space="preserve">法定代表人</w:t>
            </w:r>
            <w:r>
              <w:rPr>
                <w:rFonts w:hint="eastAsia"/>
                <w:highlight w:val="none"/>
              </w:rPr>
              <w:t xml:space="preserve">或授权代表</w:t>
            </w:r>
            <w:r>
              <w:rPr>
                <w:highlight w:val="none"/>
              </w:rPr>
              <w:t xml:space="preserve">：</w:t>
            </w:r>
            <w:r/>
          </w:p>
        </w:tc>
        <w:tc>
          <w:tcPr>
            <w:shd w:val="clear" w:color="auto" w:fill="auto"/>
            <w:tcW w:w="3911" w:type="dxa"/>
            <w:textDirection w:val="lrTb"/>
            <w:noWrap w:val="false"/>
          </w:tcPr>
          <w:p>
            <w:pPr>
              <w:pStyle w:val="740"/>
              <w:ind w:firstLine="400"/>
              <w:rPr>
                <w:rFonts w:hint="eastAsia"/>
                <w:highlight w:val="none"/>
              </w:rPr>
            </w:pPr>
            <w:r>
              <w:rPr>
                <w:highlight w:val="none"/>
              </w:rPr>
              <w:t xml:space="preserve">法定代表人</w:t>
            </w:r>
            <w:r>
              <w:rPr>
                <w:rFonts w:hint="eastAsia"/>
                <w:highlight w:val="none"/>
              </w:rPr>
              <w:t xml:space="preserve">或授权代表</w:t>
            </w:r>
            <w:r>
              <w:rPr>
                <w:highlight w:val="none"/>
              </w:rPr>
              <w:t xml:space="preserve">：</w:t>
            </w:r>
            <w:r/>
          </w:p>
        </w:tc>
      </w:tr>
      <w:tr>
        <w:trPr>
          <w:trHeight w:val="510"/>
        </w:trPr>
        <w:tc>
          <w:tcPr>
            <w:shd w:val="clear" w:color="auto" w:fill="auto"/>
            <w:tcW w:w="4537" w:type="dxa"/>
            <w:textDirection w:val="lrTb"/>
            <w:noWrap w:val="false"/>
          </w:tcPr>
          <w:p>
            <w:pPr>
              <w:pStyle w:val="740"/>
              <w:ind w:firstLine="400"/>
              <w:rPr>
                <w:rFonts w:hint="eastAsia"/>
                <w:highlight w:val="none"/>
              </w:rPr>
            </w:pPr>
            <w:r>
              <w:rPr>
                <w:rFonts w:hint="eastAsia"/>
                <w:highlight w:val="none"/>
              </w:rPr>
            </w:r>
            <w:r/>
          </w:p>
        </w:tc>
        <w:tc>
          <w:tcPr>
            <w:shd w:val="clear" w:color="auto" w:fill="auto"/>
            <w:tcW w:w="3911" w:type="dxa"/>
            <w:textDirection w:val="lrTb"/>
            <w:noWrap w:val="false"/>
          </w:tcPr>
          <w:p>
            <w:pPr>
              <w:pStyle w:val="740"/>
              <w:ind w:firstLine="400"/>
              <w:rPr>
                <w:rFonts w:hint="eastAsia"/>
                <w:highlight w:val="none"/>
              </w:rPr>
            </w:pPr>
            <w:r>
              <w:rPr>
                <w:rFonts w:hint="eastAsia"/>
                <w:highlight w:val="none"/>
              </w:rPr>
              <w:t xml:space="preserve">开户银行：</w:t>
            </w:r>
            <w:r/>
          </w:p>
        </w:tc>
      </w:tr>
      <w:tr>
        <w:trPr>
          <w:trHeight w:val="510"/>
        </w:trPr>
        <w:tc>
          <w:tcPr>
            <w:shd w:val="clear" w:color="auto" w:fill="auto"/>
            <w:tcW w:w="4537" w:type="dxa"/>
            <w:textDirection w:val="lrTb"/>
            <w:noWrap w:val="false"/>
          </w:tcPr>
          <w:p>
            <w:pPr>
              <w:pStyle w:val="740"/>
              <w:ind w:firstLine="400"/>
              <w:rPr>
                <w:rFonts w:hint="eastAsia"/>
                <w:highlight w:val="none"/>
              </w:rPr>
            </w:pPr>
            <w:r>
              <w:rPr>
                <w:rFonts w:hint="eastAsia"/>
                <w:highlight w:val="none"/>
              </w:rPr>
            </w:r>
            <w:r/>
          </w:p>
        </w:tc>
        <w:tc>
          <w:tcPr>
            <w:shd w:val="clear" w:color="auto" w:fill="auto"/>
            <w:tcW w:w="3911" w:type="dxa"/>
            <w:textDirection w:val="lrTb"/>
            <w:noWrap w:val="false"/>
          </w:tcPr>
          <w:p>
            <w:pPr>
              <w:pStyle w:val="740"/>
              <w:ind w:firstLine="400"/>
              <w:rPr>
                <w:rFonts w:hint="eastAsia"/>
                <w:highlight w:val="none"/>
              </w:rPr>
            </w:pPr>
            <w:r>
              <w:rPr>
                <w:rFonts w:hint="eastAsia"/>
                <w:highlight w:val="none"/>
              </w:rPr>
              <w:t xml:space="preserve">账号：</w:t>
            </w:r>
            <w:r/>
          </w:p>
        </w:tc>
      </w:tr>
      <w:tr>
        <w:trPr>
          <w:trHeight w:val="510"/>
        </w:trPr>
        <w:tc>
          <w:tcPr>
            <w:shd w:val="clear" w:color="auto" w:fill="auto"/>
            <w:tcW w:w="4537" w:type="dxa"/>
            <w:textDirection w:val="lrTb"/>
            <w:noWrap w:val="false"/>
          </w:tcPr>
          <w:p>
            <w:pPr>
              <w:pStyle w:val="740"/>
              <w:ind w:firstLine="400"/>
              <w:rPr>
                <w:rFonts w:hint="eastAsia"/>
                <w:highlight w:val="none"/>
              </w:rPr>
            </w:pPr>
            <w:r>
              <w:rPr>
                <w:rFonts w:hint="eastAsia"/>
                <w:highlight w:val="none"/>
              </w:rPr>
              <w:t xml:space="preserve">联系电话：</w:t>
            </w:r>
            <w:r/>
          </w:p>
        </w:tc>
        <w:tc>
          <w:tcPr>
            <w:shd w:val="clear" w:color="auto" w:fill="auto"/>
            <w:tcW w:w="3911" w:type="dxa"/>
            <w:textDirection w:val="lrTb"/>
            <w:noWrap w:val="false"/>
          </w:tcPr>
          <w:p>
            <w:pPr>
              <w:pStyle w:val="740"/>
              <w:ind w:firstLine="400"/>
              <w:rPr>
                <w:rFonts w:hint="eastAsia"/>
                <w:highlight w:val="none"/>
              </w:rPr>
            </w:pPr>
            <w:r>
              <w:rPr>
                <w:rFonts w:hint="eastAsia"/>
                <w:highlight w:val="none"/>
              </w:rPr>
              <w:t xml:space="preserve">联系电话：</w:t>
            </w:r>
            <w:r/>
          </w:p>
        </w:tc>
      </w:tr>
      <w:tr>
        <w:trPr>
          <w:trHeight w:val="510"/>
        </w:trPr>
        <w:tc>
          <w:tcPr>
            <w:shd w:val="clear" w:color="auto" w:fill="auto"/>
            <w:tcW w:w="4537" w:type="dxa"/>
            <w:textDirection w:val="lrTb"/>
            <w:noWrap w:val="false"/>
          </w:tcPr>
          <w:p>
            <w:pPr>
              <w:pStyle w:val="740"/>
              <w:ind w:firstLine="400"/>
              <w:rPr>
                <w:rFonts w:hint="eastAsia"/>
                <w:highlight w:val="none"/>
              </w:rPr>
            </w:pPr>
            <w:r>
              <w:rPr>
                <w:highlight w:val="none"/>
              </w:rPr>
              <w:t xml:space="preserve">日期：      年  </w:t>
            </w:r>
            <w:r>
              <w:rPr>
                <w:rFonts w:hint="eastAsia"/>
                <w:highlight w:val="none"/>
              </w:rPr>
              <w:t xml:space="preserve">  </w:t>
            </w:r>
            <w:r>
              <w:rPr>
                <w:highlight w:val="none"/>
              </w:rPr>
              <w:t xml:space="preserve">月  </w:t>
            </w:r>
            <w:r>
              <w:rPr>
                <w:rFonts w:hint="eastAsia"/>
                <w:highlight w:val="none"/>
              </w:rPr>
              <w:t xml:space="preserve"> </w:t>
            </w:r>
            <w:r>
              <w:rPr>
                <w:highlight w:val="none"/>
              </w:rPr>
              <w:t xml:space="preserve">日</w:t>
            </w:r>
            <w:r/>
          </w:p>
        </w:tc>
        <w:tc>
          <w:tcPr>
            <w:shd w:val="clear" w:color="auto" w:fill="auto"/>
            <w:tcW w:w="3911" w:type="dxa"/>
            <w:textDirection w:val="lrTb"/>
            <w:noWrap w:val="false"/>
          </w:tcPr>
          <w:p>
            <w:pPr>
              <w:pStyle w:val="740"/>
              <w:ind w:firstLine="400"/>
              <w:rPr>
                <w:rFonts w:hint="eastAsia"/>
                <w:highlight w:val="none"/>
              </w:rPr>
            </w:pPr>
            <w:r>
              <w:rPr>
                <w:highlight w:val="none"/>
              </w:rPr>
              <w:t xml:space="preserve">日期：      年  </w:t>
            </w:r>
            <w:r>
              <w:rPr>
                <w:rFonts w:hint="eastAsia"/>
                <w:highlight w:val="none"/>
              </w:rPr>
              <w:t xml:space="preserve">  </w:t>
            </w:r>
            <w:r>
              <w:rPr>
                <w:highlight w:val="none"/>
              </w:rPr>
              <w:t xml:space="preserve">月  </w:t>
            </w:r>
            <w:r>
              <w:rPr>
                <w:rFonts w:hint="eastAsia"/>
                <w:highlight w:val="none"/>
              </w:rPr>
              <w:t xml:space="preserve"> </w:t>
            </w:r>
            <w:r>
              <w:rPr>
                <w:highlight w:val="none"/>
              </w:rPr>
              <w:t xml:space="preserve">日</w:t>
            </w:r>
            <w:r/>
          </w:p>
        </w:tc>
      </w:tr>
      <w:tr>
        <w:trPr>
          <w:trHeight w:val="510"/>
        </w:trPr>
        <w:tc>
          <w:tcPr>
            <w:shd w:val="clear" w:color="auto" w:fill="auto"/>
            <w:tcW w:w="4537" w:type="dxa"/>
            <w:textDirection w:val="lrTb"/>
            <w:noWrap w:val="false"/>
          </w:tcPr>
          <w:p>
            <w:pPr>
              <w:pStyle w:val="740"/>
              <w:ind w:firstLine="400"/>
              <w:rPr>
                <w:rFonts w:hint="eastAsia"/>
                <w:highlight w:val="none"/>
              </w:rPr>
            </w:pPr>
            <w:r>
              <w:rPr>
                <w:rFonts w:hint="eastAsia"/>
                <w:highlight w:val="none"/>
              </w:rPr>
            </w:r>
            <w:r/>
          </w:p>
        </w:tc>
        <w:tc>
          <w:tcPr>
            <w:shd w:val="clear" w:color="auto" w:fill="auto"/>
            <w:tcW w:w="3911" w:type="dxa"/>
            <w:textDirection w:val="lrTb"/>
            <w:noWrap w:val="false"/>
          </w:tcPr>
          <w:p>
            <w:pPr>
              <w:pStyle w:val="740"/>
              <w:ind w:firstLine="400"/>
              <w:rPr>
                <w:rFonts w:hint="eastAsia"/>
                <w:highlight w:val="none"/>
              </w:rPr>
            </w:pPr>
            <w:r>
              <w:rPr>
                <w:rFonts w:hint="eastAsia"/>
                <w:highlight w:val="none"/>
              </w:rPr>
            </w:r>
            <w:r/>
          </w:p>
        </w:tc>
      </w:tr>
      <w:tr>
        <w:trPr>
          <w:trHeight w:val="510"/>
        </w:trPr>
        <w:tc>
          <w:tcPr>
            <w:shd w:val="clear" w:color="auto" w:fill="auto"/>
            <w:tcW w:w="4537" w:type="dxa"/>
            <w:textDirection w:val="lrTb"/>
            <w:noWrap w:val="false"/>
          </w:tcPr>
          <w:p>
            <w:pPr>
              <w:pStyle w:val="740"/>
              <w:ind w:firstLine="400"/>
              <w:rPr>
                <w:rFonts w:hint="eastAsia" w:eastAsia="宋体"/>
                <w:highlight w:val="none"/>
                <w:lang w:eastAsia="zh-CN"/>
              </w:rPr>
            </w:pPr>
            <w:r>
              <w:rPr>
                <w:rFonts w:hint="eastAsia"/>
                <w:highlight w:val="none"/>
              </w:rPr>
              <w:t xml:space="preserve">见证方：</w:t>
            </w:r>
            <w:r>
              <w:rPr>
                <w:rFonts w:hint="eastAsia"/>
                <w:highlight w:val="none"/>
                <w:lang w:eastAsia="zh-CN"/>
              </w:rPr>
              <w:t xml:space="preserve">江苏苏中兴工程造价咨询有限公司</w:t>
            </w:r>
            <w:r/>
          </w:p>
        </w:tc>
        <w:tc>
          <w:tcPr>
            <w:shd w:val="clear" w:color="auto" w:fill="auto"/>
            <w:tcW w:w="3911" w:type="dxa"/>
            <w:textDirection w:val="lrTb"/>
            <w:noWrap w:val="false"/>
          </w:tcPr>
          <w:p>
            <w:pPr>
              <w:pStyle w:val="740"/>
              <w:ind w:firstLine="400"/>
              <w:rPr>
                <w:rFonts w:hint="eastAsia"/>
                <w:highlight w:val="none"/>
              </w:rPr>
            </w:pPr>
            <w:r>
              <w:rPr>
                <w:rFonts w:hint="eastAsia"/>
                <w:highlight w:val="none"/>
              </w:rPr>
            </w:r>
            <w:r/>
          </w:p>
        </w:tc>
      </w:tr>
      <w:tr>
        <w:trPr>
          <w:trHeight w:val="510"/>
        </w:trPr>
        <w:tc>
          <w:tcPr>
            <w:shd w:val="clear" w:color="auto" w:fill="auto"/>
            <w:tcW w:w="4537" w:type="dxa"/>
            <w:textDirection w:val="lrTb"/>
            <w:noWrap w:val="false"/>
          </w:tcPr>
          <w:p>
            <w:pPr>
              <w:pStyle w:val="740"/>
              <w:ind w:firstLine="400"/>
              <w:rPr>
                <w:rFonts w:hint="eastAsia"/>
                <w:highlight w:val="none"/>
              </w:rPr>
            </w:pPr>
            <w:r>
              <w:rPr>
                <w:rFonts w:hint="eastAsia"/>
                <w:highlight w:val="none"/>
              </w:rPr>
              <w:t xml:space="preserve">项目经办人：</w:t>
            </w:r>
            <w:r>
              <w:rPr>
                <w:highlight w:val="none"/>
              </w:rPr>
              <w:t xml:space="preserve"> </w:t>
            </w:r>
            <w:r/>
          </w:p>
        </w:tc>
        <w:tc>
          <w:tcPr>
            <w:shd w:val="clear" w:color="auto" w:fill="auto"/>
            <w:tcW w:w="3911" w:type="dxa"/>
            <w:textDirection w:val="lrTb"/>
            <w:noWrap w:val="false"/>
          </w:tcPr>
          <w:p>
            <w:pPr>
              <w:pStyle w:val="740"/>
              <w:ind w:firstLine="400"/>
              <w:rPr>
                <w:rFonts w:hint="eastAsia"/>
                <w:highlight w:val="none"/>
              </w:rPr>
            </w:pPr>
            <w:r>
              <w:rPr>
                <w:rFonts w:hint="eastAsia"/>
                <w:highlight w:val="none"/>
              </w:rPr>
            </w:r>
            <w:r/>
          </w:p>
        </w:tc>
      </w:tr>
      <w:tr>
        <w:trPr>
          <w:trHeight w:val="510"/>
        </w:trPr>
        <w:tc>
          <w:tcPr>
            <w:shd w:val="clear" w:color="auto" w:fill="auto"/>
            <w:tcW w:w="4537" w:type="dxa"/>
            <w:textDirection w:val="lrTb"/>
            <w:noWrap w:val="false"/>
          </w:tcPr>
          <w:p>
            <w:pPr>
              <w:pStyle w:val="740"/>
              <w:ind w:firstLine="400"/>
              <w:rPr>
                <w:rFonts w:hint="eastAsia"/>
                <w:highlight w:val="none"/>
              </w:rPr>
            </w:pPr>
            <w:r>
              <w:rPr>
                <w:highlight w:val="none"/>
              </w:rPr>
              <w:t xml:space="preserve">日期：      年  </w:t>
            </w:r>
            <w:r>
              <w:rPr>
                <w:rFonts w:hint="eastAsia"/>
                <w:highlight w:val="none"/>
              </w:rPr>
              <w:t xml:space="preserve">  </w:t>
            </w:r>
            <w:r>
              <w:rPr>
                <w:highlight w:val="none"/>
              </w:rPr>
              <w:t xml:space="preserve">月  </w:t>
            </w:r>
            <w:r>
              <w:rPr>
                <w:rFonts w:hint="eastAsia"/>
                <w:highlight w:val="none"/>
              </w:rPr>
              <w:t xml:space="preserve"> </w:t>
            </w:r>
            <w:r>
              <w:rPr>
                <w:highlight w:val="none"/>
              </w:rPr>
              <w:t xml:space="preserve">日</w:t>
            </w:r>
            <w:r/>
          </w:p>
        </w:tc>
        <w:tc>
          <w:tcPr>
            <w:shd w:val="clear" w:color="auto" w:fill="auto"/>
            <w:tcW w:w="3911" w:type="dxa"/>
            <w:textDirection w:val="lrTb"/>
            <w:noWrap w:val="false"/>
          </w:tcPr>
          <w:p>
            <w:pPr>
              <w:pStyle w:val="740"/>
              <w:ind w:firstLine="400"/>
              <w:rPr>
                <w:rFonts w:hint="eastAsia"/>
                <w:highlight w:val="none"/>
              </w:rPr>
            </w:pPr>
            <w:r>
              <w:rPr>
                <w:rFonts w:hint="eastAsia"/>
                <w:highlight w:val="none"/>
              </w:rPr>
            </w:r>
            <w:r/>
          </w:p>
        </w:tc>
      </w:tr>
    </w:tbl>
    <w:p>
      <w:pPr>
        <w:pStyle w:val="719"/>
        <w:numPr>
          <w:ilvl w:val="0"/>
          <w:numId w:val="0"/>
        </w:numPr>
        <w:pageBreakBefore w:val="0"/>
        <w:spacing w:line="360" w:lineRule="auto"/>
        <w:rPr>
          <w:rFonts w:hint="eastAsia" w:ascii="Times New Roman" w:hAnsi="Times New Roman" w:eastAsia="宋体" w:cs="Arial"/>
          <w:b/>
          <w:color w:val="auto"/>
          <w:sz w:val="30"/>
          <w:szCs w:val="40"/>
          <w:highlight w:val="none"/>
          <w:lang w:val="en-US" w:eastAsia="zh-CN" w:bidi="ar-SA"/>
        </w:rPr>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Times New Roman" w:hAnsi="Times New Roman" w:eastAsia="宋体" w:cs="Arial"/>
          <w:b/>
          <w:color w:val="auto"/>
          <w:sz w:val="30"/>
          <w:szCs w:val="40"/>
          <w:highlight w:val="none"/>
          <w:lang w:val="en-US" w:eastAsia="zh-CN" w:bidi="ar-SA"/>
        </w:rPr>
      </w:r>
      <w:r/>
    </w:p>
    <w:p>
      <w:pPr>
        <w:ind w:firstLine="640"/>
        <w:jc w:val="center"/>
        <w:spacing w:line="360" w:lineRule="auto"/>
        <w:rPr>
          <w:rFonts w:ascii="宋体" w:hAnsi="宋体"/>
          <w:sz w:val="32"/>
          <w:szCs w:val="32"/>
          <w:highlight w:val="none"/>
        </w:rPr>
      </w:pPr>
      <w:r/>
      <w:bookmarkStart w:id="77" w:name="_Toc4495"/>
      <w:r/>
      <w:bookmarkStart w:id="78" w:name="_Toc31443"/>
      <w:r>
        <w:rPr>
          <w:rFonts w:hint="eastAsia" w:ascii="宋体" w:hAnsi="宋体"/>
          <w:sz w:val="32"/>
          <w:szCs w:val="32"/>
          <w:highlight w:val="none"/>
        </w:rPr>
        <w:t xml:space="preserve">安全生产合同</w:t>
      </w:r>
      <w:r/>
    </w:p>
    <w:p>
      <w:pPr>
        <w:ind w:firstLine="422"/>
        <w:spacing w:line="360" w:lineRule="auto"/>
        <w:rPr>
          <w:rFonts w:ascii="宋体" w:hAnsi="宋体"/>
          <w:szCs w:val="21"/>
        </w:rPr>
      </w:pPr>
      <w:r>
        <w:rPr>
          <w:rFonts w:ascii="宋体" w:hAnsi="宋体"/>
          <w:b/>
          <w:szCs w:val="21"/>
        </w:rPr>
        <w:t xml:space="preserve">发包人：</w:t>
      </w:r>
      <w:r>
        <w:rPr>
          <w:rFonts w:hint="eastAsia" w:ascii="宋体" w:hAnsi="宋体"/>
          <w:b/>
          <w:szCs w:val="21"/>
          <w:u w:val="single"/>
          <w:lang w:val="en-US" w:eastAsia="zh-CN"/>
        </w:rPr>
        <w:t xml:space="preserve"> </w:t>
      </w:r>
      <w:r>
        <w:rPr>
          <w:rFonts w:ascii="宋体" w:hAnsi="宋体"/>
          <w:szCs w:val="21"/>
          <w:u w:val="single"/>
        </w:rPr>
        <w:t xml:space="preserve">扬州市城市</w:t>
      </w:r>
      <w:r>
        <w:rPr>
          <w:rFonts w:hint="eastAsia" w:ascii="宋体" w:hAnsi="宋体"/>
          <w:szCs w:val="21"/>
          <w:u w:val="single"/>
          <w:lang w:eastAsia="zh-CN"/>
        </w:rPr>
        <w:t xml:space="preserve">河道</w:t>
      </w:r>
      <w:r>
        <w:rPr>
          <w:rFonts w:ascii="宋体" w:hAnsi="宋体"/>
          <w:szCs w:val="21"/>
          <w:u w:val="single"/>
        </w:rPr>
        <w:t xml:space="preserve">管理处</w:t>
      </w:r>
      <w:r>
        <w:rPr>
          <w:rFonts w:hint="eastAsia" w:ascii="宋体" w:hAnsi="宋体"/>
          <w:szCs w:val="21"/>
          <w:u w:val="single"/>
          <w:lang w:val="en-US" w:eastAsia="zh-CN"/>
        </w:rPr>
        <w:t xml:space="preserve">  </w:t>
      </w:r>
      <w:r>
        <w:rPr>
          <w:rFonts w:ascii="宋体" w:hAnsi="宋体"/>
          <w:szCs w:val="21"/>
        </w:rPr>
        <w:t xml:space="preserve">（以下简称“甲方”）</w:t>
      </w:r>
      <w:r/>
    </w:p>
    <w:p>
      <w:pPr>
        <w:ind w:firstLine="422"/>
        <w:spacing w:line="360" w:lineRule="auto"/>
        <w:rPr>
          <w:rFonts w:ascii="宋体" w:hAnsi="宋体"/>
          <w:szCs w:val="21"/>
        </w:rPr>
      </w:pPr>
      <w:r>
        <w:rPr>
          <w:rFonts w:ascii="宋体" w:hAnsi="宋体"/>
          <w:b/>
          <w:szCs w:val="21"/>
        </w:rPr>
        <w:t xml:space="preserve">承包人：</w:t>
      </w:r>
      <w:r>
        <w:rPr>
          <w:rFonts w:ascii="宋体" w:hAnsi="宋体"/>
          <w:szCs w:val="21"/>
          <w:u w:val="single"/>
        </w:rPr>
        <w:t xml:space="preserve">   </w:t>
      </w:r>
      <w:r>
        <w:rPr>
          <w:rFonts w:ascii="宋体" w:hAnsi="宋体"/>
          <w:szCs w:val="21"/>
        </w:rPr>
        <w:t xml:space="preserve">（以下简称“乙方”）</w:t>
      </w:r>
      <w:r/>
    </w:p>
    <w:p>
      <w:pPr>
        <w:ind w:firstLine="420"/>
        <w:spacing w:line="360" w:lineRule="auto"/>
        <w:rPr>
          <w:rFonts w:ascii="宋体" w:hAnsi="宋体"/>
          <w:szCs w:val="21"/>
        </w:rPr>
      </w:pPr>
      <w:r>
        <w:rPr>
          <w:rFonts w:ascii="宋体" w:hAnsi="宋体"/>
          <w:szCs w:val="21"/>
        </w:rPr>
        <w:t xml:space="preserve">为在</w:t>
      </w:r>
      <w:r>
        <w:rPr>
          <w:rFonts w:ascii="宋体" w:hAnsi="宋体"/>
          <w:szCs w:val="21"/>
          <w:u w:val="single"/>
        </w:rPr>
        <w:t xml:space="preserve"> </w:t>
      </w:r>
      <w:bookmarkStart w:id="79" w:name="_Hlt16619369"/>
      <w:r/>
      <w:bookmarkEnd w:id="79"/>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 xml:space="preserve">合同的实施过程中创造安全、高效的施工环境，切实搞好本项目的安全管理工作，特此签订安全生产合同。具体如下：</w:t>
      </w:r>
      <w:r/>
    </w:p>
    <w:p>
      <w:pPr>
        <w:ind w:firstLine="420"/>
        <w:spacing w:line="360" w:lineRule="auto"/>
        <w:rPr>
          <w:rFonts w:ascii="宋体" w:hAnsi="宋体"/>
          <w:szCs w:val="21"/>
        </w:rPr>
      </w:pPr>
      <w:r>
        <w:rPr>
          <w:rFonts w:ascii="宋体" w:hAnsi="宋体"/>
          <w:szCs w:val="21"/>
        </w:rPr>
        <w:t xml:space="preserve">一、甲方职责</w:t>
      </w:r>
      <w:r/>
    </w:p>
    <w:p>
      <w:pPr>
        <w:ind w:firstLine="420"/>
        <w:spacing w:line="360" w:lineRule="auto"/>
        <w:rPr>
          <w:rFonts w:ascii="宋体" w:hAnsi="宋体"/>
          <w:szCs w:val="21"/>
        </w:rPr>
      </w:pPr>
      <w:r>
        <w:rPr>
          <w:rFonts w:ascii="宋体" w:hAnsi="宋体"/>
          <w:szCs w:val="21"/>
        </w:rPr>
        <w:t xml:space="preserve">1、严格遵守国家有关安全生产的法律法规，认真执行工程承包合同中的有关安全要求。</w:t>
      </w:r>
      <w:r/>
    </w:p>
    <w:p>
      <w:pPr>
        <w:ind w:firstLine="420"/>
        <w:spacing w:line="360" w:lineRule="auto"/>
        <w:rPr>
          <w:rFonts w:ascii="宋体" w:hAnsi="宋体"/>
          <w:szCs w:val="21"/>
        </w:rPr>
      </w:pPr>
      <w:r>
        <w:rPr>
          <w:rFonts w:ascii="宋体" w:hAnsi="宋体"/>
          <w:szCs w:val="21"/>
        </w:rPr>
        <w:t xml:space="preserve">2、按照“安全第一、预防为主”和坚持“管生产必需管安全”的原则进行安全生产管理，做到生产与安全工作同时计划、布置、检查、总结和评比。</w:t>
      </w:r>
      <w:r/>
    </w:p>
    <w:p>
      <w:pPr>
        <w:ind w:firstLine="420"/>
        <w:spacing w:line="360" w:lineRule="auto"/>
        <w:rPr>
          <w:rFonts w:ascii="宋体" w:hAnsi="宋体"/>
          <w:szCs w:val="21"/>
        </w:rPr>
      </w:pPr>
      <w:r>
        <w:rPr>
          <w:rFonts w:ascii="宋体" w:hAnsi="宋体"/>
          <w:szCs w:val="21"/>
        </w:rPr>
        <w:t xml:space="preserve">3、定期召开安全生产协调会，及时传达中央及地方有关安全生产的精神。</w:t>
      </w:r>
      <w:r/>
    </w:p>
    <w:p>
      <w:pPr>
        <w:ind w:firstLine="420"/>
        <w:spacing w:line="360" w:lineRule="auto"/>
        <w:rPr>
          <w:rFonts w:ascii="宋体" w:hAnsi="宋体"/>
          <w:szCs w:val="21"/>
        </w:rPr>
      </w:pPr>
      <w:r>
        <w:rPr>
          <w:rFonts w:ascii="宋体" w:hAnsi="宋体"/>
          <w:szCs w:val="21"/>
        </w:rPr>
        <w:t xml:space="preserve">4、组织对乙方施工现场安全生产检查，建立安全生产责任制网络、汇总重要危险源、监督乙方及时处理发现的各种安全隐患。</w:t>
      </w:r>
      <w:r/>
    </w:p>
    <w:p>
      <w:pPr>
        <w:ind w:firstLine="420"/>
        <w:spacing w:line="360" w:lineRule="auto"/>
        <w:rPr>
          <w:rFonts w:ascii="宋体" w:hAnsi="宋体"/>
          <w:szCs w:val="21"/>
        </w:rPr>
      </w:pPr>
      <w:r>
        <w:rPr>
          <w:rFonts w:ascii="宋体" w:hAnsi="宋体"/>
          <w:szCs w:val="21"/>
        </w:rPr>
        <w:t xml:space="preserve">二、乙方职责</w:t>
      </w:r>
      <w:r/>
    </w:p>
    <w:p>
      <w:pPr>
        <w:ind w:firstLine="420"/>
        <w:spacing w:line="360" w:lineRule="auto"/>
        <w:rPr>
          <w:rFonts w:ascii="宋体" w:hAnsi="宋体"/>
          <w:szCs w:val="21"/>
        </w:rPr>
      </w:pPr>
      <w:r>
        <w:rPr>
          <w:rFonts w:ascii="宋体" w:hAnsi="宋体"/>
          <w:szCs w:val="21"/>
        </w:rPr>
        <w:t xml:space="preserve">1、严格遵守国家有关安全生产的法律法规、有关安全生产的规定，认真执行工程承包合同中的有关安全要求，接受甲方和监督理工程师对安全生产工作的指导。</w:t>
      </w:r>
      <w:r/>
    </w:p>
    <w:p>
      <w:pPr>
        <w:ind w:firstLine="420"/>
        <w:spacing w:line="360" w:lineRule="auto"/>
        <w:rPr>
          <w:rFonts w:ascii="宋体" w:hAnsi="宋体"/>
          <w:szCs w:val="21"/>
        </w:rPr>
      </w:pPr>
      <w:r>
        <w:rPr>
          <w:rFonts w:ascii="宋体" w:hAnsi="宋体"/>
          <w:szCs w:val="21"/>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420"/>
        <w:spacing w:line="360" w:lineRule="auto"/>
        <w:rPr>
          <w:rFonts w:ascii="宋体" w:hAnsi="宋体"/>
          <w:szCs w:val="21"/>
        </w:rPr>
      </w:pPr>
      <w:r>
        <w:rPr>
          <w:rFonts w:ascii="宋体" w:hAnsi="宋体"/>
          <w:szCs w:val="21"/>
        </w:rPr>
        <w:t xml:space="preserve">3、建立健全安全产生责任制网络。从派驻项</w:t>
      </w:r>
      <w:r>
        <w:rPr>
          <w:rFonts w:ascii="宋体" w:hAnsi="宋体"/>
          <w:szCs w:val="21"/>
        </w:rPr>
        <w:t xml:space="preserve">目实施的项目经理到生产工人（包括临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专职负责所有员工的安全和治安保卫工作及预防事故的发生。安全机构人员，有权按有关规定发布指令，并采取保护性措施防止事故发生。</w:t>
      </w:r>
      <w:r/>
    </w:p>
    <w:p>
      <w:pPr>
        <w:ind w:firstLine="420"/>
        <w:spacing w:line="360" w:lineRule="auto"/>
        <w:rPr>
          <w:rFonts w:hint="eastAsia" w:ascii="宋体" w:hAnsi="宋体" w:eastAsia="宋体"/>
          <w:szCs w:val="21"/>
          <w:lang w:eastAsia="zh-CN"/>
        </w:rPr>
      </w:pPr>
      <w:r>
        <w:rPr>
          <w:rFonts w:ascii="宋体" w:hAnsi="宋体"/>
          <w:szCs w:val="21"/>
        </w:rPr>
        <w:t xml:space="preserve">4、乙方在任何时候都应采取各种合理的预防措施，防止其人员发生任何违法、违禁</w:t>
      </w:r>
      <w:r>
        <w:rPr>
          <w:rFonts w:hint="eastAsia" w:ascii="宋体" w:hAnsi="宋体"/>
          <w:szCs w:val="21"/>
        </w:rPr>
        <w:t xml:space="preserve">、</w:t>
      </w:r>
      <w:r>
        <w:rPr>
          <w:rFonts w:ascii="宋体" w:hAnsi="宋体"/>
          <w:szCs w:val="21"/>
        </w:rPr>
        <w:t xml:space="preserve">暴力、违规或妨碍治安的行为</w:t>
      </w:r>
      <w:r>
        <w:rPr>
          <w:rFonts w:hint="eastAsia" w:ascii="宋体" w:hAnsi="宋体"/>
          <w:szCs w:val="21"/>
          <w:lang w:eastAsia="zh-CN"/>
        </w:rPr>
        <w:t xml:space="preserve">。</w:t>
      </w:r>
      <w:r/>
    </w:p>
    <w:p>
      <w:pPr>
        <w:ind w:firstLine="420"/>
        <w:spacing w:line="360" w:lineRule="auto"/>
        <w:rPr>
          <w:rFonts w:ascii="宋体" w:hAnsi="宋体"/>
          <w:szCs w:val="21"/>
        </w:rPr>
      </w:pPr>
      <w:r>
        <w:rPr>
          <w:rFonts w:ascii="宋体" w:hAnsi="宋体"/>
          <w:szCs w:val="21"/>
        </w:rPr>
        <w:t xml:space="preserve">5、乙方必须具有省部级和部门颁发的安全生产证书，参加施工的人员，必须接受安全技术教育，熟知和遵守本工程的各项安全技术操作堆积，定期进行安全技术考核，合格者方准上岗操作，对于从事机动车驾驶、电气、起重、建筑登高架设作业、焊接等特殊工程的人员须持证上岗。施工现场如发现无证操作现象时，项目经理必须承担管理责任。</w:t>
      </w:r>
      <w:r/>
    </w:p>
    <w:p>
      <w:pPr>
        <w:ind w:firstLine="420"/>
        <w:spacing w:line="360" w:lineRule="auto"/>
        <w:rPr>
          <w:rFonts w:ascii="宋体" w:hAnsi="宋体"/>
          <w:szCs w:val="21"/>
        </w:rPr>
      </w:pPr>
      <w:r>
        <w:rPr>
          <w:rFonts w:ascii="宋体" w:hAnsi="宋体"/>
          <w:szCs w:val="21"/>
        </w:rPr>
        <w:t xml:space="preserve">6、加强施工中交通运输安全管理，各种运输机械等需划定运输线路行驶。</w:t>
      </w:r>
      <w:r/>
    </w:p>
    <w:p>
      <w:pPr>
        <w:ind w:firstLine="420"/>
        <w:spacing w:line="360" w:lineRule="auto"/>
        <w:rPr>
          <w:rFonts w:ascii="宋体" w:hAnsi="宋体"/>
          <w:szCs w:val="21"/>
        </w:rPr>
      </w:pPr>
      <w:r>
        <w:rPr>
          <w:rFonts w:ascii="宋体" w:hAnsi="宋体"/>
          <w:szCs w:val="21"/>
        </w:rPr>
        <w:t xml:space="preserve">7、对于易燃易爆的材料除应专门有效封闭、妥善保管之处，还应配备有足够的消防设施所有施工人员都应熟悉消防设备的性能和使用方法。</w:t>
      </w:r>
      <w:r/>
    </w:p>
    <w:p>
      <w:pPr>
        <w:ind w:firstLine="420"/>
        <w:spacing w:line="360" w:lineRule="auto"/>
        <w:rPr>
          <w:rFonts w:ascii="宋体" w:hAnsi="宋体"/>
          <w:szCs w:val="21"/>
        </w:rPr>
      </w:pPr>
      <w:r>
        <w:rPr>
          <w:rFonts w:ascii="宋体" w:hAnsi="宋体"/>
          <w:szCs w:val="21"/>
        </w:rPr>
        <w:t xml:space="preserve">8、操作人员上岗，必须按规定穿戴防护用品。施工负责人和安全检查员随时检查劳动防护用品的穿戴情况，不按规定穿戴防护用品的人员不得上岗。</w:t>
      </w:r>
      <w:r/>
    </w:p>
    <w:p>
      <w:pPr>
        <w:ind w:firstLine="420"/>
        <w:spacing w:line="360" w:lineRule="auto"/>
        <w:rPr>
          <w:rFonts w:ascii="宋体" w:hAnsi="宋体"/>
          <w:szCs w:val="21"/>
        </w:rPr>
      </w:pPr>
      <w:r>
        <w:rPr>
          <w:rFonts w:ascii="宋体" w:hAnsi="宋体"/>
          <w:szCs w:val="21"/>
        </w:rPr>
        <w:t xml:space="preserve">9、所有施工机具、设备和劳动保护用品应具备有效的安检合格证明，并经安全员签字同意后方可使用，施工期间应定期检查，保证其处于完好状态；不合格的机具、设备和劳动保护用品严禁使用。</w:t>
      </w:r>
      <w:r/>
    </w:p>
    <w:p>
      <w:pPr>
        <w:ind w:firstLine="420"/>
        <w:spacing w:line="360" w:lineRule="auto"/>
        <w:rPr>
          <w:rFonts w:ascii="宋体" w:hAnsi="宋体"/>
          <w:szCs w:val="21"/>
        </w:rPr>
      </w:pPr>
      <w:r>
        <w:rPr>
          <w:rFonts w:ascii="宋体" w:hAnsi="宋体"/>
          <w:szCs w:val="21"/>
        </w:rPr>
        <w:t xml:space="preserve">10、施工现场必须具有相关的安全标志牌。</w:t>
      </w:r>
      <w:r/>
    </w:p>
    <w:p>
      <w:pPr>
        <w:ind w:firstLine="420"/>
        <w:spacing w:line="360" w:lineRule="auto"/>
        <w:rPr>
          <w:rFonts w:ascii="宋体" w:hAnsi="宋体"/>
          <w:szCs w:val="21"/>
        </w:rPr>
      </w:pPr>
      <w:r>
        <w:rPr>
          <w:rFonts w:ascii="宋体" w:hAnsi="宋体"/>
          <w:szCs w:val="21"/>
        </w:rPr>
        <w:t xml:space="preserve">11、建立主要危险源备案制度，要明确潜在隐患、防范措施和落实责任人。</w:t>
      </w:r>
      <w:r/>
    </w:p>
    <w:p>
      <w:pPr>
        <w:ind w:firstLine="420"/>
        <w:spacing w:line="360" w:lineRule="auto"/>
        <w:rPr>
          <w:rFonts w:ascii="宋体" w:hAnsi="宋体"/>
          <w:szCs w:val="21"/>
        </w:rPr>
      </w:pPr>
      <w:r>
        <w:rPr>
          <w:rFonts w:hint="eastAsia" w:ascii="宋体" w:hAnsi="宋体"/>
          <w:szCs w:val="21"/>
        </w:rPr>
        <w:t xml:space="preserve">12、乙方负责</w:t>
      </w:r>
      <w:r>
        <w:rPr>
          <w:rFonts w:hint="eastAsia" w:ascii="宋体" w:hAnsi="宋体"/>
          <w:szCs w:val="21"/>
          <w:lang w:eastAsia="zh-CN"/>
        </w:rPr>
        <w:t xml:space="preserve">项目实施</w:t>
      </w:r>
      <w:r>
        <w:rPr>
          <w:rFonts w:hint="eastAsia" w:ascii="宋体" w:hAnsi="宋体"/>
          <w:szCs w:val="21"/>
        </w:rPr>
        <w:t xml:space="preserve">过程中的安全责任，必须高度注意自己的安全义务，乙方承担一切安全责任及由此产生的所有经济及法律责任。</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3</w:t>
      </w:r>
      <w:r>
        <w:rPr>
          <w:rFonts w:ascii="宋体" w:hAnsi="宋体"/>
          <w:szCs w:val="21"/>
        </w:rPr>
        <w:t xml:space="preserve">、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firstLine="420"/>
        <w:spacing w:line="360" w:lineRule="auto"/>
        <w:rPr>
          <w:rFonts w:ascii="宋体" w:hAnsi="宋体"/>
          <w:szCs w:val="21"/>
        </w:rPr>
      </w:pPr>
      <w:r>
        <w:rPr>
          <w:rFonts w:ascii="宋体" w:hAnsi="宋体"/>
          <w:szCs w:val="21"/>
        </w:rPr>
        <w:t xml:space="preserve">三、违约责任</w:t>
      </w:r>
      <w:r/>
    </w:p>
    <w:p>
      <w:pPr>
        <w:ind w:firstLine="420"/>
        <w:spacing w:line="360" w:lineRule="auto"/>
        <w:rPr>
          <w:rFonts w:ascii="宋体" w:hAnsi="宋体"/>
          <w:szCs w:val="21"/>
        </w:rPr>
      </w:pPr>
      <w:r>
        <w:rPr>
          <w:rFonts w:ascii="宋体" w:hAnsi="宋体"/>
          <w:szCs w:val="21"/>
        </w:rPr>
        <w:t xml:space="preserve">如因甲方或乙方违约造成安全事故，将报请有关部门依法追究责任。</w:t>
      </w:r>
      <w:r/>
    </w:p>
    <w:p>
      <w:pPr>
        <w:ind w:firstLine="420"/>
        <w:spacing w:line="360" w:lineRule="auto"/>
        <w:rPr>
          <w:rFonts w:ascii="宋体" w:hAnsi="宋体"/>
          <w:szCs w:val="21"/>
        </w:rPr>
      </w:pPr>
      <w:r>
        <w:rPr>
          <w:rFonts w:ascii="宋体" w:hAnsi="宋体"/>
          <w:szCs w:val="21"/>
        </w:rPr>
        <w:t xml:space="preserve">本合同一式二份，由双方法定代表人或其授权的代理人签署和加盖公章后生效，全部工程竣工验收后失效。</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pacing w:val="-20"/>
          <w:szCs w:val="21"/>
        </w:rPr>
      </w:pPr>
      <w:r>
        <w:rPr>
          <w:rFonts w:ascii="宋体" w:hAnsi="宋体"/>
          <w:szCs w:val="21"/>
        </w:rPr>
        <w:t xml:space="preserve">甲方（盖  章）：    </w:t>
      </w:r>
      <w:r>
        <w:rPr>
          <w:rFonts w:hint="eastAsia" w:ascii="宋体" w:hAnsi="宋体"/>
          <w:szCs w:val="21"/>
        </w:rPr>
        <w:t xml:space="preserve">                      </w:t>
      </w:r>
      <w:r>
        <w:rPr>
          <w:rFonts w:ascii="宋体" w:hAnsi="宋体"/>
          <w:szCs w:val="21"/>
        </w:rPr>
        <w:t xml:space="preserve">乙方（盖  章）</w:t>
      </w:r>
      <w:r>
        <w:rPr>
          <w:rFonts w:ascii="宋体" w:hAnsi="宋体"/>
          <w:spacing w:val="-30"/>
          <w:szCs w:val="21"/>
        </w:rPr>
        <w:t xml:space="preserve">：</w:t>
      </w:r>
      <w:r/>
    </w:p>
    <w:p>
      <w:pPr>
        <w:ind w:firstLine="420"/>
        <w:spacing w:line="360" w:lineRule="auto"/>
        <w:rPr>
          <w:rFonts w:ascii="宋体" w:hAnsi="宋体"/>
          <w:szCs w:val="21"/>
        </w:rPr>
      </w:pPr>
      <w:r>
        <w:rPr>
          <w:rFonts w:ascii="宋体" w:hAnsi="宋体"/>
          <w:szCs w:val="21"/>
        </w:rPr>
        <w:t xml:space="preserve">法定代表人（或授权代理人）：              法定代表人（或授权代理人）：</w:t>
      </w:r>
      <w:r/>
    </w:p>
    <w:p>
      <w:pPr>
        <w:ind w:firstLine="420"/>
        <w:spacing w:line="360" w:lineRule="auto"/>
        <w:rPr>
          <w:rFonts w:ascii="宋体" w:hAnsi="宋体"/>
          <w:szCs w:val="21"/>
        </w:rPr>
      </w:pPr>
      <w:r>
        <w:rPr>
          <w:rFonts w:ascii="宋体" w:hAnsi="宋体"/>
          <w:szCs w:val="21"/>
        </w:rPr>
        <w:t xml:space="preserve">联系方式：                               联系方式：</w:t>
      </w:r>
      <w:r/>
    </w:p>
    <w:p>
      <w:pPr>
        <w:ind w:firstLine="420"/>
        <w:spacing w:line="360" w:lineRule="auto"/>
      </w:pPr>
      <w:r>
        <w:rPr>
          <w:rFonts w:ascii="宋体" w:hAnsi="宋体"/>
          <w:szCs w:val="21"/>
        </w:rPr>
        <w:t xml:space="preserve">日　 期：                                日  期：</w:t>
      </w:r>
      <w:r/>
    </w:p>
    <w:p>
      <w:pPr>
        <w:pStyle w:val="719"/>
        <w:numPr>
          <w:ilvl w:val="0"/>
          <w:numId w:val="0"/>
        </w:numPr>
        <w:jc w:val="both"/>
        <w:pageBreakBefore w:val="0"/>
        <w:spacing w:line="360" w:lineRule="auto"/>
        <w:rPr>
          <w:rFonts w:hint="eastAsia" w:ascii="Times New Roman" w:hAnsi="Times New Roman" w:eastAsia="宋体" w:cs="Arial"/>
          <w:b/>
          <w:color w:val="auto"/>
          <w:sz w:val="30"/>
          <w:szCs w:val="40"/>
          <w:highlight w:val="none"/>
          <w:lang w:val="en-US" w:eastAsia="zh-CN" w:bidi="ar-SA"/>
        </w:rPr>
      </w:pPr>
      <w:r>
        <w:rPr>
          <w:rFonts w:hint="eastAsia" w:ascii="Times New Roman" w:hAnsi="Times New Roman" w:eastAsia="宋体" w:cs="Arial"/>
          <w:b/>
          <w:color w:val="auto"/>
          <w:sz w:val="30"/>
          <w:szCs w:val="40"/>
          <w:highlight w:val="none"/>
          <w:lang w:val="en-US" w:eastAsia="zh-CN" w:bidi="ar-SA"/>
        </w:rPr>
      </w:r>
      <w:r/>
    </w:p>
    <w:p>
      <w:pPr>
        <w:rPr>
          <w:rFonts w:hint="eastAsia" w:ascii="Times New Roman" w:hAnsi="Times New Roman" w:eastAsia="宋体" w:cs="Arial"/>
          <w:b/>
          <w:color w:val="auto"/>
          <w:sz w:val="30"/>
          <w:szCs w:val="40"/>
          <w:highlight w:val="none"/>
          <w:lang w:val="en-US" w:eastAsia="zh-CN" w:bidi="ar-SA"/>
        </w:rPr>
      </w:pPr>
      <w:r>
        <w:rPr>
          <w:rFonts w:hint="eastAsia" w:ascii="Times New Roman" w:hAnsi="Times New Roman" w:eastAsia="宋体" w:cs="Arial"/>
          <w:b/>
          <w:color w:val="auto"/>
          <w:sz w:val="30"/>
          <w:szCs w:val="40"/>
          <w:highlight w:val="none"/>
          <w:lang w:val="en-US" w:eastAsia="zh-CN" w:bidi="ar-SA"/>
        </w:rPr>
      </w:r>
      <w:r/>
    </w:p>
    <w:p>
      <w:pPr>
        <w:pStyle w:val="736"/>
        <w:rPr>
          <w:rFonts w:hint="eastAsia" w:ascii="Times New Roman" w:hAnsi="Times New Roman" w:eastAsia="宋体" w:cs="Arial"/>
          <w:b/>
          <w:color w:val="auto"/>
          <w:sz w:val="30"/>
          <w:szCs w:val="40"/>
          <w:highlight w:val="none"/>
          <w:lang w:val="en-US" w:eastAsia="zh-CN" w:bidi="ar-SA"/>
        </w:rPr>
      </w:pPr>
      <w:r>
        <w:rPr>
          <w:rFonts w:hint="eastAsia" w:ascii="Times New Roman" w:hAnsi="Times New Roman" w:eastAsia="宋体" w:cs="Arial"/>
          <w:b/>
          <w:color w:val="auto"/>
          <w:sz w:val="30"/>
          <w:szCs w:val="40"/>
          <w:highlight w:val="none"/>
          <w:lang w:val="en-US" w:eastAsia="zh-CN" w:bidi="ar-SA"/>
        </w:rPr>
      </w:r>
      <w:r/>
    </w:p>
    <w:p>
      <w:pPr>
        <w:pStyle w:val="736"/>
        <w:rPr>
          <w:rFonts w:hint="eastAsia" w:ascii="Times New Roman" w:hAnsi="Times New Roman" w:eastAsia="宋体" w:cs="Arial"/>
          <w:b/>
          <w:color w:val="auto"/>
          <w:sz w:val="30"/>
          <w:szCs w:val="40"/>
          <w:highlight w:val="none"/>
          <w:lang w:val="en-US" w:eastAsia="zh-CN" w:bidi="ar-SA"/>
        </w:rPr>
      </w:pPr>
      <w:r>
        <w:rPr>
          <w:rFonts w:hint="eastAsia" w:ascii="Times New Roman" w:hAnsi="Times New Roman" w:eastAsia="宋体" w:cs="Arial"/>
          <w:b/>
          <w:color w:val="auto"/>
          <w:sz w:val="30"/>
          <w:szCs w:val="40"/>
          <w:highlight w:val="none"/>
          <w:lang w:val="en-US" w:eastAsia="zh-CN" w:bidi="ar-SA"/>
        </w:rPr>
      </w:r>
      <w:r/>
    </w:p>
    <w:p>
      <w:pPr>
        <w:pStyle w:val="736"/>
        <w:rPr>
          <w:rFonts w:hint="eastAsia" w:ascii="Times New Roman" w:hAnsi="Times New Roman" w:eastAsia="宋体" w:cs="Arial"/>
          <w:b/>
          <w:color w:val="auto"/>
          <w:sz w:val="30"/>
          <w:szCs w:val="40"/>
          <w:highlight w:val="none"/>
          <w:lang w:val="en-US" w:eastAsia="zh-CN" w:bidi="ar-SA"/>
        </w:rPr>
      </w:pPr>
      <w:r>
        <w:rPr>
          <w:rFonts w:hint="eastAsia" w:ascii="Times New Roman" w:hAnsi="Times New Roman" w:eastAsia="宋体" w:cs="Arial"/>
          <w:b/>
          <w:color w:val="auto"/>
          <w:sz w:val="30"/>
          <w:szCs w:val="40"/>
          <w:highlight w:val="none"/>
          <w:lang w:val="en-US" w:eastAsia="zh-CN" w:bidi="ar-SA"/>
        </w:rPr>
      </w:r>
      <w:r/>
    </w:p>
    <w:p>
      <w:pPr>
        <w:pStyle w:val="736"/>
        <w:rPr>
          <w:rFonts w:hint="eastAsia" w:ascii="Times New Roman" w:hAnsi="Times New Roman" w:eastAsia="宋体" w:cs="Arial"/>
          <w:b/>
          <w:color w:val="auto"/>
          <w:sz w:val="30"/>
          <w:szCs w:val="40"/>
          <w:highlight w:val="none"/>
          <w:lang w:val="en-US" w:eastAsia="zh-CN" w:bidi="ar-SA"/>
        </w:rPr>
      </w:pPr>
      <w:r>
        <w:rPr>
          <w:rFonts w:hint="eastAsia" w:ascii="Times New Roman" w:hAnsi="Times New Roman" w:eastAsia="宋体" w:cs="Arial"/>
          <w:b/>
          <w:color w:val="auto"/>
          <w:sz w:val="30"/>
          <w:szCs w:val="40"/>
          <w:highlight w:val="none"/>
          <w:lang w:val="en-US" w:eastAsia="zh-CN" w:bidi="ar-SA"/>
        </w:rPr>
      </w:r>
      <w:r/>
    </w:p>
    <w:p>
      <w:pPr>
        <w:pStyle w:val="736"/>
        <w:rPr>
          <w:rFonts w:hint="eastAsia" w:ascii="Times New Roman" w:hAnsi="Times New Roman" w:eastAsia="宋体" w:cs="Arial"/>
          <w:b/>
          <w:color w:val="auto"/>
          <w:sz w:val="30"/>
          <w:szCs w:val="40"/>
          <w:highlight w:val="none"/>
          <w:lang w:val="en-US" w:eastAsia="zh-CN" w:bidi="ar-SA"/>
        </w:rPr>
      </w:pPr>
      <w:r>
        <w:rPr>
          <w:rFonts w:hint="eastAsia" w:ascii="Times New Roman" w:hAnsi="Times New Roman" w:eastAsia="宋体" w:cs="Arial"/>
          <w:b/>
          <w:color w:val="auto"/>
          <w:sz w:val="30"/>
          <w:szCs w:val="40"/>
          <w:highlight w:val="none"/>
          <w:lang w:val="en-US" w:eastAsia="zh-CN" w:bidi="ar-SA"/>
        </w:rPr>
      </w:r>
      <w:r/>
    </w:p>
    <w:p>
      <w:pPr>
        <w:pStyle w:val="736"/>
        <w:rPr>
          <w:rFonts w:hint="eastAsia" w:ascii="Times New Roman" w:hAnsi="Times New Roman" w:eastAsia="宋体" w:cs="Arial"/>
          <w:b/>
          <w:color w:val="auto"/>
          <w:sz w:val="30"/>
          <w:szCs w:val="40"/>
          <w:highlight w:val="none"/>
          <w:lang w:val="en-US" w:eastAsia="zh-CN" w:bidi="ar-SA"/>
        </w:rPr>
      </w:pPr>
      <w:r>
        <w:rPr>
          <w:rFonts w:hint="eastAsia" w:ascii="Times New Roman" w:hAnsi="Times New Roman" w:eastAsia="宋体" w:cs="Arial"/>
          <w:b/>
          <w:color w:val="auto"/>
          <w:sz w:val="30"/>
          <w:szCs w:val="40"/>
          <w:highlight w:val="none"/>
          <w:lang w:val="en-US" w:eastAsia="zh-CN" w:bidi="ar-SA"/>
        </w:rPr>
      </w:r>
      <w:r/>
    </w:p>
    <w:p>
      <w:pPr>
        <w:pStyle w:val="1030"/>
        <w:rPr>
          <w:rFonts w:ascii="宋体" w:hAnsi="宋体" w:eastAsia="宋体"/>
          <w:highlight w:val="none"/>
        </w:rPr>
      </w:pPr>
      <w:r/>
      <w:bookmarkStart w:id="80" w:name="_Toc497133122"/>
      <w:r>
        <w:rPr>
          <w:rFonts w:ascii="宋体" w:hAnsi="宋体" w:eastAsia="宋体"/>
          <w:highlight w:val="none"/>
        </w:rPr>
        <w:t xml:space="preserve">廉政合同</w:t>
      </w:r>
      <w:r/>
    </w:p>
    <w:p>
      <w:pPr>
        <w:ind w:firstLine="420"/>
        <w:rPr>
          <w:rFonts w:hint="eastAsia" w:ascii="宋体" w:hAnsi="宋体" w:eastAsia="宋体"/>
          <w:highlight w:val="none"/>
          <w:lang w:eastAsia="zh-CN"/>
        </w:rPr>
      </w:pPr>
      <w:r>
        <w:rPr>
          <w:rFonts w:hint="eastAsia" w:ascii="宋体" w:hAnsi="宋体"/>
          <w:highlight w:val="none"/>
        </w:rPr>
        <w:t xml:space="preserve">发包人：</w:t>
      </w:r>
      <w:r>
        <w:rPr>
          <w:rFonts w:hint="eastAsia" w:ascii="宋体" w:hAnsi="宋体"/>
          <w:highlight w:val="none"/>
          <w:lang w:eastAsia="zh-CN"/>
        </w:rPr>
        <w:t xml:space="preserve">扬州市城市河道管理处</w:t>
      </w:r>
      <w:r/>
    </w:p>
    <w:p>
      <w:pPr>
        <w:ind w:firstLine="420"/>
        <w:rPr>
          <w:rFonts w:ascii="宋体" w:hAnsi="宋体"/>
          <w:highlight w:val="none"/>
        </w:rPr>
      </w:pPr>
      <w:r>
        <w:rPr>
          <w:rFonts w:hint="eastAsia" w:ascii="宋体" w:hAnsi="宋体"/>
          <w:highlight w:val="none"/>
        </w:rPr>
        <w:t xml:space="preserve">承包人：</w:t>
      </w:r>
      <w:r/>
    </w:p>
    <w:p>
      <w:pPr>
        <w:ind w:firstLine="420"/>
        <w:rPr>
          <w:rFonts w:ascii="宋体" w:hAnsi="宋体"/>
          <w:highlight w:val="none"/>
        </w:rPr>
      </w:pPr>
      <w:r>
        <w:rPr>
          <w:rFonts w:hint="eastAsia" w:ascii="宋体" w:hAnsi="宋体"/>
          <w:highlight w:val="none"/>
        </w:rPr>
        <w:t xml:space="preserve">为贯彻落实党中央、国务院《关于实行党风廉政建设责任制的规定》，进一步加强水利工程建设中的党风廉政建设，保证建设优质、高效、有序地进行，</w:t>
      </w:r>
      <w:r>
        <w:rPr>
          <w:rFonts w:hint="eastAsia" w:ascii="宋体" w:hAnsi="宋体"/>
          <w:highlight w:val="none"/>
          <w:u w:val="single"/>
          <w:lang w:eastAsia="zh-CN"/>
        </w:rPr>
        <w:t xml:space="preserve">扬州市城市河道管理处</w:t>
      </w:r>
      <w:r>
        <w:rPr>
          <w:rFonts w:hint="eastAsia" w:ascii="宋体" w:hAnsi="宋体"/>
          <w:highlight w:val="none"/>
        </w:rPr>
        <w:t xml:space="preserve">（以下简称“发包人”），与承担</w:t>
      </w:r>
      <w:r>
        <w:rPr>
          <w:rFonts w:hint="eastAsia" w:ascii="宋体" w:hAnsi="宋体"/>
          <w:b/>
          <w:highlight w:val="none"/>
          <w:u w:val="single"/>
        </w:rPr>
        <w:t xml:space="preserve"> </w:t>
      </w:r>
      <w:r>
        <w:rPr>
          <w:rFonts w:hint="eastAsia" w:ascii="宋体" w:hAnsi="宋体"/>
          <w:b/>
          <w:highlight w:val="none"/>
          <w:u w:val="single"/>
          <w:lang w:val="en-US" w:eastAsia="zh-CN"/>
        </w:rPr>
        <w:t xml:space="preserve">               </w:t>
      </w:r>
      <w:r>
        <w:rPr>
          <w:rFonts w:hint="eastAsia" w:ascii="宋体" w:hAnsi="宋体"/>
          <w:highlight w:val="none"/>
        </w:rPr>
        <w:t xml:space="preserve">的承包人</w:t>
      </w:r>
      <w:r>
        <w:rPr>
          <w:rFonts w:hint="eastAsia" w:ascii="宋体" w:hAnsi="宋体"/>
          <w:highlight w:val="none"/>
          <w:u w:val="single"/>
          <w:lang w:val="en-US" w:eastAsia="zh-CN"/>
        </w:rPr>
        <w:t xml:space="preserve">      </w:t>
      </w:r>
      <w:r>
        <w:rPr>
          <w:rFonts w:hint="eastAsia" w:ascii="宋体" w:hAnsi="宋体"/>
          <w:highlight w:val="none"/>
        </w:rPr>
        <w:t xml:space="preserve">（以下简称“承包人”），经双方协商一致，自愿签订以下廉政合同。</w:t>
      </w:r>
      <w:r/>
    </w:p>
    <w:p>
      <w:pPr>
        <w:ind w:firstLine="422"/>
        <w:rPr>
          <w:rFonts w:ascii="宋体" w:hAnsi="宋体"/>
          <w:highlight w:val="none"/>
        </w:rPr>
      </w:pPr>
      <w:r>
        <w:rPr>
          <w:rFonts w:hint="eastAsia" w:ascii="宋体" w:hAnsi="宋体"/>
          <w:b/>
          <w:highlight w:val="none"/>
        </w:rPr>
        <w:t xml:space="preserve">第一条</w:t>
      </w:r>
      <w:r>
        <w:rPr>
          <w:rFonts w:hint="eastAsia" w:ascii="宋体" w:hAnsi="宋体"/>
          <w:highlight w:val="none"/>
        </w:rPr>
        <w:t xml:space="preserve">  承、发包人双方的权利和义务</w:t>
      </w:r>
      <w:r/>
    </w:p>
    <w:p>
      <w:pPr>
        <w:ind w:firstLine="420"/>
        <w:rPr>
          <w:rFonts w:ascii="宋体" w:hAnsi="宋体"/>
          <w:highlight w:val="none"/>
        </w:rPr>
      </w:pPr>
      <w:r>
        <w:rPr>
          <w:rFonts w:hint="eastAsia" w:ascii="宋体" w:hAnsi="宋体"/>
          <w:highlight w:val="none"/>
        </w:rPr>
        <w:t xml:space="preserve">（一）严格遵守党和国家有关法规及党风廉政建设各项规定。</w:t>
      </w:r>
      <w:r/>
    </w:p>
    <w:p>
      <w:pPr>
        <w:ind w:firstLine="420"/>
        <w:rPr>
          <w:rFonts w:ascii="宋体" w:hAnsi="宋体"/>
          <w:highlight w:val="none"/>
        </w:rPr>
      </w:pPr>
      <w:r>
        <w:rPr>
          <w:rFonts w:hint="eastAsia" w:ascii="宋体" w:hAnsi="宋体"/>
          <w:highlight w:val="none"/>
        </w:rPr>
        <w:t xml:space="preserve">（二）严格执行</w:t>
      </w:r>
      <w:r>
        <w:rPr>
          <w:rFonts w:hint="eastAsia" w:ascii="宋体" w:hAnsi="宋体"/>
          <w:b/>
          <w:highlight w:val="none"/>
          <w:u w:val="single"/>
        </w:rPr>
        <w:t xml:space="preserve"> </w:t>
      </w:r>
      <w:r>
        <w:rPr>
          <w:rFonts w:hint="eastAsia" w:ascii="宋体" w:hAnsi="宋体"/>
          <w:b/>
          <w:highlight w:val="none"/>
          <w:u w:val="single"/>
          <w:lang w:val="en-US" w:eastAsia="zh-CN"/>
        </w:rPr>
        <w:t xml:space="preserve">                      项目</w:t>
      </w:r>
      <w:r>
        <w:rPr>
          <w:rFonts w:hint="eastAsia" w:ascii="宋体" w:hAnsi="宋体"/>
          <w:b/>
          <w:highlight w:val="none"/>
          <w:u w:val="single"/>
        </w:rPr>
        <w:t xml:space="preserve">合同</w:t>
      </w:r>
      <w:r>
        <w:rPr>
          <w:rFonts w:hint="eastAsia" w:ascii="宋体" w:hAnsi="宋体"/>
          <w:highlight w:val="none"/>
        </w:rPr>
        <w:t xml:space="preserve">各项规定，自觉按合同办事。</w:t>
      </w:r>
      <w:r/>
    </w:p>
    <w:p>
      <w:pPr>
        <w:ind w:firstLine="420"/>
        <w:rPr>
          <w:rFonts w:ascii="宋体" w:hAnsi="宋体"/>
          <w:highlight w:val="none"/>
        </w:rPr>
      </w:pPr>
      <w:r>
        <w:rPr>
          <w:rFonts w:hint="eastAsia" w:ascii="宋体" w:hAnsi="宋体"/>
          <w:highlight w:val="none"/>
        </w:rPr>
        <w:t xml:space="preserve">（三）双方的业务活动坚持公开、公正、公平、诚信的原则（法律认定的商业秘密和合同文件另有规定除外），严禁损害国家和集体利益、违反工程建设管理规章制度。</w:t>
      </w:r>
      <w:r/>
    </w:p>
    <w:p>
      <w:pPr>
        <w:ind w:firstLine="420"/>
        <w:rPr>
          <w:rFonts w:ascii="宋体" w:hAnsi="宋体"/>
          <w:highlight w:val="none"/>
        </w:rPr>
      </w:pPr>
      <w:r>
        <w:rPr>
          <w:rFonts w:hint="eastAsia" w:ascii="宋体" w:hAnsi="宋体"/>
          <w:highlight w:val="none"/>
        </w:rPr>
        <w:t xml:space="preserve">（四）建立健全并严格执行党风廉政建设各项制度，开展反腐倡廉宣传教育，加强对本方工作人员的监督检查。</w:t>
      </w:r>
      <w:r/>
    </w:p>
    <w:p>
      <w:pPr>
        <w:ind w:firstLine="420"/>
        <w:rPr>
          <w:rFonts w:ascii="宋体" w:hAnsi="宋体"/>
          <w:highlight w:val="none"/>
        </w:rPr>
      </w:pPr>
      <w:r>
        <w:rPr>
          <w:rFonts w:hint="eastAsia" w:ascii="宋体" w:hAnsi="宋体"/>
          <w:highlight w:val="none"/>
        </w:rPr>
        <w:t xml:space="preserve">（五）发现对方在业务活动中有违反廉政规定的行为，有及时提醒和督促对方纠正的权利和义务，并加强对本方工作人员的批评教育，严肃查处违纪违规行为；发现重大违纪违法行为，应向执纪执法机关举报。</w:t>
      </w:r>
      <w:r/>
    </w:p>
    <w:p>
      <w:pPr>
        <w:ind w:firstLine="422"/>
        <w:rPr>
          <w:rFonts w:ascii="宋体" w:hAnsi="宋体"/>
          <w:b/>
          <w:highlight w:val="none"/>
        </w:rPr>
      </w:pPr>
      <w:r>
        <w:rPr>
          <w:rFonts w:hint="eastAsia" w:ascii="宋体" w:hAnsi="宋体"/>
          <w:b/>
          <w:highlight w:val="none"/>
        </w:rPr>
        <w:t xml:space="preserve">第二条  </w:t>
      </w:r>
      <w:r>
        <w:rPr>
          <w:rFonts w:hint="eastAsia" w:ascii="宋体" w:hAnsi="宋体"/>
          <w:highlight w:val="none"/>
        </w:rPr>
        <w:t xml:space="preserve">发包人在廉政建设方面的义务</w:t>
      </w:r>
      <w:r/>
    </w:p>
    <w:p>
      <w:pPr>
        <w:ind w:firstLine="420"/>
        <w:rPr>
          <w:rFonts w:ascii="宋体" w:hAnsi="宋体"/>
          <w:highlight w:val="none"/>
        </w:rPr>
      </w:pPr>
      <w:r>
        <w:rPr>
          <w:rFonts w:hint="eastAsia" w:ascii="宋体" w:hAnsi="宋体"/>
          <w:highlight w:val="none"/>
        </w:rPr>
        <w:t xml:space="preserve">（一）发包人及其工作人员不准在施工单位安插亲友及介绍销售工程材料，不得指定需购物资设备的销售单位或部门；不得违反规定干预承包人的工程项目分包；不得挤占、截留、挪用工程款或超进度拨付工程款；严禁私设小金库。 </w:t>
      </w:r>
      <w:r/>
    </w:p>
    <w:p>
      <w:pPr>
        <w:ind w:firstLine="420"/>
        <w:rPr>
          <w:rFonts w:ascii="宋体" w:hAnsi="宋体"/>
          <w:highlight w:val="none"/>
        </w:rPr>
      </w:pPr>
      <w:r>
        <w:rPr>
          <w:rFonts w:hint="eastAsia" w:ascii="宋体" w:hAnsi="宋体"/>
          <w:highlight w:val="none"/>
        </w:rPr>
        <w:t xml:space="preserve">（二）发包人及其工作人员不准利用职务之便索要或接受承包人的现金、有价证券、支付凭证及收受干股，或以赌博等交易形式非法收受承包人财物。</w:t>
      </w:r>
      <w:r/>
    </w:p>
    <w:p>
      <w:pPr>
        <w:ind w:firstLine="420"/>
        <w:rPr>
          <w:rFonts w:ascii="宋体" w:hAnsi="宋体"/>
          <w:highlight w:val="none"/>
        </w:rPr>
      </w:pPr>
      <w:r>
        <w:rPr>
          <w:rFonts w:hint="eastAsia" w:ascii="宋体" w:hAnsi="宋体"/>
          <w:highlight w:val="none"/>
        </w:rPr>
        <w:t xml:space="preserve">（三）发包人及其工作人员不准让承包人报销应由发包人或个人支付的费用；不准利用职务便利为承包人谋取不当利益。</w:t>
      </w:r>
      <w:r/>
    </w:p>
    <w:p>
      <w:pPr>
        <w:ind w:firstLine="420"/>
        <w:rPr>
          <w:rFonts w:ascii="宋体" w:hAnsi="宋体"/>
          <w:highlight w:val="none"/>
        </w:rPr>
      </w:pPr>
      <w:r>
        <w:rPr>
          <w:rFonts w:hint="eastAsia" w:ascii="宋体" w:hAnsi="宋体"/>
          <w:highlight w:val="none"/>
        </w:rPr>
        <w:t xml:space="preserve">（四）发包人工作人员不准要求或者接受承包人可能影响公正执行公务的宴请；不准要求承包人提供交通工具、通讯工具、高档办公用品等。</w:t>
      </w:r>
      <w:r/>
    </w:p>
    <w:p>
      <w:pPr>
        <w:ind w:firstLine="420"/>
        <w:rPr>
          <w:rFonts w:ascii="宋体" w:hAnsi="宋体"/>
          <w:highlight w:val="none"/>
        </w:rPr>
      </w:pPr>
      <w:r>
        <w:rPr>
          <w:rFonts w:hint="eastAsia" w:ascii="宋体" w:hAnsi="宋体"/>
          <w:highlight w:val="none"/>
        </w:rPr>
        <w:t xml:space="preserve">（五）发包人及其工作人员不准要求或者接受承包人为其住房装修、婚丧嫁娶、特定关系人（近亲属及其它共同利益关系的人）出国（境）旅游提供方便。</w:t>
      </w:r>
      <w:r/>
    </w:p>
    <w:p>
      <w:pPr>
        <w:ind w:firstLine="420"/>
        <w:rPr>
          <w:rFonts w:ascii="宋体" w:hAnsi="宋体"/>
          <w:highlight w:val="none"/>
        </w:rPr>
      </w:pPr>
      <w:r>
        <w:rPr>
          <w:rFonts w:hint="eastAsia" w:ascii="宋体" w:hAnsi="宋体"/>
          <w:highlight w:val="none"/>
        </w:rPr>
        <w:t xml:space="preserve">（六）发包人及其工作人员不准利用职务之便为承包人谋取利益之前或之后，约定在其离职后收受承包人财物，并在离职后收受。</w:t>
      </w:r>
      <w:r/>
    </w:p>
    <w:p>
      <w:pPr>
        <w:ind w:firstLine="420"/>
        <w:rPr>
          <w:rFonts w:ascii="宋体" w:hAnsi="宋体"/>
          <w:highlight w:val="none"/>
        </w:rPr>
      </w:pPr>
      <w:r>
        <w:rPr>
          <w:rFonts w:hint="eastAsia" w:ascii="宋体" w:hAnsi="宋体"/>
          <w:highlight w:val="none"/>
        </w:rPr>
        <w:t xml:space="preserve">（七）发包人及其工作人员不准要求或者收受承包人住房、汽车等物品，不准收受承包人为其以明显低于市场价购置住房或以劣换优、以借为名占用承包人住房。</w:t>
      </w:r>
      <w:r/>
    </w:p>
    <w:p>
      <w:pPr>
        <w:ind w:firstLine="420"/>
        <w:rPr>
          <w:rFonts w:ascii="宋体" w:hAnsi="宋体"/>
          <w:highlight w:val="none"/>
        </w:rPr>
      </w:pPr>
      <w:r>
        <w:rPr>
          <w:rFonts w:hint="eastAsia" w:ascii="宋体" w:hAnsi="宋体"/>
          <w:highlight w:val="none"/>
        </w:rPr>
        <w:t xml:space="preserve">（八）发包人及其工作人员不准要求或者接受承包人以给特定关系人安排工作为名，使特定关系人不实际工作却获取薪酬；不准违反规定从事与承包人施工项目有关的材料设备供应、工程分包等经济活动。</w:t>
      </w:r>
      <w:r/>
    </w:p>
    <w:p>
      <w:pPr>
        <w:ind w:firstLine="420"/>
        <w:rPr>
          <w:rFonts w:ascii="宋体" w:hAnsi="宋体"/>
          <w:highlight w:val="none"/>
        </w:rPr>
      </w:pPr>
      <w:r>
        <w:rPr>
          <w:rFonts w:hint="eastAsia" w:ascii="宋体" w:hAnsi="宋体"/>
          <w:highlight w:val="none"/>
        </w:rPr>
        <w:t xml:space="preserve">（九）发包人及其工作人员不准在与承包人有直接利害关系的企事业单位兼职、兼职取酬、投资入股、经商办企业以及从事有偿中介活动。</w:t>
      </w:r>
      <w:r/>
    </w:p>
    <w:p>
      <w:pPr>
        <w:ind w:firstLine="420"/>
        <w:rPr>
          <w:rFonts w:ascii="宋体" w:hAnsi="宋体"/>
          <w:highlight w:val="none"/>
        </w:rPr>
      </w:pPr>
      <w:r>
        <w:rPr>
          <w:rFonts w:hint="eastAsia" w:ascii="宋体" w:hAnsi="宋体"/>
          <w:highlight w:val="none"/>
        </w:rPr>
        <w:t xml:space="preserve">（十）发包人或工作人员不得利用职务便利为承包人谋取利益，由承包人出资 “合作”开办公司或进行其他合作投资，或委托承包人投资证券、期货或由其他委托理财名义，未实际出资并获取“收益”，或虽然出资，但获取“利益”明显高于出资应得收益；或授意承包人以本规定所列形式，将有关财物给特定关系人。</w:t>
      </w:r>
      <w:r/>
    </w:p>
    <w:p>
      <w:pPr>
        <w:ind w:firstLine="422"/>
        <w:rPr>
          <w:rFonts w:ascii="宋体" w:hAnsi="宋体"/>
          <w:b/>
          <w:highlight w:val="none"/>
        </w:rPr>
      </w:pPr>
      <w:r>
        <w:rPr>
          <w:rFonts w:hint="eastAsia" w:ascii="宋体" w:hAnsi="宋体"/>
          <w:b/>
          <w:highlight w:val="none"/>
        </w:rPr>
        <w:t xml:space="preserve">第三条  </w:t>
      </w:r>
      <w:r>
        <w:rPr>
          <w:rFonts w:hint="eastAsia" w:ascii="宋体" w:hAnsi="宋体"/>
          <w:highlight w:val="none"/>
        </w:rPr>
        <w:t xml:space="preserve">承包人在廉政建设方面义务</w:t>
      </w:r>
      <w:r/>
    </w:p>
    <w:p>
      <w:pPr>
        <w:ind w:firstLine="420"/>
        <w:rPr>
          <w:rFonts w:ascii="宋体" w:hAnsi="宋体"/>
          <w:highlight w:val="none"/>
        </w:rPr>
      </w:pPr>
      <w:r>
        <w:rPr>
          <w:rFonts w:hint="eastAsia" w:ascii="宋体" w:hAnsi="宋体"/>
          <w:highlight w:val="none"/>
        </w:rPr>
        <w:t xml:space="preserve">（一）承包人不准以任何形式向发包人及其工作人员馈赠现金、有价证券、支付凭证及赠送干股，或以赌博等交易形式非法赠送发包人财物。</w:t>
      </w:r>
      <w:r/>
    </w:p>
    <w:p>
      <w:pPr>
        <w:ind w:firstLine="420"/>
        <w:rPr>
          <w:rFonts w:ascii="宋体" w:hAnsi="宋体"/>
          <w:highlight w:val="none"/>
        </w:rPr>
      </w:pPr>
      <w:r>
        <w:rPr>
          <w:rFonts w:hint="eastAsia" w:ascii="宋体" w:hAnsi="宋体"/>
          <w:highlight w:val="none"/>
        </w:rPr>
        <w:t xml:space="preserve">（二）承包人不准以任何名义为发包人及其工作人员报销应由发包人或个人支付的费用。</w:t>
      </w:r>
      <w:r/>
    </w:p>
    <w:p>
      <w:pPr>
        <w:ind w:firstLine="420"/>
        <w:rPr>
          <w:rFonts w:ascii="宋体" w:hAnsi="宋体"/>
          <w:highlight w:val="none"/>
        </w:rPr>
      </w:pPr>
      <w:r>
        <w:rPr>
          <w:rFonts w:hint="eastAsia" w:ascii="宋体" w:hAnsi="宋体"/>
          <w:highlight w:val="none"/>
        </w:rPr>
        <w:t xml:space="preserve">（三）承包人不准以任何理由邀请发包人工作人员参加对承建的工程项目有影响的宴请及娱乐活动；不准为其提供通讯工具、交通工具、高档办公用品等。</w:t>
      </w:r>
      <w:r/>
    </w:p>
    <w:p>
      <w:pPr>
        <w:ind w:firstLine="420"/>
        <w:rPr>
          <w:rFonts w:ascii="宋体" w:hAnsi="宋体"/>
          <w:highlight w:val="none"/>
        </w:rPr>
      </w:pPr>
      <w:r>
        <w:rPr>
          <w:rFonts w:hint="eastAsia" w:ascii="宋体" w:hAnsi="宋体"/>
          <w:highlight w:val="none"/>
        </w:rPr>
        <w:t xml:space="preserve">（四）承包人不准为发包人工作人员住房装修、婚丧嫁娶、特定关系人出国（境）旅游提供方便；不准为发包人工作人员的特定关系人以安排工作为名，使其不实际工作却获取薪酬。</w:t>
      </w:r>
      <w:r/>
    </w:p>
    <w:p>
      <w:pPr>
        <w:ind w:firstLine="420"/>
        <w:rPr>
          <w:rFonts w:ascii="宋体" w:hAnsi="宋体"/>
          <w:highlight w:val="none"/>
        </w:rPr>
      </w:pPr>
      <w:r>
        <w:rPr>
          <w:rFonts w:hint="eastAsia" w:ascii="宋体" w:hAnsi="宋体"/>
          <w:highlight w:val="none"/>
        </w:rPr>
        <w:t xml:space="preserve">（五）承包人不准赠送发包人工作人员住房、汽车等物品，不准为其以明显低于市场价购置住房或以劣换优、以借为名赠送住房。</w:t>
      </w:r>
      <w:r/>
    </w:p>
    <w:p>
      <w:pPr>
        <w:ind w:firstLine="420"/>
        <w:rPr>
          <w:rFonts w:ascii="宋体" w:hAnsi="宋体"/>
          <w:highlight w:val="none"/>
        </w:rPr>
      </w:pPr>
      <w:r>
        <w:rPr>
          <w:rFonts w:hint="eastAsia" w:ascii="宋体" w:hAnsi="宋体"/>
          <w:highlight w:val="none"/>
        </w:rPr>
        <w:t xml:space="preserve">（六）承包人不准违反规定将承建的施工项目分包或非法转包。</w:t>
      </w:r>
      <w:r/>
    </w:p>
    <w:p>
      <w:pPr>
        <w:ind w:firstLine="420"/>
        <w:rPr>
          <w:rFonts w:ascii="宋体" w:hAnsi="宋体"/>
          <w:highlight w:val="none"/>
        </w:rPr>
      </w:pPr>
      <w:r>
        <w:rPr>
          <w:rFonts w:hint="eastAsia" w:ascii="宋体" w:hAnsi="宋体"/>
          <w:highlight w:val="none"/>
        </w:rPr>
        <w:t xml:space="preserve">（七）承包人及其工作人员不准与该工程的监理单位串通，违反工程计量、资金支付、质量验评、竣工验收等有关规定和程序，损害发包人利益，影响工程质量、进度和安全。</w:t>
      </w:r>
      <w:r/>
    </w:p>
    <w:p>
      <w:pPr>
        <w:ind w:firstLine="420"/>
        <w:rPr>
          <w:rFonts w:ascii="宋体" w:hAnsi="宋体"/>
          <w:highlight w:val="none"/>
        </w:rPr>
      </w:pPr>
      <w:r>
        <w:rPr>
          <w:rFonts w:hint="eastAsia" w:ascii="宋体" w:hAnsi="宋体"/>
          <w:highlight w:val="none"/>
        </w:rPr>
        <w:t xml:space="preserve">（八）按照发包人和监督部门的要求，对农民工工资实行银行卡支付，不得克扣、截留、拖欠农民工工资。</w:t>
      </w:r>
      <w:r/>
    </w:p>
    <w:p>
      <w:pPr>
        <w:ind w:firstLine="422"/>
        <w:rPr>
          <w:rFonts w:ascii="宋体" w:hAnsi="宋体"/>
          <w:highlight w:val="none"/>
        </w:rPr>
      </w:pPr>
      <w:r>
        <w:rPr>
          <w:rFonts w:hint="eastAsia" w:ascii="宋体" w:hAnsi="宋体"/>
          <w:b/>
          <w:highlight w:val="none"/>
        </w:rPr>
        <w:t xml:space="preserve">第四条</w:t>
      </w:r>
      <w:r>
        <w:rPr>
          <w:rFonts w:hint="eastAsia" w:ascii="宋体" w:hAnsi="宋体"/>
          <w:highlight w:val="none"/>
        </w:rPr>
        <w:t xml:space="preserve">  违约责任</w:t>
      </w:r>
      <w:r/>
    </w:p>
    <w:p>
      <w:pPr>
        <w:ind w:firstLine="420"/>
        <w:rPr>
          <w:rFonts w:ascii="宋体" w:hAnsi="宋体"/>
          <w:highlight w:val="none"/>
        </w:rPr>
      </w:pPr>
      <w:r>
        <w:rPr>
          <w:rFonts w:hint="eastAsia" w:ascii="宋体" w:hAnsi="宋体"/>
          <w:highlight w:val="none"/>
        </w:rPr>
        <w:t xml:space="preserve">（一）发包人若违反本《廉政合同》有关规定的，对违纪违规人员，由发包人主管部门依据有关规定查处，构成犯罪的移交司法机关处理，给承包人造成的损失，按有关规定予以赔偿。</w:t>
      </w:r>
      <w:r/>
    </w:p>
    <w:p>
      <w:pPr>
        <w:ind w:firstLine="420"/>
        <w:rPr>
          <w:rFonts w:ascii="宋体" w:hAnsi="宋体"/>
          <w:highlight w:val="none"/>
        </w:rPr>
      </w:pPr>
      <w:r>
        <w:rPr>
          <w:rFonts w:hint="eastAsia" w:ascii="宋体" w:hAnsi="宋体"/>
          <w:highlight w:val="none"/>
        </w:rPr>
        <w:t xml:space="preserve">（二）承包人若违反本《廉政合同》有关规定的，对违纪违规人员，由承包人主管部门或行业管理部门依据有关规定查处，构成犯罪的移交司法机关处理，给发包人造成的损失，按有关规定予以赔偿。</w:t>
      </w:r>
      <w:r/>
    </w:p>
    <w:p>
      <w:pPr>
        <w:ind w:firstLine="422"/>
        <w:rPr>
          <w:rFonts w:ascii="宋体" w:hAnsi="宋体"/>
          <w:highlight w:val="none"/>
        </w:rPr>
      </w:pPr>
      <w:r>
        <w:rPr>
          <w:rFonts w:hint="eastAsia" w:ascii="宋体" w:hAnsi="宋体"/>
          <w:b/>
          <w:highlight w:val="none"/>
        </w:rPr>
        <w:t xml:space="preserve">第五条</w:t>
      </w:r>
      <w:r>
        <w:rPr>
          <w:rFonts w:hint="eastAsia" w:ascii="宋体" w:hAnsi="宋体"/>
          <w:highlight w:val="none"/>
        </w:rPr>
        <w:t xml:space="preserve">  督查单位</w:t>
      </w:r>
      <w:r/>
    </w:p>
    <w:p>
      <w:pPr>
        <w:ind w:firstLine="420"/>
        <w:rPr>
          <w:rFonts w:ascii="宋体" w:hAnsi="宋体"/>
          <w:highlight w:val="none"/>
        </w:rPr>
      </w:pPr>
      <w:r>
        <w:rPr>
          <w:rFonts w:hint="eastAsia" w:ascii="宋体" w:hAnsi="宋体"/>
          <w:highlight w:val="none"/>
        </w:rPr>
        <w:t xml:space="preserve">双方约定：自愿接受</w:t>
      </w:r>
      <w:r>
        <w:rPr>
          <w:rFonts w:hint="eastAsia" w:ascii="宋体" w:hAnsi="宋体"/>
          <w:b/>
          <w:highlight w:val="none"/>
          <w:u w:val="single"/>
        </w:rPr>
        <w:t xml:space="preserve">相关纪检监察单位</w:t>
      </w:r>
      <w:r>
        <w:rPr>
          <w:rFonts w:hint="eastAsia" w:ascii="宋体" w:hAnsi="宋体"/>
          <w:highlight w:val="none"/>
        </w:rPr>
        <w:t xml:space="preserve">对合同执行情况的监督检查，承、发包双方应积极配合督查单位的检查，包括提供有关资料和财务账册凭证，接受本合同规定范围内的裁定意见。</w:t>
      </w:r>
      <w:r/>
    </w:p>
    <w:p>
      <w:pPr>
        <w:ind w:firstLine="422"/>
        <w:rPr>
          <w:rFonts w:ascii="宋体" w:hAnsi="宋体"/>
          <w:highlight w:val="none"/>
        </w:rPr>
      </w:pPr>
      <w:r>
        <w:rPr>
          <w:rFonts w:hint="eastAsia" w:ascii="宋体" w:hAnsi="宋体"/>
          <w:b/>
          <w:highlight w:val="none"/>
        </w:rPr>
        <w:t xml:space="preserve">第六条</w:t>
      </w:r>
      <w:r>
        <w:rPr>
          <w:rFonts w:hint="eastAsia" w:ascii="宋体" w:hAnsi="宋体"/>
          <w:highlight w:val="none"/>
        </w:rPr>
        <w:t xml:space="preserve">  检查方式</w:t>
      </w:r>
      <w:r/>
    </w:p>
    <w:p>
      <w:pPr>
        <w:ind w:firstLine="420"/>
        <w:rPr>
          <w:rFonts w:ascii="宋体" w:hAnsi="宋体"/>
          <w:highlight w:val="none"/>
        </w:rPr>
      </w:pPr>
      <w:r>
        <w:rPr>
          <w:rFonts w:hint="eastAsia" w:ascii="宋体" w:hAnsi="宋体"/>
          <w:highlight w:val="none"/>
        </w:rPr>
        <w:t xml:space="preserve">本合同的履约情况由督查单位主持，承、发包双方共同派员参加，检查方式为座谈、问卷调查、查看资料及财务账册或由各方约定的其他方式等。检查时间、次数、方式、检查结论和执行违约责任等由双方协商确定，如无法达成一致的，由督查单位依据事实裁定。</w:t>
      </w:r>
      <w:r/>
    </w:p>
    <w:p>
      <w:pPr>
        <w:ind w:firstLine="422"/>
        <w:rPr>
          <w:rFonts w:ascii="宋体" w:hAnsi="宋体"/>
          <w:b/>
          <w:highlight w:val="none"/>
        </w:rPr>
      </w:pPr>
      <w:r>
        <w:rPr>
          <w:rFonts w:hint="eastAsia" w:ascii="宋体" w:hAnsi="宋体"/>
          <w:b/>
          <w:highlight w:val="none"/>
        </w:rPr>
        <w:t xml:space="preserve">第七条  </w:t>
      </w:r>
      <w:r>
        <w:rPr>
          <w:rFonts w:hint="eastAsia" w:ascii="宋体" w:hAnsi="宋体"/>
          <w:highlight w:val="none"/>
        </w:rPr>
        <w:t xml:space="preserve">本合同有效期为工程开工之日起至该合同工程项目竣工验收后止</w:t>
      </w:r>
      <w:r>
        <w:rPr>
          <w:rFonts w:hint="eastAsia" w:ascii="宋体" w:hAnsi="宋体"/>
          <w:b/>
          <w:highlight w:val="none"/>
        </w:rPr>
        <w:t xml:space="preserve">。</w:t>
      </w:r>
      <w:r/>
    </w:p>
    <w:p>
      <w:pPr>
        <w:ind w:firstLine="422"/>
        <w:rPr>
          <w:rFonts w:hint="eastAsia" w:ascii="宋体" w:hAnsi="宋体"/>
          <w:highlight w:val="none"/>
        </w:rPr>
      </w:pPr>
      <w:r>
        <w:rPr>
          <w:rFonts w:hint="eastAsia" w:ascii="宋体" w:hAnsi="宋体"/>
          <w:b/>
          <w:highlight w:val="none"/>
        </w:rPr>
        <w:t xml:space="preserve">第八条</w:t>
      </w:r>
      <w:r>
        <w:rPr>
          <w:rFonts w:hint="eastAsia" w:ascii="宋体" w:hAnsi="宋体"/>
          <w:highlight w:val="none"/>
        </w:rPr>
        <w:t xml:space="preserve">  本合同一式</w:t>
      </w:r>
      <w:r>
        <w:rPr>
          <w:rFonts w:hint="eastAsia" w:ascii="宋体" w:hAnsi="宋体"/>
          <w:b/>
          <w:highlight w:val="none"/>
          <w:u w:val="single"/>
          <w:lang w:eastAsia="zh-CN"/>
        </w:rPr>
        <w:t xml:space="preserve">叁</w:t>
      </w:r>
      <w:r>
        <w:rPr>
          <w:rFonts w:hint="eastAsia" w:ascii="宋体" w:hAnsi="宋体"/>
          <w:highlight w:val="none"/>
        </w:rPr>
        <w:t xml:space="preserve">份，承、发包双方各执</w:t>
      </w:r>
      <w:r>
        <w:rPr>
          <w:rFonts w:hint="eastAsia" w:ascii="宋体" w:hAnsi="宋体"/>
          <w:b/>
          <w:highlight w:val="none"/>
          <w:u w:val="single"/>
          <w:lang w:eastAsia="zh-CN"/>
        </w:rPr>
        <w:t xml:space="preserve">壹</w:t>
      </w:r>
      <w:r>
        <w:rPr>
          <w:rFonts w:hint="eastAsia" w:ascii="宋体" w:hAnsi="宋体"/>
          <w:highlight w:val="none"/>
        </w:rPr>
        <w:t xml:space="preserve">份，送交督查单位</w:t>
      </w:r>
      <w:r>
        <w:rPr>
          <w:rFonts w:hint="eastAsia" w:ascii="宋体" w:hAnsi="宋体"/>
          <w:b/>
          <w:highlight w:val="none"/>
          <w:u w:val="single"/>
        </w:rPr>
        <w:t xml:space="preserve">壹</w:t>
      </w:r>
      <w:r>
        <w:rPr>
          <w:rFonts w:hint="eastAsia" w:ascii="宋体" w:hAnsi="宋体"/>
          <w:highlight w:val="none"/>
        </w:rPr>
        <w:t xml:space="preserve">份。</w:t>
      </w:r>
      <w:r/>
    </w:p>
    <w:p>
      <w:pPr>
        <w:ind w:firstLine="424"/>
        <w:rPr>
          <w:rFonts w:ascii="宋体" w:hAnsi="宋体"/>
          <w:highlight w:val="none"/>
        </w:rPr>
      </w:pPr>
      <w:r>
        <w:rPr>
          <w:rFonts w:hint="eastAsia" w:ascii="宋体" w:hAnsi="宋体"/>
          <w:highlight w:val="none"/>
        </w:rPr>
        <w:t xml:space="preserve">（以下无正文）</w:t>
      </w:r>
      <w:r/>
    </w:p>
    <w:p>
      <w:pPr>
        <w:ind w:firstLine="424"/>
        <w:rPr>
          <w:rFonts w:ascii="宋体" w:hAnsi="宋体"/>
          <w:highlight w:val="none"/>
        </w:rPr>
      </w:pPr>
      <w:r>
        <w:rPr>
          <w:rFonts w:ascii="宋体" w:hAnsi="宋体"/>
          <w:highlight w:val="none"/>
        </w:rPr>
      </w:r>
      <w:r/>
    </w:p>
    <w:p>
      <w:pPr>
        <w:ind w:firstLine="420"/>
        <w:rPr>
          <w:rFonts w:ascii="宋体" w:hAnsi="宋体"/>
          <w:highlight w:val="none"/>
        </w:rPr>
      </w:pPr>
      <w:r>
        <w:rPr>
          <w:rFonts w:hint="eastAsia" w:ascii="宋体" w:hAnsi="宋体"/>
          <w:highlight w:val="none"/>
        </w:rPr>
        <w:t xml:space="preserve">发  包  人:(盖章)                承  包  人:(盖章)                </w:t>
      </w:r>
      <w:r/>
    </w:p>
    <w:p>
      <w:pPr>
        <w:ind w:firstLine="420"/>
        <w:rPr>
          <w:rFonts w:ascii="宋体" w:hAnsi="宋体"/>
          <w:highlight w:val="none"/>
        </w:rPr>
      </w:pPr>
      <w:r>
        <w:rPr>
          <w:rFonts w:hint="eastAsia" w:ascii="宋体" w:hAnsi="宋体"/>
          <w:highlight w:val="none"/>
        </w:rPr>
        <w:t xml:space="preserve">法定代表人:(签名)                法定代表人:(签名)</w:t>
      </w:r>
      <w:r/>
    </w:p>
    <w:p>
      <w:pPr>
        <w:ind w:firstLine="420"/>
        <w:rPr>
          <w:rFonts w:ascii="宋体" w:hAnsi="宋体"/>
          <w:highlight w:val="none"/>
        </w:rPr>
      </w:pPr>
      <w:r>
        <w:rPr>
          <w:rFonts w:hint="eastAsia" w:ascii="宋体" w:hAnsi="宋体"/>
          <w:highlight w:val="none"/>
        </w:rPr>
        <w:t xml:space="preserve">或授权代理人:(签名)              或授权代理人:(签名)</w:t>
      </w:r>
      <w:r/>
    </w:p>
    <w:p>
      <w:pPr>
        <w:ind w:firstLine="420"/>
        <w:rPr>
          <w:rFonts w:ascii="宋体" w:hAnsi="宋体"/>
          <w:highlight w:val="none"/>
        </w:rPr>
      </w:pPr>
      <w:r>
        <w:rPr>
          <w:rFonts w:hint="eastAsia" w:ascii="宋体" w:hAnsi="宋体"/>
          <w:highlight w:val="none"/>
        </w:rPr>
        <w:t xml:space="preserve">单位地址：                       单位地址：</w:t>
      </w:r>
      <w:r/>
    </w:p>
    <w:p>
      <w:pPr>
        <w:ind w:firstLine="420"/>
        <w:rPr>
          <w:rFonts w:ascii="宋体" w:hAnsi="宋体"/>
          <w:highlight w:val="none"/>
        </w:rPr>
      </w:pPr>
      <w:r>
        <w:rPr>
          <w:rFonts w:hint="eastAsia" w:ascii="宋体" w:hAnsi="宋体"/>
          <w:highlight w:val="none"/>
        </w:rPr>
        <w:t xml:space="preserve">联系电话：                       联系电话：</w:t>
      </w:r>
      <w:r/>
    </w:p>
    <w:p>
      <w:pPr>
        <w:ind w:firstLine="420"/>
        <w:rPr>
          <w:rFonts w:ascii="宋体" w:hAnsi="宋体"/>
          <w:highlight w:val="none"/>
        </w:rPr>
      </w:pPr>
      <w:r>
        <w:rPr>
          <w:rFonts w:ascii="宋体" w:hAnsi="宋体"/>
          <w:highlight w:val="none"/>
        </w:rPr>
      </w:r>
      <w:r/>
    </w:p>
    <w:p>
      <w:pPr>
        <w:jc w:val="right"/>
        <w:rPr>
          <w:rFonts w:ascii="宋体" w:hAnsi="宋体"/>
          <w:highlight w:val="none"/>
        </w:rPr>
      </w:pPr>
      <w:r>
        <w:rPr>
          <w:rFonts w:hint="eastAsia" w:ascii="宋体" w:hAnsi="宋体"/>
          <w:highlight w:val="none"/>
        </w:rPr>
        <w:t xml:space="preserve">签订日期：      年    月    日</w:t>
      </w:r>
      <w:r/>
    </w:p>
    <w:p>
      <w:pPr>
        <w:pStyle w:val="1030"/>
        <w:rPr>
          <w:rFonts w:ascii="宋体" w:hAnsi="宋体" w:eastAsia="宋体"/>
          <w:highlight w:val="none"/>
        </w:rPr>
      </w:pPr>
      <w:r>
        <w:rPr>
          <w:rFonts w:ascii="宋体" w:hAnsi="宋体" w:eastAsia="宋体"/>
          <w:highlight w:val="none"/>
        </w:rPr>
      </w:r>
      <w:bookmarkEnd w:id="80"/>
      <w:r/>
      <w:r/>
    </w:p>
    <w:p>
      <w:pPr>
        <w:pStyle w:val="736"/>
        <w:ind w:left="0"/>
        <w:rPr>
          <w:rFonts w:hint="eastAsia" w:ascii="Times New Roman" w:hAnsi="Times New Roman" w:eastAsia="宋体" w:cs="Arial"/>
          <w:b/>
          <w:color w:val="auto"/>
          <w:sz w:val="30"/>
          <w:szCs w:val="40"/>
          <w:highlight w:val="none"/>
          <w:lang w:val="en-US" w:eastAsia="zh-CN" w:bidi="ar-SA"/>
        </w:rPr>
      </w:pPr>
      <w:r>
        <w:rPr>
          <w:rFonts w:hint="eastAsia" w:ascii="Times New Roman" w:hAnsi="Times New Roman" w:eastAsia="宋体" w:cs="Arial"/>
          <w:b/>
          <w:color w:val="auto"/>
          <w:sz w:val="30"/>
          <w:szCs w:val="40"/>
          <w:highlight w:val="none"/>
          <w:lang w:val="en-US" w:eastAsia="zh-CN" w:bidi="ar-SA"/>
        </w:rPr>
      </w:r>
      <w:r/>
    </w:p>
    <w:p>
      <w:pPr>
        <w:pStyle w:val="736"/>
        <w:rPr>
          <w:rFonts w:hint="eastAsia" w:ascii="Times New Roman" w:hAnsi="Times New Roman" w:eastAsia="宋体" w:cs="Arial"/>
          <w:b/>
          <w:color w:val="auto"/>
          <w:sz w:val="30"/>
          <w:szCs w:val="40"/>
          <w:highlight w:val="none"/>
          <w:lang w:val="en-US" w:eastAsia="zh-CN" w:bidi="ar-SA"/>
        </w:rPr>
      </w:pPr>
      <w:r>
        <w:rPr>
          <w:rFonts w:hint="eastAsia" w:ascii="Times New Roman" w:hAnsi="Times New Roman" w:eastAsia="宋体" w:cs="Arial"/>
          <w:b/>
          <w:color w:val="auto"/>
          <w:sz w:val="30"/>
          <w:szCs w:val="40"/>
          <w:highlight w:val="none"/>
          <w:lang w:val="en-US" w:eastAsia="zh-CN" w:bidi="ar-SA"/>
        </w:rPr>
      </w:r>
      <w:r/>
    </w:p>
    <w:p>
      <w:pPr>
        <w:pStyle w:val="736"/>
        <w:rPr>
          <w:rFonts w:hint="eastAsia" w:ascii="Times New Roman" w:hAnsi="Times New Roman" w:eastAsia="宋体" w:cs="Arial"/>
          <w:b/>
          <w:color w:val="auto"/>
          <w:sz w:val="30"/>
          <w:szCs w:val="40"/>
          <w:highlight w:val="none"/>
          <w:lang w:val="en-US" w:eastAsia="zh-CN" w:bidi="ar-SA"/>
        </w:rPr>
      </w:pPr>
      <w:r>
        <w:rPr>
          <w:rFonts w:hint="eastAsia" w:ascii="Times New Roman" w:hAnsi="Times New Roman" w:eastAsia="宋体" w:cs="Arial"/>
          <w:b/>
          <w:color w:val="auto"/>
          <w:sz w:val="30"/>
          <w:szCs w:val="40"/>
          <w:highlight w:val="none"/>
          <w:lang w:val="en-US" w:eastAsia="zh-CN" w:bidi="ar-SA"/>
        </w:rPr>
      </w:r>
      <w:r/>
    </w:p>
    <w:p>
      <w:pPr>
        <w:pStyle w:val="736"/>
        <w:rPr>
          <w:rFonts w:hint="eastAsia" w:ascii="Times New Roman" w:hAnsi="Times New Roman" w:eastAsia="宋体" w:cs="Arial"/>
          <w:b/>
          <w:color w:val="auto"/>
          <w:sz w:val="30"/>
          <w:szCs w:val="40"/>
          <w:highlight w:val="none"/>
          <w:lang w:val="en-US" w:eastAsia="zh-CN" w:bidi="ar-SA"/>
        </w:rPr>
      </w:pPr>
      <w:r>
        <w:rPr>
          <w:rFonts w:hint="eastAsia" w:ascii="Times New Roman" w:hAnsi="Times New Roman" w:eastAsia="宋体" w:cs="Arial"/>
          <w:b/>
          <w:color w:val="auto"/>
          <w:sz w:val="30"/>
          <w:szCs w:val="40"/>
          <w:highlight w:val="none"/>
          <w:lang w:val="en-US" w:eastAsia="zh-CN" w:bidi="ar-SA"/>
        </w:rPr>
      </w:r>
      <w:r/>
    </w:p>
    <w:p>
      <w:pPr>
        <w:pStyle w:val="736"/>
        <w:rPr>
          <w:rFonts w:hint="eastAsia" w:ascii="Times New Roman" w:hAnsi="Times New Roman" w:eastAsia="宋体" w:cs="Arial"/>
          <w:b/>
          <w:color w:val="auto"/>
          <w:sz w:val="30"/>
          <w:szCs w:val="40"/>
          <w:highlight w:val="none"/>
          <w:lang w:val="en-US" w:eastAsia="zh-CN" w:bidi="ar-SA"/>
        </w:rPr>
      </w:pPr>
      <w:r>
        <w:rPr>
          <w:rFonts w:hint="eastAsia" w:ascii="Times New Roman" w:hAnsi="Times New Roman" w:eastAsia="宋体" w:cs="Arial"/>
          <w:b/>
          <w:color w:val="auto"/>
          <w:sz w:val="30"/>
          <w:szCs w:val="40"/>
          <w:highlight w:val="none"/>
          <w:lang w:val="en-US" w:eastAsia="zh-CN" w:bidi="ar-SA"/>
        </w:rPr>
      </w:r>
      <w:r/>
    </w:p>
    <w:p>
      <w:pPr>
        <w:pStyle w:val="736"/>
        <w:rPr>
          <w:rFonts w:hint="eastAsia" w:ascii="Times New Roman" w:hAnsi="Times New Roman" w:eastAsia="宋体" w:cs="Arial"/>
          <w:b/>
          <w:color w:val="auto"/>
          <w:sz w:val="30"/>
          <w:szCs w:val="40"/>
          <w:highlight w:val="none"/>
          <w:lang w:val="en-US" w:eastAsia="zh-CN" w:bidi="ar-SA"/>
        </w:rPr>
      </w:pPr>
      <w:r>
        <w:rPr>
          <w:rFonts w:hint="eastAsia" w:ascii="Times New Roman" w:hAnsi="Times New Roman" w:eastAsia="宋体" w:cs="Arial"/>
          <w:b/>
          <w:color w:val="auto"/>
          <w:sz w:val="30"/>
          <w:szCs w:val="40"/>
          <w:highlight w:val="none"/>
          <w:lang w:val="en-US" w:eastAsia="zh-CN" w:bidi="ar-SA"/>
        </w:rPr>
      </w:r>
      <w:r/>
    </w:p>
    <w:p>
      <w:pPr>
        <w:pStyle w:val="736"/>
        <w:rPr>
          <w:rFonts w:hint="eastAsia" w:ascii="Times New Roman" w:hAnsi="Times New Roman" w:eastAsia="宋体" w:cs="Arial"/>
          <w:b/>
          <w:color w:val="auto"/>
          <w:sz w:val="30"/>
          <w:szCs w:val="40"/>
          <w:highlight w:val="none"/>
          <w:lang w:val="en-US" w:eastAsia="zh-CN" w:bidi="ar-SA"/>
        </w:rPr>
      </w:pPr>
      <w:r>
        <w:rPr>
          <w:rFonts w:hint="eastAsia" w:ascii="Times New Roman" w:hAnsi="Times New Roman" w:eastAsia="宋体" w:cs="Arial"/>
          <w:b/>
          <w:color w:val="auto"/>
          <w:sz w:val="30"/>
          <w:szCs w:val="40"/>
          <w:highlight w:val="none"/>
          <w:lang w:val="en-US" w:eastAsia="zh-CN" w:bidi="ar-SA"/>
        </w:rPr>
      </w:r>
      <w:r/>
    </w:p>
    <w:p>
      <w:pPr>
        <w:pStyle w:val="736"/>
        <w:rPr>
          <w:rFonts w:hint="eastAsia" w:ascii="Times New Roman" w:hAnsi="Times New Roman" w:eastAsia="宋体" w:cs="Arial"/>
          <w:b/>
          <w:color w:val="auto"/>
          <w:sz w:val="30"/>
          <w:szCs w:val="40"/>
          <w:highlight w:val="none"/>
          <w:lang w:val="en-US" w:eastAsia="zh-CN" w:bidi="ar-SA"/>
        </w:rPr>
      </w:pPr>
      <w:r>
        <w:rPr>
          <w:rFonts w:hint="eastAsia" w:ascii="Times New Roman" w:hAnsi="Times New Roman" w:eastAsia="宋体" w:cs="Arial"/>
          <w:b/>
          <w:color w:val="auto"/>
          <w:sz w:val="30"/>
          <w:szCs w:val="40"/>
          <w:highlight w:val="none"/>
          <w:lang w:val="en-US" w:eastAsia="zh-CN" w:bidi="ar-SA"/>
        </w:rPr>
      </w:r>
      <w:r/>
    </w:p>
    <w:p>
      <w:pPr>
        <w:pStyle w:val="719"/>
        <w:numPr>
          <w:ilvl w:val="0"/>
          <w:numId w:val="0"/>
        </w:numPr>
        <w:pageBreakBefore w:val="0"/>
        <w:spacing w:line="360" w:lineRule="auto"/>
        <w:rPr>
          <w:rFonts w:ascii="Times New Roman" w:hAnsi="Times New Roman" w:eastAsia="宋体"/>
          <w:color w:val="auto"/>
          <w:highlight w:val="none"/>
        </w:rPr>
      </w:pPr>
      <w:r>
        <w:rPr>
          <w:rFonts w:hint="eastAsia" w:ascii="Times New Roman" w:hAnsi="Times New Roman" w:eastAsia="宋体" w:cs="Arial"/>
          <w:b/>
          <w:color w:val="auto"/>
          <w:sz w:val="30"/>
          <w:szCs w:val="40"/>
          <w:highlight w:val="none"/>
          <w:lang w:val="en-US" w:eastAsia="zh-CN" w:bidi="ar-SA"/>
        </w:rPr>
        <w:t xml:space="preserve">第四章 </w:t>
      </w:r>
      <w:r>
        <w:rPr>
          <w:rFonts w:hint="eastAsia" w:ascii="Times New Roman" w:hAnsi="Times New Roman" w:eastAsia="宋体"/>
          <w:color w:val="auto"/>
          <w:highlight w:val="none"/>
        </w:rPr>
        <w:t xml:space="preserve">项目需求</w:t>
      </w:r>
      <w:bookmarkEnd w:id="73"/>
      <w:r/>
      <w:bookmarkEnd w:id="74"/>
      <w:r/>
      <w:bookmarkEnd w:id="75"/>
      <w:r/>
      <w:bookmarkEnd w:id="76"/>
      <w:r/>
      <w:bookmarkEnd w:id="77"/>
      <w:r/>
      <w:bookmarkEnd w:id="78"/>
      <w:r/>
      <w:r/>
    </w:p>
    <w:p>
      <w:pPr>
        <w:ind w:firstLine="422"/>
        <w:pageBreakBefore w:val="0"/>
        <w:spacing w:line="360" w:lineRule="auto"/>
        <w:rPr>
          <w:rFonts w:hint="eastAsia" w:ascii="Times New Roman" w:hAnsi="Times New Roman" w:eastAsia="宋体" w:cs="宋体"/>
          <w:b/>
          <w:bCs/>
          <w:color w:val="auto"/>
          <w:highlight w:val="none"/>
        </w:rPr>
      </w:pPr>
      <w:r/>
      <w:bookmarkStart w:id="81" w:name="_Toc319408306"/>
      <w:r/>
      <w:bookmarkStart w:id="82" w:name="_Toc55204181"/>
      <w:r>
        <w:rPr>
          <w:rFonts w:hint="eastAsia" w:ascii="Times New Roman" w:hAnsi="Times New Roman" w:eastAsia="宋体" w:cs="宋体"/>
          <w:b/>
          <w:bCs/>
          <w:color w:val="auto"/>
          <w:highlight w:val="none"/>
        </w:rPr>
        <w:t xml:space="preserve">注：本章内容</w:t>
      </w:r>
      <w:r>
        <w:rPr>
          <w:rFonts w:hint="eastAsia" w:ascii="Times New Roman" w:hAnsi="Times New Roman" w:eastAsia="宋体" w:cs="宋体"/>
          <w:b/>
          <w:bCs/>
          <w:color w:val="auto"/>
          <w:highlight w:val="none"/>
          <w:lang w:eastAsia="zh-CN"/>
        </w:rPr>
        <w:t xml:space="preserve">中</w:t>
      </w:r>
      <w:r>
        <w:rPr>
          <w:rFonts w:hint="eastAsia" w:ascii="Times New Roman" w:hAnsi="Times New Roman" w:eastAsia="宋体" w:cs="宋体"/>
          <w:b/>
          <w:bCs/>
          <w:color w:val="auto"/>
          <w:highlight w:val="none"/>
        </w:rPr>
        <w:t xml:space="preserve">斜体且有下划线部分为实质性要求和条件，投标文件不满足的，视为无效投标处理。请各供应商制作电子投标文件时，将实质性响应的内容在政府采购管理交易系统（苏采云）“符合证明文件格式”中准确填写或上传。</w:t>
      </w:r>
      <w:r/>
    </w:p>
    <w:p>
      <w:pPr>
        <w:contextualSpacing/>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以下技术参数内容为参考标准，投标人应根据自身产品实际情况提供满足使用需求、性能等于或高于以下技术参数标准的产品。如在各技术参数中仅为某一品牌或型号所有的，仅起说明作用，并没有任何限制性，投标人可以选用替代标准。</w:t>
      </w:r>
      <w:r/>
    </w:p>
    <w:p>
      <w:pPr>
        <w:ind w:firstLine="422"/>
        <w:pageBreakBefore w:val="0"/>
        <w:spacing w:line="360" w:lineRule="auto"/>
        <w:rPr>
          <w:rFonts w:hint="eastAsia"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t xml:space="preserve">项目属性:货物类项目</w:t>
      </w:r>
      <w:r/>
    </w:p>
    <w:p>
      <w:pPr>
        <w:pStyle w:val="735"/>
        <w:ind w:left="0" w:firstLine="422"/>
        <w:keepLines w:val="0"/>
        <w:keepNext w:val="0"/>
        <w:pageBreakBefore w:val="0"/>
        <w:spacing w:after="0" w:line="360" w:lineRule="auto"/>
        <w:widowControl w:val="off"/>
        <w:rPr>
          <w:rFonts w:hint="eastAsia" w:ascii="Times New Roman" w:hAnsi="Times New Roman" w:eastAsia="宋体" w:cs="宋体"/>
          <w:b/>
          <w:bCs/>
          <w:color w:val="auto"/>
          <w:sz w:val="21"/>
          <w:szCs w:val="21"/>
          <w:highlight w:val="none"/>
          <w:lang w:eastAsia="zh-CN"/>
        </w:rPr>
      </w:pPr>
      <w:r>
        <w:rPr>
          <w:rFonts w:hint="eastAsia" w:ascii="Times New Roman" w:hAnsi="Times New Roman" w:eastAsia="宋体" w:cs="宋体"/>
          <w:b/>
          <w:bCs/>
          <w:color w:val="auto"/>
          <w:sz w:val="21"/>
          <w:szCs w:val="21"/>
          <w:highlight w:val="none"/>
        </w:rPr>
        <w:t xml:space="preserve">核心产品</w:t>
      </w:r>
      <w:r>
        <w:rPr>
          <w:rFonts w:hint="eastAsia" w:ascii="Times New Roman" w:hAnsi="Times New Roman" w:eastAsia="宋体" w:cs="宋体"/>
          <w:b/>
          <w:bCs/>
          <w:color w:val="auto"/>
          <w:sz w:val="21"/>
          <w:szCs w:val="21"/>
          <w:highlight w:val="none"/>
          <w:lang w:eastAsia="zh-CN"/>
        </w:rPr>
        <w:t xml:space="preserve">：</w:t>
      </w:r>
      <w:r/>
    </w:p>
    <w:tbl>
      <w:tblPr>
        <w:tblStyle w:val="729"/>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44"/>
        <w:gridCol w:w="5676"/>
      </w:tblGrid>
      <w:tr>
        <w:trPr/>
        <w:tc>
          <w:tcP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Times New Roman" w:hAnsi="Times New Roman" w:eastAsia="宋体" w:cs="宋体"/>
                <w:color w:val="auto"/>
                <w:sz w:val="21"/>
                <w:szCs w:val="21"/>
                <w:highlight w:val="none"/>
              </w:rPr>
              <w:suppressLineNumbers w:val="0"/>
            </w:pPr>
            <w:r>
              <w:rPr>
                <w:rFonts w:hint="eastAsia" w:ascii="Times New Roman" w:hAnsi="Times New Roman" w:eastAsia="宋体" w:cs="宋体"/>
                <w:color w:val="auto"/>
                <w:sz w:val="21"/>
                <w:szCs w:val="21"/>
                <w:highlight w:val="none"/>
              </w:rPr>
              <w:t xml:space="preserve">采购包号</w:t>
            </w:r>
            <w:r/>
          </w:p>
        </w:tc>
        <w:tc>
          <w:tcPr>
            <w:tcW w:w="5676"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Times New Roman" w:hAnsi="Times New Roman" w:eastAsia="宋体" w:cs="宋体"/>
                <w:color w:val="auto"/>
                <w:sz w:val="21"/>
                <w:szCs w:val="21"/>
                <w:highlight w:val="none"/>
              </w:rPr>
              <w:suppressLineNumbers w:val="0"/>
            </w:pPr>
            <w:r>
              <w:rPr>
                <w:rFonts w:hint="eastAsia" w:ascii="Times New Roman" w:hAnsi="Times New Roman" w:eastAsia="宋体" w:cs="宋体"/>
                <w:color w:val="auto"/>
                <w:sz w:val="21"/>
                <w:szCs w:val="21"/>
                <w:highlight w:val="none"/>
              </w:rPr>
              <w:t xml:space="preserve">核心产品</w:t>
            </w:r>
            <w:r/>
          </w:p>
        </w:tc>
      </w:tr>
      <w:tr>
        <w:trPr>
          <w:trHeight w:val="553"/>
        </w:trPr>
        <w:tc>
          <w:tcPr>
            <w:tcW w:w="2844"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Times New Roman" w:hAnsi="Times New Roman" w:eastAsia="宋体" w:cs="宋体"/>
                <w:color w:val="auto"/>
                <w:sz w:val="21"/>
                <w:szCs w:val="21"/>
                <w:highlight w:val="none"/>
                <w:lang w:val="en-US" w:eastAsia="zh-CN"/>
              </w:rPr>
              <w:suppressLineNumbers w:val="0"/>
            </w:pPr>
            <w:r>
              <w:rPr>
                <w:rFonts w:hint="eastAsia" w:ascii="Times New Roman" w:hAnsi="Times New Roman" w:eastAsia="宋体" w:cs="宋体"/>
                <w:color w:val="auto"/>
                <w:sz w:val="21"/>
                <w:szCs w:val="21"/>
                <w:highlight w:val="none"/>
                <w:lang w:val="en-US" w:eastAsia="zh-CN"/>
              </w:rPr>
              <w:t xml:space="preserve">1</w:t>
            </w:r>
            <w:r/>
          </w:p>
        </w:tc>
        <w:tc>
          <w:tcPr>
            <w:tcW w:w="5676"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Times New Roman" w:hAnsi="Times New Roman" w:eastAsia="宋体" w:cs="宋体"/>
                <w:color w:val="auto"/>
                <w:sz w:val="21"/>
                <w:szCs w:val="21"/>
                <w:highlight w:val="none"/>
                <w:lang w:eastAsia="zh-CN"/>
              </w:rPr>
              <w:suppressLineNumbers w:val="0"/>
            </w:pPr>
            <w:r>
              <w:rPr>
                <w:rFonts w:hint="eastAsia" w:ascii="Times New Roman" w:hAnsi="Times New Roman" w:cs="宋体"/>
                <w:color w:val="auto"/>
                <w:sz w:val="21"/>
                <w:szCs w:val="21"/>
                <w:highlight w:val="none"/>
                <w:lang w:eastAsia="zh-CN"/>
              </w:rPr>
              <w:t xml:space="preserve">网络智能球型摄像机</w:t>
            </w:r>
            <w:r/>
          </w:p>
        </w:tc>
      </w:tr>
    </w:tbl>
    <w:p>
      <w:pPr>
        <w:ind w:firstLine="422"/>
        <w:keepLines w:val="0"/>
        <w:keepNext w:val="0"/>
        <w:pageBreakBefore w:val="0"/>
        <w:spacing w:line="360" w:lineRule="auto"/>
        <w:widowControl w:val="off"/>
        <w:rPr>
          <w:rFonts w:hint="eastAsia" w:ascii="Times New Roman" w:hAnsi="Times New Roman" w:eastAsia="宋体" w:cs="宋体"/>
          <w:b/>
          <w:bCs/>
          <w:color w:val="auto"/>
          <w:sz w:val="21"/>
          <w:szCs w:val="21"/>
          <w:highlight w:val="none"/>
          <w:lang w:eastAsia="zh-CN"/>
        </w:rPr>
      </w:pPr>
      <w:r>
        <w:rPr>
          <w:rFonts w:hint="eastAsia" w:ascii="Times New Roman" w:hAnsi="Times New Roman" w:eastAsia="宋体" w:cs="宋体"/>
          <w:b/>
          <w:bCs/>
          <w:color w:val="auto"/>
          <w:sz w:val="21"/>
          <w:szCs w:val="21"/>
          <w:highlight w:val="none"/>
        </w:rPr>
        <w:t xml:space="preserve">进口产品投标</w:t>
      </w:r>
      <w:r>
        <w:rPr>
          <w:rFonts w:hint="eastAsia" w:ascii="Times New Roman" w:hAnsi="Times New Roman" w:eastAsia="宋体" w:cs="宋体"/>
          <w:b/>
          <w:bCs/>
          <w:color w:val="auto"/>
          <w:sz w:val="21"/>
          <w:szCs w:val="21"/>
          <w:highlight w:val="none"/>
          <w:lang w:eastAsia="zh-CN"/>
        </w:rPr>
        <w:t xml:space="preserve">：</w:t>
      </w:r>
      <w:r/>
    </w:p>
    <w:tbl>
      <w:tblPr>
        <w:tblStyle w:val="72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29"/>
        <w:gridCol w:w="6691"/>
      </w:tblGrid>
      <w:tr>
        <w:trPr/>
        <w:tc>
          <w:tcPr>
            <w:tcW w:w="1073" w:type="pct"/>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Times New Roman" w:hAnsi="Times New Roman" w:eastAsia="宋体" w:cs="宋体"/>
                <w:color w:val="auto"/>
                <w:sz w:val="21"/>
                <w:szCs w:val="21"/>
                <w:highlight w:val="none"/>
              </w:rPr>
              <w:suppressLineNumbers w:val="0"/>
            </w:pPr>
            <w:r>
              <w:rPr>
                <w:rFonts w:hint="eastAsia" w:ascii="Times New Roman" w:hAnsi="Times New Roman" w:eastAsia="宋体" w:cs="宋体"/>
                <w:color w:val="auto"/>
                <w:sz w:val="21"/>
                <w:szCs w:val="21"/>
                <w:highlight w:val="none"/>
              </w:rPr>
              <w:t xml:space="preserve">采购</w:t>
            </w:r>
            <w:r/>
          </w:p>
          <w:p>
            <w:pPr>
              <w:ind w:left="0" w:right="0" w:firstLine="0"/>
              <w:jc w:val="center"/>
              <w:keepLines w:val="0"/>
              <w:keepNext w:val="0"/>
              <w:pageBreakBefore w:val="0"/>
              <w:spacing w:beforeAutospacing="0" w:afterAutospacing="0" w:line="360" w:lineRule="auto"/>
              <w:widowControl w:val="off"/>
              <w:rPr>
                <w:rFonts w:hint="eastAsia" w:ascii="Times New Roman" w:hAnsi="Times New Roman" w:eastAsia="宋体" w:cs="宋体"/>
                <w:color w:val="auto"/>
                <w:sz w:val="21"/>
                <w:szCs w:val="21"/>
                <w:highlight w:val="none"/>
              </w:rPr>
              <w:suppressLineNumbers w:val="0"/>
            </w:pPr>
            <w:r>
              <w:rPr>
                <w:rFonts w:hint="eastAsia" w:ascii="Times New Roman" w:hAnsi="Times New Roman" w:eastAsia="宋体" w:cs="宋体"/>
                <w:color w:val="auto"/>
                <w:sz w:val="21"/>
                <w:szCs w:val="21"/>
                <w:highlight w:val="none"/>
              </w:rPr>
              <w:t xml:space="preserve">包号</w:t>
            </w:r>
            <w:r/>
          </w:p>
        </w:tc>
        <w:tc>
          <w:tcPr>
            <w:tcW w:w="3926" w:type="pct"/>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Times New Roman" w:hAnsi="Times New Roman" w:eastAsia="宋体" w:cs="宋体"/>
                <w:color w:val="auto"/>
                <w:sz w:val="21"/>
                <w:szCs w:val="21"/>
                <w:highlight w:val="none"/>
              </w:rPr>
              <w:suppressLineNumbers w:val="0"/>
            </w:pPr>
            <w:r>
              <w:rPr>
                <w:rFonts w:hint="eastAsia" w:ascii="Times New Roman" w:hAnsi="Times New Roman" w:eastAsia="宋体" w:cs="宋体"/>
                <w:color w:val="auto"/>
                <w:sz w:val="21"/>
                <w:szCs w:val="21"/>
                <w:highlight w:val="none"/>
              </w:rPr>
              <w:t xml:space="preserve">是否接受进口产品投标</w:t>
            </w:r>
            <w:r/>
          </w:p>
          <w:p>
            <w:pPr>
              <w:ind w:left="0" w:right="0" w:firstLine="0"/>
              <w:jc w:val="center"/>
              <w:keepLines w:val="0"/>
              <w:keepNext w:val="0"/>
              <w:pageBreakBefore w:val="0"/>
              <w:spacing w:beforeAutospacing="0" w:afterAutospacing="0" w:line="360" w:lineRule="auto"/>
              <w:widowControl w:val="off"/>
              <w:rPr>
                <w:rFonts w:hint="eastAsia" w:ascii="Times New Roman" w:hAnsi="Times New Roman" w:eastAsia="宋体" w:cs="宋体"/>
                <w:color w:val="auto"/>
                <w:sz w:val="21"/>
                <w:szCs w:val="21"/>
                <w:highlight w:val="none"/>
              </w:rPr>
              <w:suppressLineNumbers w:val="0"/>
            </w:pPr>
            <w:r>
              <w:rPr>
                <w:rFonts w:hint="eastAsia" w:ascii="Times New Roman" w:hAnsi="Times New Roman" w:eastAsia="宋体" w:cs="宋体"/>
                <w:color w:val="auto"/>
                <w:sz w:val="21"/>
                <w:szCs w:val="21"/>
                <w:highlight w:val="none"/>
              </w:rPr>
              <w:t xml:space="preserve">（是/否）</w:t>
            </w:r>
            <w:r/>
          </w:p>
        </w:tc>
      </w:tr>
      <w:tr>
        <w:trPr>
          <w:trHeight w:val="610"/>
        </w:trPr>
        <w:tc>
          <w:tcPr>
            <w:tcW w:w="1073" w:type="pct"/>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Times New Roman" w:hAnsi="Times New Roman" w:eastAsia="宋体" w:cs="宋体"/>
                <w:color w:val="auto"/>
                <w:sz w:val="21"/>
                <w:szCs w:val="21"/>
                <w:highlight w:val="none"/>
              </w:rPr>
              <w:suppressLineNumbers w:val="0"/>
            </w:pPr>
            <w:r>
              <w:rPr>
                <w:rFonts w:hint="eastAsia" w:ascii="Times New Roman" w:hAnsi="Times New Roman" w:eastAsia="宋体" w:cs="宋体"/>
                <w:color w:val="auto"/>
                <w:sz w:val="21"/>
                <w:szCs w:val="21"/>
                <w:highlight w:val="none"/>
              </w:rPr>
              <w:t xml:space="preserve">1</w:t>
            </w:r>
            <w:r/>
          </w:p>
        </w:tc>
        <w:tc>
          <w:tcPr>
            <w:tcW w:w="3926" w:type="pct"/>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Times New Roman" w:hAnsi="Times New Roman" w:eastAsia="宋体" w:cs="宋体"/>
                <w:color w:val="auto"/>
                <w:sz w:val="21"/>
                <w:szCs w:val="21"/>
                <w:highlight w:val="none"/>
              </w:rPr>
              <w:suppressLineNumbers w:val="0"/>
            </w:pPr>
            <w:r>
              <w:rPr>
                <w:rFonts w:hint="eastAsia" w:ascii="Times New Roman" w:hAnsi="Times New Roman" w:eastAsia="宋体" w:cs="宋体"/>
                <w:color w:val="auto"/>
                <w:sz w:val="21"/>
                <w:szCs w:val="21"/>
                <w:highlight w:val="none"/>
              </w:rPr>
              <w:t xml:space="preserve">否</w:t>
            </w:r>
            <w:r/>
          </w:p>
        </w:tc>
      </w:tr>
    </w:tbl>
    <w:p>
      <w:pPr>
        <w:ind w:firstLine="422"/>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lang w:val="en-US" w:eastAsia="zh-CN"/>
        </w:rPr>
        <w:t xml:space="preserve">一、</w:t>
      </w:r>
      <w:r>
        <w:rPr>
          <w:rFonts w:hint="eastAsia" w:ascii="Times New Roman" w:hAnsi="Times New Roman" w:eastAsia="宋体" w:cs="宋体"/>
          <w:b/>
          <w:bCs/>
          <w:color w:val="auto"/>
          <w:szCs w:val="21"/>
          <w:highlight w:val="none"/>
        </w:rPr>
        <w:t xml:space="preserve">政府采购中实施本国产品标准及相关政策</w:t>
      </w:r>
      <w:r/>
    </w:p>
    <w:p>
      <w:pPr>
        <w:ind w:firstLine="422"/>
        <w:pageBreakBefore w:val="0"/>
        <w:spacing w:line="360" w:lineRule="auto"/>
        <w:rPr>
          <w:rFonts w:hint="eastAsia"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rPr>
        <w:t xml:space="preserve">1.本项目对采购本国产品给予政策支持，具体内容见招标文件“第五章评标方法与评标标准”。</w:t>
      </w:r>
      <w:r/>
    </w:p>
    <w:p>
      <w:pPr>
        <w:ind w:firstLine="422"/>
        <w:pageBreakBefore w:val="0"/>
        <w:spacing w:line="360" w:lineRule="auto"/>
        <w:rPr>
          <w:rFonts w:hint="eastAsia"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pageBreakBefore w:val="0"/>
        <w:spacing w:line="360" w:lineRule="auto"/>
        <w:rPr>
          <w:rFonts w:hint="eastAsia"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pageBreakBefore w:val="0"/>
        <w:spacing w:line="360" w:lineRule="auto"/>
        <w:rPr>
          <w:rFonts w:hint="eastAsia" w:ascii="Times New Roman" w:hAnsi="Times New Roman" w:eastAsia="宋体"/>
          <w:color w:val="auto"/>
          <w:sz w:val="24"/>
          <w:szCs w:val="24"/>
          <w:highlight w:val="none"/>
          <w:lang w:eastAsia="zh-CN"/>
        </w:rPr>
      </w:pPr>
      <w:r>
        <w:rPr>
          <w:rFonts w:hint="eastAsia" w:ascii="Times New Roman" w:hAnsi="Times New Roman" w:eastAsia="宋体" w:cs="宋体"/>
          <w:b/>
          <w:bCs/>
          <w:color w:val="auto"/>
          <w:szCs w:val="21"/>
          <w:highlight w:val="none"/>
          <w:lang w:val="en-US" w:eastAsia="zh-CN"/>
        </w:rPr>
        <w:t xml:space="preserve">二</w:t>
      </w:r>
      <w:r>
        <w:rPr>
          <w:rFonts w:hint="eastAsia" w:ascii="Times New Roman" w:hAnsi="Times New Roman" w:eastAsia="宋体" w:cs="宋体"/>
          <w:b/>
          <w:bCs/>
          <w:color w:val="auto"/>
          <w:szCs w:val="21"/>
          <w:highlight w:val="none"/>
        </w:rPr>
        <w:t xml:space="preserve">、</w:t>
      </w:r>
      <w:r>
        <w:rPr>
          <w:rFonts w:hint="eastAsia" w:ascii="Times New Roman" w:hAnsi="Times New Roman" w:eastAsia="宋体" w:cs="宋体"/>
          <w:b/>
          <w:bCs/>
          <w:color w:val="auto"/>
          <w:highlight w:val="none"/>
          <w:lang w:val="en-US" w:eastAsia="zh-CN"/>
        </w:rPr>
        <w:t xml:space="preserve">项目概况</w:t>
      </w:r>
      <w:r/>
    </w:p>
    <w:p>
      <w:pPr>
        <w:ind w:firstLine="422"/>
        <w:spacing w:line="360" w:lineRule="auto"/>
        <w:rPr>
          <w:rFonts w:hint="eastAsia" w:ascii="宋体" w:hAnsi="宋体" w:eastAsia="宋体" w:cs="宋体"/>
          <w:b/>
          <w:bCs/>
          <w:sz w:val="21"/>
          <w:szCs w:val="21"/>
          <w:highlight w:val="none"/>
        </w:rPr>
        <w:outlineLvl w:val="3"/>
      </w:pPr>
      <w:r>
        <w:rPr>
          <w:rFonts w:hint="eastAsia" w:ascii="宋体" w:hAnsi="宋体" w:cs="宋体"/>
          <w:b/>
          <w:bCs/>
          <w:sz w:val="21"/>
          <w:szCs w:val="21"/>
          <w:highlight w:val="none"/>
          <w:lang w:val="en-US" w:eastAsia="zh-CN"/>
        </w:rPr>
        <w:t xml:space="preserve">2</w:t>
      </w:r>
      <w:r>
        <w:rPr>
          <w:rFonts w:hint="eastAsia" w:ascii="宋体" w:hAnsi="宋体" w:eastAsia="宋体" w:cs="宋体"/>
          <w:b/>
          <w:bCs/>
          <w:sz w:val="21"/>
          <w:szCs w:val="21"/>
          <w:highlight w:val="none"/>
        </w:rPr>
        <w:t xml:space="preserve">.1项目背景</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仪扬河、乌塔沟、新城河已划转实行市级统一管理，目前仪扬河、乌塔沟、新城河、古运河沿线现有视频监控点位布设不足，部分河段存在监控盲区，河道水域、岸线的日常巡查、风险预警及应急处置缺乏有效的视频技术支撑，亟需实施视频点位补</w:t>
      </w:r>
      <w:r>
        <w:rPr>
          <w:rFonts w:hint="eastAsia" w:ascii="宋体" w:hAnsi="宋体" w:eastAsia="宋体" w:cs="宋体"/>
          <w:sz w:val="21"/>
          <w:szCs w:val="21"/>
          <w:highlight w:val="none"/>
        </w:rPr>
        <w:t xml:space="preserve">充建设，完善河道沿线视频监控覆盖体系。为全面提升扬州市城区河道水利运维智能化、精细化管理水平，强化河道防汛值守、水域安防、河道巡查、险情预警能力，补齐现有河道监控覆盖短板，消除监管盲区，本次启动扬州市城区河道水利运维安防监控完善项目建设。</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项目聚焦市级管辖核心河道片区，通过新建高清智能安防监控点位、AI 智能生态监测点位、搭建一体化传输与汇聚系统、配套完善供电及土建施工设施，构建“防汛安防+生态监测”双核心的全天候、全覆盖、智能化河道水利监控体系，为城区河道防汛抗旱、水资源管护、河道生态保护、水利运维调度、水环境风险预警提供核心技术支撑，助力扬州城区河道水利管理数字化、智能化转型。</w:t>
      </w:r>
      <w:r/>
    </w:p>
    <w:p>
      <w:pPr>
        <w:ind w:firstLine="422"/>
        <w:spacing w:line="360" w:lineRule="auto"/>
        <w:rPr>
          <w:rFonts w:hint="eastAsia" w:ascii="宋体" w:hAnsi="宋体" w:eastAsia="宋体" w:cs="宋体"/>
          <w:b/>
          <w:bCs/>
          <w:sz w:val="21"/>
          <w:szCs w:val="21"/>
          <w:highlight w:val="none"/>
        </w:rPr>
        <w:outlineLvl w:val="3"/>
      </w:pPr>
      <w:r>
        <w:rPr>
          <w:rFonts w:hint="eastAsia" w:ascii="宋体" w:hAnsi="宋体" w:cs="宋体"/>
          <w:b/>
          <w:bCs/>
          <w:sz w:val="21"/>
          <w:szCs w:val="21"/>
          <w:highlight w:val="none"/>
          <w:lang w:val="en-US" w:eastAsia="zh-CN"/>
        </w:rPr>
        <w:t xml:space="preserve">2</w:t>
      </w:r>
      <w:r>
        <w:rPr>
          <w:rFonts w:hint="eastAsia" w:ascii="宋体" w:hAnsi="宋体" w:eastAsia="宋体" w:cs="宋体"/>
          <w:b/>
          <w:bCs/>
          <w:sz w:val="21"/>
          <w:szCs w:val="21"/>
          <w:highlight w:val="none"/>
        </w:rPr>
        <w:t xml:space="preserve">.2建设内容</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本项目建设范围为仪扬河段、乌塔沟段、新城河段、古运河段四个主要河道片区。</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项目整体建设内容包含常规安防监控系统、AI 智能生态监测系统两大核心板块，配套供电、传输、土建、平台升级等建设，具体如下：</w:t>
      </w:r>
      <w:r/>
    </w:p>
    <w:p>
      <w:pPr>
        <w:ind w:firstLine="422"/>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视频采集系统：</w:t>
      </w:r>
      <w:r>
        <w:rPr>
          <w:rFonts w:hint="eastAsia" w:ascii="宋体" w:hAnsi="宋体" w:eastAsia="宋体" w:cs="宋体"/>
          <w:sz w:val="21"/>
          <w:szCs w:val="21"/>
          <w:highlight w:val="none"/>
        </w:rPr>
        <w:t xml:space="preserve">全线部署400万像素高清智能球型摄像机，配套AI多光谱蓝藻监测摄像机、AI 智能识别排污监测摄像机，覆盖所有规划监控及生态监测点位，实现河道全域可视化 + 生态指标化监测；</w:t>
      </w:r>
      <w:r/>
    </w:p>
    <w:p>
      <w:pPr>
        <w:ind w:firstLine="422"/>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供电保障系统：</w:t>
      </w:r>
      <w:r>
        <w:rPr>
          <w:rFonts w:hint="eastAsia" w:ascii="宋体" w:hAnsi="宋体" w:eastAsia="宋体" w:cs="宋体"/>
          <w:sz w:val="21"/>
          <w:szCs w:val="21"/>
          <w:highlight w:val="none"/>
        </w:rPr>
        <w:t xml:space="preserve">分为市电供电、太阳能供电两种模式，适配不同河道点位场景，配套供电箱体、线缆、辅材及接地防雷设施，保障设备全天候稳定供电；</w:t>
      </w:r>
      <w:r/>
    </w:p>
    <w:p>
      <w:pPr>
        <w:ind w:firstLine="422"/>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网络传输系统：</w:t>
      </w:r>
      <w:r>
        <w:rPr>
          <w:rFonts w:hint="eastAsia" w:ascii="宋体" w:hAnsi="宋体" w:eastAsia="宋体" w:cs="宋体"/>
          <w:sz w:val="21"/>
          <w:szCs w:val="21"/>
          <w:highlight w:val="none"/>
        </w:rPr>
        <w:t xml:space="preserve">部署工业级交换机、光纤收发器，铺设单模铠装光缆，搭配专线租赁服务，搭建“有线光纤+专线租赁”的稳定传输链路；</w:t>
      </w:r>
      <w:r/>
    </w:p>
    <w:p>
      <w:pPr>
        <w:ind w:firstLine="422"/>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数据汇聚平台：</w:t>
      </w:r>
      <w:r>
        <w:rPr>
          <w:rFonts w:hint="eastAsia" w:ascii="宋体" w:hAnsi="宋体" w:eastAsia="宋体" w:cs="宋体"/>
          <w:sz w:val="21"/>
          <w:szCs w:val="21"/>
          <w:highlight w:val="none"/>
        </w:rPr>
        <w:t xml:space="preserve">设置片区汇聚交换机，整合各点位视频及监测数据，统一接入扬州市河道处视频管理平台，实现新建、已建设备一体化管控；</w:t>
      </w:r>
      <w:r/>
    </w:p>
    <w:p>
      <w:pPr>
        <w:ind w:firstLine="422"/>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土建施工工程：</w:t>
      </w:r>
      <w:r>
        <w:rPr>
          <w:rFonts w:hint="eastAsia" w:ascii="宋体" w:hAnsi="宋体" w:eastAsia="宋体" w:cs="宋体"/>
          <w:sz w:val="21"/>
          <w:szCs w:val="21"/>
          <w:highlight w:val="none"/>
        </w:rPr>
        <w:t xml:space="preserve">包含光缆、电源线缆敷设，沟槽开挖回填、保护管铺设、手孔井建设、过路钢管预埋及道路恢复工程；</w:t>
      </w:r>
      <w:r/>
    </w:p>
    <w:p>
      <w:pPr>
        <w:ind w:firstLine="422"/>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AI智能生态监测专项建设：</w:t>
      </w:r>
      <w:r>
        <w:rPr>
          <w:rFonts w:hint="eastAsia" w:ascii="宋体" w:hAnsi="宋体" w:eastAsia="宋体" w:cs="宋体"/>
          <w:sz w:val="21"/>
          <w:szCs w:val="21"/>
          <w:highlight w:val="none"/>
        </w:rPr>
        <w:t xml:space="preserve">配套多光谱生态监测、排污智能识别算法模型，完成监测数据解析、异常告警、生态报表生成全流程功能落地；</w:t>
      </w:r>
      <w:r/>
    </w:p>
    <w:p>
      <w:pPr>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平台接入与升级：</w:t>
      </w:r>
      <w:r>
        <w:rPr>
          <w:rFonts w:hint="eastAsia" w:ascii="宋体" w:hAnsi="宋体" w:eastAsia="宋体" w:cs="宋体"/>
          <w:sz w:val="21"/>
          <w:szCs w:val="21"/>
          <w:highlight w:val="none"/>
        </w:rPr>
        <w:t xml:space="preserve">完成本项目建设范围内全部视频监控点位接入现有视频管理平台工作，开展现有视频管理平台功能升级、系统迁移及多源视频资源融合整合，配套实施系统部署、软件安装、参数配置、联调测试等全套技术服务，保障新增视频点位稳定接入、平台新旧业务无缝衔接，实现视频资源统一汇聚、统一调度、统一展示。</w:t>
      </w:r>
      <w:r>
        <w:rPr>
          <w:rFonts w:hint="eastAsia" w:ascii="宋体" w:hAnsi="宋体" w:eastAsia="宋体" w:cs="宋体"/>
          <w:b/>
          <w:bCs/>
          <w:sz w:val="21"/>
          <w:szCs w:val="21"/>
          <w:highlight w:val="none"/>
        </w:rPr>
        <w:t xml:space="preserve">同时保证数据传输的网络链路安全及系统数据安全。</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体包含仪扬河段新建视频点10处、乌塔沟段新建视频点8处、新城河段新建视频点5处、古运河段新建视频点6处、润扬北路与翠岗路交界处新建视频点1处、古运河华美达酒店附近已建视频点接入点1处、AI智能监测生态环境系统4处，同步配套35处视频点土建、供电及网络等配套工程，具体点位布置表如下：</w:t>
      </w:r>
      <w:r/>
    </w:p>
    <w:tbl>
      <w:tblPr>
        <w:tblStyle w:val="729"/>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417"/>
        <w:gridCol w:w="1514"/>
        <w:gridCol w:w="1464"/>
        <w:gridCol w:w="1115"/>
        <w:gridCol w:w="4012"/>
      </w:tblGrid>
      <w:tr>
        <w:trPr>
          <w:trHeight w:val="288"/>
          <w:tblHeader/>
        </w:trPr>
        <w:tc>
          <w:tcPr>
            <w:tcBorders>
              <w:top w:val="single" w:color="auto"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名称</w:t>
            </w:r>
            <w:r/>
          </w:p>
        </w:tc>
        <w:tc>
          <w:tcPr>
            <w:tcBorders>
              <w:top w:val="single" w:color="auto"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经、纬度</w:t>
            </w:r>
            <w:r/>
          </w:p>
        </w:tc>
        <w:tc>
          <w:tcPr>
            <w:tcBorders>
              <w:top w:val="single" w:color="auto"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取电方式及位置</w:t>
            </w:r>
            <w:r/>
          </w:p>
        </w:tc>
        <w:tc>
          <w:tcPr>
            <w:tcBorders>
              <w:top w:val="single" w:color="auto" w:sz="4" w:space="0"/>
              <w:left w:val="none" w:color="000000" w:sz="4" w:space="0"/>
              <w:bottom w:val="single" w:color="auto" w:sz="4" w:space="0"/>
              <w:right w:val="single" w:color="auto" w:sz="4" w:space="0"/>
            </w:tcBorders>
            <w:tcW w:w="2062" w:type="pct"/>
            <w:vAlign w:val="center"/>
            <w:textDirection w:val="lrTb"/>
            <w:noWrap/>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信号传输方式</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val="false"/>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一</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val="false"/>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仪扬河段</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val="false"/>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网络智能球型摄像机1</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g119.35834601,32.30646069</w:t>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仪扬河闸取市电</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有线（光纤、网线）→仪扬河闸→扬州市河道管理处中心视频平台</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网络智能球型摄像机2</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g119.36727128,32.31130309</w:t>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界牌站取市电</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有线（光纤、网线）→界牌站→仪扬河闸→扬州市河道管理处中心视频平台</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网络智能球型摄像机3</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g119.37442697,32.31565597</w:t>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蒋庄站取市电</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有线（光纤、网线）→蒋庄站→仪扬河闸→扬州市河道管理处中心视频平台</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网络智能球型摄像机4</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g119.37969053,32.31931606</w:t>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蒋庄站取市电</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有线（光纤、网线）→蒋庄站→仪扬河闸→扬州市河道管理处中心视频平台</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网络智能球型摄像机5</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g119.38089349,32.32029653</w:t>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蒋庄站取市电</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有线（光纤、网线）→蒋庄站→仪扬河闸→扬州市河道管理处中心视频平台</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网络智能球型摄像机6</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g119.38688582,32.32445004</w:t>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黄庄站取市电</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有线（光纤、网线）→蒋庄站→仪扬河闸→扬州市河道管理处中心视频平台</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网络智能球型摄像机7</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g119.38887484,32.32561890</w:t>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黄庄站取市电</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有线（光纤、网线）→黄庄站→仪扬河闸→扬州市河道管理处中心视频平台</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网络智能球型摄像机8</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g119.39042888,32.32642466</w:t>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黄庄站取市电</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有线（光纤、网线）→黄庄站→仪扬河闸→扬州市河道管理处中心视频平台</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网络智能球型摄像机9</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g119.40877769,32.32780908</w:t>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冯巷站取市电</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有线（光纤、网线）→冯巷站→仪扬河闸→扬州市河道管理处中心视频平台</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网络智能球型摄像机10</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g119.39927289,32.32828797</w:t>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太阳能</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有线（光纤、网线）→仪扬河闸→扬州市河道管理处中心视频平台</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二</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乌塔沟段</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lef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　</w:t>
            </w:r>
            <w:r/>
          </w:p>
        </w:tc>
      </w:tr>
      <w:tr>
        <w:trPr>
          <w:trHeight w:val="336"/>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网络智能球型摄像机1</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g119.32834608,32.36913302</w:t>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沿山河西闸站取市电</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有线（光纤、网线）→沿山河西闸站→扬州市河道管理处中心视频平台</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网络智能球型摄像机2</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g119.33163756,32.35853179</w:t>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唐湖站取市电</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有线（光纤、网线）→唐湖站→沿山河西闸站→扬州市河道管理处中心视频平台</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网络智能球型摄像机3</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g119.33300774,32.35255277</w:t>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晏庄排涝站取市电</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有线（光纤、网线）→晏庄排涝站→沿山河西闸站→扬州市河道管理处中心视频平台</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网络智能球型摄像机4</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g119.33452295,32.34541348</w:t>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戴庄站取市电</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有线（光纤、网线）→戴庄站→沿山河西闸站→扬州市河道管理处中心视频平台</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网络智能球型摄像机5</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g119.33568892,32.34009952</w:t>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夏港站取市电</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有线（光纤、网线）→夏港站→沿山河西闸站→扬州市河道管理处中心视频平台</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网络智能球型摄像机6</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g119.33797244,32.32918966</w:t>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八桥北排涝站取市电</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有线（光纤、网线）→八桥北排涝站→沿山河西闸站→扬州市河道管理处中心视频平台</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网络智能球型摄像机7</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g119.33988248,32.31969677</w:t>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卞庄站取市电</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有线（光纤、网线）→卞庄站→沿山河西闸站→扬州市河道管理处中心视频平台</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网络智能球型摄像机8</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g119.34259310,32.30703999</w:t>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周庄闸站取市电</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有线（光纤、网线）→周庄闸站→沿山河西闸站→扬州市河道管理处中心视频平台</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三</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新城河段</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lef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网络智能球型摄像机1</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g119.39918376,32.40514376</w:t>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念四闸站取市电</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有线（光纤、网线）→念四闸站→专线租赁→扬州市河道管理处中心视频平台</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网络智能球型摄像机2</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g119.39847015,32.40498043</w:t>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念四闸站取市电</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有线（光纤、网线）→念四闸站→专线租赁→扬州市河道管理处中心视频平台</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网络智能球型摄像机3</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g119.40732898,32.37537643</w:t>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龙庄泵站取市电</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有线（光纤、网线）→龙庄泵站→专线租赁→扬州市河道管理处中心视频平台</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网络智能球型摄像机4</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g119.40057803,32.39851306</w:t>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太阳能</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专线租赁→扬州市河道管理处中心视频平台</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网络智能球型摄像机5</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g119.41834049,32.36713011</w:t>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太阳能</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专线租赁→扬州市河道管理处中心视频平台</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四</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古运河段</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lef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网络智能球型摄像机1</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g119.46283855,32.41710409</w:t>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太平闸站取市电</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有线（光纤、网线）→太平闸站→扬州市河道管理处中心视频平台</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网络智能球型摄像机2</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g119.45624370,32.41713208</w:t>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竹西闸取市电</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有线（光纤、网线）→竹西闸→专线租赁→扬州市河道管理处中心视频平台</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网络智能球型摄像机3</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g119.41518928,32.31818887</w:t>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杨庄排涝站取市电</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有线（光纤、网线）→杨庄排涝站→专线租赁→扬州市河道管理处中心视频平台</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网络智能球型摄像机4</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g119.40472026,32.29797868</w:t>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太阳能</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专线租赁→扬州市河道管理处中心视频平台</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网络智能球型摄像机5</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g119.39985904,32.28684105</w:t>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太阳能</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专线租赁→扬州市河道管理处中心视频平台</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网络智能球型摄像机6</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g119.39482408,32.26723817</w:t>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太阳能</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专线租赁→扬州市河道管理处中心视频平台</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五</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单独站点</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lef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网络智能球型摄像机1</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g119.38476146,32.39675458</w:t>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太阳能</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专线租赁→扬州市河道管理处中心视频平台</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已建视频点</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g119.45386649,32.39677783</w:t>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现状　</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专线租赁→扬州市河道管理处中心视频平台</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六</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AI智能监测生态环境系统</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多光谱蓝藻监测摄像机1</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g119.47196087,32.42063695</w:t>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扬州水利枢纽取市电</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有线（光纤、网线）→扬州闸站→扬州市河道管理处中心视频平台</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多光谱蓝藻监测摄像机2</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g119.32834608,32.36913302</w:t>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沿山河西闸站取市电</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有线（光纤、网线）→沿山河西闸站→扬州市河道管理处中心视频平台</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AI智能识别排污监测摄像机1</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g119.42548293,32.35930021</w:t>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二桥排涝站取市电</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有线（光纤、网线）→二桥排涝站→扬州市河道管理处中心视频平台</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AI智能识别排污监测摄像机2</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g119.40877769,32.32780908</w:t>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冯巷站取市电</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有线（光纤、网线）→冯巷站→仪扬河闸→扬州市河道管理处中心视频平台</w:t>
            </w:r>
            <w:r/>
          </w:p>
        </w:tc>
      </w:tr>
      <w:tr>
        <w:trPr>
          <w:trHeight w:val="288"/>
        </w:trPr>
        <w:tc>
          <w:tcPr>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合计</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35</w:t>
            </w:r>
            <w:r/>
          </w:p>
        </w:tc>
        <w:tc>
          <w:tcPr>
            <w:tcBorders>
              <w:top w:val="none" w:color="000000" w:sz="4" w:space="0"/>
              <w:left w:val="none" w:color="000000" w:sz="4" w:space="0"/>
              <w:bottom w:val="single" w:color="auto" w:sz="4" w:space="0"/>
              <w:right w:val="single" w:color="auto" w:sz="4" w:space="0"/>
            </w:tcBorders>
            <w:tcW w:w="829" w:type="pct"/>
            <w:vAlign w:val="center"/>
            <w:textDirection w:val="lrTb"/>
            <w:noWrap/>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904" w:type="pct"/>
            <w:vAlign w:val="center"/>
            <w:textDirection w:val="lrTb"/>
            <w:noWrap/>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2062" w:type="pct"/>
            <w:vAlign w:val="center"/>
            <w:textDirection w:val="lrTb"/>
            <w:noWrap/>
          </w:tcPr>
          <w:p>
            <w:pPr>
              <w:jc w:val="lef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　</w:t>
            </w:r>
            <w:r/>
          </w:p>
        </w:tc>
      </w:tr>
    </w:tbl>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注：具体安装点位可根据现场实际情况适当调整。</w:t>
      </w:r>
      <w:r/>
    </w:p>
    <w:p>
      <w:pPr>
        <w:ind w:firstLine="422"/>
        <w:spacing w:line="360" w:lineRule="auto"/>
        <w:rPr>
          <w:rFonts w:hint="eastAsia" w:ascii="宋体" w:hAnsi="宋体" w:eastAsia="宋体" w:cs="宋体"/>
          <w:b/>
          <w:bCs/>
          <w:sz w:val="21"/>
          <w:szCs w:val="21"/>
          <w:highlight w:val="none"/>
        </w:rPr>
        <w:outlineLvl w:val="3"/>
      </w:pPr>
      <w:r>
        <w:rPr>
          <w:rFonts w:hint="eastAsia" w:ascii="宋体" w:hAnsi="宋体" w:cs="宋体"/>
          <w:b/>
          <w:bCs/>
          <w:sz w:val="21"/>
          <w:szCs w:val="21"/>
          <w:highlight w:val="none"/>
          <w:lang w:val="en-US" w:eastAsia="zh-CN"/>
        </w:rPr>
        <w:t xml:space="preserve">2</w:t>
      </w:r>
      <w:r>
        <w:rPr>
          <w:rFonts w:hint="eastAsia" w:ascii="宋体" w:hAnsi="宋体" w:eastAsia="宋体" w:cs="宋体"/>
          <w:b/>
          <w:bCs/>
          <w:sz w:val="21"/>
          <w:szCs w:val="21"/>
          <w:highlight w:val="none"/>
        </w:rPr>
        <w:t xml:space="preserve">.3设计依据与规范标准</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本项目整体方案设计、设备选型、施工建设、系统调试、验收全过程，严格遵循国家、行业、地方现行标准及水利安防专项规范，核心设计依据如下，所有建设内容满足规范强制性条款要求：</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《安全防范工程通用规范》GB 55029</w:t>
      </w:r>
      <w:r>
        <w:rPr>
          <w:rFonts w:hint="eastAsia" w:ascii="宋体" w:hAnsi="宋体" w:eastAsia="宋体" w:cs="宋体"/>
          <w:sz w:val="21"/>
          <w:szCs w:val="21"/>
          <w:highlight w:val="none"/>
        </w:rPr>
        <w:noBreakHyphen/>
      </w:r>
      <w:r>
        <w:rPr>
          <w:rFonts w:hint="eastAsia" w:ascii="宋体" w:hAnsi="宋体" w:eastAsia="宋体" w:cs="宋体"/>
          <w:sz w:val="21"/>
          <w:szCs w:val="21"/>
          <w:highlight w:val="none"/>
        </w:rPr>
        <w:t xml:space="preserve">2022</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《视频安防监控系统工程设计规范》GB 50395</w:t>
      </w:r>
      <w:r>
        <w:rPr>
          <w:rFonts w:hint="eastAsia" w:ascii="宋体" w:hAnsi="宋体" w:eastAsia="宋体" w:cs="宋体"/>
          <w:sz w:val="21"/>
          <w:szCs w:val="21"/>
          <w:highlight w:val="none"/>
        </w:rPr>
        <w:noBreakHyphen/>
      </w:r>
      <w:r>
        <w:rPr>
          <w:rFonts w:hint="eastAsia" w:ascii="宋体" w:hAnsi="宋体" w:eastAsia="宋体" w:cs="宋体"/>
          <w:sz w:val="21"/>
          <w:szCs w:val="21"/>
          <w:highlight w:val="none"/>
        </w:rPr>
        <w:t xml:space="preserve">2007</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《安全防范工程技术标准》GB 50348</w:t>
      </w:r>
      <w:r>
        <w:rPr>
          <w:rFonts w:hint="eastAsia" w:ascii="宋体" w:hAnsi="宋体" w:eastAsia="宋体" w:cs="宋体"/>
          <w:sz w:val="21"/>
          <w:szCs w:val="21"/>
          <w:highlight w:val="none"/>
        </w:rPr>
        <w:noBreakHyphen/>
      </w:r>
      <w:r>
        <w:rPr>
          <w:rFonts w:hint="eastAsia" w:ascii="宋体" w:hAnsi="宋体" w:eastAsia="宋体" w:cs="宋体"/>
          <w:sz w:val="21"/>
          <w:szCs w:val="21"/>
          <w:highlight w:val="none"/>
        </w:rPr>
        <w:t xml:space="preserve">2018</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《安全防范系统验收规则》GA 308</w:t>
      </w:r>
      <w:r>
        <w:rPr>
          <w:rFonts w:hint="eastAsia" w:ascii="宋体" w:hAnsi="宋体" w:eastAsia="宋体" w:cs="宋体"/>
          <w:sz w:val="21"/>
          <w:szCs w:val="21"/>
          <w:highlight w:val="none"/>
        </w:rPr>
        <w:noBreakHyphen/>
      </w:r>
      <w:r>
        <w:rPr>
          <w:rFonts w:hint="eastAsia" w:ascii="宋体" w:hAnsi="宋体" w:eastAsia="宋体" w:cs="宋体"/>
          <w:sz w:val="21"/>
          <w:szCs w:val="21"/>
          <w:highlight w:val="none"/>
        </w:rPr>
        <w:t xml:space="preserve">2001</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《水利视频监视系统技术规范》SL 515</w:t>
      </w:r>
      <w:r>
        <w:rPr>
          <w:rFonts w:hint="eastAsia" w:ascii="宋体" w:hAnsi="宋体" w:eastAsia="宋体" w:cs="宋体"/>
          <w:sz w:val="21"/>
          <w:szCs w:val="21"/>
          <w:highlight w:val="none"/>
        </w:rPr>
        <w:noBreakHyphen/>
      </w:r>
      <w:r>
        <w:rPr>
          <w:rFonts w:hint="eastAsia" w:ascii="宋体" w:hAnsi="宋体" w:eastAsia="宋体" w:cs="宋体"/>
          <w:sz w:val="21"/>
          <w:szCs w:val="21"/>
          <w:highlight w:val="none"/>
        </w:rPr>
        <w:t xml:space="preserve">2013</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《建筑物电子信息系统防雷技术规范》GB 50343</w:t>
      </w:r>
      <w:r>
        <w:rPr>
          <w:rFonts w:hint="eastAsia" w:ascii="宋体" w:hAnsi="宋体" w:eastAsia="宋体" w:cs="宋体"/>
          <w:sz w:val="21"/>
          <w:szCs w:val="21"/>
          <w:highlight w:val="none"/>
        </w:rPr>
        <w:noBreakHyphen/>
      </w:r>
      <w:r>
        <w:rPr>
          <w:rFonts w:hint="eastAsia" w:ascii="宋体" w:hAnsi="宋体" w:eastAsia="宋体" w:cs="宋体"/>
          <w:sz w:val="21"/>
          <w:szCs w:val="21"/>
          <w:highlight w:val="none"/>
        </w:rPr>
        <w:t xml:space="preserve">2012</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《低压配电设计规范》GB 50054</w:t>
      </w:r>
      <w:r>
        <w:rPr>
          <w:rFonts w:hint="eastAsia" w:ascii="宋体" w:hAnsi="宋体" w:eastAsia="宋体" w:cs="宋体"/>
          <w:sz w:val="21"/>
          <w:szCs w:val="21"/>
          <w:highlight w:val="none"/>
        </w:rPr>
        <w:noBreakHyphen/>
      </w:r>
      <w:r>
        <w:rPr>
          <w:rFonts w:hint="eastAsia" w:ascii="宋体" w:hAnsi="宋体" w:eastAsia="宋体" w:cs="宋体"/>
          <w:sz w:val="21"/>
          <w:szCs w:val="21"/>
          <w:highlight w:val="none"/>
        </w:rPr>
        <w:t xml:space="preserve">2011</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《电力工程电缆设计标准》GB 50217</w:t>
      </w:r>
      <w:r>
        <w:rPr>
          <w:rFonts w:hint="eastAsia" w:ascii="宋体" w:hAnsi="宋体" w:eastAsia="宋体" w:cs="宋体"/>
          <w:sz w:val="21"/>
          <w:szCs w:val="21"/>
          <w:highlight w:val="none"/>
        </w:rPr>
        <w:noBreakHyphen/>
      </w:r>
      <w:r>
        <w:rPr>
          <w:rFonts w:hint="eastAsia" w:ascii="宋体" w:hAnsi="宋体" w:eastAsia="宋体" w:cs="宋体"/>
          <w:sz w:val="21"/>
          <w:szCs w:val="21"/>
          <w:highlight w:val="none"/>
        </w:rPr>
        <w:t xml:space="preserve">2018</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《综合布线系统工程设计规范》GB 50311</w:t>
      </w:r>
      <w:r>
        <w:rPr>
          <w:rFonts w:hint="eastAsia" w:ascii="宋体" w:hAnsi="宋体" w:eastAsia="宋体" w:cs="宋体"/>
          <w:sz w:val="21"/>
          <w:szCs w:val="21"/>
          <w:highlight w:val="none"/>
        </w:rPr>
        <w:noBreakHyphen/>
      </w:r>
      <w:r>
        <w:rPr>
          <w:rFonts w:hint="eastAsia" w:ascii="宋体" w:hAnsi="宋体" w:eastAsia="宋体" w:cs="宋体"/>
          <w:sz w:val="21"/>
          <w:szCs w:val="21"/>
          <w:highlight w:val="none"/>
        </w:rPr>
        <w:t xml:space="preserve">2016</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《安全防范视频监控摄像机通用技术要求》GA/T 1127</w:t>
      </w:r>
      <w:r>
        <w:rPr>
          <w:rFonts w:hint="eastAsia" w:ascii="宋体" w:hAnsi="宋体" w:eastAsia="宋体" w:cs="宋体"/>
          <w:sz w:val="21"/>
          <w:szCs w:val="21"/>
          <w:highlight w:val="none"/>
        </w:rPr>
        <w:noBreakHyphen/>
      </w:r>
      <w:r>
        <w:rPr>
          <w:rFonts w:hint="eastAsia" w:ascii="宋体" w:hAnsi="宋体" w:eastAsia="宋体" w:cs="宋体"/>
          <w:sz w:val="21"/>
          <w:szCs w:val="21"/>
          <w:highlight w:val="none"/>
        </w:rPr>
        <w:t xml:space="preserve">2025</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《水利部信息化建设与管理办法》（水信息〔2016〕196 号）</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所有设备参数、施工工艺、系统架构、功能实现均严格对标以上规范，确保项目合规性、安全性、稳定性、通用性，满足水利安防长期运行及监管验收要求。</w:t>
      </w:r>
      <w:r/>
    </w:p>
    <w:p>
      <w:pPr>
        <w:ind w:firstLine="422"/>
        <w:spacing w:line="360" w:lineRule="auto"/>
        <w:rPr>
          <w:rFonts w:hint="eastAsia" w:ascii="宋体" w:hAnsi="宋体" w:eastAsia="宋体" w:cs="宋体"/>
          <w:b/>
          <w:bCs/>
          <w:sz w:val="21"/>
          <w:szCs w:val="21"/>
          <w:highlight w:val="none"/>
        </w:rPr>
        <w:outlineLvl w:val="3"/>
      </w:pPr>
      <w:r>
        <w:rPr>
          <w:rFonts w:hint="eastAsia" w:ascii="宋体" w:hAnsi="宋体" w:cs="宋体"/>
          <w:b/>
          <w:bCs/>
          <w:sz w:val="21"/>
          <w:szCs w:val="21"/>
          <w:highlight w:val="none"/>
          <w:lang w:val="en-US" w:eastAsia="zh-CN"/>
        </w:rPr>
        <w:t xml:space="preserve">2</w:t>
      </w:r>
      <w:r>
        <w:rPr>
          <w:rFonts w:hint="eastAsia" w:ascii="宋体" w:hAnsi="宋体" w:eastAsia="宋体" w:cs="宋体"/>
          <w:b/>
          <w:bCs/>
          <w:sz w:val="21"/>
          <w:szCs w:val="21"/>
          <w:highlight w:val="none"/>
        </w:rPr>
        <w:t xml:space="preserve">.4系统结构</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本项目采用“前端智能感知+中端稳定传输+后端数据汇聚+平台统一管控”的四层分布式架构，整体架构稳定、扩展性强、适配水利户外复杂工况，同时兼容常规安防监控与AI 生态监测双业务场景，具体层级如下：</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1、前端智能感知层：为系统核心感知终端，分为常规安防采集单元、AI 生态监测单元两大模块。常规安防采集单元由400万像素高清智能球机、摄像立杆、供电设备组成，负责河道安防场景实时视频采集；AI生态监测单元由多光谱蓝藻监测摄像机、AI 智能识别排污监测摄像机组成，负责河道水环境、生态指标的多光谱数据采集与智能识别。所有终端均适配户外全天候监测场景，分为市电供电、太阳能供电两类部署模式。</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网络传输层：由工业级网络交换机、光纤收发器、光缆、通信专线组成。前端点位视频及监测数据通过本地交换机汇聚后，经光缆传输至片区核心汇聚点，通过专线实现数据稳定上传，保障视频画面、监测数据实时、无卡顿、无延迟传输，控制信号双向稳定交互。</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数据汇聚层：各河道片区设置专属汇聚交换机，整合片区内所有安防监控、生态监测点位数据，统一数据协议、统一传输标准，实现片区数据集中汇总。仪扬河段汇聚点设置于仪扬河闸，乌塔沟段汇聚点设置于沿山河西闸站，充分利用现有网络资源，降低建设成本；AI 生态监测点位数据就近接入对应片区汇聚点，统一上传至中心平台。</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4、实体环境层：原扬州市河道处已建设扬州市城市水利安全运行调度中心，部署LED大屏可实现全河道监控画面，支持单画面 </w:t>
      </w:r>
      <w:r>
        <w:rPr>
          <w:rFonts w:hint="eastAsia" w:ascii="宋体" w:hAnsi="宋体" w:eastAsia="宋体" w:cs="宋体"/>
          <w:sz w:val="21"/>
          <w:szCs w:val="21"/>
          <w:highlight w:val="none"/>
        </w:rPr>
        <w:t xml:space="preserve">/ 多画面分割、轮巡切换、点位快速调取，满足防汛、生态应急可视化调度；部署大容量磁盘阵列，集中存储所有河道摄像机视频录像、多光谱监测原始数据、AI 抓拍图片、告警日志、运维记录，满足长期录像留存、生态数据归档、取证溯源存储需求，配套冗余备份机制，保障数据不丢失；部署视频服务器承载原有河道视频管理平台核心业务，完成视频流转发、云台控制、权限分配、通道授权、设备在线状态监测、历史录像检索回放；部署蓝藻多光谱解析、排污 / 漂浮物智能识别算法，对前端回传监测数据进行实时运算，生成分级告警信息推送至大屏与运维终端。</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5、平台管理层：所有汇聚后的视频及监测数据</w:t>
      </w:r>
      <w:r>
        <w:rPr>
          <w:rFonts w:hint="eastAsia" w:ascii="宋体" w:hAnsi="宋体" w:cs="宋体"/>
          <w:sz w:val="21"/>
          <w:szCs w:val="21"/>
          <w:highlight w:val="none"/>
          <w:lang w:val="en-US" w:eastAsia="zh-CN"/>
        </w:rPr>
        <w:t xml:space="preserve">需与</w:t>
      </w:r>
      <w:r>
        <w:rPr>
          <w:rFonts w:hint="eastAsia" w:ascii="宋体" w:hAnsi="宋体" w:eastAsia="宋体" w:cs="宋体"/>
          <w:sz w:val="21"/>
          <w:szCs w:val="21"/>
          <w:highlight w:val="none"/>
        </w:rPr>
        <w:t xml:space="preserve">扬州市河道处</w:t>
      </w:r>
      <w:r>
        <w:rPr>
          <w:rFonts w:hint="eastAsia" w:ascii="宋体" w:hAnsi="宋体" w:cs="宋体"/>
          <w:sz w:val="21"/>
          <w:szCs w:val="21"/>
          <w:highlight w:val="none"/>
          <w:lang w:val="en-US" w:eastAsia="zh-CN"/>
        </w:rPr>
        <w:t xml:space="preserve">现有</w:t>
      </w:r>
      <w:r>
        <w:rPr>
          <w:rFonts w:hint="eastAsia" w:ascii="宋体" w:hAnsi="宋体" w:eastAsia="宋体" w:cs="宋体"/>
          <w:sz w:val="21"/>
          <w:szCs w:val="21"/>
          <w:highlight w:val="none"/>
        </w:rPr>
        <w:t xml:space="preserve">视频管理平台（iSecure Center视频综合管理平合，海康服务器DS-VM21S-B）</w:t>
      </w:r>
      <w:r>
        <w:rPr>
          <w:rFonts w:hint="eastAsia" w:ascii="宋体" w:hAnsi="宋体" w:cs="宋体"/>
          <w:sz w:val="21"/>
          <w:szCs w:val="21"/>
          <w:highlight w:val="none"/>
          <w:lang w:val="en-US" w:eastAsia="zh-CN"/>
        </w:rPr>
        <w:t xml:space="preserve">无缝对接</w:t>
      </w:r>
      <w:r>
        <w:rPr>
          <w:rFonts w:hint="eastAsia" w:ascii="宋体" w:hAnsi="宋体" w:eastAsia="宋体" w:cs="宋体"/>
          <w:sz w:val="21"/>
          <w:szCs w:val="21"/>
          <w:highlight w:val="none"/>
        </w:rPr>
        <w:t xml:space="preserve">，基于实体环境层硬件资源搭建统一管控平台，包含两大业务模块：常规安防监控模块：负责河道视频预览、云台控制、录像回放、设备运维、三级权限管理、系统日志；AI 智能生态监测模块：多光谱指数解析、蓝藻水华预警、排污识别告警、监测报表、事件溯源处置；所有前端点位数据统一接入本层，完成业务逻辑处理、告警分发、可视化推送至 LED 大屏。</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系统架构图如下：</w:t>
      </w:r>
      <w:r/>
    </w:p>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14:ligatures w14:val="standardContextual"/>
        </w:rPr>
        <mc:AlternateContent>
          <mc:Choice Requires="wpg">
            <w:drawing>
              <wp:inline xmlns:wp="http://schemas.openxmlformats.org/drawingml/2006/wordprocessingDrawing" distT="0" distB="0" distL="0" distR="0">
                <wp:extent cx="5976620" cy="3218180"/>
                <wp:effectExtent l="0" t="0" r="12700" b="1270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5"/>
                        <a:stretch/>
                      </pic:blipFill>
                      <pic:spPr bwMode="auto">
                        <a:xfrm>
                          <a:off x="0" y="0"/>
                          <a:ext cx="5976620" cy="32181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70.6pt;height:253.4pt;mso-wrap-distance-left:0.0pt;mso-wrap-distance-top:0.0pt;mso-wrap-distance-right:0.0pt;mso-wrap-distance-bottom:0.0pt;" stroked="false">
                <v:path textboxrect="0,0,0,0"/>
                <v:imagedata r:id="rId15" o:title=""/>
              </v:shape>
            </w:pict>
          </mc:Fallback>
        </mc:AlternateContent>
      </w:r>
      <w:r/>
    </w:p>
    <w:p>
      <w:pPr>
        <w:ind w:firstLine="422"/>
        <w:spacing w:line="360" w:lineRule="auto"/>
        <w:rPr>
          <w:rFonts w:hint="eastAsia" w:ascii="宋体" w:hAnsi="宋体" w:eastAsia="宋体" w:cs="宋体"/>
          <w:b/>
          <w:bCs/>
          <w:sz w:val="21"/>
          <w:szCs w:val="21"/>
          <w:highlight w:val="none"/>
        </w:rPr>
        <w:outlineLvl w:val="3"/>
      </w:pPr>
      <w:r>
        <w:rPr>
          <w:rFonts w:hint="eastAsia" w:ascii="宋体" w:hAnsi="宋体" w:cs="宋体"/>
          <w:b/>
          <w:bCs/>
          <w:sz w:val="21"/>
          <w:szCs w:val="21"/>
          <w:highlight w:val="none"/>
          <w:lang w:val="en-US" w:eastAsia="zh-CN"/>
        </w:rPr>
        <w:t xml:space="preserve">2</w:t>
      </w:r>
      <w:r>
        <w:rPr>
          <w:rFonts w:hint="eastAsia" w:ascii="宋体" w:hAnsi="宋体" w:eastAsia="宋体" w:cs="宋体"/>
          <w:b/>
          <w:bCs/>
          <w:sz w:val="21"/>
          <w:szCs w:val="21"/>
          <w:highlight w:val="none"/>
        </w:rPr>
        <w:t xml:space="preserve">.5系统功能</w:t>
      </w:r>
      <w:r/>
    </w:p>
    <w:p>
      <w:pPr>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1、视频监视系统功能</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（一）监视功能</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1）应能对河道两岸相关区域或关键部位进行实时视频监视。视频监视范围应满足现场监视覆盖范围的要求，根据监视要求配置摄像机。</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2）摄像机应能清晰、有效地获取视频图像。摄像机应能够适应现场的照明条件。环境照度不满足视频监视要求的，应配置辅助照明。</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3）活动摄像机可设定为自动扫描方式，即通过云台控制摄像机上下左右来回扫描，获取监控区域范围内的视频图像。</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4）显示设备应清晰、稳定显示摄像机所采集的图像。</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5）显示方式应满足安全管理要求。图像可设定为自动切换方式，即根据预定时间在预定显示设备上显示预定监控点的图像。</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6）监视图像上应有图像编号/地址、时间、日期等信息。文字显示采用简体中文。</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7）应能同时显示多个监视点的视频图像，并能够以单画面、四画面、九画面、十六画面等方式分割显示。</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（二）控制功能 </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1）系统应能手动或自动操作，对摄像机、云台等进行遥控。</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2）应能对活动摄像机进行上、下、左、右控制，对摄像机镜头进行变焦和光圈调节，调节监视效果。控制效果平稳、可靠。</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3）应能手动切换或编程自动切换监视图像，对视频输入信号在指定的监视器上进行固定或时序显示，切换图像显示重建时间应在可接受的范围内。</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4）辅助照明应与联动摄像机的图像显示协调同步。</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5）同时具有音频监控能力的系统应具有视频音频同步切换的能力。</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6）前端设备对控制命令的响应和图像传输实时性应满足安全管理要求。</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7）对于编程信息，系统应具有存储功能，在断电或关机时，所有编程设置、摄像机号、时间、地址等信息均可保持。</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8）应具有与报警控制器联动的接口，报警发生时能切换出相应部位摄像机的图像显示和记录。</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9）控制界面应采用多媒体图形界面，要求界面美观、操作方便。</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（三）录像功能</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1）应能对任意监视图像进行手动或自动录像，并具有在超存储总容量时录像自动覆盖功能。</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2）存储的图像信息应包含图像编号/地址、存储时的时间和日期。</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3）应具有录像回放功能，回放效果应满足资料的原始完整性。</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4）存储容量、存储／回放带宽和检索能力应满足管理要求。</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5）根据安全管理需要，录像时应能存储现场声音信息。</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6）应可对根据用户指定时段进行图像、数据信息的进行记录。</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（四）视频移动报警</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在图像中任意设定多个报警区域和报警声音。当设定区域内图像发生变化时自动报警并录像。</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（五）自诊断与恢复</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应具有硬件、软件自诊断功能，并能在一定程度上实现自恢复，包括：</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1）硬件及接口自检，包括视频主机、通信接口。当诊断出故障时应及时予以告警、记录； </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2）软件系统自检，包括进程异常、通信异常；</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3）硬件系统在失电故障恢复后，应能自恢复运行；</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4）软件系统在硬件及接口故障排除后，应能自恢复运行。</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（六）远程浏览 </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系统采用标准规约的以太网接口，以C/S和B/S模式提供远程视频监视服务。授权用户可远程浏览泵站视频监视系统的全部或者部分视频图像，也可对摄像机等设备进行控制。</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（七）权限管理</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应提供以下三级权限控制：</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1）一般权限。只能监视、查询视频图像；</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2）操作权限。既可监视、查询视频图像，也可以对前端设备进行控制；</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3）管理权限。除了具有操作权限外，还能对系统进行修改和扩充。</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（八）日志管理</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1）系统应记录设备启动、控制操作、故障报警、参数修改、系统维护等日志信息，并应提供日志查询功能。</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2）日志内容应包括但不限于以下内容：事件名称、事件性质、访问/操作人员、时间、对象、类型和结果。</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（九）软件系统</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1）软件功能</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应能实时监视各监视点的情况，具有图像切换、分割显示功能；应具有云台控制、预置位，镜头变焦变倍、光圈调节、图像参数调整等功能；应具有音视频录像、检索和回放功能；应提供快放、慢放、单帧播放功能，可实现图像抓拍，放大等功能；应具有开放的数据接口，实现信息发布、报警联动功能；应具有多个操作员密码，多个操作等级。</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2）软件接口</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应具有标准协议的以太网软件接口，支持Web 浏览功能；应采用C/S方式发布信息，允许多客户同时登录；应能实现通过网络的实时浏览，支持多画面显示；被授权的用户可通过网络对监控设备进行控制，如镜头变焦、云台转动等。</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3）系统性能指标</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监视图像质量不低于规定的四级，回放图像质量不低于规定的三级；系统的信号传输应保证图像和声音的原始完整性、及时性、安全性以及控制信号的准确性。</w:t>
      </w:r>
      <w:r/>
    </w:p>
    <w:p>
      <w:pPr>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五级损伤制评分分级</w:t>
      </w:r>
      <w:r/>
    </w:p>
    <w:tbl>
      <w:tblPr>
        <w:tblStyle w:val="729"/>
        <w:tblW w:w="5000"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86"/>
        <w:gridCol w:w="2736"/>
      </w:tblGrid>
      <w:tr>
        <w:trPr>
          <w:tblHeader/>
        </w:trPr>
        <w:tc>
          <w:tcPr>
            <w:tcW w:w="3395"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图像质量损伤的主观评价</w:t>
            </w:r>
            <w:r/>
          </w:p>
        </w:tc>
        <w:tc>
          <w:tcPr>
            <w:tcW w:w="1605"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评分分级</w:t>
            </w:r>
            <w:r/>
          </w:p>
        </w:tc>
      </w:tr>
      <w:tr>
        <w:trPr/>
        <w:tc>
          <w:tcPr>
            <w:tcW w:w="3395"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图像上不觉察有损伤或干扰存在</w:t>
            </w:r>
            <w:r/>
          </w:p>
        </w:tc>
        <w:tc>
          <w:tcPr>
            <w:tcW w:w="1605"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p>
        </w:tc>
      </w:tr>
      <w:tr>
        <w:trPr/>
        <w:tc>
          <w:tcPr>
            <w:tcW w:w="3395"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图像上稍有可觉察的损伤或干扰，但并不令人讨厌</w:t>
            </w:r>
            <w:r/>
          </w:p>
        </w:tc>
        <w:tc>
          <w:tcPr>
            <w:tcW w:w="1605"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p>
        </w:tc>
      </w:tr>
      <w:tr>
        <w:trPr/>
        <w:tc>
          <w:tcPr>
            <w:tcW w:w="3395"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图像上有明显的损伤或干扰，令人感到讨厌</w:t>
            </w:r>
            <w:r/>
          </w:p>
        </w:tc>
        <w:tc>
          <w:tcPr>
            <w:tcW w:w="1605"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p>
        </w:tc>
      </w:tr>
      <w:tr>
        <w:trPr/>
        <w:tc>
          <w:tcPr>
            <w:tcW w:w="3395"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图像上损伤或干扰较严重，令人相当讨厌</w:t>
            </w:r>
            <w:r/>
          </w:p>
        </w:tc>
        <w:tc>
          <w:tcPr>
            <w:tcW w:w="1605"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p>
        </w:tc>
      </w:tr>
      <w:tr>
        <w:trPr/>
        <w:tc>
          <w:tcPr>
            <w:tcW w:w="3395"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图像上损伤或干扰极严重，不能观看</w:t>
            </w:r>
            <w:r/>
          </w:p>
        </w:tc>
        <w:tc>
          <w:tcPr>
            <w:tcW w:w="1605" w:type="pct"/>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p>
        </w:tc>
      </w:tr>
    </w:tbl>
    <w:p>
      <w:pPr>
        <w:ind w:firstLine="422"/>
        <w:spacing w:before="120"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2、AI智能监测生态环境系统功能</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（一）多光谱蓝藻监测能</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蓝藻水华智能预警：基于多光谱数据反演水体叶绿素 a 浓度，实现蓝藻水华的早期识别、浓度分级、范围定位，可生成蓝藻分布热力图与扩散趋势分析，提前预警蓝藻爆发风险；</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水体生态指标监测：支持 NDVI、GNDVI、NDRE 等多种植被指数输出，可监测河道岸线植被长势、病虫害情况、外来物种入侵、生态修复效果，为河道生态管护提供量化数据支撑；</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多区域精细化布防：支持30个独立光谱布防区域，可对河道不同区段、闸站上下游、排水口分别设置监测规则，实现分区域、分时段的精细化监测与差异化管理；</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监测数据精准校准：内置环境光实时矫正模块，可自动消除不同时段、不同天气光照变化对多光谱监测数据的影响，保障全天不同时段监测数据的准确性、一致性与可比性；</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定时监测与趋势分析：支持按预设时间间隔自动采集多光谱数据、抓拍监测画面，所有监测数据自动存储，支持历史数据查询、长周期趋势分析、同比环比统计，生成日、周、月生态监测报表。</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 AI智能识别排污监测功能</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排水状态全时段监管：可实时检测排水口、排涝站的排水状态，识别排水流量、水流方向，当出现异常断流、异常溢流、倒流等情况时自动告警，实现排水设施运行状态的常态化无人值守监管；</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违规排污智能识别与溯源：可智能识别排水水体颜色异常、浑浊度异常、污染物特征，当检测到违规排污、工业废水排放、黑臭水体等异常情况时，自动抓拍高清画面、录制视频、上传告警信息，联动声光报警，同时定位异常位置，留存完整证据链；</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水面异常事件监测：可识别河道水面漂浮物、垃圾、死鱼、油污等异常情况，当异常面积超过设定阈值时，自动告警并定位异常区域，为河道保洁、应急处置提供精准、及时的信息支撑；</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全景特写联动跟踪：支持全景 + 特写双镜头联动监测，全景镜头检测到异常目标后，自动联动特写镜头进行变焦跟踪、放大抓拍，清晰捕捉异常细节，实现 “全场景覆盖 + 细节精准捕捉” 的双重监测效果；</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自定义告警与联动处置：可根据河道管理需求，自定义告警阈值、告警场景、告警方式，支持平台弹窗、短信、语音播报等多渠道告警推送，同时可与河道运维处置系统联动，实现告警事件的闭环管理。</w:t>
      </w:r>
      <w:r/>
    </w:p>
    <w:p>
      <w:pPr>
        <w:ind w:firstLine="422"/>
        <w:spacing w:line="360" w:lineRule="auto"/>
        <w:rPr>
          <w:rFonts w:hint="eastAsia" w:ascii="宋体" w:hAnsi="宋体" w:eastAsia="宋体" w:cs="宋体"/>
          <w:b/>
          <w:bCs/>
          <w:sz w:val="21"/>
          <w:szCs w:val="21"/>
          <w:highlight w:val="none"/>
        </w:rPr>
        <w:outlineLvl w:val="3"/>
      </w:pPr>
      <w:r>
        <w:rPr>
          <w:rFonts w:hint="eastAsia" w:ascii="宋体" w:hAnsi="宋体" w:cs="宋体"/>
          <w:b/>
          <w:bCs/>
          <w:sz w:val="21"/>
          <w:szCs w:val="21"/>
          <w:highlight w:val="none"/>
          <w:lang w:val="en-US" w:eastAsia="zh-CN"/>
        </w:rPr>
        <w:t xml:space="preserve">2</w:t>
      </w:r>
      <w:r>
        <w:rPr>
          <w:rFonts w:hint="eastAsia" w:ascii="宋体" w:hAnsi="宋体" w:eastAsia="宋体" w:cs="宋体"/>
          <w:b/>
          <w:bCs/>
          <w:sz w:val="21"/>
          <w:szCs w:val="21"/>
          <w:highlight w:val="none"/>
        </w:rPr>
        <w:t xml:space="preserve">.6视频电源、信号接入及存储</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考虑视频设备的安装及施工方便，暂定所有摄像机布置于河道两岸。在征得甲方同意、不影响视频监视范围的前提下，摄像机立杆位置及摄像机布置位置可根据现场供电电源及网络接入的实际情况调整，承包商应完成以下工作：</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1、电源接入：所有摄像机优先考虑就近从现有闸站接入电源；如就近没有接入电源条件，则采用太阳能供电系统（包含2块200W太阳能板、2块150Ah 胶体电池），保证至少3天连续阴雨天保持摄像机正常工作。</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信号接入：所有视频信号、生态监测数据均通过有线方式（光纤、网线）接入扬州市河道管理处中心视频管理平台，仪扬河段、乌塔沟段点位数据就近接入片区汇聚点，新城河段、古运河段等数据通过专线租赁上传至中心平台。</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存储要求：中心平台完成所有点位视频录像、监测数据的统一存储，存储时长满足水利安防管理要求，支持历史数据回看、查询、下载、归档，所有存储数据具备防篡改、防丢失措施，保障数据完整性与安全性。</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配套设施：视频信号及摄像机电源接入所需的配电箱、缆线、电缆沟开挖回填或杆线架设等的所有初装费均由承包商承担，其所有权归发包方所有，承包商应负责质保期内的维护。在质保期内，承包商应保证视频信号正常传输、摄像机供电正常以及视频信号的有效存储。如有设备损坏，承包商应进行更换、调试、恢复正常工作。</w:t>
      </w:r>
      <w:r/>
    </w:p>
    <w:p>
      <w:pPr>
        <w:ind w:firstLine="422"/>
        <w:spacing w:line="360" w:lineRule="auto"/>
        <w:rPr>
          <w:rFonts w:hint="eastAsia" w:ascii="宋体" w:hAnsi="宋体" w:eastAsia="宋体" w:cs="宋体"/>
          <w:b/>
          <w:bCs/>
          <w:sz w:val="21"/>
          <w:szCs w:val="21"/>
          <w:highlight w:val="none"/>
        </w:rPr>
        <w:outlineLvl w:val="3"/>
      </w:pPr>
      <w:r>
        <w:rPr>
          <w:rFonts w:hint="eastAsia" w:ascii="宋体" w:hAnsi="宋体" w:cs="宋体"/>
          <w:b/>
          <w:bCs/>
          <w:sz w:val="21"/>
          <w:szCs w:val="21"/>
          <w:highlight w:val="none"/>
          <w:lang w:val="en-US" w:eastAsia="zh-CN"/>
        </w:rPr>
        <w:t xml:space="preserve">2.</w:t>
      </w:r>
      <w:r>
        <w:rPr>
          <w:rFonts w:hint="eastAsia" w:ascii="宋体" w:hAnsi="宋体" w:eastAsia="宋体" w:cs="宋体"/>
          <w:b/>
          <w:bCs/>
          <w:sz w:val="21"/>
          <w:szCs w:val="21"/>
          <w:highlight w:val="none"/>
        </w:rPr>
        <w:t xml:space="preserve">7施工</w:t>
      </w:r>
      <w:r>
        <w:rPr>
          <w:rFonts w:hint="eastAsia" w:ascii="宋体" w:hAnsi="宋体" w:cs="宋体"/>
          <w:b/>
          <w:bCs/>
          <w:sz w:val="21"/>
          <w:szCs w:val="21"/>
          <w:highlight w:val="none"/>
          <w:lang w:val="en-US" w:eastAsia="zh-CN"/>
        </w:rPr>
        <w:t xml:space="preserve">方案</w:t>
      </w:r>
      <w:r>
        <w:rPr>
          <w:rFonts w:hint="eastAsia" w:ascii="宋体" w:hAnsi="宋体" w:eastAsia="宋体" w:cs="宋体"/>
          <w:b/>
          <w:bCs/>
          <w:sz w:val="21"/>
          <w:szCs w:val="21"/>
          <w:highlight w:val="none"/>
        </w:rPr>
        <w:t xml:space="preserve">要求</w:t>
      </w:r>
      <w:r/>
    </w:p>
    <w:p>
      <w:pPr>
        <w:ind w:firstLine="420"/>
        <w:spacing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河道沟槽开挖严格遵循河道保护规范，避免破坏河道堤岸结构，</w:t>
      </w:r>
      <w:r>
        <w:rPr>
          <w:rFonts w:hint="default" w:ascii="宋体" w:hAnsi="宋体" w:eastAsia="宋体" w:cs="宋体"/>
          <w:sz w:val="21"/>
          <w:szCs w:val="21"/>
          <w:highlight w:val="none"/>
          <w:lang w:val="en-US" w:eastAsia="zh-CN"/>
        </w:rPr>
        <w:t xml:space="preserve">地埋线缆采用PE防腐保护管敷设，管顶覆土深度不小于60cm；穿越堤顶道路、生产便道必须加设加厚钢制套管防护。线缆全程无中间接头；光缆熔接完成做防水密封处理，每个接头井设置标识牌，标注路由、点位编号。临水低洼地段管路设置防水弯，做好封堵，防止倒灌水进入管内。</w:t>
      </w:r>
      <w:r/>
    </w:p>
    <w:p>
      <w:pPr>
        <w:ind w:firstLine="420"/>
        <w:spacing w:line="360" w:lineRule="auto"/>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t xml:space="preserve">监控立杆基础采用C30商品混凝土现浇，独立钢筋笼配筋；中标人应结合立杆高度、河道沿岸在江苏扬州50年一遇风压、防洪水位确定基础埋深与长宽尺寸，不得套用统一标准基础。基础顶面标高高于项目对应河段五年一遇洪水位。基础施工完毕按规范养护，养护期满方可立杆吊装。堤防施工完成后对堤坡、绿化、地面进行原貌恢复。</w:t>
      </w:r>
      <w:r/>
    </w:p>
    <w:p>
      <w:pPr>
        <w:ind w:firstLine="420"/>
        <w:spacing w:line="360" w:lineRule="auto"/>
        <w:rPr>
          <w:rFonts w:hint="eastAsia"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基础地龙浇筑、预埋管线、接地网敷设</w:t>
      </w:r>
      <w:r>
        <w:rPr>
          <w:rFonts w:hint="eastAsia" w:ascii="宋体" w:hAnsi="宋体" w:eastAsia="宋体" w:cs="宋体"/>
          <w:sz w:val="21"/>
          <w:szCs w:val="21"/>
          <w:highlight w:val="none"/>
          <w:lang w:val="en-US" w:eastAsia="zh-CN"/>
        </w:rPr>
        <w:t xml:space="preserve">等</w:t>
      </w:r>
      <w:r>
        <w:rPr>
          <w:rFonts w:hint="default" w:ascii="宋体" w:hAnsi="宋体" w:eastAsia="宋体" w:cs="宋体"/>
          <w:sz w:val="21"/>
          <w:szCs w:val="21"/>
          <w:highlight w:val="none"/>
          <w:lang w:val="en-US" w:eastAsia="zh-CN"/>
        </w:rPr>
        <w:t xml:space="preserve">隐蔽工程，每一处点位施工完成后须拍摄影像资料留存，报验合格后方可浇筑混凝土；隐蔽工程影像资料逐点归档。</w:t>
      </w:r>
      <w:r/>
    </w:p>
    <w:p>
      <w:pPr>
        <w:ind w:firstLine="420"/>
        <w:spacing w:line="360" w:lineRule="auto"/>
        <w:rPr>
          <w:rFonts w:hint="eastAsia"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每个监控点位设置独立接地网，接地电阻≤</w:t>
      </w:r>
      <w:r>
        <w:rPr>
          <w:rFonts w:hint="eastAsia" w:ascii="宋体" w:hAnsi="宋体" w:eastAsia="宋体" w:cs="宋体"/>
          <w:sz w:val="21"/>
          <w:szCs w:val="21"/>
          <w:highlight w:val="none"/>
          <w:lang w:val="en-US" w:eastAsia="zh-CN"/>
        </w:rPr>
        <w:t xml:space="preserve">10</w:t>
      </w:r>
      <w:r>
        <w:rPr>
          <w:rFonts w:hint="default" w:ascii="宋体" w:hAnsi="宋体" w:eastAsia="宋体" w:cs="宋体"/>
          <w:sz w:val="21"/>
          <w:szCs w:val="21"/>
          <w:highlight w:val="none"/>
          <w:lang w:val="en-US" w:eastAsia="zh-CN"/>
        </w:rPr>
        <w:t xml:space="preserve">Ω；立杆、设备箱、球机外壳、防雷器做等电位连接。全部点位完工后逐点使用接地电阻测试仪实测并记录数值，形成接地测试记录表；阻值不合格点位必须重新布设接地网直至达标。</w:t>
      </w:r>
      <w:r/>
    </w:p>
    <w:p>
      <w:pPr>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施工全程遵守河道施工、道路施工安全规范，设置安全警示标识，做好临水作业、高空作业防护，杜绝安全事故；所有设备、材料进场验收，严格按照技术参数及施工规范施工，每道工序自检、复检，确保工程质量达标；</w:t>
      </w:r>
      <w:r/>
    </w:p>
    <w:p>
      <w:pPr>
        <w:ind w:firstLine="420"/>
        <w:spacing w:line="360" w:lineRule="auto"/>
        <w:rPr>
          <w:rFonts w:hint="eastAsia"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 xml:space="preserve">全部设备安装完成后进行72h点位试运行；全系统联调完成后开展连续168小时不间断试运行。试运行记录包含设备在线率、视频状态、网络丢包率。试运行期间出现掉线、视频异常须全部整改完成，试运行合格才可申请初验、终验。</w:t>
      </w:r>
      <w:r/>
    </w:p>
    <w:p>
      <w:pPr>
        <w:ind w:firstLine="422"/>
        <w:spacing w:line="360" w:lineRule="auto"/>
        <w:rPr>
          <w:rFonts w:hint="default" w:eastAsia="宋体"/>
          <w:highlight w:val="none"/>
          <w:lang w:val="en-US" w:eastAsia="zh-CN"/>
        </w:rPr>
        <w:outlineLvl w:val="3"/>
      </w:pPr>
      <w:r>
        <w:rPr>
          <w:rFonts w:hint="eastAsia" w:ascii="宋体" w:hAnsi="宋体" w:cs="宋体"/>
          <w:b/>
          <w:bCs/>
          <w:sz w:val="21"/>
          <w:szCs w:val="21"/>
          <w:highlight w:val="none"/>
          <w:lang w:val="en-US" w:eastAsia="zh-CN"/>
        </w:rPr>
        <w:t xml:space="preserve">2</w:t>
      </w:r>
      <w:r>
        <w:rPr>
          <w:rFonts w:hint="eastAsia" w:ascii="宋体" w:hAnsi="宋体" w:eastAsia="宋体" w:cs="宋体"/>
          <w:b/>
          <w:bCs/>
          <w:sz w:val="21"/>
          <w:szCs w:val="21"/>
          <w:highlight w:val="none"/>
        </w:rPr>
        <w:t xml:space="preserve">.8主要设备技术要求</w:t>
      </w:r>
      <w:r/>
    </w:p>
    <w:p>
      <w:pPr>
        <w:pStyle w:val="734"/>
        <w:numPr>
          <w:ilvl w:val="0"/>
          <w:numId w:val="0"/>
        </w:numPr>
        <w:ind w:firstLine="422"/>
        <w:keepLines w:val="0"/>
        <w:keepNext w:val="0"/>
        <w:pageBreakBefore w:val="0"/>
        <w:spacing w:line="360" w:lineRule="auto"/>
        <w:widowControl w:val="off"/>
        <w:rPr>
          <w:rFonts w:hint="default" w:ascii="Times New Roman" w:hAnsi="Times New Roman" w:eastAsia="宋体" w:cs="Times New Roman"/>
          <w:i w:val="0"/>
          <w:iCs w:val="0"/>
          <w:sz w:val="21"/>
          <w:szCs w:val="21"/>
          <w:highlight w:val="none"/>
          <w:u w:val="none"/>
          <w:lang w:val="en-US" w:eastAsia="zh-CN"/>
        </w:rPr>
      </w:pPr>
      <w:r>
        <w:rPr>
          <w:rFonts w:hint="default" w:ascii="Times New Roman" w:hAnsi="Times New Roman" w:eastAsia="宋体" w:cs="Times New Roman"/>
          <w:b/>
          <w:bCs/>
          <w:i w:val="0"/>
          <w:iCs w:val="0"/>
          <w:sz w:val="21"/>
          <w:szCs w:val="21"/>
          <w:highlight w:val="none"/>
          <w:u w:val="none"/>
          <w:lang w:val="en-US" w:eastAsia="zh-CN"/>
        </w:rPr>
        <w:t xml:space="preserve">（1）多光谱蓝藻监测摄像机</w:t>
      </w:r>
      <w:r/>
    </w:p>
    <w:p>
      <w:pPr>
        <w:pStyle w:val="734"/>
        <w:numPr>
          <w:ilvl w:val="0"/>
          <w:numId w:val="0"/>
        </w:numPr>
        <w:ind w:firstLine="420"/>
        <w:keepLines w:val="0"/>
        <w:keepNext w:val="0"/>
        <w:pageBreakBefore w:val="0"/>
        <w:spacing w:line="360" w:lineRule="auto"/>
        <w:widowControl w:val="off"/>
        <w:rPr>
          <w:rFonts w:hint="default" w:ascii="Times New Roman" w:hAnsi="Times New Roman" w:eastAsia="宋体" w:cs="Times New Roman"/>
          <w:i w:val="0"/>
          <w:iCs w:val="0"/>
          <w:sz w:val="21"/>
          <w:szCs w:val="21"/>
          <w:highlight w:val="none"/>
          <w:u w:val="none"/>
          <w:lang w:val="en-US" w:eastAsia="zh-CN"/>
        </w:rPr>
      </w:pPr>
      <w:r>
        <w:rPr>
          <w:rFonts w:hint="default" w:ascii="Times New Roman" w:hAnsi="Times New Roman" w:eastAsia="宋体" w:cs="Times New Roman"/>
          <w:i w:val="0"/>
          <w:iCs w:val="0"/>
          <w:sz w:val="21"/>
          <w:szCs w:val="21"/>
          <w:highlight w:val="none"/>
          <w:u w:val="none"/>
          <w:lang w:val="en-US" w:eastAsia="zh-CN"/>
        </w:rPr>
        <w:t xml:space="preserve">1.支持环境光实时校准，实现蓝藻水华智能监测。</w:t>
      </w:r>
      <w:r/>
    </w:p>
    <w:p>
      <w:pPr>
        <w:pStyle w:val="734"/>
        <w:numPr>
          <w:ilvl w:val="0"/>
          <w:numId w:val="0"/>
        </w:numPr>
        <w:ind w:firstLine="420"/>
        <w:keepLines w:val="0"/>
        <w:keepNext w:val="0"/>
        <w:pageBreakBefore w:val="0"/>
        <w:spacing w:line="360" w:lineRule="auto"/>
        <w:widowControl w:val="off"/>
        <w:rPr>
          <w:rFonts w:hint="default" w:ascii="Times New Roman" w:hAnsi="Times New Roman" w:eastAsia="宋体" w:cs="Times New Roman"/>
          <w:i w:val="0"/>
          <w:iCs w:val="0"/>
          <w:sz w:val="21"/>
          <w:szCs w:val="21"/>
          <w:highlight w:val="none"/>
          <w:u w:val="none"/>
          <w:lang w:val="en-US" w:eastAsia="zh-CN"/>
        </w:rPr>
      </w:pPr>
      <w:r>
        <w:rPr>
          <w:rFonts w:hint="default" w:ascii="Times New Roman" w:hAnsi="Times New Roman" w:eastAsia="宋体" w:cs="Times New Roman"/>
          <w:i w:val="0"/>
          <w:iCs w:val="0"/>
          <w:sz w:val="21"/>
          <w:szCs w:val="21"/>
          <w:highlight w:val="none"/>
          <w:u w:val="none"/>
          <w:lang w:val="en-US" w:eastAsia="zh-CN"/>
        </w:rPr>
        <w:t xml:space="preserve">2.传感器类型：1/1.8＂ progressive scan CMOS</w:t>
      </w:r>
      <w:r/>
    </w:p>
    <w:p>
      <w:pPr>
        <w:pStyle w:val="734"/>
        <w:numPr>
          <w:ilvl w:val="0"/>
          <w:numId w:val="0"/>
        </w:numPr>
        <w:ind w:firstLine="420"/>
        <w:keepLines w:val="0"/>
        <w:keepNext w:val="0"/>
        <w:pageBreakBefore w:val="0"/>
        <w:spacing w:line="360" w:lineRule="auto"/>
        <w:widowControl w:val="off"/>
        <w:rPr>
          <w:rFonts w:hint="default" w:ascii="Times New Roman" w:hAnsi="Times New Roman" w:eastAsia="宋体" w:cs="Times New Roman"/>
          <w:i w:val="0"/>
          <w:iCs w:val="0"/>
          <w:sz w:val="21"/>
          <w:szCs w:val="21"/>
          <w:highlight w:val="none"/>
          <w:u w:val="none"/>
          <w:lang w:val="en-US" w:eastAsia="zh-CN"/>
        </w:rPr>
      </w:pPr>
      <w:r>
        <w:rPr>
          <w:rFonts w:hint="default" w:ascii="Times New Roman" w:hAnsi="Times New Roman" w:eastAsia="宋体" w:cs="Times New Roman"/>
          <w:i w:val="0"/>
          <w:iCs w:val="0"/>
          <w:sz w:val="21"/>
          <w:szCs w:val="21"/>
          <w:highlight w:val="none"/>
          <w:u w:val="none"/>
          <w:lang w:val="en-US" w:eastAsia="zh-CN"/>
        </w:rPr>
        <w:t xml:space="preserve">3.最低照度不低于：0.0045Lux @ (F3.2，AGC ON)；黑白：0.0007Lux @(F3.2，AGC ON)；0 Lux with IR</w:t>
      </w:r>
      <w:r/>
    </w:p>
    <w:p>
      <w:pPr>
        <w:pStyle w:val="734"/>
        <w:numPr>
          <w:ilvl w:val="0"/>
          <w:numId w:val="0"/>
        </w:numPr>
        <w:ind w:firstLine="420"/>
        <w:keepLines w:val="0"/>
        <w:keepNext w:val="0"/>
        <w:pageBreakBefore w:val="0"/>
        <w:spacing w:line="360" w:lineRule="auto"/>
        <w:widowControl w:val="off"/>
        <w:rPr>
          <w:rFonts w:hint="default" w:ascii="Times New Roman" w:hAnsi="Times New Roman" w:eastAsia="宋体" w:cs="Times New Roman"/>
          <w:i w:val="0"/>
          <w:iCs w:val="0"/>
          <w:sz w:val="21"/>
          <w:szCs w:val="21"/>
          <w:highlight w:val="none"/>
          <w:u w:val="none"/>
          <w:lang w:val="en-US" w:eastAsia="zh-CN"/>
        </w:rPr>
      </w:pPr>
      <w:r>
        <w:rPr>
          <w:rFonts w:hint="default" w:ascii="Times New Roman" w:hAnsi="Times New Roman" w:eastAsia="宋体" w:cs="Times New Roman"/>
          <w:i w:val="0"/>
          <w:iCs w:val="0"/>
          <w:sz w:val="21"/>
          <w:szCs w:val="21"/>
          <w:highlight w:val="none"/>
          <w:u w:val="none"/>
          <w:lang w:val="en-US" w:eastAsia="zh-CN"/>
        </w:rPr>
        <w:t xml:space="preserve">4.焦距：支持6.8-217.6mm，32倍光学变倍</w:t>
      </w:r>
      <w:r/>
    </w:p>
    <w:p>
      <w:pPr>
        <w:pStyle w:val="734"/>
        <w:numPr>
          <w:ilvl w:val="0"/>
          <w:numId w:val="0"/>
        </w:numPr>
        <w:ind w:firstLine="420"/>
        <w:keepLines w:val="0"/>
        <w:keepNext w:val="0"/>
        <w:pageBreakBefore w:val="0"/>
        <w:spacing w:line="360" w:lineRule="auto"/>
        <w:widowControl w:val="off"/>
        <w:rPr>
          <w:rFonts w:hint="default" w:ascii="Times New Roman" w:hAnsi="Times New Roman" w:eastAsia="宋体" w:cs="Times New Roman"/>
          <w:i w:val="0"/>
          <w:iCs w:val="0"/>
          <w:sz w:val="21"/>
          <w:szCs w:val="21"/>
          <w:highlight w:val="none"/>
          <w:u w:val="none"/>
          <w:lang w:val="en-US" w:eastAsia="zh-CN"/>
        </w:rPr>
      </w:pPr>
      <w:r>
        <w:rPr>
          <w:rFonts w:hint="default" w:ascii="Times New Roman" w:hAnsi="Times New Roman" w:eastAsia="宋体" w:cs="Times New Roman"/>
          <w:i w:val="0"/>
          <w:iCs w:val="0"/>
          <w:sz w:val="21"/>
          <w:szCs w:val="21"/>
          <w:highlight w:val="none"/>
          <w:u w:val="none"/>
          <w:lang w:val="en-US" w:eastAsia="zh-CN"/>
        </w:rPr>
        <w:t xml:space="preserve">5.</w:t>
      </w:r>
      <w:r>
        <w:rPr>
          <w:rFonts w:hint="default" w:ascii="Times New Roman" w:hAnsi="Times New Roman" w:eastAsia="微软雅黑" w:cs="Times New Roman"/>
          <w:color w:val="000000"/>
          <w:szCs w:val="21"/>
          <w:highlight w:val="none"/>
          <w:shd w:val="clear" w:color="auto" w:fill="ffffff"/>
        </w:rPr>
        <w:t xml:space="preserve">★</w:t>
      </w:r>
      <w:r>
        <w:rPr>
          <w:rFonts w:hint="default" w:ascii="Times New Roman" w:hAnsi="Times New Roman" w:eastAsia="宋体" w:cs="Times New Roman"/>
          <w:i w:val="0"/>
          <w:iCs w:val="0"/>
          <w:sz w:val="21"/>
          <w:szCs w:val="21"/>
          <w:highlight w:val="none"/>
          <w:u w:val="none"/>
          <w:lang w:val="en-US" w:eastAsia="zh-CN"/>
        </w:rPr>
        <w:t xml:space="preserve">设备在1km距离处，空间分辨率</w:t>
      </w:r>
      <w:r>
        <w:rPr>
          <w:rFonts w:hint="eastAsia" w:ascii="Times New Roman" w:hAnsi="Times New Roman" w:eastAsia="宋体" w:cs="Times New Roman"/>
          <w:i w:val="0"/>
          <w:iCs w:val="0"/>
          <w:sz w:val="21"/>
          <w:szCs w:val="21"/>
          <w:highlight w:val="none"/>
          <w:u w:val="none"/>
          <w:lang w:val="en-US" w:eastAsia="zh-CN"/>
        </w:rPr>
        <w:t xml:space="preserve">不大于</w:t>
      </w:r>
      <w:r>
        <w:rPr>
          <w:rFonts w:hint="default" w:ascii="Times New Roman" w:hAnsi="Times New Roman" w:eastAsia="宋体" w:cs="Times New Roman"/>
          <w:i w:val="0"/>
          <w:iCs w:val="0"/>
          <w:sz w:val="21"/>
          <w:szCs w:val="21"/>
          <w:highlight w:val="none"/>
          <w:u w:val="none"/>
          <w:lang w:val="en-US" w:eastAsia="zh-CN"/>
        </w:rPr>
        <w:t xml:space="preserve">2cm/pixel</w:t>
      </w:r>
      <w:r>
        <w:rPr>
          <w:rFonts w:hint="default" w:ascii="Times New Roman" w:hAnsi="Times New Roman" w:eastAsia="宋体" w:cs="Times New Roman"/>
          <w:b/>
          <w:bCs/>
          <w:color w:val="auto"/>
          <w:sz w:val="21"/>
          <w:szCs w:val="21"/>
          <w:highlight w:val="none"/>
          <w:lang w:bidi="ar"/>
        </w:rPr>
        <w:t xml:space="preserve">（需提供</w:t>
      </w:r>
      <w:r>
        <w:rPr>
          <w:rFonts w:hint="eastAsia" w:ascii="Times New Roman" w:hAnsi="Times New Roman" w:cs="Times New Roman"/>
          <w:b/>
          <w:bCs/>
          <w:color w:val="auto"/>
          <w:sz w:val="21"/>
          <w:szCs w:val="21"/>
          <w:highlight w:val="none"/>
          <w:lang w:eastAsia="zh-CN" w:bidi="ar"/>
        </w:rPr>
        <w:t xml:space="preserve">具有相关资质的第三方</w:t>
      </w:r>
      <w:r>
        <w:rPr>
          <w:rFonts w:hint="default" w:ascii="Times New Roman" w:hAnsi="Times New Roman" w:eastAsia="宋体" w:cs="Times New Roman"/>
          <w:b/>
          <w:bCs/>
          <w:color w:val="auto"/>
          <w:sz w:val="21"/>
          <w:szCs w:val="21"/>
          <w:highlight w:val="none"/>
          <w:lang w:bidi="ar"/>
        </w:rPr>
        <w:t xml:space="preserve">出具的检测报告，</w:t>
      </w:r>
      <w:r>
        <w:rPr>
          <w:rStyle w:val="1019"/>
          <w:rFonts w:hint="default" w:ascii="Times New Roman" w:hAnsi="Times New Roman" w:eastAsia="宋体" w:cs="Times New Roman"/>
          <w:b/>
          <w:bCs/>
          <w:color w:val="auto"/>
          <w:sz w:val="21"/>
          <w:szCs w:val="21"/>
          <w:highlight w:val="none"/>
          <w:lang w:bidi="ar"/>
        </w:rPr>
        <w:t xml:space="preserve">并加盖投标人公章，扫描上传</w:t>
      </w:r>
      <w:r>
        <w:rPr>
          <w:rFonts w:hint="default" w:ascii="Times New Roman" w:hAnsi="Times New Roman" w:eastAsia="宋体" w:cs="Times New Roman"/>
          <w:b/>
          <w:bCs/>
          <w:color w:val="auto"/>
          <w:sz w:val="21"/>
          <w:szCs w:val="21"/>
          <w:highlight w:val="none"/>
          <w:lang w:bidi="ar"/>
        </w:rPr>
        <w:t xml:space="preserve">）</w:t>
      </w:r>
      <w:r/>
    </w:p>
    <w:p>
      <w:pPr>
        <w:pStyle w:val="734"/>
        <w:numPr>
          <w:ilvl w:val="0"/>
          <w:numId w:val="0"/>
        </w:numPr>
        <w:ind w:firstLine="420"/>
        <w:keepLines w:val="0"/>
        <w:keepNext w:val="0"/>
        <w:pageBreakBefore w:val="0"/>
        <w:spacing w:line="360" w:lineRule="auto"/>
        <w:widowControl w:val="off"/>
        <w:rPr>
          <w:rFonts w:hint="default" w:ascii="Times New Roman" w:hAnsi="Times New Roman" w:eastAsia="宋体" w:cs="Times New Roman"/>
          <w:i w:val="0"/>
          <w:iCs w:val="0"/>
          <w:sz w:val="21"/>
          <w:szCs w:val="21"/>
          <w:highlight w:val="none"/>
          <w:u w:val="none"/>
          <w:lang w:val="en-US" w:eastAsia="zh-CN"/>
        </w:rPr>
      </w:pPr>
      <w:r>
        <w:rPr>
          <w:rFonts w:hint="default" w:ascii="Times New Roman" w:hAnsi="Times New Roman" w:eastAsia="宋体" w:cs="Times New Roman"/>
          <w:i w:val="0"/>
          <w:iCs w:val="0"/>
          <w:sz w:val="21"/>
          <w:szCs w:val="21"/>
          <w:highlight w:val="none"/>
          <w:u w:val="none"/>
          <w:lang w:val="en-US" w:eastAsia="zh-CN"/>
        </w:rPr>
        <w:t xml:space="preserve">6.设备支持环境光传感器，进行环境光实时校准</w:t>
      </w:r>
      <w:r/>
    </w:p>
    <w:p>
      <w:pPr>
        <w:pStyle w:val="734"/>
        <w:numPr>
          <w:ilvl w:val="0"/>
          <w:numId w:val="0"/>
        </w:numPr>
        <w:ind w:firstLine="420"/>
        <w:keepLines w:val="0"/>
        <w:keepNext w:val="0"/>
        <w:pageBreakBefore w:val="0"/>
        <w:spacing w:line="360" w:lineRule="auto"/>
        <w:widowControl w:val="off"/>
        <w:rPr>
          <w:rFonts w:hint="default" w:ascii="Times New Roman" w:hAnsi="Times New Roman" w:eastAsia="宋体" w:cs="Times New Roman"/>
          <w:i w:val="0"/>
          <w:iCs w:val="0"/>
          <w:sz w:val="21"/>
          <w:szCs w:val="21"/>
          <w:highlight w:val="none"/>
          <w:u w:val="none"/>
          <w:lang w:val="en-US" w:eastAsia="zh-CN"/>
        </w:rPr>
      </w:pPr>
      <w:r>
        <w:rPr>
          <w:rFonts w:hint="default" w:ascii="Times New Roman" w:hAnsi="Times New Roman" w:eastAsia="宋体" w:cs="Times New Roman"/>
          <w:i w:val="0"/>
          <w:iCs w:val="0"/>
          <w:sz w:val="21"/>
          <w:szCs w:val="21"/>
          <w:highlight w:val="none"/>
          <w:u w:val="none"/>
          <w:lang w:val="en-US" w:eastAsia="zh-CN"/>
        </w:rPr>
        <w:t xml:space="preserve">7.支持450nm、560nm、660nm、720nm、750nm、850nm多个光谱波段</w:t>
      </w:r>
      <w:r/>
    </w:p>
    <w:p>
      <w:pPr>
        <w:pStyle w:val="734"/>
        <w:numPr>
          <w:ilvl w:val="0"/>
          <w:numId w:val="0"/>
        </w:numPr>
        <w:ind w:firstLine="420"/>
        <w:keepLines w:val="0"/>
        <w:keepNext w:val="0"/>
        <w:pageBreakBefore w:val="0"/>
        <w:spacing w:line="360" w:lineRule="auto"/>
        <w:widowControl w:val="off"/>
        <w:rPr>
          <w:rFonts w:hint="default" w:ascii="Times New Roman" w:hAnsi="Times New Roman" w:eastAsia="宋体" w:cs="Times New Roman"/>
          <w:i w:val="0"/>
          <w:iCs w:val="0"/>
          <w:sz w:val="21"/>
          <w:szCs w:val="21"/>
          <w:highlight w:val="none"/>
          <w:u w:val="none"/>
          <w:lang w:val="en-US" w:eastAsia="zh-CN"/>
        </w:rPr>
      </w:pPr>
      <w:r>
        <w:rPr>
          <w:rFonts w:hint="default" w:ascii="Times New Roman" w:hAnsi="Times New Roman" w:eastAsia="宋体" w:cs="Times New Roman"/>
          <w:i w:val="0"/>
          <w:iCs w:val="0"/>
          <w:sz w:val="21"/>
          <w:szCs w:val="21"/>
          <w:highlight w:val="none"/>
          <w:u w:val="none"/>
          <w:lang w:val="en-US" w:eastAsia="zh-CN"/>
        </w:rPr>
        <w:t xml:space="preserve">8.支持RS485接口, 支持半双工模式，与多光谱主机相连。 </w:t>
      </w:r>
      <w:r/>
    </w:p>
    <w:p>
      <w:pPr>
        <w:pStyle w:val="734"/>
        <w:numPr>
          <w:ilvl w:val="0"/>
          <w:numId w:val="0"/>
        </w:numPr>
        <w:ind w:firstLine="420"/>
        <w:keepLines w:val="0"/>
        <w:keepNext w:val="0"/>
        <w:pageBreakBefore w:val="0"/>
        <w:spacing w:line="360" w:lineRule="auto"/>
        <w:widowControl w:val="off"/>
        <w:rPr>
          <w:rFonts w:hint="default" w:ascii="Times New Roman" w:hAnsi="Times New Roman" w:eastAsia="宋体" w:cs="Times New Roman"/>
          <w:i w:val="0"/>
          <w:iCs w:val="0"/>
          <w:sz w:val="21"/>
          <w:szCs w:val="21"/>
          <w:highlight w:val="none"/>
          <w:u w:val="none"/>
          <w:lang w:val="en-US" w:eastAsia="zh-CN"/>
        </w:rPr>
      </w:pPr>
      <w:r>
        <w:rPr>
          <w:rFonts w:hint="default" w:ascii="Times New Roman" w:hAnsi="Times New Roman" w:eastAsia="宋体" w:cs="Times New Roman"/>
          <w:i w:val="0"/>
          <w:iCs w:val="0"/>
          <w:sz w:val="21"/>
          <w:szCs w:val="21"/>
          <w:highlight w:val="none"/>
          <w:u w:val="none"/>
          <w:lang w:val="en-US" w:eastAsia="zh-CN"/>
        </w:rPr>
        <w:t xml:space="preserve">9.设备支持内置加热模块，当内部温度降至设定的阈值时可自动开启加热功能对镜头前盖玻璃加热；当设备内部温度升值设定的阈值时，可自动关闭加热功能。</w:t>
      </w:r>
      <w:r/>
    </w:p>
    <w:p>
      <w:pPr>
        <w:pStyle w:val="734"/>
        <w:numPr>
          <w:ilvl w:val="0"/>
          <w:numId w:val="0"/>
        </w:numPr>
        <w:ind w:firstLine="420"/>
        <w:keepLines w:val="0"/>
        <w:keepNext w:val="0"/>
        <w:pageBreakBefore w:val="0"/>
        <w:spacing w:line="360" w:lineRule="auto"/>
        <w:widowControl w:val="off"/>
        <w:rPr>
          <w:rFonts w:hint="default" w:ascii="Times New Roman" w:hAnsi="Times New Roman" w:eastAsia="宋体" w:cs="Times New Roman"/>
          <w:i w:val="0"/>
          <w:iCs w:val="0"/>
          <w:sz w:val="21"/>
          <w:szCs w:val="21"/>
          <w:highlight w:val="none"/>
          <w:u w:val="none"/>
          <w:lang w:val="en-US" w:eastAsia="zh-CN"/>
        </w:rPr>
      </w:pPr>
      <w:r>
        <w:rPr>
          <w:rFonts w:hint="default" w:ascii="Times New Roman" w:hAnsi="Times New Roman" w:eastAsia="宋体" w:cs="Times New Roman"/>
          <w:i w:val="0"/>
          <w:iCs w:val="0"/>
          <w:sz w:val="21"/>
          <w:szCs w:val="21"/>
          <w:highlight w:val="none"/>
          <w:u w:val="none"/>
          <w:lang w:val="en-US" w:eastAsia="zh-CN"/>
        </w:rPr>
        <w:t xml:space="preserve">10.★设备支持环境光实时矫正模块，模块的光谱范围覆盖400~900nm，分辨率不大于10nm。</w:t>
      </w:r>
      <w:r>
        <w:rPr>
          <w:rFonts w:hint="default" w:ascii="Times New Roman" w:hAnsi="Times New Roman" w:eastAsia="宋体" w:cs="Times New Roman"/>
          <w:b/>
          <w:bCs/>
          <w:color w:val="auto"/>
          <w:sz w:val="21"/>
          <w:szCs w:val="21"/>
          <w:highlight w:val="none"/>
          <w:lang w:bidi="ar"/>
        </w:rPr>
        <w:t xml:space="preserve">（需提供</w:t>
      </w:r>
      <w:r>
        <w:rPr>
          <w:rFonts w:hint="eastAsia" w:ascii="Times New Roman" w:hAnsi="Times New Roman" w:cs="Times New Roman"/>
          <w:b/>
          <w:bCs/>
          <w:color w:val="auto"/>
          <w:sz w:val="21"/>
          <w:szCs w:val="21"/>
          <w:highlight w:val="none"/>
          <w:lang w:eastAsia="zh-CN" w:bidi="ar"/>
        </w:rPr>
        <w:t xml:space="preserve">具有相关资质的第三方</w:t>
      </w:r>
      <w:r>
        <w:rPr>
          <w:rFonts w:hint="default" w:ascii="Times New Roman" w:hAnsi="Times New Roman" w:eastAsia="宋体" w:cs="Times New Roman"/>
          <w:b/>
          <w:bCs/>
          <w:color w:val="auto"/>
          <w:sz w:val="21"/>
          <w:szCs w:val="21"/>
          <w:highlight w:val="none"/>
          <w:lang w:bidi="ar"/>
        </w:rPr>
        <w:t xml:space="preserve">出具的检测报告，</w:t>
      </w:r>
      <w:r>
        <w:rPr>
          <w:rStyle w:val="1019"/>
          <w:rFonts w:hint="default" w:ascii="Times New Roman" w:hAnsi="Times New Roman" w:eastAsia="宋体" w:cs="Times New Roman"/>
          <w:b/>
          <w:bCs/>
          <w:color w:val="auto"/>
          <w:sz w:val="21"/>
          <w:szCs w:val="21"/>
          <w:highlight w:val="none"/>
          <w:lang w:bidi="ar"/>
        </w:rPr>
        <w:t xml:space="preserve">并加盖投标人公章，扫描上传</w:t>
      </w:r>
      <w:r>
        <w:rPr>
          <w:rFonts w:hint="default" w:ascii="Times New Roman" w:hAnsi="Times New Roman" w:eastAsia="宋体" w:cs="Times New Roman"/>
          <w:b/>
          <w:bCs/>
          <w:color w:val="auto"/>
          <w:sz w:val="21"/>
          <w:szCs w:val="21"/>
          <w:highlight w:val="none"/>
          <w:lang w:bidi="ar"/>
        </w:rPr>
        <w:t xml:space="preserve">）</w:t>
      </w:r>
      <w:r/>
    </w:p>
    <w:p>
      <w:pPr>
        <w:pStyle w:val="734"/>
        <w:numPr>
          <w:ilvl w:val="0"/>
          <w:numId w:val="0"/>
        </w:numPr>
        <w:ind w:firstLine="420"/>
        <w:keepLines w:val="0"/>
        <w:keepNext w:val="0"/>
        <w:pageBreakBefore w:val="0"/>
        <w:spacing w:line="360" w:lineRule="auto"/>
        <w:widowControl w:val="off"/>
        <w:rPr>
          <w:rFonts w:hint="default" w:ascii="Times New Roman" w:hAnsi="Times New Roman" w:eastAsia="宋体" w:cs="Times New Roman"/>
          <w:i w:val="0"/>
          <w:iCs w:val="0"/>
          <w:sz w:val="21"/>
          <w:szCs w:val="21"/>
          <w:highlight w:val="none"/>
          <w:u w:val="none"/>
          <w:lang w:val="en-US" w:eastAsia="zh-CN"/>
        </w:rPr>
      </w:pPr>
      <w:r>
        <w:rPr>
          <w:rFonts w:hint="default" w:ascii="Times New Roman" w:hAnsi="Times New Roman" w:eastAsia="宋体" w:cs="Times New Roman"/>
          <w:i w:val="0"/>
          <w:iCs w:val="0"/>
          <w:sz w:val="21"/>
          <w:szCs w:val="21"/>
          <w:highlight w:val="none"/>
          <w:u w:val="none"/>
          <w:lang w:val="en-US" w:eastAsia="zh-CN"/>
        </w:rPr>
        <w:t xml:space="preserve">11.★设备支持自动输出植被指数：NDVI、GDNVI、NDRE、OSAVI、LCI。可以自动输出对应光谱通道450nm/560nm/660nm/720nm/750nm/850nm。</w:t>
      </w:r>
      <w:r>
        <w:rPr>
          <w:rFonts w:hint="default" w:ascii="Times New Roman" w:hAnsi="Times New Roman" w:eastAsia="宋体" w:cs="Times New Roman"/>
          <w:b/>
          <w:bCs/>
          <w:color w:val="auto"/>
          <w:sz w:val="21"/>
          <w:szCs w:val="21"/>
          <w:highlight w:val="none"/>
          <w:lang w:bidi="ar"/>
        </w:rPr>
        <w:t xml:space="preserve">（需提供</w:t>
      </w:r>
      <w:r>
        <w:rPr>
          <w:rFonts w:hint="eastAsia" w:ascii="Times New Roman" w:hAnsi="Times New Roman" w:cs="Times New Roman"/>
          <w:b/>
          <w:bCs/>
          <w:color w:val="auto"/>
          <w:sz w:val="21"/>
          <w:szCs w:val="21"/>
          <w:highlight w:val="none"/>
          <w:lang w:eastAsia="zh-CN" w:bidi="ar"/>
        </w:rPr>
        <w:t xml:space="preserve">具有相关资质的第三方</w:t>
      </w:r>
      <w:r>
        <w:rPr>
          <w:rFonts w:hint="default" w:ascii="Times New Roman" w:hAnsi="Times New Roman" w:eastAsia="宋体" w:cs="Times New Roman"/>
          <w:b/>
          <w:bCs/>
          <w:color w:val="auto"/>
          <w:sz w:val="21"/>
          <w:szCs w:val="21"/>
          <w:highlight w:val="none"/>
          <w:lang w:bidi="ar"/>
        </w:rPr>
        <w:t xml:space="preserve">出具的检测报告，</w:t>
      </w:r>
      <w:r>
        <w:rPr>
          <w:rStyle w:val="1019"/>
          <w:rFonts w:hint="default" w:ascii="Times New Roman" w:hAnsi="Times New Roman" w:eastAsia="宋体" w:cs="Times New Roman"/>
          <w:b/>
          <w:bCs/>
          <w:color w:val="auto"/>
          <w:sz w:val="21"/>
          <w:szCs w:val="21"/>
          <w:highlight w:val="none"/>
          <w:lang w:bidi="ar"/>
        </w:rPr>
        <w:t xml:space="preserve">并加盖投标人公章，扫描上传</w:t>
      </w:r>
      <w:r>
        <w:rPr>
          <w:rFonts w:hint="default" w:ascii="Times New Roman" w:hAnsi="Times New Roman" w:eastAsia="宋体" w:cs="Times New Roman"/>
          <w:b/>
          <w:bCs/>
          <w:color w:val="auto"/>
          <w:sz w:val="21"/>
          <w:szCs w:val="21"/>
          <w:highlight w:val="none"/>
          <w:lang w:bidi="ar"/>
        </w:rPr>
        <w:t xml:space="preserve">）</w:t>
      </w:r>
      <w:r/>
    </w:p>
    <w:p>
      <w:pPr>
        <w:pStyle w:val="734"/>
        <w:numPr>
          <w:ilvl w:val="0"/>
          <w:numId w:val="0"/>
        </w:numPr>
        <w:ind w:firstLine="420"/>
        <w:keepLines w:val="0"/>
        <w:keepNext w:val="0"/>
        <w:pageBreakBefore w:val="0"/>
        <w:spacing w:line="360" w:lineRule="auto"/>
        <w:widowControl w:val="off"/>
        <w:rPr>
          <w:rFonts w:hint="default" w:ascii="Times New Roman" w:hAnsi="Times New Roman" w:eastAsia="宋体" w:cs="Times New Roman"/>
          <w:i w:val="0"/>
          <w:iCs w:val="0"/>
          <w:sz w:val="21"/>
          <w:szCs w:val="21"/>
          <w:highlight w:val="none"/>
          <w:u w:val="none"/>
          <w:lang w:val="en-US" w:eastAsia="zh-CN"/>
        </w:rPr>
      </w:pPr>
      <w:r>
        <w:rPr>
          <w:rFonts w:hint="default" w:ascii="Times New Roman" w:hAnsi="Times New Roman" w:eastAsia="宋体" w:cs="Times New Roman"/>
          <w:i w:val="0"/>
          <w:iCs w:val="0"/>
          <w:sz w:val="21"/>
          <w:szCs w:val="21"/>
          <w:highlight w:val="none"/>
          <w:u w:val="none"/>
          <w:lang w:val="en-US" w:eastAsia="zh-CN"/>
        </w:rPr>
        <w:t xml:space="preserve">12.★设备支持不少于30个光谱布防区域，每个区域均可计算植被并展示。</w:t>
      </w:r>
      <w:r>
        <w:rPr>
          <w:rFonts w:hint="default" w:ascii="Times New Roman" w:hAnsi="Times New Roman" w:eastAsia="宋体" w:cs="Times New Roman"/>
          <w:b/>
          <w:bCs/>
          <w:color w:val="auto"/>
          <w:sz w:val="21"/>
          <w:szCs w:val="21"/>
          <w:highlight w:val="none"/>
          <w:lang w:bidi="ar"/>
        </w:rPr>
        <w:t xml:space="preserve">（需提供</w:t>
      </w:r>
      <w:r>
        <w:rPr>
          <w:rFonts w:hint="eastAsia" w:ascii="Times New Roman" w:hAnsi="Times New Roman" w:cs="Times New Roman"/>
          <w:b/>
          <w:bCs/>
          <w:color w:val="auto"/>
          <w:sz w:val="21"/>
          <w:szCs w:val="21"/>
          <w:highlight w:val="none"/>
          <w:lang w:eastAsia="zh-CN" w:bidi="ar"/>
        </w:rPr>
        <w:t xml:space="preserve">具有相关资质的第三方</w:t>
      </w:r>
      <w:r>
        <w:rPr>
          <w:rFonts w:hint="default" w:ascii="Times New Roman" w:hAnsi="Times New Roman" w:eastAsia="宋体" w:cs="Times New Roman"/>
          <w:b/>
          <w:bCs/>
          <w:color w:val="auto"/>
          <w:sz w:val="21"/>
          <w:szCs w:val="21"/>
          <w:highlight w:val="none"/>
          <w:lang w:bidi="ar"/>
        </w:rPr>
        <w:t xml:space="preserve">出具的检测报告，</w:t>
      </w:r>
      <w:r>
        <w:rPr>
          <w:rStyle w:val="1019"/>
          <w:rFonts w:hint="default" w:ascii="Times New Roman" w:hAnsi="Times New Roman" w:eastAsia="宋体" w:cs="Times New Roman"/>
          <w:b/>
          <w:bCs/>
          <w:color w:val="auto"/>
          <w:sz w:val="21"/>
          <w:szCs w:val="21"/>
          <w:highlight w:val="none"/>
          <w:lang w:bidi="ar"/>
        </w:rPr>
        <w:t xml:space="preserve">并加盖投标人公章，扫描上传</w:t>
      </w:r>
      <w:r>
        <w:rPr>
          <w:rFonts w:hint="default" w:ascii="Times New Roman" w:hAnsi="Times New Roman" w:eastAsia="宋体" w:cs="Times New Roman"/>
          <w:b/>
          <w:bCs/>
          <w:color w:val="auto"/>
          <w:sz w:val="21"/>
          <w:szCs w:val="21"/>
          <w:highlight w:val="none"/>
          <w:lang w:bidi="ar"/>
        </w:rPr>
        <w:t xml:space="preserve">）</w:t>
      </w:r>
      <w:r/>
    </w:p>
    <w:p>
      <w:pPr>
        <w:pStyle w:val="734"/>
        <w:numPr>
          <w:ilvl w:val="0"/>
          <w:numId w:val="0"/>
        </w:numPr>
        <w:ind w:firstLine="422"/>
        <w:keepLines w:val="0"/>
        <w:keepNext w:val="0"/>
        <w:pageBreakBefore w:val="0"/>
        <w:spacing w:line="360" w:lineRule="auto"/>
        <w:widowControl w:val="off"/>
        <w:rPr>
          <w:rFonts w:hint="default" w:ascii="Times New Roman" w:hAnsi="Times New Roman" w:eastAsia="宋体" w:cs="Times New Roman"/>
          <w:i w:val="0"/>
          <w:iCs w:val="0"/>
          <w:sz w:val="21"/>
          <w:szCs w:val="21"/>
          <w:highlight w:val="none"/>
          <w:u w:val="none"/>
          <w:lang w:val="en-US" w:eastAsia="zh-CN"/>
        </w:rPr>
      </w:pPr>
      <w:r>
        <w:rPr>
          <w:rFonts w:hint="default" w:ascii="Times New Roman" w:hAnsi="Times New Roman" w:eastAsia="宋体" w:cs="Times New Roman"/>
          <w:b/>
          <w:bCs/>
          <w:i w:val="0"/>
          <w:iCs w:val="0"/>
          <w:sz w:val="21"/>
          <w:szCs w:val="21"/>
          <w:highlight w:val="none"/>
          <w:u w:val="none"/>
          <w:lang w:val="en-US" w:eastAsia="zh-CN"/>
        </w:rPr>
        <w:t xml:space="preserve">（2）AI智能识别排污监测摄像机</w:t>
      </w:r>
      <w:r/>
    </w:p>
    <w:p>
      <w:pPr>
        <w:pStyle w:val="734"/>
        <w:numPr>
          <w:ilvl w:val="0"/>
          <w:numId w:val="0"/>
        </w:numPr>
        <w:ind w:firstLine="420"/>
        <w:keepLines w:val="0"/>
        <w:keepNext w:val="0"/>
        <w:pageBreakBefore w:val="0"/>
        <w:spacing w:line="360" w:lineRule="auto"/>
        <w:widowControl w:val="off"/>
        <w:rPr>
          <w:rFonts w:hint="default" w:ascii="Times New Roman" w:hAnsi="Times New Roman" w:eastAsia="宋体" w:cs="Times New Roman"/>
          <w:i w:val="0"/>
          <w:iCs w:val="0"/>
          <w:sz w:val="21"/>
          <w:szCs w:val="21"/>
          <w:highlight w:val="none"/>
          <w:u w:val="none"/>
          <w:lang w:val="en-US" w:eastAsia="zh-CN"/>
        </w:rPr>
      </w:pPr>
      <w:r>
        <w:rPr>
          <w:rFonts w:hint="default" w:ascii="Times New Roman" w:hAnsi="Times New Roman" w:eastAsia="宋体" w:cs="Times New Roman"/>
          <w:i w:val="0"/>
          <w:iCs w:val="0"/>
          <w:sz w:val="21"/>
          <w:szCs w:val="21"/>
          <w:highlight w:val="none"/>
          <w:u w:val="none"/>
          <w:lang w:val="en-US" w:eastAsia="zh-CN"/>
        </w:rPr>
        <w:t xml:space="preserve">1.★可通过IE浏览器查看传感器获得数据并上传平台，包括浊度、溶解氧、PH值、电导率、水中油、蓝绿藻、余氯、氯离子、盐度、氟离子、COD、悬浮物、硝氮、氨氮、ORP氧化还原电位、含沙量/浊泥、水温。</w:t>
      </w:r>
      <w:r>
        <w:rPr>
          <w:rFonts w:hint="default" w:ascii="Times New Roman" w:hAnsi="Times New Roman" w:eastAsia="宋体" w:cs="Times New Roman"/>
          <w:b/>
          <w:bCs/>
          <w:color w:val="auto"/>
          <w:sz w:val="21"/>
          <w:szCs w:val="21"/>
          <w:highlight w:val="none"/>
          <w:lang w:bidi="ar"/>
        </w:rPr>
        <w:t xml:space="preserve">（需提供</w:t>
      </w:r>
      <w:r>
        <w:rPr>
          <w:rFonts w:hint="eastAsia" w:ascii="Times New Roman" w:hAnsi="Times New Roman" w:cs="Times New Roman"/>
          <w:b/>
          <w:bCs/>
          <w:color w:val="auto"/>
          <w:sz w:val="21"/>
          <w:szCs w:val="21"/>
          <w:highlight w:val="none"/>
          <w:lang w:eastAsia="zh-CN" w:bidi="ar"/>
        </w:rPr>
        <w:t xml:space="preserve">具有相关资质的第三方</w:t>
      </w:r>
      <w:r>
        <w:rPr>
          <w:rFonts w:hint="default" w:ascii="Times New Roman" w:hAnsi="Times New Roman" w:eastAsia="宋体" w:cs="Times New Roman"/>
          <w:b/>
          <w:bCs/>
          <w:color w:val="auto"/>
          <w:sz w:val="21"/>
          <w:szCs w:val="21"/>
          <w:highlight w:val="none"/>
          <w:lang w:bidi="ar"/>
        </w:rPr>
        <w:t xml:space="preserve">出具的检测报告，</w:t>
      </w:r>
      <w:r>
        <w:rPr>
          <w:rStyle w:val="1019"/>
          <w:rFonts w:hint="default" w:ascii="Times New Roman" w:hAnsi="Times New Roman" w:eastAsia="宋体" w:cs="Times New Roman"/>
          <w:b/>
          <w:bCs/>
          <w:color w:val="auto"/>
          <w:sz w:val="21"/>
          <w:szCs w:val="21"/>
          <w:highlight w:val="none"/>
          <w:lang w:bidi="ar"/>
        </w:rPr>
        <w:t xml:space="preserve">并加盖投标人公章，扫描上传</w:t>
      </w:r>
      <w:r>
        <w:rPr>
          <w:rFonts w:hint="default" w:ascii="Times New Roman" w:hAnsi="Times New Roman" w:eastAsia="宋体" w:cs="Times New Roman"/>
          <w:b/>
          <w:bCs/>
          <w:color w:val="auto"/>
          <w:sz w:val="21"/>
          <w:szCs w:val="21"/>
          <w:highlight w:val="none"/>
          <w:lang w:bidi="ar"/>
        </w:rPr>
        <w:t xml:space="preserve">）</w:t>
      </w:r>
      <w:r/>
    </w:p>
    <w:p>
      <w:pPr>
        <w:pStyle w:val="734"/>
        <w:numPr>
          <w:ilvl w:val="0"/>
          <w:numId w:val="0"/>
        </w:numPr>
        <w:ind w:firstLine="420"/>
        <w:keepLines w:val="0"/>
        <w:keepNext w:val="0"/>
        <w:pageBreakBefore w:val="0"/>
        <w:spacing w:line="360" w:lineRule="auto"/>
        <w:widowControl w:val="off"/>
        <w:rPr>
          <w:rFonts w:hint="default" w:ascii="Times New Roman" w:hAnsi="Times New Roman" w:eastAsia="宋体" w:cs="Times New Roman"/>
          <w:i w:val="0"/>
          <w:iCs w:val="0"/>
          <w:sz w:val="21"/>
          <w:szCs w:val="21"/>
          <w:highlight w:val="none"/>
          <w:u w:val="none"/>
          <w:lang w:val="en-US" w:eastAsia="zh-CN"/>
        </w:rPr>
      </w:pPr>
      <w:r>
        <w:rPr>
          <w:rFonts w:hint="default" w:ascii="Times New Roman" w:hAnsi="Times New Roman" w:eastAsia="宋体" w:cs="Times New Roman"/>
          <w:i w:val="0"/>
          <w:iCs w:val="0"/>
          <w:sz w:val="21"/>
          <w:szCs w:val="21"/>
          <w:highlight w:val="none"/>
          <w:u w:val="none"/>
          <w:lang w:val="en-US" w:eastAsia="zh-CN"/>
        </w:rPr>
        <w:t xml:space="preserve">2.支持水体颜色、漂浮物检测</w:t>
      </w:r>
      <w:r/>
    </w:p>
    <w:p>
      <w:pPr>
        <w:pStyle w:val="734"/>
        <w:numPr>
          <w:ilvl w:val="0"/>
          <w:numId w:val="0"/>
        </w:numPr>
        <w:ind w:firstLine="420"/>
        <w:keepLines w:val="0"/>
        <w:keepNext w:val="0"/>
        <w:pageBreakBefore w:val="0"/>
        <w:spacing w:line="360" w:lineRule="auto"/>
        <w:widowControl w:val="off"/>
        <w:rPr>
          <w:rFonts w:hint="default" w:ascii="Times New Roman" w:hAnsi="Times New Roman" w:eastAsia="宋体" w:cs="Times New Roman"/>
          <w:i w:val="0"/>
          <w:iCs w:val="0"/>
          <w:sz w:val="21"/>
          <w:szCs w:val="21"/>
          <w:highlight w:val="none"/>
          <w:u w:val="none"/>
          <w:lang w:val="en-US" w:eastAsia="zh-CN"/>
        </w:rPr>
      </w:pPr>
      <w:r>
        <w:rPr>
          <w:rFonts w:hint="default" w:ascii="Times New Roman" w:hAnsi="Times New Roman" w:eastAsia="宋体" w:cs="Times New Roman"/>
          <w:i w:val="0"/>
          <w:iCs w:val="0"/>
          <w:sz w:val="21"/>
          <w:szCs w:val="21"/>
          <w:highlight w:val="none"/>
          <w:u w:val="none"/>
          <w:lang w:val="en-US" w:eastAsia="zh-CN"/>
        </w:rPr>
        <w:t xml:space="preserve">3.球机具有不少于2个实时图像采集通道，细节通道及全景通道，双通道均支持智能功能；支持全景路2560 × 1440@30 fps高清画面输出，细节路最大2560 × 1440@30 fps高清画面输出</w:t>
      </w:r>
      <w:r/>
    </w:p>
    <w:p>
      <w:pPr>
        <w:pStyle w:val="734"/>
        <w:numPr>
          <w:ilvl w:val="0"/>
          <w:numId w:val="0"/>
        </w:numPr>
        <w:ind w:firstLine="420"/>
        <w:keepLines w:val="0"/>
        <w:keepNext w:val="0"/>
        <w:pageBreakBefore w:val="0"/>
        <w:spacing w:line="360" w:lineRule="auto"/>
        <w:widowControl w:val="off"/>
        <w:rPr>
          <w:rFonts w:hint="default" w:ascii="Times New Roman" w:hAnsi="Times New Roman" w:eastAsia="宋体" w:cs="Times New Roman"/>
          <w:i w:val="0"/>
          <w:iCs w:val="0"/>
          <w:sz w:val="21"/>
          <w:szCs w:val="21"/>
          <w:highlight w:val="none"/>
          <w:u w:val="none"/>
          <w:lang w:val="en-US" w:eastAsia="zh-CN"/>
        </w:rPr>
      </w:pPr>
      <w:r>
        <w:rPr>
          <w:rFonts w:hint="default" w:ascii="Times New Roman" w:hAnsi="Times New Roman" w:eastAsia="宋体" w:cs="Times New Roman"/>
          <w:i w:val="0"/>
          <w:iCs w:val="0"/>
          <w:sz w:val="21"/>
          <w:szCs w:val="21"/>
          <w:highlight w:val="none"/>
          <w:u w:val="none"/>
          <w:lang w:val="en-US" w:eastAsia="zh-CN"/>
        </w:rPr>
        <w:t xml:space="preserve">4.支持声光报警功能，当进入区域、离开区域、越界侦测或者区域入侵报警产生时，可在报警布防时间内联动声音报警或白光灯闪烁</w:t>
      </w:r>
      <w:r/>
    </w:p>
    <w:p>
      <w:pPr>
        <w:pStyle w:val="734"/>
        <w:numPr>
          <w:ilvl w:val="0"/>
          <w:numId w:val="0"/>
        </w:numPr>
        <w:ind w:firstLine="420"/>
        <w:keepLines w:val="0"/>
        <w:keepNext w:val="0"/>
        <w:pageBreakBefore w:val="0"/>
        <w:spacing w:line="360" w:lineRule="auto"/>
        <w:widowControl w:val="off"/>
        <w:rPr>
          <w:rFonts w:hint="default" w:ascii="Times New Roman" w:hAnsi="Times New Roman" w:eastAsia="宋体" w:cs="Times New Roman"/>
          <w:i w:val="0"/>
          <w:iCs w:val="0"/>
          <w:sz w:val="21"/>
          <w:szCs w:val="21"/>
          <w:highlight w:val="none"/>
          <w:u w:val="none"/>
          <w:lang w:val="en-US" w:eastAsia="zh-CN"/>
        </w:rPr>
      </w:pPr>
      <w:r>
        <w:rPr>
          <w:rFonts w:hint="default" w:ascii="Times New Roman" w:hAnsi="Times New Roman" w:eastAsia="宋体" w:cs="Times New Roman"/>
          <w:i w:val="0"/>
          <w:iCs w:val="0"/>
          <w:sz w:val="21"/>
          <w:szCs w:val="21"/>
          <w:highlight w:val="none"/>
          <w:u w:val="none"/>
          <w:lang w:val="en-US" w:eastAsia="zh-CN"/>
        </w:rPr>
        <w:t xml:space="preserve">5.★支持排水口排水状态识别功能，可实时检测排水口是否有水流出，并可触发报警</w:t>
      </w:r>
      <w:r>
        <w:rPr>
          <w:rFonts w:hint="default" w:ascii="Times New Roman" w:hAnsi="Times New Roman" w:eastAsia="宋体" w:cs="Times New Roman"/>
          <w:b/>
          <w:bCs/>
          <w:color w:val="auto"/>
          <w:sz w:val="21"/>
          <w:szCs w:val="21"/>
          <w:highlight w:val="none"/>
          <w:lang w:bidi="ar"/>
        </w:rPr>
        <w:t xml:space="preserve">（需提供</w:t>
      </w:r>
      <w:r>
        <w:rPr>
          <w:rFonts w:hint="eastAsia" w:ascii="Times New Roman" w:hAnsi="Times New Roman" w:cs="Times New Roman"/>
          <w:b/>
          <w:bCs/>
          <w:color w:val="auto"/>
          <w:sz w:val="21"/>
          <w:szCs w:val="21"/>
          <w:highlight w:val="none"/>
          <w:lang w:eastAsia="zh-CN" w:bidi="ar"/>
        </w:rPr>
        <w:t xml:space="preserve">具有相关资质的第三方</w:t>
      </w:r>
      <w:r>
        <w:rPr>
          <w:rFonts w:hint="default" w:ascii="Times New Roman" w:hAnsi="Times New Roman" w:eastAsia="宋体" w:cs="Times New Roman"/>
          <w:b/>
          <w:bCs/>
          <w:color w:val="auto"/>
          <w:sz w:val="21"/>
          <w:szCs w:val="21"/>
          <w:highlight w:val="none"/>
          <w:lang w:bidi="ar"/>
        </w:rPr>
        <w:t xml:space="preserve">出具的检测报告，</w:t>
      </w:r>
      <w:r>
        <w:rPr>
          <w:rStyle w:val="1019"/>
          <w:rFonts w:hint="default" w:ascii="Times New Roman" w:hAnsi="Times New Roman" w:eastAsia="宋体" w:cs="Times New Roman"/>
          <w:b/>
          <w:bCs/>
          <w:color w:val="auto"/>
          <w:sz w:val="21"/>
          <w:szCs w:val="21"/>
          <w:highlight w:val="none"/>
          <w:lang w:bidi="ar"/>
        </w:rPr>
        <w:t xml:space="preserve">并加盖投标人公章，扫描上传</w:t>
      </w:r>
      <w:r>
        <w:rPr>
          <w:rFonts w:hint="default" w:ascii="Times New Roman" w:hAnsi="Times New Roman" w:eastAsia="宋体" w:cs="Times New Roman"/>
          <w:b/>
          <w:bCs/>
          <w:color w:val="auto"/>
          <w:sz w:val="21"/>
          <w:szCs w:val="21"/>
          <w:highlight w:val="none"/>
          <w:lang w:bidi="ar"/>
        </w:rPr>
        <w:t xml:space="preserve">）</w:t>
      </w:r>
      <w:r/>
    </w:p>
    <w:p>
      <w:pPr>
        <w:pStyle w:val="734"/>
        <w:numPr>
          <w:ilvl w:val="0"/>
          <w:numId w:val="0"/>
        </w:numPr>
        <w:ind w:firstLine="420"/>
        <w:keepLines w:val="0"/>
        <w:keepNext w:val="0"/>
        <w:pageBreakBefore w:val="0"/>
        <w:spacing w:line="360" w:lineRule="auto"/>
        <w:widowControl w:val="off"/>
        <w:rPr>
          <w:rFonts w:hint="default" w:ascii="Times New Roman" w:hAnsi="Times New Roman" w:eastAsia="宋体" w:cs="Times New Roman"/>
          <w:i w:val="0"/>
          <w:iCs w:val="0"/>
          <w:sz w:val="21"/>
          <w:szCs w:val="21"/>
          <w:highlight w:val="none"/>
          <w:u w:val="none"/>
          <w:lang w:val="en-US" w:eastAsia="zh-CN"/>
        </w:rPr>
      </w:pPr>
      <w:r>
        <w:rPr>
          <w:rFonts w:hint="default" w:ascii="Times New Roman" w:hAnsi="Times New Roman" w:eastAsia="宋体" w:cs="Times New Roman"/>
          <w:i w:val="0"/>
          <w:iCs w:val="0"/>
          <w:sz w:val="21"/>
          <w:szCs w:val="21"/>
          <w:highlight w:val="none"/>
          <w:u w:val="none"/>
          <w:lang w:val="en-US" w:eastAsia="zh-CN"/>
        </w:rPr>
        <w:t xml:space="preserve">6.设备支持AIOP功能，预置排水口识别模型、水体颜色识别模型、漂浮物检测模型3个AI任务模型。</w:t>
      </w:r>
      <w:r/>
    </w:p>
    <w:p>
      <w:pPr>
        <w:pStyle w:val="734"/>
        <w:numPr>
          <w:ilvl w:val="0"/>
          <w:numId w:val="0"/>
        </w:numPr>
        <w:ind w:firstLine="420"/>
        <w:keepLines w:val="0"/>
        <w:keepNext w:val="0"/>
        <w:pageBreakBefore w:val="0"/>
        <w:spacing w:line="360" w:lineRule="auto"/>
        <w:widowControl w:val="off"/>
        <w:rPr>
          <w:rFonts w:hint="default" w:ascii="Times New Roman" w:hAnsi="Times New Roman" w:eastAsia="宋体" w:cs="Times New Roman"/>
          <w:i w:val="0"/>
          <w:iCs w:val="0"/>
          <w:sz w:val="21"/>
          <w:szCs w:val="21"/>
          <w:highlight w:val="none"/>
          <w:u w:val="none"/>
          <w:lang w:val="en-US" w:eastAsia="zh-CN"/>
        </w:rPr>
      </w:pPr>
      <w:r>
        <w:rPr>
          <w:rFonts w:hint="default" w:ascii="Times New Roman" w:hAnsi="Times New Roman" w:eastAsia="宋体" w:cs="Times New Roman"/>
          <w:i w:val="0"/>
          <w:iCs w:val="0"/>
          <w:sz w:val="21"/>
          <w:szCs w:val="21"/>
          <w:highlight w:val="none"/>
          <w:u w:val="none"/>
          <w:lang w:val="en-US" w:eastAsia="zh-CN"/>
        </w:rPr>
        <w:t xml:space="preserve">7.★支持排水水体颜色识别，可同时识别设定的检测区域内的不同排水口的水体颜色。</w:t>
      </w:r>
      <w:r>
        <w:rPr>
          <w:rFonts w:hint="default" w:ascii="Times New Roman" w:hAnsi="Times New Roman" w:eastAsia="宋体" w:cs="Times New Roman"/>
          <w:b/>
          <w:bCs/>
          <w:color w:val="auto"/>
          <w:sz w:val="21"/>
          <w:szCs w:val="21"/>
          <w:highlight w:val="none"/>
          <w:lang w:bidi="ar"/>
        </w:rPr>
        <w:t xml:space="preserve">（需提供</w:t>
      </w:r>
      <w:r>
        <w:rPr>
          <w:rFonts w:hint="eastAsia" w:ascii="Times New Roman" w:hAnsi="Times New Roman" w:cs="Times New Roman"/>
          <w:b/>
          <w:bCs/>
          <w:color w:val="auto"/>
          <w:sz w:val="21"/>
          <w:szCs w:val="21"/>
          <w:highlight w:val="none"/>
          <w:lang w:eastAsia="zh-CN" w:bidi="ar"/>
        </w:rPr>
        <w:t xml:space="preserve">具有相关资质的第三方</w:t>
      </w:r>
      <w:r>
        <w:rPr>
          <w:rFonts w:hint="default" w:ascii="Times New Roman" w:hAnsi="Times New Roman" w:eastAsia="宋体" w:cs="Times New Roman"/>
          <w:b/>
          <w:bCs/>
          <w:color w:val="auto"/>
          <w:sz w:val="21"/>
          <w:szCs w:val="21"/>
          <w:highlight w:val="none"/>
          <w:lang w:bidi="ar"/>
        </w:rPr>
        <w:t xml:space="preserve">出具的检测报告，</w:t>
      </w:r>
      <w:r>
        <w:rPr>
          <w:rStyle w:val="1019"/>
          <w:rFonts w:hint="default" w:ascii="Times New Roman" w:hAnsi="Times New Roman" w:eastAsia="宋体" w:cs="Times New Roman"/>
          <w:b/>
          <w:bCs/>
          <w:color w:val="auto"/>
          <w:sz w:val="21"/>
          <w:szCs w:val="21"/>
          <w:highlight w:val="none"/>
          <w:lang w:bidi="ar"/>
        </w:rPr>
        <w:t xml:space="preserve">并加盖投标人公章，扫描上传</w:t>
      </w:r>
      <w:r>
        <w:rPr>
          <w:rFonts w:hint="default" w:ascii="Times New Roman" w:hAnsi="Times New Roman" w:eastAsia="宋体" w:cs="Times New Roman"/>
          <w:b/>
          <w:bCs/>
          <w:color w:val="auto"/>
          <w:sz w:val="21"/>
          <w:szCs w:val="21"/>
          <w:highlight w:val="none"/>
          <w:lang w:bidi="ar"/>
        </w:rPr>
        <w:t xml:space="preserve">）</w:t>
      </w:r>
      <w:r/>
    </w:p>
    <w:p>
      <w:pPr>
        <w:pStyle w:val="734"/>
        <w:numPr>
          <w:ilvl w:val="0"/>
          <w:numId w:val="0"/>
        </w:numPr>
        <w:ind w:firstLine="420"/>
        <w:keepLines w:val="0"/>
        <w:keepNext w:val="0"/>
        <w:pageBreakBefore w:val="0"/>
        <w:spacing w:line="360" w:lineRule="auto"/>
        <w:widowControl w:val="off"/>
        <w:rPr>
          <w:rFonts w:hint="default" w:ascii="Times New Roman" w:hAnsi="Times New Roman" w:eastAsia="宋体" w:cs="Times New Roman"/>
          <w:i w:val="0"/>
          <w:iCs w:val="0"/>
          <w:sz w:val="21"/>
          <w:szCs w:val="21"/>
          <w:highlight w:val="none"/>
          <w:u w:val="none"/>
          <w:lang w:val="en-US" w:eastAsia="zh-CN"/>
        </w:rPr>
      </w:pPr>
      <w:r>
        <w:rPr>
          <w:rFonts w:hint="default" w:ascii="Times New Roman" w:hAnsi="Times New Roman" w:eastAsia="宋体" w:cs="Times New Roman"/>
          <w:i w:val="0"/>
          <w:iCs w:val="0"/>
          <w:sz w:val="21"/>
          <w:szCs w:val="21"/>
          <w:highlight w:val="none"/>
          <w:u w:val="none"/>
          <w:lang w:val="en-US" w:eastAsia="zh-CN"/>
        </w:rPr>
        <w:t xml:space="preserve">8.★当检测区域中的水面出现漂浮物，且漂浮物面积大于阈值时，可给出报警提示。</w:t>
      </w:r>
      <w:r>
        <w:rPr>
          <w:rFonts w:hint="default" w:ascii="Times New Roman" w:hAnsi="Times New Roman" w:eastAsia="宋体" w:cs="Times New Roman"/>
          <w:b/>
          <w:bCs/>
          <w:color w:val="auto"/>
          <w:sz w:val="21"/>
          <w:szCs w:val="21"/>
          <w:highlight w:val="none"/>
          <w:lang w:bidi="ar"/>
        </w:rPr>
        <w:t xml:space="preserve">（需提供</w:t>
      </w:r>
      <w:r>
        <w:rPr>
          <w:rFonts w:hint="eastAsia" w:ascii="Times New Roman" w:hAnsi="Times New Roman" w:cs="Times New Roman"/>
          <w:b/>
          <w:bCs/>
          <w:color w:val="auto"/>
          <w:sz w:val="21"/>
          <w:szCs w:val="21"/>
          <w:highlight w:val="none"/>
          <w:lang w:eastAsia="zh-CN" w:bidi="ar"/>
        </w:rPr>
        <w:t xml:space="preserve">具有相关资质的第三方</w:t>
      </w:r>
      <w:r>
        <w:rPr>
          <w:rFonts w:hint="default" w:ascii="Times New Roman" w:hAnsi="Times New Roman" w:eastAsia="宋体" w:cs="Times New Roman"/>
          <w:b/>
          <w:bCs/>
          <w:color w:val="auto"/>
          <w:sz w:val="21"/>
          <w:szCs w:val="21"/>
          <w:highlight w:val="none"/>
          <w:lang w:bidi="ar"/>
        </w:rPr>
        <w:t xml:space="preserve">出具的检测报告，</w:t>
      </w:r>
      <w:r>
        <w:rPr>
          <w:rStyle w:val="1019"/>
          <w:rFonts w:hint="default" w:ascii="Times New Roman" w:hAnsi="Times New Roman" w:eastAsia="宋体" w:cs="Times New Roman"/>
          <w:b/>
          <w:bCs/>
          <w:color w:val="auto"/>
          <w:sz w:val="21"/>
          <w:szCs w:val="21"/>
          <w:highlight w:val="none"/>
          <w:lang w:bidi="ar"/>
        </w:rPr>
        <w:t xml:space="preserve">并加盖投标人公章，扫描上传</w:t>
      </w:r>
      <w:r>
        <w:rPr>
          <w:rFonts w:hint="default" w:ascii="Times New Roman" w:hAnsi="Times New Roman" w:eastAsia="宋体" w:cs="Times New Roman"/>
          <w:b/>
          <w:bCs/>
          <w:color w:val="auto"/>
          <w:sz w:val="21"/>
          <w:szCs w:val="21"/>
          <w:highlight w:val="none"/>
          <w:lang w:bidi="ar"/>
        </w:rPr>
        <w:t xml:space="preserve">）</w:t>
      </w:r>
      <w:r/>
    </w:p>
    <w:p>
      <w:pPr>
        <w:pStyle w:val="734"/>
        <w:numPr>
          <w:ilvl w:val="0"/>
          <w:numId w:val="0"/>
        </w:numPr>
        <w:ind w:firstLine="420"/>
        <w:keepLines w:val="0"/>
        <w:keepNext w:val="0"/>
        <w:pageBreakBefore w:val="0"/>
        <w:spacing w:line="360" w:lineRule="auto"/>
        <w:widowControl w:val="off"/>
        <w:rPr>
          <w:rFonts w:hint="default" w:ascii="Times New Roman" w:hAnsi="Times New Roman" w:eastAsia="宋体" w:cs="Times New Roman"/>
          <w:i w:val="0"/>
          <w:iCs w:val="0"/>
          <w:sz w:val="21"/>
          <w:szCs w:val="21"/>
          <w:highlight w:val="none"/>
          <w:u w:val="none"/>
          <w:lang w:val="en-US" w:eastAsia="zh-CN"/>
        </w:rPr>
      </w:pPr>
      <w:r>
        <w:rPr>
          <w:rFonts w:hint="default" w:ascii="Times New Roman" w:hAnsi="Times New Roman" w:eastAsia="宋体" w:cs="Times New Roman"/>
          <w:i w:val="0"/>
          <w:iCs w:val="0"/>
          <w:sz w:val="21"/>
          <w:szCs w:val="21"/>
          <w:highlight w:val="none"/>
          <w:u w:val="none"/>
          <w:lang w:val="en-US" w:eastAsia="zh-CN"/>
        </w:rPr>
        <w:t xml:space="preserve">9.★支持外部传感器管理功能，可以对传感器进行信息编辑和配置：1、传感器设备描述设置；2、OSD叠加功能开启和类型选择，支持选择关联通道显示和关联预置点显示；3、配置传感器关联的预置点。</w:t>
      </w:r>
      <w:r>
        <w:rPr>
          <w:rFonts w:hint="default" w:ascii="Times New Roman" w:hAnsi="Times New Roman" w:eastAsia="宋体" w:cs="Times New Roman"/>
          <w:b/>
          <w:bCs/>
          <w:color w:val="auto"/>
          <w:sz w:val="21"/>
          <w:szCs w:val="21"/>
          <w:highlight w:val="none"/>
          <w:lang w:bidi="ar"/>
        </w:rPr>
        <w:t xml:space="preserve">（需提供</w:t>
      </w:r>
      <w:r>
        <w:rPr>
          <w:rFonts w:hint="eastAsia" w:ascii="Times New Roman" w:hAnsi="Times New Roman" w:cs="Times New Roman"/>
          <w:b/>
          <w:bCs/>
          <w:color w:val="auto"/>
          <w:sz w:val="21"/>
          <w:szCs w:val="21"/>
          <w:highlight w:val="none"/>
          <w:lang w:eastAsia="zh-CN" w:bidi="ar"/>
        </w:rPr>
        <w:t xml:space="preserve">具有相关资质的第三方</w:t>
      </w:r>
      <w:r>
        <w:rPr>
          <w:rFonts w:hint="default" w:ascii="Times New Roman" w:hAnsi="Times New Roman" w:eastAsia="宋体" w:cs="Times New Roman"/>
          <w:b/>
          <w:bCs/>
          <w:color w:val="auto"/>
          <w:sz w:val="21"/>
          <w:szCs w:val="21"/>
          <w:highlight w:val="none"/>
          <w:lang w:bidi="ar"/>
        </w:rPr>
        <w:t xml:space="preserve">出具的检测报告，</w:t>
      </w:r>
      <w:r>
        <w:rPr>
          <w:rStyle w:val="1019"/>
          <w:rFonts w:hint="default" w:ascii="Times New Roman" w:hAnsi="Times New Roman" w:eastAsia="宋体" w:cs="Times New Roman"/>
          <w:b/>
          <w:bCs/>
          <w:color w:val="auto"/>
          <w:sz w:val="21"/>
          <w:szCs w:val="21"/>
          <w:highlight w:val="none"/>
          <w:lang w:bidi="ar"/>
        </w:rPr>
        <w:t xml:space="preserve">并加盖投标人公章，扫描上传</w:t>
      </w:r>
      <w:r>
        <w:rPr>
          <w:rFonts w:hint="default" w:ascii="Times New Roman" w:hAnsi="Times New Roman" w:eastAsia="宋体" w:cs="Times New Roman"/>
          <w:b/>
          <w:bCs/>
          <w:color w:val="auto"/>
          <w:sz w:val="21"/>
          <w:szCs w:val="21"/>
          <w:highlight w:val="none"/>
          <w:lang w:bidi="ar"/>
        </w:rPr>
        <w:t xml:space="preserve">）</w:t>
      </w:r>
      <w:r/>
    </w:p>
    <w:p>
      <w:pPr>
        <w:pStyle w:val="734"/>
        <w:numPr>
          <w:ilvl w:val="0"/>
          <w:numId w:val="0"/>
        </w:numPr>
        <w:ind w:firstLine="422"/>
        <w:keepLines w:val="0"/>
        <w:keepNext w:val="0"/>
        <w:pageBreakBefore w:val="0"/>
        <w:spacing w:line="360" w:lineRule="auto"/>
        <w:widowControl w:val="off"/>
        <w:rPr>
          <w:rFonts w:hint="default" w:ascii="Times New Roman" w:hAnsi="Times New Roman" w:eastAsia="宋体" w:cs="Times New Roman"/>
          <w:i w:val="0"/>
          <w:iCs w:val="0"/>
          <w:sz w:val="21"/>
          <w:szCs w:val="21"/>
          <w:highlight w:val="none"/>
          <w:u w:val="none"/>
          <w:lang w:val="en-US" w:eastAsia="zh-CN"/>
        </w:rPr>
      </w:pPr>
      <w:r>
        <w:rPr>
          <w:rFonts w:hint="default" w:ascii="Times New Roman" w:hAnsi="Times New Roman" w:eastAsia="宋体" w:cs="Times New Roman"/>
          <w:b/>
          <w:bCs/>
          <w:i w:val="0"/>
          <w:iCs w:val="0"/>
          <w:sz w:val="21"/>
          <w:szCs w:val="21"/>
          <w:highlight w:val="none"/>
          <w:u w:val="none"/>
          <w:lang w:val="en-US" w:eastAsia="zh-CN"/>
        </w:rPr>
        <w:t xml:space="preserve">（3）生态环境智能应用平台软件</w:t>
      </w:r>
      <w:r/>
    </w:p>
    <w:p>
      <w:pPr>
        <w:pStyle w:val="734"/>
        <w:numPr>
          <w:ilvl w:val="0"/>
          <w:numId w:val="0"/>
        </w:numPr>
        <w:ind w:firstLine="420"/>
        <w:keepLines w:val="0"/>
        <w:keepNext w:val="0"/>
        <w:pageBreakBefore w:val="0"/>
        <w:spacing w:line="360" w:lineRule="auto"/>
        <w:widowControl w:val="off"/>
        <w:rPr>
          <w:rFonts w:hint="default" w:ascii="Times New Roman" w:hAnsi="Times New Roman" w:eastAsia="宋体" w:cs="Times New Roman"/>
          <w:i w:val="0"/>
          <w:iCs w:val="0"/>
          <w:sz w:val="21"/>
          <w:szCs w:val="21"/>
          <w:highlight w:val="none"/>
          <w:u w:val="none"/>
          <w:lang w:val="en-US" w:eastAsia="zh-CN"/>
        </w:rPr>
      </w:pPr>
      <w:r>
        <w:rPr>
          <w:rFonts w:hint="default" w:ascii="Times New Roman" w:hAnsi="Times New Roman" w:eastAsia="宋体" w:cs="Times New Roman"/>
          <w:i w:val="0"/>
          <w:iCs w:val="0"/>
          <w:sz w:val="21"/>
          <w:szCs w:val="21"/>
          <w:highlight w:val="none"/>
          <w:u w:val="none"/>
          <w:lang w:val="en-US" w:eastAsia="zh-CN"/>
        </w:rPr>
        <w:t xml:space="preserve">1.支持一站一档：应用于地表水水质监测场景，形成各监测站包含点位基础信息、水质监测统计、历史报警数据统计分析等的站点档案。可依据站点监测数据，按指标分别生成趋势变化分析图表；按统计水质报警数据，可对高频污染物进行计算并分析；展示站点位置、所属区域、负责人等基础信息，支持对站点监测原始数据的记录留存，可通过时间进行筛选查询、导出</w:t>
      </w:r>
      <w:r/>
    </w:p>
    <w:p>
      <w:pPr>
        <w:pStyle w:val="734"/>
        <w:numPr>
          <w:ilvl w:val="0"/>
          <w:numId w:val="0"/>
        </w:numPr>
        <w:ind w:firstLine="420"/>
        <w:keepLines w:val="0"/>
        <w:keepNext w:val="0"/>
        <w:pageBreakBefore w:val="0"/>
        <w:spacing w:line="360" w:lineRule="auto"/>
        <w:widowControl w:val="off"/>
        <w:rPr>
          <w:rFonts w:hint="default" w:ascii="Times New Roman" w:hAnsi="Times New Roman" w:eastAsia="宋体" w:cs="Times New Roman"/>
          <w:i w:val="0"/>
          <w:iCs w:val="0"/>
          <w:sz w:val="21"/>
          <w:szCs w:val="21"/>
          <w:highlight w:val="none"/>
          <w:u w:val="none"/>
          <w:lang w:val="en-US" w:eastAsia="zh-CN"/>
        </w:rPr>
      </w:pPr>
      <w:r>
        <w:rPr>
          <w:rFonts w:hint="default" w:ascii="Times New Roman" w:hAnsi="Times New Roman" w:eastAsia="宋体" w:cs="Times New Roman"/>
          <w:i w:val="0"/>
          <w:iCs w:val="0"/>
          <w:sz w:val="21"/>
          <w:szCs w:val="21"/>
          <w:highlight w:val="none"/>
          <w:u w:val="none"/>
          <w:lang w:val="en-US" w:eastAsia="zh-CN"/>
        </w:rPr>
        <w:t xml:space="preserve">2.支持水环境配置管理：可提供水环境质量标准、监测指标、监测站点、排污口、污染源、水域等信息的管理维护；支持对监测指标限值、水质评价规则等水环境质量评价体系的定义与管理；支持自定义巡查上报报警类型（巡查上报报警功能需配合APP使用）</w:t>
      </w:r>
      <w:r/>
    </w:p>
    <w:p>
      <w:pPr>
        <w:pStyle w:val="734"/>
        <w:numPr>
          <w:ilvl w:val="0"/>
          <w:numId w:val="0"/>
        </w:numPr>
        <w:ind w:firstLine="420"/>
        <w:keepLines w:val="0"/>
        <w:keepNext w:val="0"/>
        <w:pageBreakBefore w:val="0"/>
        <w:spacing w:line="360" w:lineRule="auto"/>
        <w:widowControl w:val="off"/>
        <w:rPr>
          <w:rFonts w:hint="default" w:ascii="Times New Roman" w:hAnsi="Times New Roman" w:eastAsia="宋体" w:cs="Times New Roman"/>
          <w:i w:val="0"/>
          <w:iCs w:val="0"/>
          <w:sz w:val="21"/>
          <w:szCs w:val="21"/>
          <w:highlight w:val="none"/>
          <w:u w:val="none"/>
          <w:lang w:val="en-US" w:eastAsia="zh-CN"/>
        </w:rPr>
      </w:pPr>
      <w:r>
        <w:rPr>
          <w:rFonts w:hint="default" w:ascii="Times New Roman" w:hAnsi="Times New Roman" w:eastAsia="宋体" w:cs="Times New Roman"/>
          <w:i w:val="0"/>
          <w:iCs w:val="0"/>
          <w:sz w:val="21"/>
          <w:szCs w:val="21"/>
          <w:highlight w:val="none"/>
          <w:u w:val="none"/>
          <w:lang w:val="en-US" w:eastAsia="zh-CN"/>
        </w:rPr>
        <w:t xml:space="preserve">3.提供水质、流量、水位等指标超标报警事件的规则配置及报警接入能力</w:t>
      </w:r>
      <w:r/>
    </w:p>
    <w:p>
      <w:pPr>
        <w:pStyle w:val="734"/>
        <w:numPr>
          <w:ilvl w:val="0"/>
          <w:numId w:val="0"/>
        </w:numPr>
        <w:ind w:firstLine="420"/>
        <w:keepLines w:val="0"/>
        <w:keepNext w:val="0"/>
        <w:pageBreakBefore w:val="0"/>
        <w:spacing w:line="360" w:lineRule="auto"/>
        <w:widowControl w:val="off"/>
        <w:rPr>
          <w:rFonts w:hint="default" w:ascii="Times New Roman" w:hAnsi="Times New Roman" w:eastAsia="宋体" w:cs="Times New Roman"/>
          <w:i w:val="0"/>
          <w:iCs w:val="0"/>
          <w:sz w:val="21"/>
          <w:szCs w:val="21"/>
          <w:highlight w:val="none"/>
          <w:u w:val="none"/>
          <w:lang w:val="en-US" w:eastAsia="zh-CN"/>
        </w:rPr>
      </w:pPr>
      <w:r>
        <w:rPr>
          <w:rFonts w:hint="default" w:ascii="Times New Roman" w:hAnsi="Times New Roman" w:eastAsia="宋体" w:cs="Times New Roman"/>
          <w:i w:val="0"/>
          <w:iCs w:val="0"/>
          <w:sz w:val="21"/>
          <w:szCs w:val="21"/>
          <w:highlight w:val="none"/>
          <w:u w:val="none"/>
          <w:lang w:val="en-US" w:eastAsia="zh-CN"/>
        </w:rPr>
        <w:t xml:space="preserve">4.对各类指标超限报警提供推送、转派、反馈等能力，对已办结的报警事件进行归档记录，可查看报警详细信息及处置流转记录，并支持分别对报警的不同类别进行统计</w:t>
      </w:r>
      <w:r/>
    </w:p>
    <w:p>
      <w:pPr>
        <w:pStyle w:val="734"/>
        <w:numPr>
          <w:ilvl w:val="0"/>
          <w:numId w:val="0"/>
        </w:numPr>
        <w:ind w:firstLine="420"/>
        <w:keepLines w:val="0"/>
        <w:keepNext w:val="0"/>
        <w:pageBreakBefore w:val="0"/>
        <w:spacing w:line="360" w:lineRule="auto"/>
        <w:widowControl w:val="off"/>
        <w:rPr>
          <w:rFonts w:hint="default" w:ascii="Times New Roman" w:hAnsi="Times New Roman" w:eastAsia="宋体" w:cs="Times New Roman"/>
          <w:i w:val="0"/>
          <w:iCs w:val="0"/>
          <w:sz w:val="21"/>
          <w:szCs w:val="21"/>
          <w:highlight w:val="none"/>
          <w:u w:val="none"/>
          <w:lang w:val="en-US" w:eastAsia="zh-CN"/>
        </w:rPr>
      </w:pPr>
      <w:r>
        <w:rPr>
          <w:rFonts w:hint="default" w:ascii="Times New Roman" w:hAnsi="Times New Roman" w:eastAsia="宋体" w:cs="Times New Roman"/>
          <w:i w:val="0"/>
          <w:iCs w:val="0"/>
          <w:sz w:val="21"/>
          <w:szCs w:val="21"/>
          <w:highlight w:val="none"/>
          <w:u w:val="none"/>
          <w:lang w:val="en-US" w:eastAsia="zh-CN"/>
        </w:rPr>
        <w:t xml:space="preserve">5.★趋势分析：系统可按照时间顺序对水质监测站点各监测指标进行趋势分析： 1、可在水质分析下各模块间进行功能切换；在当前模块中可切换站点与水域的趋势分析数据；可在当前模块中切换自动与手工站点监测数据分别查看； 2、支持按照时段类型、起止时间、分析维度（单点多指标分析、多点单指标分析）、监测站点及监测指标进行数据筛选； 3、展示在所选时段内站点/水域各个指标的趋势变化情况，支持数据列表及趋势分析图两种展示形式，可将查询结果/趋势分析图导出至本地。</w:t>
      </w:r>
      <w:r>
        <w:rPr>
          <w:rFonts w:hint="default" w:ascii="Times New Roman" w:hAnsi="Times New Roman" w:eastAsia="宋体" w:cs="Times New Roman"/>
          <w:b/>
          <w:bCs/>
          <w:color w:val="auto"/>
          <w:sz w:val="21"/>
          <w:szCs w:val="21"/>
          <w:highlight w:val="none"/>
          <w:lang w:bidi="ar"/>
        </w:rPr>
        <w:t xml:space="preserve">（需提供</w:t>
      </w:r>
      <w:r>
        <w:rPr>
          <w:rFonts w:hint="eastAsia" w:ascii="Times New Roman" w:hAnsi="Times New Roman" w:cs="Times New Roman"/>
          <w:b/>
          <w:bCs/>
          <w:color w:val="auto"/>
          <w:sz w:val="21"/>
          <w:szCs w:val="21"/>
          <w:highlight w:val="none"/>
          <w:lang w:eastAsia="zh-CN" w:bidi="ar"/>
        </w:rPr>
        <w:t xml:space="preserve">具有相关资质的第三方</w:t>
      </w:r>
      <w:r>
        <w:rPr>
          <w:rFonts w:hint="default" w:ascii="Times New Roman" w:hAnsi="Times New Roman" w:eastAsia="宋体" w:cs="Times New Roman"/>
          <w:b/>
          <w:bCs/>
          <w:color w:val="auto"/>
          <w:sz w:val="21"/>
          <w:szCs w:val="21"/>
          <w:highlight w:val="none"/>
          <w:lang w:bidi="ar"/>
        </w:rPr>
        <w:t xml:space="preserve">出具的检测报告，</w:t>
      </w:r>
      <w:r>
        <w:rPr>
          <w:rStyle w:val="1019"/>
          <w:rFonts w:hint="default" w:ascii="Times New Roman" w:hAnsi="Times New Roman" w:eastAsia="宋体" w:cs="Times New Roman"/>
          <w:b/>
          <w:bCs/>
          <w:color w:val="auto"/>
          <w:sz w:val="21"/>
          <w:szCs w:val="21"/>
          <w:highlight w:val="none"/>
          <w:lang w:bidi="ar"/>
        </w:rPr>
        <w:t xml:space="preserve">并加盖投标人公章，扫描上传</w:t>
      </w:r>
      <w:r>
        <w:rPr>
          <w:rFonts w:hint="default" w:ascii="Times New Roman" w:hAnsi="Times New Roman" w:eastAsia="宋体" w:cs="Times New Roman"/>
          <w:b/>
          <w:bCs/>
          <w:color w:val="auto"/>
          <w:sz w:val="21"/>
          <w:szCs w:val="21"/>
          <w:highlight w:val="none"/>
          <w:lang w:bidi="ar"/>
        </w:rPr>
        <w:t xml:space="preserve">）</w:t>
      </w:r>
      <w:r/>
    </w:p>
    <w:p>
      <w:pPr>
        <w:pStyle w:val="734"/>
        <w:numPr>
          <w:ilvl w:val="0"/>
          <w:numId w:val="0"/>
        </w:numPr>
        <w:ind w:firstLine="420"/>
        <w:keepLines w:val="0"/>
        <w:keepNext w:val="0"/>
        <w:pageBreakBefore w:val="0"/>
        <w:spacing w:line="360" w:lineRule="auto"/>
        <w:widowControl w:val="off"/>
        <w:rPr>
          <w:rFonts w:hint="default" w:ascii="Times New Roman" w:hAnsi="Times New Roman" w:eastAsia="宋体" w:cs="Times New Roman"/>
          <w:i w:val="0"/>
          <w:iCs w:val="0"/>
          <w:sz w:val="21"/>
          <w:szCs w:val="21"/>
          <w:highlight w:val="none"/>
          <w:u w:val="none"/>
          <w:lang w:val="en-US" w:eastAsia="zh-CN"/>
        </w:rPr>
      </w:pPr>
      <w:r>
        <w:rPr>
          <w:rFonts w:hint="default" w:ascii="Times New Roman" w:hAnsi="Times New Roman" w:eastAsia="宋体" w:cs="Times New Roman"/>
          <w:i w:val="0"/>
          <w:iCs w:val="0"/>
          <w:sz w:val="21"/>
          <w:szCs w:val="21"/>
          <w:highlight w:val="none"/>
          <w:u w:val="none"/>
          <w:lang w:val="en-US" w:eastAsia="zh-CN"/>
        </w:rPr>
        <w:t xml:space="preserve">6.支持水质统计分析</w:t>
      </w:r>
      <w:r/>
    </w:p>
    <w:p>
      <w:pPr>
        <w:pStyle w:val="734"/>
        <w:numPr>
          <w:ilvl w:val="0"/>
          <w:numId w:val="0"/>
        </w:numPr>
        <w:ind w:firstLine="420"/>
        <w:keepLines w:val="0"/>
        <w:keepNext w:val="0"/>
        <w:pageBreakBefore w:val="0"/>
        <w:spacing w:line="360" w:lineRule="auto"/>
        <w:widowControl w:val="off"/>
        <w:rPr>
          <w:rFonts w:hint="default" w:ascii="Times New Roman" w:hAnsi="Times New Roman" w:eastAsia="宋体" w:cs="Times New Roman"/>
          <w:i w:val="0"/>
          <w:iCs w:val="0"/>
          <w:sz w:val="21"/>
          <w:szCs w:val="21"/>
          <w:highlight w:val="none"/>
          <w:u w:val="none"/>
          <w:lang w:val="en-US" w:eastAsia="zh-CN"/>
        </w:rPr>
      </w:pPr>
      <w:r>
        <w:rPr>
          <w:rFonts w:hint="default" w:ascii="Times New Roman" w:hAnsi="Times New Roman" w:eastAsia="宋体" w:cs="Times New Roman"/>
          <w:i w:val="0"/>
          <w:iCs w:val="0"/>
          <w:sz w:val="21"/>
          <w:szCs w:val="21"/>
          <w:highlight w:val="none"/>
          <w:u w:val="none"/>
          <w:lang w:val="en-US" w:eastAsia="zh-CN"/>
        </w:rPr>
        <w:t xml:space="preserve">7.平台提供接入多光谱植被监测仪，自动分析植被指数并生成蓝藻水华预警，支持图像展示和预警事件管理，实现蓝藻水华智能监测。</w:t>
      </w:r>
      <w:r/>
    </w:p>
    <w:p>
      <w:pPr>
        <w:pStyle w:val="734"/>
        <w:numPr>
          <w:ilvl w:val="0"/>
          <w:numId w:val="0"/>
        </w:numPr>
        <w:ind w:firstLine="420"/>
        <w:keepLines w:val="0"/>
        <w:keepNext w:val="0"/>
        <w:pageBreakBefore w:val="0"/>
        <w:spacing w:line="360" w:lineRule="auto"/>
        <w:widowControl w:val="off"/>
        <w:rPr>
          <w:rFonts w:hint="default" w:ascii="Times New Roman" w:hAnsi="Times New Roman" w:eastAsia="宋体" w:cs="Times New Roman"/>
          <w:i w:val="0"/>
          <w:iCs w:val="0"/>
          <w:sz w:val="21"/>
          <w:szCs w:val="21"/>
          <w:highlight w:val="none"/>
          <w:u w:val="none"/>
          <w:lang w:val="en-US" w:eastAsia="zh-CN"/>
        </w:rPr>
      </w:pPr>
      <w:r>
        <w:rPr>
          <w:rFonts w:hint="default" w:ascii="Times New Roman" w:hAnsi="Times New Roman" w:eastAsia="宋体" w:cs="Times New Roman"/>
          <w:i w:val="0"/>
          <w:iCs w:val="0"/>
          <w:sz w:val="21"/>
          <w:szCs w:val="21"/>
          <w:highlight w:val="none"/>
          <w:u w:val="none"/>
          <w:lang w:val="en-US" w:eastAsia="zh-CN"/>
        </w:rPr>
        <w:t xml:space="preserve">8.★面向湖泊、水库等有营养状态分析需求的水域，据其水质监测数据进行分析，判断其营养状态： 1、可在当前模块中切换站点与水域的营养状态分析数据 2、支持按照时段类型、起止时间、监测站进行数据筛选 3、展示在所选时段内站点/水域的营养状态情况，包括营养状态等级、营养状态综合指数、各指标监测数值等，点击“详情”按钮可查看详细数据。支持将查询结果导出至本地。</w:t>
      </w:r>
      <w:r>
        <w:rPr>
          <w:rFonts w:hint="default" w:ascii="Times New Roman" w:hAnsi="Times New Roman" w:eastAsia="宋体" w:cs="Times New Roman"/>
          <w:b/>
          <w:bCs/>
          <w:color w:val="auto"/>
          <w:sz w:val="21"/>
          <w:szCs w:val="21"/>
          <w:highlight w:val="none"/>
          <w:lang w:bidi="ar"/>
        </w:rPr>
        <w:t xml:space="preserve">（需提供</w:t>
      </w:r>
      <w:r>
        <w:rPr>
          <w:rFonts w:hint="eastAsia" w:ascii="Times New Roman" w:hAnsi="Times New Roman" w:cs="Times New Roman"/>
          <w:b/>
          <w:bCs/>
          <w:color w:val="auto"/>
          <w:sz w:val="21"/>
          <w:szCs w:val="21"/>
          <w:highlight w:val="none"/>
          <w:lang w:eastAsia="zh-CN" w:bidi="ar"/>
        </w:rPr>
        <w:t xml:space="preserve">具有相关资质的第三方</w:t>
      </w:r>
      <w:r>
        <w:rPr>
          <w:rFonts w:hint="default" w:ascii="Times New Roman" w:hAnsi="Times New Roman" w:eastAsia="宋体" w:cs="Times New Roman"/>
          <w:b/>
          <w:bCs/>
          <w:color w:val="auto"/>
          <w:sz w:val="21"/>
          <w:szCs w:val="21"/>
          <w:highlight w:val="none"/>
          <w:lang w:bidi="ar"/>
        </w:rPr>
        <w:t xml:space="preserve">出具的检测报告，</w:t>
      </w:r>
      <w:r>
        <w:rPr>
          <w:rStyle w:val="1019"/>
          <w:rFonts w:hint="default" w:ascii="Times New Roman" w:hAnsi="Times New Roman" w:eastAsia="宋体" w:cs="Times New Roman"/>
          <w:b/>
          <w:bCs/>
          <w:color w:val="auto"/>
          <w:sz w:val="21"/>
          <w:szCs w:val="21"/>
          <w:highlight w:val="none"/>
          <w:lang w:bidi="ar"/>
        </w:rPr>
        <w:t xml:space="preserve">并加盖投标人公章，扫描上传</w:t>
      </w:r>
      <w:r>
        <w:rPr>
          <w:rFonts w:hint="default" w:ascii="Times New Roman" w:hAnsi="Times New Roman" w:eastAsia="宋体" w:cs="Times New Roman"/>
          <w:b/>
          <w:bCs/>
          <w:color w:val="auto"/>
          <w:sz w:val="21"/>
          <w:szCs w:val="21"/>
          <w:highlight w:val="none"/>
          <w:lang w:bidi="ar"/>
        </w:rPr>
        <w:t xml:space="preserve">）</w:t>
      </w:r>
      <w:r/>
    </w:p>
    <w:p>
      <w:pPr>
        <w:ind w:firstLine="420"/>
        <w:spacing w:line="360" w:lineRule="auto"/>
        <w:rPr>
          <w:rFonts w:hint="eastAsia" w:ascii="宋体" w:hAnsi="宋体" w:eastAsia="宋体" w:cs="宋体"/>
          <w:b/>
          <w:bCs/>
          <w:strike/>
          <w:sz w:val="21"/>
          <w:szCs w:val="21"/>
          <w:highlight w:val="none"/>
        </w:rPr>
      </w:pPr>
      <w:r>
        <w:rPr>
          <w:rFonts w:hint="eastAsia" w:ascii="Times New Roman" w:hAnsi="Times New Roman" w:cs="Times New Roman"/>
          <w:i w:val="0"/>
          <w:iCs w:val="0"/>
          <w:sz w:val="21"/>
          <w:szCs w:val="21"/>
          <w:highlight w:val="none"/>
          <w:u w:val="none"/>
          <w:lang w:val="en-US" w:eastAsia="zh-CN"/>
        </w:rPr>
        <w:t xml:space="preserve">9</w:t>
      </w:r>
      <w:r>
        <w:rPr>
          <w:rFonts w:hint="default" w:ascii="Times New Roman" w:hAnsi="Times New Roman" w:eastAsia="宋体" w:cs="Times New Roman"/>
          <w:i w:val="0"/>
          <w:iCs w:val="0"/>
          <w:sz w:val="21"/>
          <w:szCs w:val="21"/>
          <w:highlight w:val="none"/>
          <w:u w:val="none"/>
          <w:lang w:val="en-US" w:eastAsia="zh-CN"/>
        </w:rPr>
        <w:t xml:space="preserve">.★系统可对接（钓鱼识别、排口有无排水识别、游泳识别、水面漂浮物识别等）智能算法，并将识别出的事件生成智能识别报警，在本模块可定义智能报警事件的类型，同时支持单一或批量配置算法事件是否接收。</w:t>
      </w:r>
      <w:r>
        <w:rPr>
          <w:rFonts w:hint="default" w:ascii="Times New Roman" w:hAnsi="Times New Roman" w:eastAsia="宋体" w:cs="Times New Roman"/>
          <w:b/>
          <w:bCs/>
          <w:color w:val="auto"/>
          <w:sz w:val="21"/>
          <w:szCs w:val="21"/>
          <w:highlight w:val="none"/>
          <w:lang w:bidi="ar"/>
        </w:rPr>
        <w:t xml:space="preserve">（需提供</w:t>
      </w:r>
      <w:r>
        <w:rPr>
          <w:rFonts w:hint="eastAsia" w:ascii="Times New Roman" w:hAnsi="Times New Roman" w:cs="Times New Roman"/>
          <w:b/>
          <w:bCs/>
          <w:color w:val="auto"/>
          <w:sz w:val="21"/>
          <w:szCs w:val="21"/>
          <w:highlight w:val="none"/>
          <w:lang w:eastAsia="zh-CN" w:bidi="ar"/>
        </w:rPr>
        <w:t xml:space="preserve">具有相关资质的第三方</w:t>
      </w:r>
      <w:r>
        <w:rPr>
          <w:rFonts w:hint="default" w:ascii="Times New Roman" w:hAnsi="Times New Roman" w:eastAsia="宋体" w:cs="Times New Roman"/>
          <w:b/>
          <w:bCs/>
          <w:color w:val="auto"/>
          <w:sz w:val="21"/>
          <w:szCs w:val="21"/>
          <w:highlight w:val="none"/>
          <w:lang w:bidi="ar"/>
        </w:rPr>
        <w:t xml:space="preserve">出具的检测报告，</w:t>
      </w:r>
      <w:r>
        <w:rPr>
          <w:rStyle w:val="1019"/>
          <w:rFonts w:hint="default" w:ascii="Times New Roman" w:hAnsi="Times New Roman" w:eastAsia="宋体" w:cs="Times New Roman"/>
          <w:b/>
          <w:bCs/>
          <w:color w:val="auto"/>
          <w:sz w:val="21"/>
          <w:szCs w:val="21"/>
          <w:highlight w:val="none"/>
          <w:lang w:bidi="ar"/>
        </w:rPr>
        <w:t xml:space="preserve">并加盖投标人公章，扫描上传</w:t>
      </w:r>
      <w:r>
        <w:rPr>
          <w:rFonts w:hint="default" w:ascii="Times New Roman" w:hAnsi="Times New Roman" w:eastAsia="宋体" w:cs="Times New Roman"/>
          <w:b/>
          <w:bCs/>
          <w:color w:val="auto"/>
          <w:sz w:val="21"/>
          <w:szCs w:val="21"/>
          <w:highlight w:val="none"/>
          <w:lang w:bidi="ar"/>
        </w:rPr>
        <w:t xml:space="preserve">）</w:t>
      </w:r>
      <w:r/>
    </w:p>
    <w:p>
      <w:pPr>
        <w:ind w:firstLine="422"/>
        <w:spacing w:line="360" w:lineRule="auto"/>
        <w:rPr>
          <w:rFonts w:hint="eastAsia" w:ascii="宋体" w:hAnsi="宋体" w:eastAsia="宋体" w:cs="宋体"/>
          <w:b/>
          <w:bCs/>
          <w:sz w:val="21"/>
          <w:szCs w:val="21"/>
          <w:highlight w:val="none"/>
        </w:rPr>
      </w:pPr>
      <w:r>
        <w:rPr>
          <w:rFonts w:hint="eastAsia" w:ascii="宋体" w:hAnsi="宋体" w:cs="宋体"/>
          <w:b/>
          <w:bCs/>
          <w:sz w:val="21"/>
          <w:szCs w:val="21"/>
          <w:highlight w:val="none"/>
          <w:lang w:eastAsia="zh-CN"/>
        </w:rPr>
        <w:t xml:space="preserve">（</w:t>
      </w:r>
      <w:r>
        <w:rPr>
          <w:rFonts w:hint="eastAsia" w:ascii="宋体" w:hAnsi="宋体" w:eastAsia="宋体" w:cs="宋体"/>
          <w:b/>
          <w:bCs/>
          <w:sz w:val="21"/>
          <w:szCs w:val="21"/>
          <w:highlight w:val="none"/>
        </w:rPr>
        <w:t xml:space="preserve">4</w:t>
      </w:r>
      <w:r>
        <w:rPr>
          <w:rFonts w:hint="eastAsia" w:ascii="宋体" w:hAnsi="宋体" w:cs="宋体"/>
          <w:b/>
          <w:bCs/>
          <w:sz w:val="21"/>
          <w:szCs w:val="21"/>
          <w:highlight w:val="none"/>
          <w:lang w:eastAsia="zh-CN"/>
        </w:rPr>
        <w:t xml:space="preserve">）</w:t>
      </w:r>
      <w:r>
        <w:rPr>
          <w:rFonts w:hint="eastAsia" w:ascii="宋体" w:hAnsi="宋体" w:eastAsia="宋体" w:cs="宋体"/>
          <w:b/>
          <w:bCs/>
          <w:sz w:val="21"/>
          <w:szCs w:val="21"/>
          <w:highlight w:val="none"/>
        </w:rPr>
        <w:t xml:space="preserve">监控立杆技术要求</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杆形：八角杆，外型美观、简洁、协调，颜色暂定为白色，最终由甲方确定；</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杆体选用Q235或优质钢材制造，杆体采用数控折弯机一次成型，采用自动缩口，壁厚&gt;4mm；监控杆防腐处理为热镀，镀锌层表面光滑美观，光泽一致。无皱皮、流坠及锌瘤、起皮、斑点、阴阳面缺陷存在，锌层厚度&gt;85um以上；</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焊机自动焊接，整个杆均按相关设计标准执行；</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主杆与底法兰采用双面焊接，外焊加强筋；</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杆体表面全部热浸镀锌，高温烤漆，静电喷塑，表面喷塑厚度≧100um，表面光滑：硬度≧2H，采用室外耐候性材料，喷塑材料为全聚酯塑粉；</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监控杆强抗风、坚固耐用，设计抗风能力&gt;36m/s，抗震能力为10级；</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箱体与主杆之间特殊设计，看不到任何引线，并有防渗水措施，有效保证缆的安全；</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接线门采用内置式M6内六角螺栓固定、防盗；</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根据现场情况按需配置横杆，用于安装摄像机，具体横杆长度根据现场最终确定，确保视频监测图像覆盖河道，横杆稳定可靠；</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立杆上安装不锈钢挂箱，用于安装网络终端设备、电源适配器等，要求挂箱有足够的强度，箱内有用于固定设备的装置，其壁厚不小于1.5mm。</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砼基础应充分考虑立杆抗风要求设计，埋入地下深度应不小于1.2m。</w:t>
      </w:r>
      <w:r/>
    </w:p>
    <w:p>
      <w:pPr>
        <w:ind w:firstLine="422"/>
        <w:spacing w:line="360" w:lineRule="auto"/>
        <w:rPr>
          <w:rFonts w:hint="eastAsia" w:ascii="宋体" w:hAnsi="宋体" w:eastAsia="宋体" w:cs="宋体"/>
          <w:b/>
          <w:bCs/>
          <w:sz w:val="21"/>
          <w:szCs w:val="21"/>
          <w:highlight w:val="none"/>
        </w:rPr>
      </w:pPr>
      <w:r>
        <w:rPr>
          <w:rFonts w:hint="eastAsia" w:ascii="宋体" w:hAnsi="宋体" w:cs="宋体"/>
          <w:b/>
          <w:bCs/>
          <w:sz w:val="21"/>
          <w:szCs w:val="21"/>
          <w:highlight w:val="none"/>
          <w:lang w:val="en-US" w:eastAsia="zh-CN"/>
        </w:rPr>
        <w:t xml:space="preserve">(5)</w:t>
      </w:r>
      <w:r>
        <w:rPr>
          <w:rFonts w:hint="eastAsia" w:ascii="宋体" w:hAnsi="宋体" w:eastAsia="宋体" w:cs="宋体"/>
          <w:b/>
          <w:bCs/>
          <w:sz w:val="21"/>
          <w:szCs w:val="21"/>
          <w:highlight w:val="none"/>
        </w:rPr>
        <w:t xml:space="preserve">工业交换机</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视频交换机至少具备4个100M/1000M/2500M自适应SFP端及4个100M/1000M电口；</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汇聚交换机至少具备4个100M/1000M/2500M自适应SFP端及24个100M/1000M电口；</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采用铝型材及铝合金组合外壳，耐腐蚀耐氧化永不生锈，防护等级不低于IP40；</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运行温度 ：-40度到85度。</w:t>
      </w:r>
      <w:r/>
    </w:p>
    <w:p>
      <w:pPr>
        <w:ind w:firstLine="422"/>
        <w:spacing w:line="360" w:lineRule="auto"/>
        <w:rPr>
          <w:rFonts w:hint="eastAsia" w:ascii="宋体" w:hAnsi="宋体" w:eastAsia="宋体" w:cs="宋体"/>
          <w:b/>
          <w:bCs/>
          <w:color w:val="000000"/>
          <w:sz w:val="21"/>
          <w:szCs w:val="21"/>
          <w:highlight w:val="none"/>
        </w:rPr>
      </w:pPr>
      <w:r>
        <w:rPr>
          <w:rFonts w:hint="eastAsia" w:ascii="宋体" w:hAnsi="宋体" w:cs="宋体"/>
          <w:b/>
          <w:bCs/>
          <w:color w:val="000000"/>
          <w:sz w:val="21"/>
          <w:szCs w:val="21"/>
          <w:highlight w:val="none"/>
          <w:lang w:eastAsia="zh-CN"/>
        </w:rPr>
        <w:t xml:space="preserve">（</w:t>
      </w:r>
      <w:r>
        <w:rPr>
          <w:rFonts w:hint="eastAsia" w:ascii="宋体" w:hAnsi="宋体" w:cs="宋体"/>
          <w:b/>
          <w:bCs/>
          <w:color w:val="000000"/>
          <w:sz w:val="21"/>
          <w:szCs w:val="21"/>
          <w:highlight w:val="none"/>
          <w:lang w:val="en-US" w:eastAsia="zh-CN"/>
        </w:rPr>
        <w:t xml:space="preserve">6</w:t>
      </w:r>
      <w:r>
        <w:rPr>
          <w:rFonts w:hint="eastAsia" w:ascii="宋体" w:hAnsi="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缆线及配电装置</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1）超五类屏蔽双绞线</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性能描述：</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100Ω，155MHz，24AWG；</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带整体屏蔽PVC或低烟无卤(LSZH)电缆外皮；</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性能：符合TIA/EIA 568B、EN50173-1和ISO 11801：2002要求；</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阻燃级别：符合UL94V-0等级；</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低烟、无卤、阻燃。</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如直埋安装，应采用铠装防水双绞线。</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2）供电电缆</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线径：应满足电压降≤10%Ue</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护套：双护套，绝缘厚度0.6，护套厚度0.7，低烟、无卤、阻燃。</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如直埋安装，应采用铠装防水电缆。</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3）视频系统配电装置</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提供220V交流电源，视频系统内所需电源应自配开关电源模块和浪涌保护器，电源容量应满足视频监视系统要求。开关电源模块应符合以下要求：</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输入电压：220VAC±15%</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输出：根据摄像头情况确定；</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具有过载、短路、防雷击报警和保护功能。</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4）光缆</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12芯铠装单模防水光缆。</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光学衰减：1310nm≤0.36dB/km，1550nm≤0.22dB/km；</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防水结构：层绞式，松套管充纤膏，钢带铠装；</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机械性能：长期拉力≥600N，短期≥1500N；压扁短期≥1000N/100mm；静态弯曲≥10 倍光缆外径；</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环境条件：工作温度‑40℃～+70℃，HDPE 外护套，耐户外环境。</w:t>
      </w:r>
      <w:r/>
    </w:p>
    <w:p>
      <w:pPr>
        <w:ind w:firstLine="422"/>
        <w:spacing w:line="360" w:lineRule="auto"/>
        <w:rPr>
          <w:rFonts w:hint="default" w:ascii="宋体" w:hAnsi="宋体" w:cs="宋体"/>
          <w:b/>
          <w:bCs/>
          <w:sz w:val="21"/>
          <w:szCs w:val="21"/>
          <w:highlight w:val="none"/>
          <w:lang w:val="en-US" w:eastAsia="zh-CN"/>
        </w:rPr>
        <w:outlineLvl w:val="3"/>
      </w:pPr>
      <w:r>
        <w:rPr>
          <w:rFonts w:hint="eastAsia" w:ascii="宋体" w:hAnsi="宋体" w:cs="宋体"/>
          <w:b/>
          <w:bCs/>
          <w:sz w:val="21"/>
          <w:szCs w:val="21"/>
          <w:highlight w:val="none"/>
          <w:lang w:val="en-US" w:eastAsia="zh-CN"/>
        </w:rPr>
        <w:t xml:space="preserve">2.9 </w:t>
      </w:r>
      <w:r>
        <w:rPr>
          <w:rFonts w:hint="default" w:ascii="宋体" w:hAnsi="宋体" w:cs="宋体"/>
          <w:b/>
          <w:bCs/>
          <w:sz w:val="21"/>
          <w:szCs w:val="21"/>
          <w:highlight w:val="none"/>
          <w:lang w:val="en-US" w:eastAsia="en-US"/>
        </w:rPr>
        <w:t xml:space="preserve">平台对接</w:t>
      </w:r>
      <w:r>
        <w:rPr>
          <w:rFonts w:hint="default" w:ascii="宋体" w:hAnsi="宋体" w:cs="宋体"/>
          <w:b/>
          <w:bCs/>
          <w:sz w:val="21"/>
          <w:szCs w:val="21"/>
          <w:highlight w:val="none"/>
          <w:lang w:val="en-US" w:eastAsia="zh-CN"/>
        </w:rPr>
        <w:t xml:space="preserve">要求</w:t>
      </w:r>
      <w:r/>
    </w:p>
    <w:p>
      <w:pPr>
        <w:ind w:firstLine="420"/>
        <w:spacing w:line="360" w:lineRule="auto"/>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rPr>
        <w:t xml:space="preserve">所有前端</w:t>
      </w:r>
      <w:r>
        <w:rPr>
          <w:rFonts w:hint="default" w:ascii="宋体" w:hAnsi="宋体" w:eastAsia="宋体" w:cs="宋体"/>
          <w:color w:val="000000"/>
          <w:sz w:val="21"/>
          <w:szCs w:val="21"/>
          <w:highlight w:val="none"/>
          <w:lang w:val="en-US" w:eastAsia="zh-CN"/>
        </w:rPr>
        <w:t xml:space="preserve">摄像机</w:t>
      </w:r>
      <w:r>
        <w:rPr>
          <w:rFonts w:hint="default" w:ascii="宋体" w:hAnsi="宋体" w:eastAsia="宋体" w:cs="宋体"/>
          <w:color w:val="000000"/>
          <w:sz w:val="21"/>
          <w:szCs w:val="21"/>
          <w:highlight w:val="none"/>
        </w:rPr>
        <w:t xml:space="preserve">点位信息100%同步至上级平台，包含点位名称、河段名称、桩号、经纬度、安装高度、设备类型等完整台账信息。上级平台可直接预览实时视频、调取历史录像、控制云台、调用预置位、巡航操控。视频流稳定流畅，无卡顿、无花屏、无断流，延时符合水利监管标准。实现新建点位与辖区存量已建水利监控点位完全互联互通</w:t>
      </w:r>
      <w:r>
        <w:rPr>
          <w:rFonts w:hint="default" w:ascii="宋体" w:hAnsi="宋体" w:eastAsia="宋体" w:cs="宋体"/>
          <w:color w:val="000000"/>
          <w:sz w:val="21"/>
          <w:szCs w:val="21"/>
          <w:highlight w:val="none"/>
          <w:lang w:eastAsia="zh-CN"/>
        </w:rPr>
        <w:t xml:space="preserve">。</w:t>
      </w:r>
      <w:r/>
    </w:p>
    <w:p>
      <w:pPr>
        <w:ind w:firstLine="420"/>
        <w:spacing w:line="360" w:lineRule="auto"/>
        <w:rPr>
          <w:rFonts w:hint="default" w:ascii="宋体" w:hAnsi="宋体" w:eastAsia="宋体" w:cs="宋体"/>
          <w:i/>
          <w:iCs/>
          <w:color w:val="000000"/>
          <w:sz w:val="21"/>
          <w:szCs w:val="21"/>
          <w:highlight w:val="none"/>
          <w:u w:val="single"/>
          <w:lang w:val="en-US" w:eastAsia="zh-CN"/>
        </w:rPr>
      </w:pPr>
      <w:r>
        <w:rPr>
          <w:rFonts w:hint="default" w:ascii="宋体" w:hAnsi="宋体" w:eastAsia="宋体" w:cs="宋体"/>
          <w:i/>
          <w:iCs/>
          <w:color w:val="000000"/>
          <w:sz w:val="21"/>
          <w:szCs w:val="21"/>
          <w:highlight w:val="none"/>
          <w:u w:val="single"/>
          <w:lang w:val="en-US" w:eastAsia="zh-CN"/>
        </w:rPr>
        <w:t xml:space="preserve">要求系统</w:t>
      </w:r>
      <w:r>
        <w:rPr>
          <w:rFonts w:hint="eastAsia" w:ascii="宋体" w:hAnsi="宋体" w:cs="宋体"/>
          <w:i/>
          <w:iCs/>
          <w:color w:val="000000"/>
          <w:sz w:val="21"/>
          <w:szCs w:val="21"/>
          <w:highlight w:val="none"/>
          <w:u w:val="single"/>
          <w:lang w:val="en-US" w:eastAsia="zh-CN"/>
        </w:rPr>
        <w:t xml:space="preserve">流畅</w:t>
      </w:r>
      <w:r>
        <w:rPr>
          <w:rFonts w:hint="default" w:ascii="宋体" w:hAnsi="宋体" w:eastAsia="宋体" w:cs="宋体"/>
          <w:i/>
          <w:iCs/>
          <w:color w:val="000000"/>
          <w:sz w:val="21"/>
          <w:szCs w:val="21"/>
          <w:highlight w:val="none"/>
          <w:u w:val="single"/>
          <w:lang w:val="en-US" w:eastAsia="zh-CN"/>
        </w:rPr>
        <w:t xml:space="preserve">对接，设备须与河道处现有平台</w:t>
      </w:r>
      <w:r>
        <w:rPr>
          <w:rFonts w:hint="eastAsia" w:ascii="宋体" w:hAnsi="宋体" w:cs="宋体"/>
          <w:i/>
          <w:iCs/>
          <w:color w:val="000000"/>
          <w:sz w:val="21"/>
          <w:szCs w:val="21"/>
          <w:highlight w:val="none"/>
          <w:u w:val="single"/>
          <w:lang w:val="en-US" w:eastAsia="zh-CN"/>
        </w:rPr>
        <w:t xml:space="preserve">适配</w:t>
      </w:r>
      <w:r>
        <w:rPr>
          <w:rFonts w:hint="default" w:ascii="宋体" w:hAnsi="宋体" w:eastAsia="宋体" w:cs="宋体"/>
          <w:i/>
          <w:iCs/>
          <w:color w:val="000000"/>
          <w:sz w:val="21"/>
          <w:szCs w:val="21"/>
          <w:highlight w:val="none"/>
          <w:u w:val="single"/>
          <w:lang w:val="en-US" w:eastAsia="zh-CN"/>
        </w:rPr>
        <w:t xml:space="preserve">，确保实现预期功能、保证技防运用效果。中标人在项目2年免费质保期内提供软件免费升级服务。同时中标人需免费提供系统接口标准，供河道处其它业务系统接入或调用。（</w:t>
      </w:r>
      <w:r>
        <w:rPr>
          <w:rFonts w:hint="default" w:ascii="宋体" w:hAnsi="宋体" w:eastAsia="宋体" w:cs="宋体"/>
          <w:b/>
          <w:bCs/>
          <w:i/>
          <w:iCs/>
          <w:color w:val="000000"/>
          <w:sz w:val="21"/>
          <w:szCs w:val="21"/>
          <w:highlight w:val="none"/>
          <w:u w:val="single"/>
          <w:lang w:val="en-US" w:eastAsia="zh-CN"/>
        </w:rPr>
        <w:t xml:space="preserve">投标文件中需提供承诺函加盖投标</w:t>
      </w:r>
      <w:r>
        <w:rPr>
          <w:rFonts w:hint="eastAsia" w:ascii="宋体" w:hAnsi="宋体" w:cs="宋体"/>
          <w:b/>
          <w:bCs/>
          <w:i/>
          <w:iCs/>
          <w:color w:val="000000"/>
          <w:sz w:val="21"/>
          <w:szCs w:val="21"/>
          <w:highlight w:val="none"/>
          <w:u w:val="single"/>
          <w:lang w:val="en-US" w:eastAsia="zh-CN"/>
        </w:rPr>
        <w:t xml:space="preserve">单位电子</w:t>
      </w:r>
      <w:r>
        <w:rPr>
          <w:rFonts w:hint="default" w:ascii="宋体" w:hAnsi="宋体" w:eastAsia="宋体" w:cs="宋体"/>
          <w:b/>
          <w:bCs/>
          <w:i/>
          <w:iCs/>
          <w:color w:val="000000"/>
          <w:sz w:val="21"/>
          <w:szCs w:val="21"/>
          <w:highlight w:val="none"/>
          <w:u w:val="single"/>
          <w:lang w:val="en-US" w:eastAsia="zh-CN"/>
        </w:rPr>
        <w:t xml:space="preserve">公章，格式自拟</w:t>
      </w:r>
      <w:r>
        <w:rPr>
          <w:rFonts w:hint="default" w:ascii="宋体" w:hAnsi="宋体" w:eastAsia="宋体" w:cs="宋体"/>
          <w:i/>
          <w:iCs/>
          <w:color w:val="000000"/>
          <w:sz w:val="21"/>
          <w:szCs w:val="21"/>
          <w:highlight w:val="none"/>
          <w:u w:val="single"/>
          <w:lang w:val="en-US" w:eastAsia="zh-CN"/>
        </w:rPr>
        <w:t xml:space="preserve">）</w:t>
      </w:r>
      <w:r/>
    </w:p>
    <w:p>
      <w:pPr>
        <w:ind w:firstLine="422"/>
        <w:spacing w:line="360" w:lineRule="auto"/>
        <w:rPr>
          <w:rFonts w:hint="eastAsia" w:ascii="宋体" w:hAnsi="宋体" w:cs="宋体"/>
          <w:b/>
          <w:bCs/>
          <w:sz w:val="21"/>
          <w:szCs w:val="21"/>
          <w:highlight w:val="none"/>
          <w:lang w:val="en-US" w:eastAsia="zh-CN"/>
        </w:rPr>
        <w:outlineLvl w:val="3"/>
      </w:pPr>
      <w:r>
        <w:rPr>
          <w:rFonts w:hint="eastAsia" w:ascii="宋体" w:hAnsi="宋体" w:cs="宋体"/>
          <w:b/>
          <w:bCs/>
          <w:sz w:val="21"/>
          <w:szCs w:val="21"/>
          <w:highlight w:val="none"/>
          <w:lang w:val="en-US" w:eastAsia="zh-CN"/>
        </w:rPr>
        <w:t xml:space="preserve">2.10 技术方案要求</w:t>
      </w:r>
      <w:r/>
    </w:p>
    <w:p>
      <w:pPr>
        <w:ind w:firstLine="420"/>
        <w:spacing w:line="360" w:lineRule="auto"/>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t xml:space="preserve">需列明前端设备组成，说明设备防护等级、供电方案、立杆规格、安装角度；</w:t>
      </w:r>
      <w:r/>
    </w:p>
    <w:p>
      <w:pPr>
        <w:ind w:firstLine="420"/>
        <w:spacing w:line="360" w:lineRule="auto"/>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val="en-US" w:eastAsia="en-US"/>
        </w:rPr>
        <w:t xml:space="preserve">主干河道采用低延迟、高稳定</w:t>
      </w:r>
      <w:r>
        <w:rPr>
          <w:rFonts w:hint="default" w:ascii="宋体" w:hAnsi="宋体" w:eastAsia="宋体" w:cs="宋体"/>
          <w:color w:val="000000"/>
          <w:sz w:val="21"/>
          <w:szCs w:val="21"/>
          <w:highlight w:val="none"/>
          <w:lang w:val="en-US" w:eastAsia="zh-CN"/>
        </w:rPr>
        <w:t xml:space="preserve">网络传输，确保业务网与视频网安全隔离</w:t>
      </w:r>
      <w:r>
        <w:rPr>
          <w:rFonts w:hint="default" w:ascii="宋体" w:hAnsi="宋体" w:eastAsia="宋体" w:cs="宋体"/>
          <w:color w:val="000000"/>
          <w:sz w:val="21"/>
          <w:szCs w:val="21"/>
          <w:highlight w:val="none"/>
          <w:lang w:val="en-US" w:eastAsia="en-US"/>
        </w:rPr>
        <w:t xml:space="preserve">全部设备兼容GB/T28181-2016水利国标协议，无私有协议锁定。网络延时＜200ms，丢包率＜1%</w:t>
      </w:r>
      <w:r>
        <w:rPr>
          <w:rFonts w:hint="default" w:ascii="宋体" w:hAnsi="宋体" w:eastAsia="宋体" w:cs="宋体"/>
          <w:color w:val="000000"/>
          <w:sz w:val="21"/>
          <w:szCs w:val="21"/>
          <w:highlight w:val="none"/>
          <w:lang w:val="en-US" w:eastAsia="zh-CN"/>
        </w:rPr>
        <w:t xml:space="preserve">。</w:t>
      </w:r>
      <w:r/>
    </w:p>
    <w:p>
      <w:pPr>
        <w:ind w:firstLine="420"/>
        <w:spacing w:line="360" w:lineRule="auto"/>
        <w:rPr>
          <w:rFonts w:hint="default" w:ascii="宋体" w:hAnsi="宋体" w:eastAsia="宋体" w:cs="宋体"/>
          <w:color w:val="000000"/>
          <w:sz w:val="21"/>
          <w:szCs w:val="21"/>
          <w:highlight w:val="none"/>
        </w:rPr>
      </w:pPr>
      <w:r>
        <w:rPr>
          <w:rFonts w:hint="default" w:ascii="宋体" w:hAnsi="宋体" w:eastAsia="宋体" w:cs="宋体"/>
          <w:color w:val="000000"/>
          <w:sz w:val="21"/>
          <w:szCs w:val="21"/>
          <w:highlight w:val="none"/>
        </w:rPr>
        <w:t xml:space="preserve">支持视频分级存储：普通视频循环覆盖、告警证据视频永久锁定、不被覆盖。支持磁盘故障自愈，单盘损坏不丢失整段录像。支持单路码流双平台复用，前端一路视频同时满足本地存储、市级平台调取，不重复占用带宽。录像删除、下载、备份全程权限管控、日志留存≥6个月。</w:t>
      </w:r>
      <w:r/>
    </w:p>
    <w:p>
      <w:pPr>
        <w:ind w:firstLine="420"/>
        <w:spacing w:line="360" w:lineRule="auto"/>
        <w:rPr>
          <w:rFonts w:hint="default" w:ascii="宋体" w:hAnsi="宋体" w:eastAsia="宋体" w:cs="宋体"/>
          <w:color w:val="000000"/>
          <w:sz w:val="21"/>
          <w:szCs w:val="21"/>
          <w:highlight w:val="none"/>
        </w:rPr>
      </w:pPr>
      <w:r>
        <w:rPr>
          <w:rFonts w:hint="default" w:ascii="宋体" w:hAnsi="宋体" w:eastAsia="宋体" w:cs="宋体"/>
          <w:color w:val="000000"/>
          <w:sz w:val="21"/>
          <w:szCs w:val="21"/>
          <w:highlight w:val="none"/>
          <w:lang w:val="en-US" w:eastAsia="zh-CN"/>
        </w:rPr>
        <w:t xml:space="preserve">平台</w:t>
      </w:r>
      <w:r>
        <w:rPr>
          <w:rFonts w:hint="default" w:ascii="宋体" w:hAnsi="宋体" w:eastAsia="宋体" w:cs="宋体"/>
          <w:color w:val="000000"/>
          <w:sz w:val="21"/>
          <w:szCs w:val="21"/>
          <w:highlight w:val="none"/>
        </w:rPr>
        <w:t xml:space="preserve">系统支持分级权限管理，权责清晰、分区管控。同时预留标准化API开放接口，可按需对接第三方系统，具备良好的业务拓展能力。</w:t>
      </w:r>
      <w:r/>
    </w:p>
    <w:p>
      <w:pPr>
        <w:ind w:firstLine="422"/>
        <w:spacing w:line="360" w:lineRule="auto"/>
        <w:rPr>
          <w:rFonts w:hint="eastAsia" w:ascii="宋体" w:hAnsi="宋体" w:cs="宋体"/>
          <w:b/>
          <w:bCs/>
          <w:sz w:val="21"/>
          <w:szCs w:val="21"/>
          <w:highlight w:val="none"/>
          <w:lang w:val="en-US" w:eastAsia="zh-CN"/>
        </w:rPr>
        <w:outlineLvl w:val="3"/>
      </w:pPr>
      <w:r>
        <w:rPr>
          <w:rFonts w:hint="eastAsia" w:ascii="宋体" w:hAnsi="宋体" w:cs="宋体"/>
          <w:b/>
          <w:bCs/>
          <w:sz w:val="21"/>
          <w:szCs w:val="21"/>
          <w:highlight w:val="none"/>
          <w:lang w:val="en-US" w:eastAsia="zh-CN"/>
        </w:rPr>
        <w:t xml:space="preserve">2.11 安全体系需求</w:t>
      </w:r>
      <w:r/>
    </w:p>
    <w:p>
      <w:pPr>
        <w:ind w:firstLine="420"/>
        <w:spacing w:line="360" w:lineRule="auto"/>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t xml:space="preserve">需构建完整网络安全体系。视频专网与互联网物理隔离；前端设备设置强口令，关闭闲置端口；视频画面添加不可去除水印；存储操作、平台登录、参数修改全程审计；日志留存≥6个月；对外级联设备进行身份鉴权；远程调试使用安全通道，禁止公网直接暴露设备；落实网络安全等级保护相关要求。</w:t>
      </w:r>
      <w:r/>
    </w:p>
    <w:p>
      <w:pPr>
        <w:ind w:firstLine="420"/>
        <w:spacing w:line="360" w:lineRule="auto"/>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t xml:space="preserve">系统补丁升级：因应用系统软件改版或功能扩充等原因进行系统升级。</w:t>
      </w:r>
      <w:r/>
    </w:p>
    <w:p>
      <w:pPr>
        <w:ind w:firstLine="420"/>
        <w:spacing w:line="360" w:lineRule="auto"/>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t xml:space="preserve">巡检服务：提供系统运行性能诊断及设备检修保养服务，减少故障发生率及延长使用周期。</w:t>
      </w:r>
      <w:r/>
    </w:p>
    <w:p>
      <w:pPr>
        <w:ind w:firstLine="420"/>
        <w:spacing w:line="360" w:lineRule="auto"/>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t xml:space="preserve">系统安全管理：进行系统安全管理、数据管理，根据问题性质决定解决问题的方法并跟踪其执行。</w:t>
      </w:r>
      <w:r/>
    </w:p>
    <w:p>
      <w:pPr>
        <w:ind w:firstLine="420"/>
        <w:spacing w:line="360" w:lineRule="auto"/>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t xml:space="preserve">定期诊断测试：对系统进行诊断测试，查看错误信息、性能调优、功能完善等，并提供巡检报告。</w:t>
      </w:r>
      <w:r/>
    </w:p>
    <w:p>
      <w:pPr>
        <w:ind w:firstLine="422"/>
        <w:spacing w:line="360" w:lineRule="auto"/>
        <w:rPr>
          <w:rFonts w:hint="eastAsia" w:ascii="宋体" w:hAnsi="宋体" w:cs="宋体"/>
          <w:b/>
          <w:bCs/>
          <w:sz w:val="21"/>
          <w:szCs w:val="21"/>
          <w:highlight w:val="none"/>
          <w:lang w:val="en-US" w:eastAsia="zh-CN"/>
        </w:rPr>
        <w:outlineLvl w:val="3"/>
      </w:pPr>
      <w:r>
        <w:rPr>
          <w:rFonts w:hint="eastAsia" w:ascii="宋体" w:hAnsi="宋体" w:cs="宋体"/>
          <w:b/>
          <w:bCs/>
          <w:sz w:val="21"/>
          <w:szCs w:val="21"/>
          <w:highlight w:val="none"/>
          <w:lang w:val="en-US" w:eastAsia="zh-CN"/>
        </w:rPr>
        <w:t xml:space="preserve">2.12 质量保障要求</w:t>
      </w:r>
      <w:r/>
    </w:p>
    <w:p>
      <w:pPr>
        <w:ind w:firstLine="420"/>
        <w:spacing w:line="360" w:lineRule="auto"/>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t xml:space="preserve">投标人应编制质量保障方案，提出质量管理目标、质量保证措施、质量控制点、安全保证措施等。</w:t>
      </w:r>
      <w:r/>
    </w:p>
    <w:p>
      <w:pPr>
        <w:ind w:firstLine="420"/>
        <w:spacing w:line="360" w:lineRule="auto"/>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t xml:space="preserve">设备立杆安装应保证垂直，垂直度偏差需符合对应场景的规范要求。所有线路不得外挂，全部穿入立杆内。所有线路、管道、接电、绿化等的修复由中标人自行解决，采购人不承担任何费用。</w:t>
      </w:r>
      <w:r/>
    </w:p>
    <w:p>
      <w:pPr>
        <w:ind w:firstLine="420"/>
        <w:spacing w:line="360" w:lineRule="auto"/>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t xml:space="preserve">除电源地线正常连接外，整个前端设备通过立杆完成接地：采用规格为4cm的角钢打入地下2米以上，再与立杆做可靠连接，接地电阻不得大于10欧姆。</w:t>
      </w:r>
      <w:r/>
    </w:p>
    <w:p>
      <w:pPr>
        <w:ind w:firstLine="420"/>
        <w:spacing w:line="360" w:lineRule="auto"/>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t xml:space="preserve">若部分线路需要架空敷设，架空高度不得低于6米；特殊地段需按照现场特殊要求执行。架空线路必须搭配架空钢丝绳布设，通过挂钩将线缆悬挂于空中。</w:t>
      </w:r>
      <w:r/>
    </w:p>
    <w:p>
      <w:pPr>
        <w:ind w:firstLine="420"/>
        <w:spacing w:line="360" w:lineRule="auto"/>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t xml:space="preserve">项目完工后，中标人需结合实际实施情况整理准备最终施工图纸，包括点位图、布线图等；同时梳理汇总全套项目资料，涵盖施工记录、施工图纸、网络IP清单、设备清单、项目自检报告、项目相关技术资料、系统技术说明书、使用说明书、维护手册以及项目实施总结等。</w:t>
      </w:r>
      <w:r/>
    </w:p>
    <w:p>
      <w:pPr>
        <w:ind w:firstLine="422"/>
        <w:spacing w:line="360" w:lineRule="auto"/>
        <w:rPr>
          <w:rFonts w:hint="default" w:ascii="宋体" w:hAnsi="宋体" w:cs="宋体"/>
          <w:b/>
          <w:bCs/>
          <w:sz w:val="21"/>
          <w:szCs w:val="21"/>
          <w:highlight w:val="none"/>
          <w:lang w:val="en-US" w:eastAsia="en-US"/>
        </w:rPr>
        <w:outlineLvl w:val="3"/>
      </w:pPr>
      <w:r>
        <w:rPr>
          <w:rFonts w:hint="eastAsia" w:ascii="宋体" w:hAnsi="宋体" w:cs="宋体"/>
          <w:b/>
          <w:bCs/>
          <w:sz w:val="21"/>
          <w:szCs w:val="21"/>
          <w:highlight w:val="none"/>
          <w:lang w:val="en-US" w:eastAsia="zh-CN"/>
        </w:rPr>
        <w:t xml:space="preserve">2.13 </w:t>
      </w:r>
      <w:r>
        <w:rPr>
          <w:rFonts w:hint="default" w:ascii="宋体" w:hAnsi="宋体" w:cs="宋体"/>
          <w:b/>
          <w:bCs/>
          <w:sz w:val="21"/>
          <w:szCs w:val="21"/>
          <w:highlight w:val="none"/>
          <w:lang w:val="en-US" w:eastAsia="en-US"/>
        </w:rPr>
        <w:t xml:space="preserve">售后服务</w:t>
      </w:r>
      <w:r>
        <w:rPr>
          <w:rFonts w:hint="default" w:ascii="宋体" w:hAnsi="宋体" w:cs="宋体"/>
          <w:b/>
          <w:bCs/>
          <w:sz w:val="21"/>
          <w:szCs w:val="21"/>
          <w:highlight w:val="none"/>
          <w:lang w:val="en-US" w:eastAsia="zh-CN"/>
        </w:rPr>
        <w:t xml:space="preserve">要</w:t>
      </w:r>
      <w:r>
        <w:rPr>
          <w:rFonts w:hint="default" w:ascii="宋体" w:hAnsi="宋体" w:cs="宋体"/>
          <w:b/>
          <w:bCs/>
          <w:sz w:val="21"/>
          <w:szCs w:val="21"/>
          <w:highlight w:val="none"/>
          <w:lang w:val="en-US" w:eastAsia="en-US"/>
        </w:rPr>
        <w:t xml:space="preserve">求</w:t>
      </w:r>
      <w:r/>
    </w:p>
    <w:p>
      <w:pPr>
        <w:ind w:firstLine="420"/>
        <w:spacing w:line="360" w:lineRule="auto"/>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t xml:space="preserve">项目整体免费质保期应不少于2年。质保期内提供7×24小时热线支持；非汛期发生故障要求2小时内响应，24小时内修复；汛期等特殊时期发生故障要求30分钟内响应，2小时内抵达现场处置。</w:t>
      </w:r>
      <w:r/>
    </w:p>
    <w:p>
      <w:pPr>
        <w:ind w:firstLine="420"/>
        <w:spacing w:line="360" w:lineRule="auto"/>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t xml:space="preserve">要求每季度开展一次全覆盖巡检并提交巡检报告；汛期、重大检查期间提供专人值守保障；</w:t>
      </w:r>
      <w:r/>
    </w:p>
    <w:p>
      <w:pPr>
        <w:ind w:firstLine="420"/>
        <w:spacing w:line="360" w:lineRule="auto"/>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t xml:space="preserve">投标人应对其提供的货物提供现场专业技术咨询、安装、调试、初验、终验和试运行保障服务（提供安装、测试所用的测试设备、工具等）。</w:t>
      </w:r>
      <w:r/>
    </w:p>
    <w:p>
      <w:pPr>
        <w:ind w:firstLine="420"/>
        <w:spacing w:line="360" w:lineRule="auto"/>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t xml:space="preserve">投标人须具有专业维护能力，具备售后服务人员，具备相关专业维修工具、设备等。提供全方位、有效而及时的售后服务和技术支持。</w:t>
      </w:r>
      <w:r/>
    </w:p>
    <w:p>
      <w:pPr>
        <w:ind w:firstLine="422"/>
        <w:spacing w:line="360" w:lineRule="auto"/>
        <w:rPr>
          <w:rFonts w:hint="default" w:ascii="宋体" w:hAnsi="宋体" w:cs="宋体"/>
          <w:b/>
          <w:bCs/>
          <w:sz w:val="21"/>
          <w:szCs w:val="21"/>
          <w:highlight w:val="none"/>
          <w:lang w:val="en-US" w:eastAsia="zh-CN"/>
        </w:rPr>
        <w:outlineLvl w:val="3"/>
      </w:pPr>
      <w:r>
        <w:rPr>
          <w:rFonts w:hint="eastAsia" w:ascii="宋体" w:hAnsi="宋体" w:cs="宋体"/>
          <w:b/>
          <w:bCs/>
          <w:sz w:val="21"/>
          <w:szCs w:val="21"/>
          <w:highlight w:val="none"/>
          <w:lang w:val="en-US" w:eastAsia="zh-CN"/>
        </w:rPr>
        <w:t xml:space="preserve">2.14、</w:t>
      </w:r>
      <w:r>
        <w:rPr>
          <w:rFonts w:hint="default" w:ascii="宋体" w:hAnsi="宋体" w:cs="宋体"/>
          <w:b/>
          <w:bCs/>
          <w:sz w:val="21"/>
          <w:szCs w:val="21"/>
          <w:highlight w:val="none"/>
          <w:lang w:val="en-US" w:eastAsia="zh-CN"/>
        </w:rPr>
        <w:t xml:space="preserve">进度计划要求</w:t>
      </w:r>
      <w:r/>
    </w:p>
    <w:p>
      <w:pPr>
        <w:ind w:firstLine="420"/>
        <w:spacing w:line="360" w:lineRule="auto"/>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t xml:space="preserve">项目整体工期</w:t>
      </w:r>
      <w:r>
        <w:rPr>
          <w:rFonts w:hint="eastAsia" w:ascii="宋体" w:hAnsi="宋体" w:cs="宋体"/>
          <w:color w:val="000000"/>
          <w:sz w:val="21"/>
          <w:szCs w:val="21"/>
          <w:highlight w:val="none"/>
          <w:lang w:val="en-US" w:eastAsia="zh-CN"/>
        </w:rPr>
        <w:t xml:space="preserve">40天</w:t>
      </w:r>
      <w:r>
        <w:rPr>
          <w:rFonts w:hint="default" w:ascii="宋体" w:hAnsi="宋体" w:eastAsia="宋体" w:cs="宋体"/>
          <w:color w:val="000000"/>
          <w:sz w:val="21"/>
          <w:szCs w:val="21"/>
          <w:highlight w:val="none"/>
          <w:lang w:val="en-US" w:eastAsia="zh-CN"/>
        </w:rPr>
        <w:t xml:space="preserve">，中标人需明确整体施工阶段划分，设置关键里程碑节点，制定总进度控制计划，配套工期偏差预警与纠偏措施，提交科学合理的项目施工进度计划；结合施工工序制定材料、设备的采购、运输、进场验收全流程计划，明确各批次物料到场时间，匹配施工节奏，制定供货保障与应急补货方案，避免停工待料；按分部分项工程细化施工顺序、作业内容与时间节点，明确工序搭接、平行作业及交叉施工逻辑，采用合理施工组织方式，嵌入质量、安全检查节点，保障施工有序推进。</w:t>
      </w:r>
      <w:r/>
    </w:p>
    <w:p>
      <w:pPr>
        <w:numPr>
          <w:ilvl w:val="0"/>
          <w:numId w:val="0"/>
        </w:numPr>
        <w:ind w:firstLine="422"/>
        <w:keepLines w:val="0"/>
        <w:keepNext w:val="0"/>
        <w:pageBreakBefore w:val="0"/>
        <w:spacing w:line="360" w:lineRule="auto"/>
        <w:widowControl w:val="off"/>
        <w:rPr>
          <w:rFonts w:hint="eastAsia" w:ascii="Times New Roman" w:hAnsi="Times New Roman" w:eastAsia="宋体" w:cs="宋体"/>
          <w:b/>
          <w:bCs/>
          <w:color w:val="auto"/>
          <w:sz w:val="21"/>
          <w:szCs w:val="21"/>
          <w:highlight w:val="none"/>
        </w:rPr>
      </w:pPr>
      <w:r>
        <w:rPr>
          <w:rFonts w:hint="eastAsia" w:ascii="Times New Roman" w:hAnsi="Times New Roman" w:cs="宋体"/>
          <w:b/>
          <w:bCs/>
          <w:color w:val="auto"/>
          <w:sz w:val="21"/>
          <w:szCs w:val="21"/>
          <w:highlight w:val="none"/>
          <w:lang w:val="en-US" w:eastAsia="zh-CN" w:bidi="ar-SA"/>
        </w:rPr>
        <w:t xml:space="preserve">三</w:t>
      </w:r>
      <w:r>
        <w:rPr>
          <w:rFonts w:hint="eastAsia" w:ascii="Times New Roman" w:hAnsi="Times New Roman" w:eastAsia="宋体" w:cs="宋体"/>
          <w:b/>
          <w:bCs/>
          <w:color w:val="auto"/>
          <w:sz w:val="21"/>
          <w:szCs w:val="21"/>
          <w:highlight w:val="none"/>
          <w:lang w:val="en-US" w:eastAsia="zh-CN" w:bidi="ar-SA"/>
        </w:rPr>
        <w:t xml:space="preserve">、</w:t>
      </w:r>
      <w:r>
        <w:rPr>
          <w:rFonts w:hint="eastAsia" w:ascii="Times New Roman" w:hAnsi="Times New Roman" w:eastAsia="宋体" w:cs="宋体"/>
          <w:b/>
          <w:bCs/>
          <w:color w:val="auto"/>
          <w:sz w:val="21"/>
          <w:szCs w:val="21"/>
          <w:highlight w:val="none"/>
        </w:rPr>
        <w:t xml:space="preserve">商务要求</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1、质保期：</w:t>
      </w:r>
      <w:r>
        <w:rPr>
          <w:rFonts w:hint="eastAsia" w:ascii="Times New Roman" w:hAnsi="Times New Roman" w:eastAsia="宋体" w:cstheme="minorEastAsia"/>
          <w:b w:val="0"/>
          <w:bCs/>
          <w:i/>
          <w:iCs/>
          <w:color w:val="auto"/>
          <w:sz w:val="21"/>
          <w:szCs w:val="21"/>
          <w:highlight w:val="none"/>
          <w:u w:val="single"/>
          <w:lang w:eastAsia="zh-CN"/>
        </w:rPr>
        <w:t xml:space="preserve">无责质保，质量保证期不低于</w:t>
      </w:r>
      <w:r>
        <w:rPr>
          <w:rFonts w:hint="eastAsia" w:ascii="Times New Roman" w:hAnsi="Times New Roman" w:cstheme="minorEastAsia"/>
          <w:b w:val="0"/>
          <w:bCs/>
          <w:i/>
          <w:iCs/>
          <w:color w:val="auto"/>
          <w:sz w:val="21"/>
          <w:szCs w:val="21"/>
          <w:highlight w:val="none"/>
          <w:u w:val="single"/>
          <w:lang w:val="en-US" w:eastAsia="zh-CN"/>
        </w:rPr>
        <w:t xml:space="preserve">2</w:t>
      </w:r>
      <w:r>
        <w:rPr>
          <w:rFonts w:hint="eastAsia" w:ascii="Times New Roman" w:hAnsi="Times New Roman" w:eastAsia="宋体" w:cstheme="minorEastAsia"/>
          <w:b w:val="0"/>
          <w:bCs/>
          <w:i/>
          <w:iCs/>
          <w:color w:val="auto"/>
          <w:sz w:val="21"/>
          <w:szCs w:val="21"/>
          <w:highlight w:val="none"/>
          <w:u w:val="single"/>
          <w:lang w:eastAsia="zh-CN"/>
        </w:rPr>
        <w:t xml:space="preserve">年，自验收合格之日</w:t>
      </w:r>
      <w:r>
        <w:rPr>
          <w:rFonts w:hint="eastAsia" w:ascii="Times New Roman" w:hAnsi="Times New Roman" w:eastAsia="宋体" w:cstheme="minorEastAsia"/>
          <w:b w:val="0"/>
          <w:bCs/>
          <w:i/>
          <w:iCs/>
          <w:color w:val="auto"/>
          <w:sz w:val="21"/>
          <w:szCs w:val="21"/>
          <w:highlight w:val="none"/>
          <w:u w:val="single"/>
          <w:lang w:eastAsia="zh-CN"/>
        </w:rPr>
        <w:t xml:space="preserve">起计算，质保期内</w:t>
      </w:r>
      <w:r>
        <w:rPr>
          <w:rFonts w:hint="eastAsia" w:ascii="Times New Roman" w:hAnsi="Times New Roman" w:cstheme="minorEastAsia"/>
          <w:b w:val="0"/>
          <w:bCs/>
          <w:i/>
          <w:iCs/>
          <w:color w:val="auto"/>
          <w:sz w:val="21"/>
          <w:szCs w:val="21"/>
          <w:highlight w:val="none"/>
          <w:u w:val="single"/>
          <w:lang w:val="en-US" w:eastAsia="zh-CN"/>
        </w:rPr>
        <w:t xml:space="preserve">货物</w:t>
      </w:r>
      <w:r>
        <w:rPr>
          <w:rFonts w:hint="eastAsia" w:ascii="Times New Roman" w:hAnsi="Times New Roman" w:eastAsia="宋体" w:cstheme="minorEastAsia"/>
          <w:b w:val="0"/>
          <w:bCs/>
          <w:i/>
          <w:iCs/>
          <w:color w:val="auto"/>
          <w:sz w:val="21"/>
          <w:szCs w:val="21"/>
          <w:highlight w:val="none"/>
          <w:u w:val="single"/>
          <w:lang w:eastAsia="zh-CN"/>
        </w:rPr>
        <w:t xml:space="preserve">损坏无条件更换。</w:t>
      </w:r>
      <w:r>
        <w:rPr>
          <w:rFonts w:hint="eastAsia" w:ascii="Times New Roman" w:hAnsi="Times New Roman" w:eastAsia="宋体" w:cstheme="minorEastAsia"/>
          <w:b/>
          <w:bCs w:val="0"/>
          <w:i/>
          <w:iCs/>
          <w:color w:val="auto"/>
          <w:sz w:val="21"/>
          <w:szCs w:val="21"/>
          <w:highlight w:val="none"/>
          <w:u w:val="single"/>
          <w:lang w:eastAsia="zh-CN"/>
        </w:rPr>
        <w:t xml:space="preserve">（提供承诺函</w:t>
      </w:r>
      <w:r>
        <w:rPr>
          <w:rFonts w:hint="eastAsia" w:ascii="Times New Roman" w:hAnsi="Times New Roman" w:cstheme="minorEastAsia"/>
          <w:b/>
          <w:bCs w:val="0"/>
          <w:i/>
          <w:iCs/>
          <w:color w:val="auto"/>
          <w:sz w:val="21"/>
          <w:szCs w:val="21"/>
          <w:highlight w:val="none"/>
          <w:u w:val="single"/>
          <w:lang w:val="en-US" w:eastAsia="zh-CN"/>
        </w:rPr>
        <w:t xml:space="preserve">加盖投标单位电子公章</w:t>
      </w:r>
      <w:r>
        <w:rPr>
          <w:rFonts w:hint="eastAsia" w:ascii="Times New Roman" w:hAnsi="Times New Roman" w:eastAsia="宋体" w:cstheme="minorEastAsia"/>
          <w:b/>
          <w:bCs w:val="0"/>
          <w:i/>
          <w:iCs/>
          <w:color w:val="auto"/>
          <w:sz w:val="21"/>
          <w:szCs w:val="21"/>
          <w:highlight w:val="none"/>
          <w:u w:val="single"/>
          <w:lang w:eastAsia="zh-CN"/>
        </w:rPr>
        <w:t xml:space="preserve">，原件扫描上传）</w:t>
      </w:r>
      <w:r>
        <w:rPr>
          <w:rFonts w:hint="eastAsia" w:ascii="Times New Roman" w:hAnsi="Times New Roman" w:eastAsia="宋体" w:cstheme="minorEastAsia"/>
          <w:b w:val="0"/>
          <w:bCs/>
          <w:i w:val="0"/>
          <w:iCs w:val="0"/>
          <w:color w:val="auto"/>
          <w:sz w:val="21"/>
          <w:szCs w:val="21"/>
          <w:highlight w:val="none"/>
          <w:u w:val="none"/>
          <w:lang w:eastAsia="zh-CN"/>
        </w:rPr>
        <w:t xml:space="preserve">。中标人负责设备的终身维修，更换部件时须保证与原有产品的规格、型号、颜色和结构的一致性，并不得影响已使用场所的正常工作的开展。保修期外仅收取配件费，免收交通费及修理费；中标人保证能提供设备的所有配件。保修期满后需更换配件，价格由双方协商确定。若附件中涉及零配件，易损件价格，则不得高于附件中的相应价格。</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2、投标报价应包括货物价格、运杂费（含保险费）、包装费、安装费、安装调试水电费、各种检测费、安装调试费、验收前保管、调试、验收合格及之前所有含税费用、验收费、各种税费、交付使用前管理费，以及伴随服务/售后服务费等为完成招标文件规定的工作内容所涉及到的一切相关费用，投标人中标后不得以任何理由进行调整，费用自行考虑均包含在投标报价中，相关费用如缺项，视为让利。</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3、投标人必须按照招标文件要求对产品各个参数指标作出实质性应答，任何偏差都必须列入偏离表中。中标后，投标人在合同谈判中提出的任何偏差都不得超过此偏差表中已被采购人确认的条款。</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4、本项目由各投标人自行进行现场勘查，交通工具自配。请务必对项目现场和周围环境进行仔细认真查勘，在随后的采购中，对现场资料和数据所作出的推论、解释和结论及由此造成的后果由投标人负责。</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5、售后服务承诺包括但不限于以下内容：</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（1）在保修期内，如有损坏或质量不合格者，中标人应及时给予修复和更换，其修理和更换应免费。正常修理周期和修理期间需提供免费测试。</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（2）在保修期期满前一个月，中标人必须指派专业人员上门检测仪器，确保仪器的指标符合验收标准，如有问题应作为保修内容给予免费处理。</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（3）在保修期外，中标人为仪器提供终身维修服务，维修问题出现时，按技术参数服务要求相应条款处理。</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（4）在保修期内，如果原厂方鉴定设备因为人为损坏，厂方须出具具有法定权威性第三方检测证明，否则一律视为保修范围内容处理。</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5）承诺在硬件条件允许的情况下，终身免费升级软件，并对新软件的功能免费培训。要求供货厂家在中国设立固定维修站，并配备专业维修工程师，提供及时有效的售后服务并配合包括所有附件在内的安装、调试和验收。</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（6）终身提供免费的应用咨询及技术帮助。</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6、货物由中标人运至采购人指定地点，验收交货前存放及保管概由中标人负责。产品材料的包装均应有良好的防湿、防锈、防潮、防雨、防腐及防碰撞的措施。凡由于包装不良造成的损失和由此产生的费用均由中标人承担。</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7、中标人须按照采购人需求，免费配送安装至采购人指定地点，并免费提供安装调试服务，中标人需提供全套技术资料、操作手册、简易操作规程（塑封）、维修手册，同时提供对采购人的设备应用培训服务。</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8 、中标人在接到采购人通知后，需根据采购人要求及现场具体情况，拟定产品进场方案报采购人，征得采购人同意后方可安排产品进场。</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9、中标人应自行办理为执行本招标文件规定义务而投入的机具产品，运输工具的财产保险和工人意外伤害保险及第三者责任险，货物运输险，包装物的保险及其他相关险种，保险费由中标人承担并支付，并包含在报价单中的货物综合报价之中，采购人将不再单独支付。</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10、中标人免费对采购人技术人员进行操作、保养、维修等方面的培训，并且提供免费的技术咨询服务。</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11、</w:t>
      </w:r>
      <w:r>
        <w:rPr>
          <w:rFonts w:hint="eastAsia" w:ascii="Times New Roman" w:hAnsi="Times New Roman" w:eastAsia="宋体" w:cstheme="minorEastAsia"/>
          <w:b w:val="0"/>
          <w:bCs/>
          <w:i w:val="0"/>
          <w:iCs w:val="0"/>
          <w:color w:val="auto"/>
          <w:sz w:val="21"/>
          <w:szCs w:val="21"/>
          <w:highlight w:val="none"/>
          <w:u w:val="single"/>
          <w:lang w:eastAsia="zh-CN"/>
        </w:rPr>
        <w:t xml:space="preserve">在接到采购人故障报修后，提供 7×24 小时技术服务，故障报修后2小时内响应，城区范围内4小时内到场处置，偏远点位8小时内到场处置</w:t>
      </w:r>
      <w:r>
        <w:rPr>
          <w:rFonts w:hint="eastAsia" w:ascii="Times New Roman" w:hAnsi="Times New Roman" w:eastAsia="宋体" w:cstheme="minorEastAsia"/>
          <w:b w:val="0"/>
          <w:bCs/>
          <w:i w:val="0"/>
          <w:iCs w:val="0"/>
          <w:color w:val="auto"/>
          <w:sz w:val="21"/>
          <w:szCs w:val="21"/>
          <w:highlight w:val="none"/>
          <w:u w:val="none"/>
          <w:lang w:eastAsia="zh-CN"/>
        </w:rPr>
        <w:t xml:space="preserve">，若因为中标人维修不及时，给采购人造成影响的，采购人有权追究其法律责任。</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12、中标人必须服从采购人管理，且出现的一切安全事故均由中标人自行承担。中标人安装人员或在运输装卸途中对其他产品及邻近设备等造成损坏，应由中标人负责修复及承担一切费用；无论安装期间或退换过程中，中标人负责及时清理垃圾。</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13、投标人需积极主动地配合采购人进行安装完毕后验收，确保通过检测和验收，若出现检测不合格或验收不合格的情况，投标人需要重新返工直至检测通过并且验收合格，由此导致的返工费等相关其他费用，由投标人自行承担，并且采购人有权从货款中扣除。</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（1）投标人负责保管、看护进场的设备及附配件；</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（2）投标人负责设备、安装设备（工具）等提供适当的保护、包装或覆盖等处理，以免受损；</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（3）投标人安装调试人员对邻近设备等造成损坏，应由投标人负责修复及承担一切费用；</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（4）无论安装调试期间或保修过程中，中标人负责及时清理垃圾；</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（5）投标人承担安装调试期间安装场所的安全以及设备和安装调试人员的安全责任；</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（6）供货、安装时间要求：</w:t>
      </w:r>
      <w:r>
        <w:rPr>
          <w:rFonts w:hint="eastAsia" w:ascii="Times New Roman" w:hAnsi="Times New Roman" w:eastAsia="宋体" w:cstheme="minorEastAsia"/>
          <w:b w:val="0"/>
          <w:bCs/>
          <w:i/>
          <w:iCs/>
          <w:color w:val="auto"/>
          <w:sz w:val="21"/>
          <w:szCs w:val="21"/>
          <w:highlight w:val="none"/>
          <w:u w:val="single"/>
          <w:lang w:eastAsia="zh-CN"/>
        </w:rPr>
        <w:t xml:space="preserve">合同签订之日起40</w:t>
      </w:r>
      <w:r>
        <w:rPr>
          <w:rFonts w:hint="eastAsia" w:ascii="Times New Roman" w:hAnsi="Times New Roman" w:cstheme="minorEastAsia"/>
          <w:b w:val="0"/>
          <w:bCs/>
          <w:i/>
          <w:iCs/>
          <w:color w:val="auto"/>
          <w:sz w:val="21"/>
          <w:szCs w:val="21"/>
          <w:highlight w:val="none"/>
          <w:u w:val="single"/>
          <w:lang w:val="en-US" w:eastAsia="zh-CN"/>
        </w:rPr>
        <w:t xml:space="preserve">日历天</w:t>
      </w:r>
      <w:r>
        <w:rPr>
          <w:rFonts w:hint="eastAsia" w:ascii="Times New Roman" w:hAnsi="Times New Roman" w:eastAsia="宋体" w:cstheme="minorEastAsia"/>
          <w:b w:val="0"/>
          <w:bCs/>
          <w:i/>
          <w:iCs/>
          <w:color w:val="auto"/>
          <w:sz w:val="21"/>
          <w:szCs w:val="21"/>
          <w:highlight w:val="none"/>
          <w:u w:val="single"/>
          <w:lang w:eastAsia="zh-CN"/>
        </w:rPr>
        <w:t xml:space="preserve">内（除不可抗力、非乙方原因）全部供货及安装完毕，并完成全部验收、文档整理工作</w:t>
      </w:r>
      <w:r>
        <w:rPr>
          <w:rFonts w:hint="eastAsia" w:ascii="Times New Roman" w:hAnsi="Times New Roman" w:eastAsia="宋体" w:cstheme="minorEastAsia"/>
          <w:b/>
          <w:bCs w:val="0"/>
          <w:i/>
          <w:iCs/>
          <w:color w:val="auto"/>
          <w:sz w:val="21"/>
          <w:szCs w:val="21"/>
          <w:highlight w:val="none"/>
          <w:u w:val="single"/>
          <w:lang w:eastAsia="zh-CN"/>
        </w:rPr>
        <w:t xml:space="preserve">（提供承诺函加盖投标单位电子公章，原件扫描上传）</w:t>
      </w:r>
      <w:r>
        <w:rPr>
          <w:rFonts w:hint="eastAsia" w:ascii="Times New Roman" w:hAnsi="Times New Roman" w:eastAsia="宋体" w:cstheme="minorEastAsia"/>
          <w:b w:val="0"/>
          <w:bCs/>
          <w:i w:val="0"/>
          <w:iCs w:val="0"/>
          <w:color w:val="auto"/>
          <w:sz w:val="21"/>
          <w:szCs w:val="21"/>
          <w:highlight w:val="none"/>
          <w:u w:val="none"/>
          <w:lang w:eastAsia="zh-CN"/>
        </w:rPr>
        <w:t xml:space="preserve">。若因中标人原因导致货物不能按要求安装使用，采购人有权追究其责任。投标人可先到项目地点充分了解地理位置、情况、道路、储存空间、装卸限制及施工配合等任何其他足以影响投标报价的情况，任何因忽视或误解项目现场而导致的索赔或工期延长申请将不被批准。</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14、设备安装调试完成后，中标人需提供设备质保书、保修证明等书面资料，并报请有关部门进行检测验收</w:t>
      </w:r>
      <w:r>
        <w:rPr>
          <w:rFonts w:hint="eastAsia" w:ascii="Times New Roman" w:hAnsi="Times New Roman" w:eastAsia="宋体"/>
          <w:b w:val="0"/>
          <w:bCs/>
          <w:color w:val="auto"/>
          <w:highlight w:val="none"/>
        </w:rPr>
        <w:t xml:space="preserve">。</w:t>
      </w:r>
      <w:r/>
    </w:p>
    <w:p>
      <w:pPr>
        <w:ind w:firstLine="422"/>
        <w:keepLines w:val="0"/>
        <w:keepNext w:val="0"/>
        <w:pageBreakBefore w:val="0"/>
        <w:spacing w:line="360" w:lineRule="auto"/>
        <w:widowControl w:val="off"/>
        <w:rPr>
          <w:rFonts w:hint="eastAsia" w:ascii="Times New Roman" w:hAnsi="Times New Roman" w:eastAsia="宋体" w:cs="宋体"/>
          <w:b/>
          <w:color w:val="auto"/>
          <w:szCs w:val="21"/>
          <w:highlight w:val="none"/>
        </w:rPr>
      </w:pPr>
      <w:r>
        <w:rPr>
          <w:rFonts w:hint="eastAsia" w:ascii="Times New Roman" w:hAnsi="Times New Roman" w:cstheme="minorEastAsia"/>
          <w:b/>
          <w:color w:val="auto"/>
          <w:sz w:val="21"/>
          <w:szCs w:val="21"/>
          <w:highlight w:val="none"/>
          <w:lang w:val="en-US" w:eastAsia="zh-CN"/>
        </w:rPr>
        <w:t xml:space="preserve">四</w:t>
      </w:r>
      <w:r>
        <w:rPr>
          <w:rFonts w:hint="eastAsia" w:ascii="Times New Roman" w:hAnsi="Times New Roman" w:eastAsia="宋体" w:cstheme="minorEastAsia"/>
          <w:b/>
          <w:color w:val="auto"/>
          <w:sz w:val="21"/>
          <w:szCs w:val="21"/>
          <w:highlight w:val="none"/>
          <w:lang w:eastAsia="zh-CN"/>
        </w:rPr>
        <w:t xml:space="preserve">、</w:t>
      </w:r>
      <w:r>
        <w:rPr>
          <w:rFonts w:hint="eastAsia" w:ascii="Times New Roman" w:hAnsi="Times New Roman" w:eastAsia="宋体" w:cs="宋体"/>
          <w:b/>
          <w:color w:val="auto"/>
          <w:szCs w:val="21"/>
          <w:highlight w:val="none"/>
        </w:rPr>
        <w:t xml:space="preserve">节能产品要求</w:t>
      </w:r>
      <w:r/>
    </w:p>
    <w:p>
      <w:pPr>
        <w:ind w:firstLine="420"/>
        <w:jc w:val="left"/>
        <w:keepLines w:val="0"/>
        <w:keepNext w:val="0"/>
        <w:pageBreakBefore w:val="0"/>
        <w:spacing w:line="360" w:lineRule="auto"/>
        <w:widowControl w:val="off"/>
        <w:rPr>
          <w:rFonts w:hint="eastAsia" w:ascii="Times New Roman" w:hAnsi="Times New Roman" w:eastAsia="宋体" w:cs="宋体"/>
          <w:i w:val="0"/>
          <w:iCs w:val="0"/>
          <w:color w:val="auto"/>
          <w:szCs w:val="21"/>
          <w:highlight w:val="none"/>
          <w:u w:val="none"/>
        </w:rPr>
      </w:pPr>
      <w:r>
        <w:rPr>
          <w:rFonts w:hint="eastAsia" w:ascii="Times New Roman" w:hAnsi="Times New Roman" w:eastAsia="宋体" w:cs="宋体"/>
          <w:iCs/>
          <w:color w:val="auto"/>
          <w:szCs w:val="21"/>
          <w:highlight w:val="none"/>
        </w:rPr>
        <w:t xml:space="preserve">本次拟采购的产品如属于《节能产品政府采购品目清单》中强制采购范围内的产品，各投标人应当提供获得国家确定的认证机构出具的、有效期之内的节能产品认证证书的产品，上述品目清单可通过“中国政府采购网”（</w:t>
      </w:r>
      <w:r>
        <w:rPr>
          <w:rFonts w:hint="eastAsia" w:ascii="Times New Roman" w:hAnsi="Times New Roman" w:eastAsia="宋体" w:cs="宋体"/>
          <w:iCs/>
          <w:color w:val="auto"/>
          <w:szCs w:val="21"/>
          <w:highlight w:val="none"/>
          <w:lang w:val="en-US" w:eastAsia="zh-CN"/>
        </w:rPr>
        <w:t xml:space="preserve">http:</w:t>
      </w:r>
      <w:r>
        <w:rPr>
          <w:rFonts w:hint="eastAsia" w:ascii="Times New Roman" w:hAnsi="Times New Roman" w:eastAsia="宋体" w:cs="宋体"/>
          <w:iCs/>
          <w:color w:val="auto"/>
          <w:szCs w:val="21"/>
          <w:highlight w:val="none"/>
        </w:rPr>
        <w:t xml:space="preserve">//www.ccgp.gov.cn/zcfg/mof/201904/t20190403_11849836.htm）查询，</w:t>
      </w:r>
      <w:r>
        <w:rPr>
          <w:rFonts w:hint="eastAsia" w:ascii="Times New Roman" w:hAnsi="Times New Roman" w:eastAsia="宋体" w:cs="宋体"/>
          <w:i/>
          <w:iCs/>
          <w:color w:val="auto"/>
          <w:szCs w:val="21"/>
          <w:highlight w:val="none"/>
          <w:u w:val="single"/>
        </w:rPr>
        <w:t xml:space="preserve">并在投标文件内提供由国家确定的认证机构出具的、处于有效期之内的节能产品认证证书</w:t>
      </w:r>
      <w:r>
        <w:rPr>
          <w:rFonts w:hint="eastAsia" w:ascii="Times New Roman" w:hAnsi="Times New Roman" w:eastAsia="宋体" w:cs="宋体"/>
          <w:i/>
          <w:iCs/>
          <w:color w:val="auto"/>
          <w:szCs w:val="21"/>
          <w:highlight w:val="none"/>
          <w:u w:val="single"/>
          <w:lang w:eastAsia="zh-CN"/>
        </w:rPr>
        <w:t xml:space="preserve">（</w:t>
      </w:r>
      <w:r>
        <w:rPr>
          <w:rFonts w:hint="eastAsia" w:ascii="Times New Roman" w:hAnsi="Times New Roman" w:eastAsia="宋体" w:cs="宋体"/>
          <w:i/>
          <w:iCs/>
          <w:color w:val="auto"/>
          <w:szCs w:val="21"/>
          <w:highlight w:val="none"/>
          <w:u w:val="single"/>
        </w:rPr>
        <w:t xml:space="preserve">原件，扫描上传，否则视为无效投标。（本项目涉及强制采购范围内产品有：</w:t>
      </w:r>
      <w:r>
        <w:rPr>
          <w:rFonts w:hint="eastAsia" w:ascii="Times New Roman" w:hAnsi="Times New Roman" w:eastAsia="宋体"/>
          <w:b/>
          <w:bCs/>
          <w:i/>
          <w:iCs/>
          <w:color w:val="auto"/>
          <w:szCs w:val="21"/>
          <w:highlight w:val="none"/>
          <w:u w:val="single"/>
          <w:lang w:val="en-US" w:eastAsia="zh-CN"/>
        </w:rPr>
        <w:t xml:space="preserve">无</w:t>
      </w:r>
      <w:r>
        <w:rPr>
          <w:rFonts w:hint="eastAsia" w:ascii="Times New Roman" w:hAnsi="Times New Roman" w:eastAsia="宋体" w:cs="宋体"/>
          <w:i/>
          <w:iCs/>
          <w:color w:val="auto"/>
          <w:szCs w:val="21"/>
          <w:highlight w:val="none"/>
          <w:u w:val="single"/>
        </w:rPr>
        <w:t xml:space="preserve">）</w:t>
      </w:r>
      <w:bookmarkEnd w:id="81"/>
      <w:r/>
      <w:r/>
    </w:p>
    <w:p>
      <w:pPr>
        <w:ind w:firstLine="420"/>
        <w:jc w:val="left"/>
        <w:keepLines w:val="0"/>
        <w:keepNext w:val="0"/>
        <w:pageBreakBefore w:val="0"/>
        <w:spacing w:line="360" w:lineRule="auto"/>
        <w:widowControl w:val="off"/>
        <w:rPr>
          <w:rFonts w:hint="eastAsia" w:ascii="Times New Roman" w:hAnsi="Times New Roman" w:eastAsia="宋体" w:cs="宋体"/>
          <w:i w:val="0"/>
          <w:iCs w:val="0"/>
          <w:color w:val="auto"/>
          <w:szCs w:val="21"/>
          <w:highlight w:val="none"/>
          <w:u w:val="none"/>
        </w:rPr>
      </w:pPr>
      <w:r>
        <w:rPr>
          <w:rFonts w:hint="eastAsia" w:ascii="Times New Roman" w:hAnsi="Times New Roman" w:eastAsia="宋体" w:cs="宋体"/>
          <w:i w:val="0"/>
          <w:iCs w:val="0"/>
          <w:color w:val="auto"/>
          <w:szCs w:val="21"/>
          <w:highlight w:val="none"/>
          <w:u w:val="none"/>
        </w:rPr>
      </w:r>
      <w:r/>
    </w:p>
    <w:p>
      <w:pPr>
        <w:pStyle w:val="968"/>
        <w:jc w:val="center"/>
        <w:pageBreakBefore w:val="0"/>
        <w:spacing w:before="0" w:after="0" w:line="360" w:lineRule="auto"/>
        <w:rPr>
          <w:rFonts w:hint="eastAsia" w:ascii="Times New Roman" w:hAnsi="Times New Roman" w:eastAsia="宋体" w:cs="宋体"/>
          <w:i w:val="0"/>
          <w:iCs w:val="0"/>
          <w:color w:val="auto"/>
          <w:sz w:val="36"/>
          <w:highlight w:val="none"/>
          <w:u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Times New Roman" w:hAnsi="Times New Roman" w:eastAsia="宋体" w:cs="宋体"/>
          <w:i w:val="0"/>
          <w:iCs w:val="0"/>
          <w:color w:val="auto"/>
          <w:sz w:val="36"/>
          <w:highlight w:val="none"/>
          <w:u w:val="none"/>
        </w:rPr>
      </w:r>
      <w:r/>
    </w:p>
    <w:p>
      <w:pPr>
        <w:pStyle w:val="719"/>
        <w:pageBreakBefore w:val="0"/>
        <w:spacing w:line="360" w:lineRule="auto"/>
        <w:rPr>
          <w:rFonts w:ascii="Times New Roman" w:hAnsi="Times New Roman" w:eastAsia="宋体"/>
          <w:color w:val="auto"/>
          <w:highlight w:val="none"/>
        </w:rPr>
      </w:pPr>
      <w:r/>
      <w:bookmarkStart w:id="83" w:name="_Toc19571"/>
      <w:r/>
      <w:bookmarkStart w:id="84" w:name="_Toc10862"/>
      <w:r/>
      <w:bookmarkStart w:id="85" w:name="_Toc821"/>
      <w:r/>
      <w:bookmarkStart w:id="86" w:name="_Toc14859"/>
      <w:r/>
      <w:bookmarkStart w:id="87" w:name="_Toc6620"/>
      <w:r/>
      <w:bookmarkStart w:id="88" w:name="_Toc9033"/>
      <w:r>
        <w:rPr>
          <w:rFonts w:hint="eastAsia" w:ascii="Times New Roman" w:hAnsi="Times New Roman" w:eastAsia="宋体"/>
          <w:color w:val="auto"/>
          <w:highlight w:val="none"/>
        </w:rPr>
        <w:t xml:space="preserve">第五章 评标方法及评标标准</w:t>
      </w:r>
      <w:bookmarkEnd w:id="82"/>
      <w:r/>
      <w:bookmarkEnd w:id="83"/>
      <w:r/>
      <w:bookmarkEnd w:id="84"/>
      <w:r/>
      <w:bookmarkEnd w:id="85"/>
      <w:r/>
      <w:bookmarkEnd w:id="86"/>
      <w:r/>
      <w:bookmarkEnd w:id="87"/>
      <w:r/>
      <w:bookmarkEnd w:id="88"/>
      <w:r/>
      <w:r/>
    </w:p>
    <w:p>
      <w:pPr>
        <w:pStyle w:val="779"/>
        <w:ind w:firstLine="422"/>
        <w:keepLines w:val="0"/>
        <w:keepNext w:val="0"/>
        <w:pageBreakBefore w:val="0"/>
        <w:spacing w:before="0" w:after="0" w:line="360" w:lineRule="auto"/>
        <w:widowControl w:val="off"/>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t xml:space="preserve">一、评标方法</w:t>
      </w:r>
      <w:r/>
    </w:p>
    <w:p>
      <w:pPr>
        <w:pStyle w:val="779"/>
        <w:ind w:firstLine="420"/>
        <w:keepLines w:val="0"/>
        <w:keepNext w:val="0"/>
        <w:pageBreakBefore w:val="0"/>
        <w:spacing w:before="0" w:after="0" w:line="360" w:lineRule="auto"/>
        <w:widowControl w:val="off"/>
        <w:rPr>
          <w:rFonts w:hint="eastAsia" w:ascii="Times New Roman" w:hAnsi="Times New Roman" w:eastAsia="宋体" w:cs="宋体"/>
          <w:color w:val="auto"/>
          <w:sz w:val="21"/>
          <w:szCs w:val="21"/>
          <w:highlight w:val="none"/>
        </w:rPr>
      </w:pPr>
      <w:r/>
      <w:bookmarkStart w:id="89" w:name="_Toc449017024"/>
      <w:r/>
      <w:bookmarkStart w:id="90" w:name="_Toc449016388"/>
      <w:r>
        <w:rPr>
          <w:rFonts w:hint="eastAsia" w:ascii="Times New Roman" w:hAnsi="Times New Roman" w:eastAsia="宋体" w:cs="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keepLines w:val="0"/>
        <w:keepNext w:val="0"/>
        <w:pageBreakBefore w:val="0"/>
        <w:spacing w:line="360" w:lineRule="auto"/>
        <w:widowControl w:val="off"/>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二、政府采购政策功能落实</w:t>
      </w:r>
      <w:bookmarkEnd w:id="89"/>
      <w:r/>
      <w:bookmarkEnd w:id="90"/>
      <w:r/>
      <w:r/>
    </w:p>
    <w:p>
      <w:pPr>
        <w:ind w:firstLine="420"/>
        <w:pageBreakBefore w:val="0"/>
        <w:spacing w:line="360" w:lineRule="auto"/>
        <w:rPr>
          <w:rFonts w:ascii="Times New Roman" w:hAnsi="Times New Roman" w:eastAsia="宋体"/>
          <w:b/>
          <w:color w:val="auto"/>
          <w:szCs w:val="21"/>
          <w:highlight w:val="none"/>
        </w:rPr>
      </w:pPr>
      <w:r>
        <w:rPr>
          <w:rFonts w:ascii="Times New Roman" w:hAnsi="Times New Roman" w:eastAsia="宋体"/>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779"/>
        <w:ind w:left="315" w:firstLine="105"/>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1、小微型企业价格扣除</w:t>
      </w:r>
      <w:r/>
    </w:p>
    <w:p>
      <w:pPr>
        <w:pStyle w:val="779"/>
        <w:ind w:firstLine="42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（1）本项目对小型和微型企业产品给予</w:t>
      </w:r>
      <w:r>
        <w:rPr>
          <w:rFonts w:hint="eastAsia" w:ascii="Times New Roman" w:hAnsi="Times New Roman" w:eastAsia="宋体"/>
          <w:color w:val="auto"/>
          <w:sz w:val="21"/>
          <w:szCs w:val="21"/>
          <w:highlight w:val="none"/>
        </w:rPr>
        <w:t xml:space="preserve">20</w:t>
      </w:r>
      <w:r>
        <w:rPr>
          <w:rFonts w:ascii="Times New Roman" w:hAnsi="Times New Roman" w:eastAsia="宋体"/>
          <w:color w:val="auto"/>
          <w:sz w:val="21"/>
          <w:szCs w:val="21"/>
          <w:highlight w:val="none"/>
        </w:rPr>
        <w:t xml:space="preserve">%的扣除价格，用扣除后的价格参与评审。</w:t>
      </w:r>
      <w:r/>
    </w:p>
    <w:p>
      <w:pPr>
        <w:pStyle w:val="779"/>
        <w:ind w:firstLine="42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（2）供应商需按照采购文件的要求提供相应的《</w:t>
      </w:r>
      <w:r>
        <w:rPr>
          <w:rFonts w:hint="eastAsia" w:ascii="Times New Roman" w:hAnsi="Times New Roman" w:eastAsia="宋体"/>
          <w:color w:val="auto"/>
          <w:sz w:val="21"/>
          <w:szCs w:val="21"/>
          <w:highlight w:val="none"/>
        </w:rPr>
        <w:t xml:space="preserve">中小</w:t>
      </w:r>
      <w:r>
        <w:rPr>
          <w:rFonts w:ascii="Times New Roman" w:hAnsi="Times New Roman" w:eastAsia="宋体"/>
          <w:color w:val="auto"/>
          <w:sz w:val="21"/>
          <w:szCs w:val="21"/>
          <w:highlight w:val="none"/>
        </w:rPr>
        <w:t xml:space="preserve">企业声明函》。</w:t>
      </w:r>
      <w:r/>
    </w:p>
    <w:p>
      <w:pPr>
        <w:pStyle w:val="779"/>
        <w:ind w:left="420" w:firstLine="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2、残疾人福利单位价格扣除</w:t>
      </w:r>
      <w:r/>
    </w:p>
    <w:p>
      <w:pPr>
        <w:pStyle w:val="779"/>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（1）本项目对残疾人福利性单位视同小型、微型企业，给予</w:t>
      </w:r>
      <w:r>
        <w:rPr>
          <w:rFonts w:hint="eastAsia" w:ascii="Times New Roman" w:hAnsi="Times New Roman" w:eastAsia="宋体"/>
          <w:color w:val="auto"/>
          <w:sz w:val="21"/>
          <w:szCs w:val="21"/>
          <w:highlight w:val="none"/>
        </w:rPr>
        <w:t xml:space="preserve">20</w:t>
      </w:r>
      <w:r>
        <w:rPr>
          <w:rFonts w:ascii="Times New Roman" w:hAnsi="Times New Roman" w:eastAsia="宋体"/>
          <w:color w:val="auto"/>
          <w:sz w:val="21"/>
          <w:szCs w:val="21"/>
          <w:highlight w:val="none"/>
        </w:rPr>
        <w:t xml:space="preserve">%的价格扣除，用扣除后的价格参与评审。</w:t>
      </w:r>
      <w:r/>
    </w:p>
    <w:p>
      <w:pPr>
        <w:pStyle w:val="779"/>
        <w:ind w:left="420" w:firstLine="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（2）残疾人福利单位需按照采购文件的要求提供《残疾人福利性单位声明函》。</w:t>
      </w:r>
      <w:r/>
    </w:p>
    <w:p>
      <w:pPr>
        <w:pStyle w:val="779"/>
        <w:ind w:firstLine="42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（3）残疾人福利单位标准请参照《关于促进残疾人就业政府采购政策的通知》（财库2017〕141号）。</w:t>
      </w:r>
      <w:r/>
    </w:p>
    <w:p>
      <w:pPr>
        <w:pStyle w:val="779"/>
        <w:ind w:left="420" w:firstLine="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3、监狱和戒毒企业价格扣除</w:t>
      </w:r>
      <w:r/>
    </w:p>
    <w:p>
      <w:pPr>
        <w:pStyle w:val="779"/>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（1）本项目对监狱和戒毒企业（简称监狱企业）视同小型、微型企业，给予</w:t>
      </w:r>
      <w:r>
        <w:rPr>
          <w:rFonts w:hint="eastAsia" w:ascii="Times New Roman" w:hAnsi="Times New Roman" w:eastAsia="宋体"/>
          <w:color w:val="auto"/>
          <w:sz w:val="21"/>
          <w:szCs w:val="21"/>
          <w:highlight w:val="none"/>
        </w:rPr>
        <w:t xml:space="preserve">20</w:t>
      </w:r>
      <w:r>
        <w:rPr>
          <w:rFonts w:ascii="Times New Roman" w:hAnsi="Times New Roman" w:eastAsia="宋体"/>
          <w:color w:val="auto"/>
          <w:sz w:val="21"/>
          <w:szCs w:val="21"/>
          <w:highlight w:val="none"/>
        </w:rPr>
        <w:t xml:space="preserve">%的价格扣除，用扣除后的价格参与评审。</w:t>
      </w:r>
      <w:r/>
    </w:p>
    <w:p>
      <w:pPr>
        <w:pStyle w:val="779"/>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79"/>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（3）监狱企业标准请参照《关于政府采购支持监狱企业发展有关问题的通知》（财库</w:t>
      </w:r>
      <w:r>
        <w:rPr>
          <w:rFonts w:hint="eastAsia" w:ascii="Times New Roman" w:hAnsi="Times New Roman" w:eastAsia="宋体"/>
          <w:color w:val="auto"/>
          <w:sz w:val="21"/>
          <w:szCs w:val="21"/>
          <w:highlight w:val="none"/>
          <w:lang w:eastAsia="zh-CN"/>
        </w:rPr>
        <w:t xml:space="preserve">〔2014〕68号</w:t>
      </w:r>
      <w:r>
        <w:rPr>
          <w:rFonts w:ascii="Times New Roman" w:hAnsi="Times New Roman" w:eastAsia="宋体"/>
          <w:color w:val="auto"/>
          <w:sz w:val="21"/>
          <w:szCs w:val="21"/>
          <w:highlight w:val="none"/>
        </w:rPr>
        <w:t xml:space="preserve">）。</w:t>
      </w:r>
      <w:r/>
    </w:p>
    <w:p>
      <w:pPr>
        <w:pStyle w:val="779"/>
        <w:ind w:firstLine="42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4、残疾人福利单位、监狱企业属于小型、微型企业的，不重复享受政策。</w:t>
      </w:r>
      <w:r/>
    </w:p>
    <w:p>
      <w:pPr>
        <w:pStyle w:val="779"/>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Times New Roman" w:hAnsi="Times New Roman" w:eastAsia="宋体"/>
          <w:color w:val="auto"/>
          <w:sz w:val="21"/>
          <w:szCs w:val="21"/>
          <w:highlight w:val="none"/>
        </w:rPr>
        <w:t xml:space="preserve">6</w:t>
      </w:r>
      <w:r>
        <w:rPr>
          <w:rFonts w:ascii="Times New Roman" w:hAnsi="Times New Roman" w:eastAsia="宋体"/>
          <w:color w:val="auto"/>
          <w:sz w:val="21"/>
          <w:szCs w:val="21"/>
          <w:highlight w:val="none"/>
        </w:rPr>
        <w:t xml:space="preserve">%的价格扣除，用扣除后的价格参与评审。</w:t>
      </w:r>
      <w:r/>
    </w:p>
    <w:p>
      <w:pPr>
        <w:pStyle w:val="779"/>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6、联合体各方均为小型、微型企业（残疾人福利单位、监狱企业）的，联合体享受</w:t>
      </w:r>
      <w:r>
        <w:rPr>
          <w:rFonts w:hint="eastAsia" w:ascii="Times New Roman" w:hAnsi="Times New Roman" w:eastAsia="宋体"/>
          <w:color w:val="auto"/>
          <w:sz w:val="21"/>
          <w:szCs w:val="21"/>
          <w:highlight w:val="none"/>
        </w:rPr>
        <w:t xml:space="preserve">20</w:t>
      </w:r>
      <w:r>
        <w:rPr>
          <w:rFonts w:ascii="Times New Roman" w:hAnsi="Times New Roman" w:eastAsia="宋体"/>
          <w:color w:val="auto"/>
          <w:sz w:val="21"/>
          <w:szCs w:val="21"/>
          <w:highlight w:val="none"/>
        </w:rPr>
        <w:t xml:space="preserve">%价格扣除，用扣除后的价格参与评审。</w:t>
      </w:r>
      <w:r/>
    </w:p>
    <w:p>
      <w:pPr>
        <w:ind w:firstLine="420"/>
        <w:jc w:val="left"/>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olor w:val="auto"/>
          <w:szCs w:val="21"/>
          <w:highlight w:val="none"/>
        </w:rPr>
        <w:t xml:space="preserve">7、大中型企业向小型、微型企业分包的，分包意向协议约定小型、微型企业合同份额占到合同总金额40%以上的，给予6%的价格扣除，用扣除后的价格参与评审。</w:t>
      </w:r>
      <w:r/>
    </w:p>
    <w:p>
      <w:pPr>
        <w:pStyle w:val="779"/>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8</w:t>
      </w:r>
      <w:r>
        <w:rPr>
          <w:rFonts w:hint="eastAsia" w:ascii="Times New Roman" w:hAnsi="Times New Roman" w:eastAsia="宋体" w:cs="宋体"/>
          <w:color w:val="auto"/>
          <w:sz w:val="21"/>
          <w:szCs w:val="21"/>
          <w:highlight w:val="none"/>
        </w:rPr>
        <w:t xml:space="preserve">、采购本国产品的支持政策</w:t>
      </w:r>
      <w:r/>
    </w:p>
    <w:p>
      <w:pPr>
        <w:pStyle w:val="779"/>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8</w:t>
      </w:r>
      <w:r>
        <w:rPr>
          <w:rFonts w:hint="eastAsia" w:ascii="Times New Roman" w:hAnsi="Times New Roman" w:eastAsia="宋体" w:cs="宋体"/>
          <w:color w:val="auto"/>
          <w:sz w:val="21"/>
          <w:szCs w:val="21"/>
          <w:highlight w:val="none"/>
        </w:rPr>
        <w:t xml:space="preserve">.1 本项目政府采购活动中既有本国产品又有非本国产品参与竞争的，依法对本国产品给予价格评审优惠，对本国产品的报价给予 20%的价格扣除，用扣除后的价格参与评审。</w:t>
      </w:r>
      <w:r/>
    </w:p>
    <w:p>
      <w:pPr>
        <w:pStyle w:val="779"/>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8</w:t>
      </w:r>
      <w:r>
        <w:rPr>
          <w:rFonts w:hint="eastAsia" w:ascii="Times New Roman" w:hAnsi="Times New Roman" w:eastAsia="宋体" w:cs="宋体"/>
          <w:color w:val="auto"/>
          <w:sz w:val="21"/>
          <w:szCs w:val="21"/>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 投标产品配置及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79"/>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8</w:t>
      </w:r>
      <w:r>
        <w:rPr>
          <w:rFonts w:hint="eastAsia" w:ascii="Times New Roman" w:hAnsi="Times New Roman" w:eastAsia="宋体" w:cs="宋体"/>
          <w:color w:val="auto"/>
          <w:sz w:val="21"/>
          <w:szCs w:val="21"/>
          <w:highlight w:val="none"/>
        </w:rPr>
        <w:t xml:space="preserve">.3 供应商需按照招标文件的要求提供《关于符合本国产品标准的声明函》（以下简称《声明函》），如不提供将不享受本国产品价格评审优惠。</w:t>
      </w:r>
      <w:r/>
    </w:p>
    <w:p>
      <w:pPr>
        <w:pStyle w:val="779"/>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8</w:t>
      </w:r>
      <w:r>
        <w:rPr>
          <w:rFonts w:hint="eastAsia" w:ascii="Times New Roman" w:hAnsi="Times New Roman" w:eastAsia="宋体" w:cs="宋体"/>
          <w:color w:val="auto"/>
          <w:sz w:val="21"/>
          <w:szCs w:val="21"/>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779"/>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8</w:t>
      </w:r>
      <w:r>
        <w:rPr>
          <w:rFonts w:hint="eastAsia" w:ascii="Times New Roman" w:hAnsi="Times New Roman" w:eastAsia="宋体" w:cs="宋体"/>
          <w:color w:val="auto"/>
          <w:sz w:val="21"/>
          <w:szCs w:val="21"/>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keepLines w:val="0"/>
        <w:keepNext w:val="0"/>
        <w:pageBreakBefore w:val="0"/>
        <w:spacing w:line="360" w:lineRule="auto"/>
        <w:rPr>
          <w:rFonts w:hint="eastAsia" w:ascii="Times New Roman" w:hAnsi="Times New Roman" w:eastAsia="宋体" w:cs="宋体"/>
          <w:b/>
          <w:bCs/>
          <w:color w:val="auto"/>
          <w:sz w:val="21"/>
          <w:szCs w:val="21"/>
          <w:highlight w:val="none"/>
          <w:lang w:val="en-US" w:eastAsia="zh-CN"/>
        </w:rPr>
      </w:pPr>
      <w:r>
        <w:rPr>
          <w:rFonts w:hint="eastAsia" w:ascii="Times New Roman" w:hAnsi="Times New Roman" w:eastAsia="宋体" w:cs="宋体"/>
          <w:b/>
          <w:color w:val="auto"/>
          <w:sz w:val="21"/>
          <w:szCs w:val="21"/>
          <w:highlight w:val="none"/>
        </w:rPr>
        <w:t xml:space="preserve">三、评标标准</w:t>
      </w:r>
      <w:r/>
    </w:p>
    <w:tbl>
      <w:tblPr>
        <w:tblStyle w:val="729"/>
        <w:tblpPr w:horzAnchor="page" w:tblpX="2050" w:vertAnchor="text" w:tblpY="513" w:leftFromText="180" w:topFromText="0" w:rightFromText="180" w:bottomFromText="0"/>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1413"/>
        <w:gridCol w:w="922"/>
        <w:gridCol w:w="6185"/>
      </w:tblGrid>
      <w:tr>
        <w:trPr>
          <w:jc w:val="center"/>
          <w:trHeight w:val="423"/>
          <w:tblHeader/>
        </w:trPr>
        <w:tc>
          <w:tcPr>
            <w:shd w:val="clear" w:color="auto" w:fill="ffffff"/>
            <w:tcMar>
              <w:left w:w="108" w:type="dxa"/>
              <w:right w:w="108" w:type="dxa"/>
            </w:tcMar>
            <w:tcW w:w="829" w:type="pct"/>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项目</w:t>
            </w:r>
            <w:r/>
          </w:p>
        </w:tc>
        <w:tc>
          <w:tcPr>
            <w:gridSpan w:val="2"/>
            <w:shd w:val="clear" w:color="auto" w:fill="ffffff"/>
            <w:tcMar>
              <w:left w:w="108" w:type="dxa"/>
              <w:right w:w="108" w:type="dxa"/>
            </w:tcMar>
            <w:tcW w:w="4170" w:type="pct"/>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评 分 标 准</w:t>
            </w:r>
            <w:r/>
          </w:p>
        </w:tc>
      </w:tr>
      <w:tr>
        <w:trPr>
          <w:jc w:val="center"/>
          <w:trHeight w:val="1320"/>
        </w:trPr>
        <w:tc>
          <w:tcPr>
            <w:shd w:val="clear" w:color="auto" w:fill="ffffff"/>
            <w:tcMar>
              <w:left w:w="108" w:type="dxa"/>
              <w:right w:w="108" w:type="dxa"/>
            </w:tcMar>
            <w:tcW w:w="829" w:type="pct"/>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报价</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（30分）</w:t>
            </w:r>
            <w:r/>
          </w:p>
        </w:tc>
        <w:tc>
          <w:tcPr>
            <w:gridSpan w:val="2"/>
            <w:shd w:val="clear" w:color="auto" w:fill="ffffff"/>
            <w:tcMar>
              <w:left w:w="108" w:type="dxa"/>
              <w:right w:w="108" w:type="dxa"/>
            </w:tcMar>
            <w:tcW w:w="4170" w:type="pct"/>
            <w:vAlign w:val="center"/>
            <w:textDirection w:val="lrTb"/>
            <w:noWrap w:val="false"/>
          </w:tcPr>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采用低价优先法计算，即以满足扬州市城区河道水利运维安防监控完善项目招标文件要求的最低投标报价为基准价，其价格分为满分30分。</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其他投标人的价格分统一按照下列公式计算：</w:t>
            </w:r>
            <w:r/>
          </w:p>
          <w:p>
            <w:pPr>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投标报价得分=（评标基准价/投标报价）×30（小数点保留两位）。</w:t>
            </w:r>
            <w:r/>
          </w:p>
        </w:tc>
      </w:tr>
      <w:tr>
        <w:trPr>
          <w:jc w:val="center"/>
          <w:trHeight w:val="1320"/>
        </w:trPr>
        <w:tc>
          <w:tcPr>
            <w:shd w:val="clear" w:color="auto" w:fill="ffffff"/>
            <w:tcMar>
              <w:left w:w="108" w:type="dxa"/>
              <w:right w:w="108" w:type="dxa"/>
            </w:tcMar>
            <w:tcW w:w="829" w:type="pct"/>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技术参数</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w:t>
            </w:r>
            <w:r>
              <w:rPr>
                <w:rFonts w:hint="eastAsia" w:ascii="宋体" w:hAnsi="宋体" w:cs="宋体"/>
                <w:b/>
                <w:color w:val="auto"/>
                <w:szCs w:val="21"/>
                <w:highlight w:val="none"/>
                <w:lang w:val="en-US" w:eastAsia="zh-CN"/>
              </w:rPr>
              <w:t xml:space="preserve">18</w:t>
            </w:r>
            <w:r>
              <w:rPr>
                <w:rFonts w:hint="eastAsia" w:ascii="宋体" w:hAnsi="宋体" w:eastAsia="宋体" w:cs="宋体"/>
                <w:b/>
                <w:color w:val="auto"/>
                <w:szCs w:val="21"/>
                <w:highlight w:val="none"/>
              </w:rPr>
              <w:t xml:space="preserve">分）</w:t>
            </w:r>
            <w:r/>
          </w:p>
        </w:tc>
        <w:tc>
          <w:tcPr>
            <w:gridSpan w:val="2"/>
            <w:shd w:val="clear" w:color="auto" w:fill="ffffff"/>
            <w:tcMar>
              <w:left w:w="108" w:type="dxa"/>
              <w:right w:w="108" w:type="dxa"/>
            </w:tcMar>
            <w:tcW w:w="4170" w:type="pct"/>
            <w:vAlign w:val="center"/>
            <w:textDirection w:val="lrTb"/>
            <w:noWrap w:val="false"/>
          </w:tcPr>
          <w:p>
            <w:pPr>
              <w:spacing w:line="440" w:lineRule="exact"/>
              <w:rPr>
                <w:rFonts w:hint="default" w:ascii="等线" w:hAnsi="等线" w:eastAsia="等线" w:cs="Times New Roman"/>
                <w:color w:val="auto"/>
                <w:szCs w:val="22"/>
                <w:highlight w:val="none"/>
              </w:rPr>
            </w:pPr>
            <w:r>
              <w:rPr>
                <w:rFonts w:hint="eastAsia" w:ascii="宋体" w:hAnsi="宋体" w:eastAsia="宋体" w:cs="宋体"/>
                <w:bCs/>
                <w:color w:val="auto"/>
                <w:szCs w:val="21"/>
                <w:highlight w:val="none"/>
              </w:rPr>
              <w:t xml:space="preserve">除招标文件规定不得偏离的技术参数外，带★项为重要技术参数、性能指标，每符合或优于一项得</w:t>
            </w:r>
            <w:r>
              <w:rPr>
                <w:rFonts w:hint="eastAsia" w:ascii="宋体" w:hAnsi="宋体" w:cs="宋体"/>
                <w:bCs/>
                <w:color w:val="auto"/>
                <w:szCs w:val="21"/>
                <w:highlight w:val="none"/>
                <w:lang w:val="en-US" w:eastAsia="zh-CN"/>
              </w:rPr>
              <w:t xml:space="preserve">1.5</w:t>
            </w:r>
            <w:r>
              <w:rPr>
                <w:rFonts w:hint="eastAsia" w:ascii="宋体" w:hAnsi="宋体" w:eastAsia="宋体" w:cs="宋体"/>
                <w:bCs/>
                <w:color w:val="auto"/>
                <w:szCs w:val="21"/>
                <w:highlight w:val="none"/>
              </w:rPr>
              <w:t xml:space="preserve">分；最高得</w:t>
            </w:r>
            <w:r>
              <w:rPr>
                <w:rFonts w:hint="eastAsia" w:ascii="宋体" w:hAnsi="宋体" w:cs="宋体"/>
                <w:bCs/>
                <w:color w:val="auto"/>
                <w:szCs w:val="21"/>
                <w:highlight w:val="none"/>
                <w:lang w:val="en-US" w:eastAsia="zh-CN"/>
              </w:rPr>
              <w:t xml:space="preserve">18</w:t>
            </w:r>
            <w:r>
              <w:rPr>
                <w:rFonts w:hint="eastAsia" w:ascii="宋体" w:hAnsi="宋体" w:eastAsia="宋体" w:cs="宋体"/>
                <w:bCs/>
                <w:color w:val="auto"/>
                <w:szCs w:val="21"/>
                <w:highlight w:val="none"/>
              </w:rPr>
              <w:t xml:space="preserve">分。</w:t>
            </w:r>
            <w:r>
              <w:rPr>
                <w:rFonts w:hint="eastAsia" w:ascii="宋体" w:hAnsi="宋体" w:eastAsia="宋体" w:cs="宋体"/>
                <w:b/>
                <w:bCs/>
                <w:color w:val="auto"/>
                <w:szCs w:val="21"/>
                <w:highlight w:val="none"/>
              </w:rPr>
              <w:t xml:space="preserve">（注：带★的技术参数需提供对应证明材料。未提供</w:t>
            </w:r>
            <w:r>
              <w:rPr>
                <w:rFonts w:hint="eastAsia" w:ascii="宋体" w:hAnsi="宋体" w:cs="宋体"/>
                <w:b/>
                <w:bCs/>
                <w:color w:val="auto"/>
                <w:szCs w:val="21"/>
                <w:highlight w:val="none"/>
                <w:lang w:val="en-US" w:eastAsia="zh-CN"/>
              </w:rPr>
              <w:t xml:space="preserve">或者内容不全</w:t>
            </w:r>
            <w:r>
              <w:rPr>
                <w:rFonts w:hint="eastAsia" w:ascii="宋体" w:hAnsi="宋体" w:eastAsia="宋体" w:cs="宋体"/>
                <w:b/>
                <w:bCs/>
                <w:color w:val="auto"/>
                <w:szCs w:val="21"/>
                <w:highlight w:val="none"/>
              </w:rPr>
              <w:t xml:space="preserve">视为负偏离。）</w:t>
            </w:r>
            <w:r/>
          </w:p>
        </w:tc>
      </w:tr>
      <w:tr>
        <w:trPr>
          <w:jc w:val="center"/>
          <w:trHeight w:val="349"/>
        </w:trPr>
        <w:tc>
          <w:tcPr>
            <w:shd w:val="clear" w:color="auto" w:fill="ffffff"/>
            <w:tcBorders>
              <w:top w:val="single" w:color="auto" w:sz="4" w:space="0"/>
              <w:left w:val="single" w:color="auto" w:sz="4" w:space="0"/>
              <w:right w:val="single" w:color="auto" w:sz="4" w:space="0"/>
            </w:tcBorders>
            <w:tcMar>
              <w:left w:w="108" w:type="dxa"/>
              <w:right w:w="108" w:type="dxa"/>
            </w:tcMar>
            <w:tcW w:w="829" w:type="pct"/>
            <w:vAlign w:val="center"/>
            <w:vMerge w:val="restart"/>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服务方案</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zh-CN"/>
              </w:rPr>
              <w:t xml:space="preserve">（</w:t>
            </w:r>
            <w:r>
              <w:rPr>
                <w:rFonts w:hint="eastAsia" w:ascii="宋体" w:hAnsi="宋体" w:cs="宋体"/>
                <w:b/>
                <w:color w:val="auto"/>
                <w:szCs w:val="21"/>
                <w:highlight w:val="none"/>
                <w:lang w:val="en-US" w:eastAsia="zh-CN"/>
              </w:rPr>
              <w:t xml:space="preserve">42</w:t>
            </w:r>
            <w:r>
              <w:rPr>
                <w:rFonts w:hint="eastAsia" w:ascii="宋体" w:hAnsi="宋体" w:eastAsia="宋体" w:cs="宋体"/>
                <w:b/>
                <w:color w:val="auto"/>
                <w:szCs w:val="21"/>
                <w:highlight w:val="none"/>
              </w:rPr>
              <w:t xml:space="preserve">分</w:t>
            </w:r>
            <w:r>
              <w:rPr>
                <w:rFonts w:hint="eastAsia" w:ascii="宋体" w:hAnsi="宋体" w:eastAsia="宋体" w:cs="宋体"/>
                <w:b/>
                <w:color w:val="auto"/>
                <w:szCs w:val="21"/>
                <w:highlight w:val="none"/>
                <w:lang w:val="zh-CN"/>
              </w:rPr>
              <w:t xml:space="preserve">）</w:t>
            </w:r>
            <w:r/>
          </w:p>
        </w:tc>
        <w:tc>
          <w:tcPr>
            <w:shd w:val="clear" w:color="auto" w:fill="ffffff"/>
            <w:tcBorders>
              <w:top w:val="single" w:color="auto" w:sz="4" w:space="0"/>
              <w:left w:val="single" w:color="auto" w:sz="4" w:space="0"/>
              <w:bottom w:val="single" w:color="auto" w:sz="4" w:space="0"/>
              <w:right w:val="single" w:color="auto" w:sz="4" w:space="0"/>
            </w:tcBorders>
            <w:tcMar>
              <w:left w:w="108" w:type="dxa"/>
              <w:right w:w="108" w:type="dxa"/>
            </w:tcMar>
            <w:tcW w:w="541" w:type="pct"/>
            <w:vAlign w:val="center"/>
            <w:textDirection w:val="lrTb"/>
            <w:noWrap w:val="false"/>
          </w:tcPr>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施工方案</w:t>
            </w:r>
            <w:r>
              <w:rPr>
                <w:rFonts w:hint="eastAsia" w:ascii="宋体" w:hAnsi="宋体" w:eastAsia="宋体" w:cs="宋体"/>
                <w:bCs/>
                <w:color w:val="auto"/>
                <w:szCs w:val="21"/>
                <w:highlight w:val="none"/>
              </w:rPr>
              <w:t xml:space="preserve">(</w:t>
            </w:r>
            <w:r>
              <w:rPr>
                <w:rFonts w:hint="eastAsia" w:ascii="宋体" w:hAnsi="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Mar>
              <w:left w:w="108" w:type="dxa"/>
              <w:right w:w="108" w:type="dxa"/>
            </w:tcMar>
            <w:tcW w:w="3629" w:type="pct"/>
            <w:vAlign w:val="center"/>
            <w:textDirection w:val="lrTb"/>
            <w:noWrap w:val="false"/>
          </w:tcPr>
          <w:p>
            <w:pPr>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投标人提供具体详实的布点设计方案。包括但不限于提供新建点位布点位置水印相机拍摄的现场实际照片（水印必须包含点位名称和经纬度）、关键工序流程图、项目实施路线和计划、核心硬件与配套系统选型等内容。</w:t>
            </w:r>
            <w:r>
              <w:rPr>
                <w:rFonts w:hint="eastAsia" w:ascii="宋体" w:hAnsi="宋体" w:eastAsia="宋体" w:cs="宋体"/>
                <w:bCs/>
                <w:color w:val="auto"/>
                <w:szCs w:val="21"/>
                <w:highlight w:val="none"/>
                <w:lang w:val="en-US" w:eastAsia="zh-CN"/>
              </w:rPr>
              <w:br/>
            </w:r>
            <w:r>
              <w:rPr>
                <w:rFonts w:hint="eastAsia" w:ascii="宋体" w:hAnsi="宋体" w:eastAsia="宋体" w:cs="宋体"/>
                <w:bCs/>
                <w:color w:val="auto"/>
                <w:szCs w:val="21"/>
                <w:highlight w:val="none"/>
                <w:lang w:val="en-US" w:eastAsia="zh-CN"/>
              </w:rPr>
              <w:t xml:space="preserve">内容详细全面，点位水印图全的、可行性、技术先进性强，完全符合项目需求，得</w:t>
            </w:r>
            <w:r>
              <w:rPr>
                <w:rFonts w:hint="eastAsia" w:ascii="宋体" w:hAnsi="宋体" w:cs="宋体"/>
                <w:bCs/>
                <w:color w:val="auto"/>
                <w:szCs w:val="21"/>
                <w:highlight w:val="none"/>
                <w:lang w:val="en-US" w:eastAsia="zh-CN"/>
              </w:rPr>
              <w:t xml:space="preserve">6</w:t>
            </w:r>
            <w:r>
              <w:rPr>
                <w:rFonts w:hint="eastAsia" w:ascii="宋体" w:hAnsi="宋体" w:eastAsia="宋体" w:cs="宋体"/>
                <w:bCs/>
                <w:color w:val="auto"/>
                <w:szCs w:val="21"/>
                <w:highlight w:val="none"/>
                <w:lang w:val="en-US" w:eastAsia="zh-CN"/>
              </w:rPr>
              <w:t xml:space="preserve">分；</w:t>
            </w:r>
            <w:r>
              <w:rPr>
                <w:rFonts w:hint="eastAsia" w:ascii="宋体" w:hAnsi="宋体" w:eastAsia="宋体" w:cs="宋体"/>
                <w:bCs/>
                <w:color w:val="auto"/>
                <w:szCs w:val="21"/>
                <w:highlight w:val="none"/>
                <w:lang w:val="en-US" w:eastAsia="zh-CN"/>
              </w:rPr>
              <w:br/>
            </w:r>
            <w:r>
              <w:rPr>
                <w:rFonts w:hint="eastAsia" w:ascii="宋体" w:hAnsi="宋体" w:eastAsia="宋体" w:cs="宋体"/>
                <w:bCs/>
                <w:color w:val="auto"/>
                <w:szCs w:val="21"/>
                <w:highlight w:val="none"/>
                <w:lang w:val="en-US" w:eastAsia="zh-CN"/>
              </w:rPr>
              <w:t xml:space="preserve">内容较为详细全面，点位水印图不全、可行性、技术先进性较强，较符合项目需求，得</w:t>
            </w:r>
            <w:r>
              <w:rPr>
                <w:rFonts w:hint="eastAsia" w:ascii="宋体" w:hAnsi="宋体" w:cs="宋体"/>
                <w:bCs/>
                <w:color w:val="auto"/>
                <w:szCs w:val="21"/>
                <w:highlight w:val="none"/>
                <w:lang w:val="en-US" w:eastAsia="zh-CN"/>
              </w:rPr>
              <w:t xml:space="preserve">4</w:t>
            </w:r>
            <w:r>
              <w:rPr>
                <w:rFonts w:hint="eastAsia" w:ascii="宋体" w:hAnsi="宋体" w:eastAsia="宋体" w:cs="宋体"/>
                <w:bCs/>
                <w:color w:val="auto"/>
                <w:szCs w:val="21"/>
                <w:highlight w:val="none"/>
                <w:lang w:val="en-US" w:eastAsia="zh-CN"/>
              </w:rPr>
              <w:t xml:space="preserve">分；</w:t>
            </w:r>
            <w:r>
              <w:rPr>
                <w:rFonts w:hint="eastAsia" w:ascii="宋体" w:hAnsi="宋体" w:eastAsia="宋体" w:cs="宋体"/>
                <w:bCs/>
                <w:color w:val="auto"/>
                <w:szCs w:val="21"/>
                <w:highlight w:val="none"/>
                <w:lang w:val="en-US" w:eastAsia="zh-CN"/>
              </w:rPr>
              <w:br/>
            </w:r>
            <w:r>
              <w:rPr>
                <w:rFonts w:hint="eastAsia" w:ascii="宋体" w:hAnsi="宋体" w:eastAsia="宋体" w:cs="宋体"/>
                <w:bCs/>
                <w:color w:val="auto"/>
                <w:szCs w:val="21"/>
                <w:highlight w:val="none"/>
                <w:lang w:val="en-US" w:eastAsia="zh-CN"/>
              </w:rPr>
              <w:t xml:space="preserve">内容简单，有点位水印图、具有一定可行性，基本符合项目需求，得</w:t>
            </w:r>
            <w:r>
              <w:rPr>
                <w:rFonts w:hint="eastAsia" w:ascii="宋体" w:hAnsi="宋体" w:cs="宋体"/>
                <w:bCs/>
                <w:color w:val="auto"/>
                <w:szCs w:val="21"/>
                <w:highlight w:val="none"/>
                <w:lang w:val="en-US" w:eastAsia="zh-CN"/>
              </w:rPr>
              <w:t xml:space="preserve">2</w:t>
            </w:r>
            <w:r>
              <w:rPr>
                <w:rFonts w:hint="eastAsia" w:ascii="宋体" w:hAnsi="宋体" w:eastAsia="宋体" w:cs="宋体"/>
                <w:bCs/>
                <w:color w:val="auto"/>
                <w:szCs w:val="21"/>
                <w:highlight w:val="none"/>
                <w:lang w:val="en-US" w:eastAsia="zh-CN"/>
              </w:rPr>
              <w:t xml:space="preserve">分；</w:t>
            </w:r>
            <w:r>
              <w:rPr>
                <w:rFonts w:hint="eastAsia" w:ascii="宋体" w:hAnsi="宋体" w:eastAsia="宋体" w:cs="宋体"/>
                <w:bCs/>
                <w:color w:val="auto"/>
                <w:szCs w:val="21"/>
                <w:highlight w:val="none"/>
                <w:lang w:val="en-US" w:eastAsia="zh-CN"/>
              </w:rPr>
              <w:br/>
            </w:r>
            <w:r>
              <w:rPr>
                <w:rFonts w:hint="eastAsia" w:ascii="宋体" w:hAnsi="宋体" w:eastAsia="宋体" w:cs="宋体"/>
                <w:bCs/>
                <w:color w:val="auto"/>
                <w:szCs w:val="21"/>
                <w:highlight w:val="none"/>
                <w:lang w:val="en-US" w:eastAsia="zh-CN"/>
              </w:rPr>
              <w:t xml:space="preserve">内容不够全面，无点位水印图、不具有可行性，不能够符合项目需求，得0分；</w:t>
            </w:r>
            <w:r/>
          </w:p>
        </w:tc>
      </w:tr>
      <w:tr>
        <w:trPr>
          <w:jc w:val="center"/>
          <w:trHeight w:val="341"/>
        </w:trPr>
        <w:tc>
          <w:tcPr>
            <w:shd w:val="clear" w:color="auto" w:fill="ffffff"/>
            <w:tcBorders>
              <w:left w:val="single" w:color="auto" w:sz="4" w:space="0"/>
              <w:bottom w:val="single" w:color="auto" w:sz="4" w:space="0"/>
              <w:right w:val="single" w:color="auto" w:sz="4" w:space="0"/>
            </w:tcBorders>
            <w:tcMar>
              <w:left w:w="108" w:type="dxa"/>
              <w:right w:w="108" w:type="dxa"/>
            </w:tcMar>
            <w:tcW w:w="829" w:type="pct"/>
            <w:vAlign w:val="center"/>
            <w:vMerge w:val="continue"/>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shd w:val="clear" w:color="auto" w:fill="ffffff"/>
            <w:tcBorders>
              <w:top w:val="single" w:color="auto" w:sz="4" w:space="0"/>
              <w:left w:val="single" w:color="auto" w:sz="4" w:space="0"/>
              <w:bottom w:val="single" w:color="auto" w:sz="4" w:space="0"/>
              <w:right w:val="single" w:color="auto" w:sz="4" w:space="0"/>
            </w:tcBorders>
            <w:tcMar>
              <w:left w:w="108" w:type="dxa"/>
              <w:right w:w="108" w:type="dxa"/>
            </w:tcMar>
            <w:tcW w:w="541"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i w:val="0"/>
                <w:iCs w:val="0"/>
                <w:color w:val="auto"/>
                <w:sz w:val="21"/>
                <w:szCs w:val="21"/>
                <w:highlight w:val="none"/>
                <w:u w:val="none"/>
                <w:lang w:val="en-US" w:eastAsia="zh-CN" w:bidi="ar"/>
              </w:rPr>
              <w:t xml:space="preserve">平台对接方案</w:t>
            </w:r>
            <w:r/>
          </w:p>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Mar>
              <w:left w:w="108" w:type="dxa"/>
              <w:right w:w="108" w:type="dxa"/>
            </w:tcMar>
            <w:tcW w:w="3629" w:type="pct"/>
            <w:vAlign w:val="center"/>
            <w:textDirection w:val="lrTb"/>
            <w:noWrap w:val="false"/>
          </w:tcPr>
          <w:p>
            <w:pPr>
              <w:numPr>
                <w:ilvl w:val="0"/>
                <w:numId w:val="0"/>
              </w:numPr>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投标人根据本项目实际情况，提供新建监控与平台系统对接、新建点位与已建视频点位系统联调、测试试验等的完整方案。</w:t>
            </w:r>
            <w:r>
              <w:rPr>
                <w:rFonts w:hint="eastAsia" w:ascii="宋体" w:hAnsi="宋体" w:eastAsia="宋体" w:cs="宋体"/>
                <w:bCs/>
                <w:color w:val="auto"/>
                <w:szCs w:val="21"/>
                <w:highlight w:val="none"/>
                <w:lang w:val="en-US" w:eastAsia="zh-CN"/>
              </w:rPr>
              <w:br/>
            </w:r>
            <w:r>
              <w:rPr>
                <w:rFonts w:hint="eastAsia" w:ascii="宋体" w:hAnsi="宋体" w:eastAsia="宋体" w:cs="宋体"/>
                <w:bCs/>
                <w:color w:val="auto"/>
                <w:szCs w:val="21"/>
                <w:highlight w:val="none"/>
                <w:lang w:val="en-US" w:eastAsia="zh-CN"/>
              </w:rPr>
              <w:t xml:space="preserve">内容详细全面，可行性、技术先进性强，完全符合项目需求，得</w:t>
            </w:r>
            <w:r>
              <w:rPr>
                <w:rFonts w:hint="eastAsia" w:ascii="宋体" w:hAnsi="宋体" w:cs="宋体"/>
                <w:bCs/>
                <w:color w:val="auto"/>
                <w:szCs w:val="21"/>
                <w:highlight w:val="none"/>
                <w:lang w:val="en-US" w:eastAsia="zh-CN"/>
              </w:rPr>
              <w:t xml:space="preserve">6</w:t>
            </w:r>
            <w:r>
              <w:rPr>
                <w:rFonts w:hint="eastAsia" w:ascii="宋体" w:hAnsi="宋体" w:eastAsia="宋体" w:cs="宋体"/>
                <w:bCs/>
                <w:color w:val="auto"/>
                <w:szCs w:val="21"/>
                <w:highlight w:val="none"/>
                <w:lang w:val="en-US" w:eastAsia="zh-CN"/>
              </w:rPr>
              <w:t xml:space="preserve">；</w:t>
            </w:r>
            <w:r>
              <w:rPr>
                <w:rFonts w:hint="eastAsia" w:ascii="宋体" w:hAnsi="宋体" w:eastAsia="宋体" w:cs="宋体"/>
                <w:bCs/>
                <w:color w:val="auto"/>
                <w:szCs w:val="21"/>
                <w:highlight w:val="none"/>
                <w:lang w:val="en-US" w:eastAsia="zh-CN"/>
              </w:rPr>
              <w:br/>
            </w:r>
            <w:r>
              <w:rPr>
                <w:rFonts w:hint="eastAsia" w:ascii="宋体" w:hAnsi="宋体" w:eastAsia="宋体" w:cs="宋体"/>
                <w:bCs/>
                <w:color w:val="auto"/>
                <w:szCs w:val="21"/>
                <w:highlight w:val="none"/>
                <w:lang w:val="en-US" w:eastAsia="zh-CN"/>
              </w:rPr>
              <w:t xml:space="preserve">内容较为详细全面，可行性、技术先进性较强，较符合项目需求，得</w:t>
            </w:r>
            <w:r>
              <w:rPr>
                <w:rFonts w:hint="eastAsia" w:ascii="宋体" w:hAnsi="宋体" w:cs="宋体"/>
                <w:bCs/>
                <w:color w:val="auto"/>
                <w:szCs w:val="21"/>
                <w:highlight w:val="none"/>
                <w:lang w:val="en-US" w:eastAsia="zh-CN"/>
              </w:rPr>
              <w:t xml:space="preserve">4</w:t>
            </w:r>
            <w:r>
              <w:rPr>
                <w:rFonts w:hint="eastAsia" w:ascii="宋体" w:hAnsi="宋体" w:eastAsia="宋体" w:cs="宋体"/>
                <w:bCs/>
                <w:color w:val="auto"/>
                <w:szCs w:val="21"/>
                <w:highlight w:val="none"/>
                <w:lang w:val="en-US" w:eastAsia="zh-CN"/>
              </w:rPr>
              <w:t xml:space="preserve">分；</w:t>
            </w:r>
            <w:r>
              <w:rPr>
                <w:rFonts w:hint="eastAsia" w:ascii="宋体" w:hAnsi="宋体" w:eastAsia="宋体" w:cs="宋体"/>
                <w:bCs/>
                <w:color w:val="auto"/>
                <w:szCs w:val="21"/>
                <w:highlight w:val="none"/>
                <w:lang w:val="en-US" w:eastAsia="zh-CN"/>
              </w:rPr>
              <w:br/>
            </w:r>
            <w:r>
              <w:rPr>
                <w:rFonts w:hint="eastAsia" w:ascii="宋体" w:hAnsi="宋体" w:eastAsia="宋体" w:cs="宋体"/>
                <w:bCs/>
                <w:color w:val="auto"/>
                <w:szCs w:val="21"/>
                <w:highlight w:val="none"/>
                <w:lang w:val="en-US" w:eastAsia="zh-CN"/>
              </w:rPr>
              <w:t xml:space="preserve">内容简单，具有一定可行性，基本符合项目需求，得</w:t>
            </w:r>
            <w:r>
              <w:rPr>
                <w:rFonts w:hint="eastAsia" w:ascii="宋体" w:hAnsi="宋体" w:cs="宋体"/>
                <w:bCs/>
                <w:color w:val="auto"/>
                <w:szCs w:val="21"/>
                <w:highlight w:val="none"/>
                <w:lang w:val="en-US" w:eastAsia="zh-CN"/>
              </w:rPr>
              <w:t xml:space="preserve">2</w:t>
            </w:r>
            <w:r>
              <w:rPr>
                <w:rFonts w:hint="eastAsia" w:ascii="宋体" w:hAnsi="宋体" w:eastAsia="宋体" w:cs="宋体"/>
                <w:bCs/>
                <w:color w:val="auto"/>
                <w:szCs w:val="21"/>
                <w:highlight w:val="none"/>
                <w:lang w:val="en-US" w:eastAsia="zh-CN"/>
              </w:rPr>
              <w:t xml:space="preserve">分；</w:t>
            </w:r>
            <w:r>
              <w:rPr>
                <w:rFonts w:hint="eastAsia" w:ascii="宋体" w:hAnsi="宋体" w:eastAsia="宋体" w:cs="宋体"/>
                <w:bCs/>
                <w:color w:val="auto"/>
                <w:szCs w:val="21"/>
                <w:highlight w:val="none"/>
                <w:lang w:val="en-US" w:eastAsia="zh-CN"/>
              </w:rPr>
              <w:br/>
            </w:r>
            <w:r>
              <w:rPr>
                <w:rFonts w:hint="eastAsia" w:ascii="宋体" w:hAnsi="宋体" w:eastAsia="宋体" w:cs="宋体"/>
                <w:bCs/>
                <w:color w:val="auto"/>
                <w:szCs w:val="21"/>
                <w:highlight w:val="none"/>
                <w:lang w:val="en-US" w:eastAsia="zh-CN"/>
              </w:rPr>
              <w:t xml:space="preserve">内容不够全面，不具有可行性，不能够符合项目需求，得0分；</w:t>
            </w:r>
            <w:r/>
          </w:p>
        </w:tc>
      </w:tr>
      <w:tr>
        <w:trPr>
          <w:jc w:val="center"/>
          <w:trHeight w:val="341"/>
        </w:trPr>
        <w:tc>
          <w:tcPr>
            <w:shd w:val="clear" w:color="auto" w:fill="ffffff"/>
            <w:tcBorders>
              <w:left w:val="single" w:color="auto" w:sz="4" w:space="0"/>
              <w:bottom w:val="single" w:color="auto" w:sz="4" w:space="0"/>
              <w:right w:val="single" w:color="auto" w:sz="4" w:space="0"/>
            </w:tcBorders>
            <w:tcMar>
              <w:left w:w="108" w:type="dxa"/>
              <w:right w:w="108" w:type="dxa"/>
            </w:tcMar>
            <w:tcW w:w="829" w:type="pct"/>
            <w:vAlign w:val="center"/>
            <w:vMerge w:val="continue"/>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shd w:val="clear" w:color="auto" w:fill="ffffff"/>
            <w:tcBorders>
              <w:top w:val="single" w:color="auto" w:sz="4" w:space="0"/>
              <w:left w:val="single" w:color="auto" w:sz="4" w:space="0"/>
              <w:bottom w:val="single" w:color="auto" w:sz="4" w:space="0"/>
              <w:right w:val="single" w:color="auto" w:sz="4" w:space="0"/>
            </w:tcBorders>
            <w:tcMar>
              <w:left w:w="108" w:type="dxa"/>
              <w:right w:w="108" w:type="dxa"/>
            </w:tcMar>
            <w:tcW w:w="541"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i w:val="0"/>
                <w:iCs w:val="0"/>
                <w:color w:val="auto"/>
                <w:sz w:val="21"/>
                <w:szCs w:val="21"/>
                <w:highlight w:val="none"/>
                <w:u w:val="none"/>
                <w:lang w:val="en-US" w:eastAsia="zh-CN" w:bidi="ar"/>
              </w:rPr>
              <w:t xml:space="preserve">技术方案</w:t>
            </w:r>
            <w:r/>
          </w:p>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Mar>
              <w:left w:w="108" w:type="dxa"/>
              <w:right w:w="108" w:type="dxa"/>
            </w:tcMar>
            <w:tcW w:w="3629" w:type="pct"/>
            <w:vAlign w:val="center"/>
            <w:textDirection w:val="lrTb"/>
            <w:noWrap w:val="false"/>
          </w:tcPr>
          <w:p>
            <w:pPr>
              <w:jc w:val="left"/>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投标人应根据采购文件要求提供具体详实的技术方案。包括但不限于监控系统技术架构、网络架构、功能介绍等内容。</w:t>
            </w:r>
            <w:r>
              <w:rPr>
                <w:rFonts w:hint="eastAsia" w:ascii="宋体" w:hAnsi="宋体" w:eastAsia="宋体" w:cs="宋体"/>
                <w:bCs/>
                <w:color w:val="auto"/>
                <w:szCs w:val="21"/>
                <w:highlight w:val="none"/>
                <w:lang w:val="en-US" w:eastAsia="zh-CN"/>
              </w:rPr>
              <w:br/>
            </w:r>
            <w:r>
              <w:rPr>
                <w:rFonts w:hint="eastAsia" w:ascii="宋体" w:hAnsi="宋体" w:eastAsia="宋体" w:cs="宋体"/>
                <w:bCs/>
                <w:color w:val="auto"/>
                <w:szCs w:val="21"/>
                <w:highlight w:val="none"/>
                <w:lang w:val="en-US" w:eastAsia="zh-CN"/>
              </w:rPr>
              <w:t xml:space="preserve">内容详细全面，可行性、技术先进性强，完全符合项目需求，得</w:t>
            </w:r>
            <w:r>
              <w:rPr>
                <w:rFonts w:hint="eastAsia" w:ascii="宋体" w:hAnsi="宋体" w:cs="宋体"/>
                <w:bCs/>
                <w:color w:val="auto"/>
                <w:szCs w:val="21"/>
                <w:highlight w:val="none"/>
                <w:lang w:val="en-US" w:eastAsia="zh-CN"/>
              </w:rPr>
              <w:t xml:space="preserve">6</w:t>
            </w:r>
            <w:r>
              <w:rPr>
                <w:rFonts w:hint="eastAsia" w:ascii="宋体" w:hAnsi="宋体" w:eastAsia="宋体" w:cs="宋体"/>
                <w:bCs/>
                <w:color w:val="auto"/>
                <w:szCs w:val="21"/>
                <w:highlight w:val="none"/>
                <w:lang w:val="en-US" w:eastAsia="zh-CN"/>
              </w:rPr>
              <w:t xml:space="preserve">分；</w:t>
            </w:r>
            <w:r>
              <w:rPr>
                <w:rFonts w:hint="eastAsia" w:ascii="宋体" w:hAnsi="宋体" w:eastAsia="宋体" w:cs="宋体"/>
                <w:bCs/>
                <w:color w:val="auto"/>
                <w:szCs w:val="21"/>
                <w:highlight w:val="none"/>
                <w:lang w:val="en-US" w:eastAsia="zh-CN"/>
              </w:rPr>
              <w:br/>
            </w:r>
            <w:r>
              <w:rPr>
                <w:rFonts w:hint="eastAsia" w:ascii="宋体" w:hAnsi="宋体" w:eastAsia="宋体" w:cs="宋体"/>
                <w:bCs/>
                <w:color w:val="auto"/>
                <w:szCs w:val="21"/>
                <w:highlight w:val="none"/>
                <w:lang w:val="en-US" w:eastAsia="zh-CN"/>
              </w:rPr>
              <w:t xml:space="preserve">内容较为详细全面，可行性、技术先进性较强，较符合项目需求，得</w:t>
            </w:r>
            <w:r>
              <w:rPr>
                <w:rFonts w:hint="eastAsia" w:ascii="宋体" w:hAnsi="宋体" w:cs="宋体"/>
                <w:bCs/>
                <w:color w:val="auto"/>
                <w:szCs w:val="21"/>
                <w:highlight w:val="none"/>
                <w:lang w:val="en-US" w:eastAsia="zh-CN"/>
              </w:rPr>
              <w:t xml:space="preserve">4</w:t>
            </w:r>
            <w:r>
              <w:rPr>
                <w:rFonts w:hint="eastAsia" w:ascii="宋体" w:hAnsi="宋体" w:eastAsia="宋体" w:cs="宋体"/>
                <w:bCs/>
                <w:color w:val="auto"/>
                <w:szCs w:val="21"/>
                <w:highlight w:val="none"/>
                <w:lang w:val="en-US" w:eastAsia="zh-CN"/>
              </w:rPr>
              <w:t xml:space="preserve">分；</w:t>
            </w:r>
            <w:r>
              <w:rPr>
                <w:rFonts w:hint="eastAsia" w:ascii="宋体" w:hAnsi="宋体" w:eastAsia="宋体" w:cs="宋体"/>
                <w:bCs/>
                <w:color w:val="auto"/>
                <w:szCs w:val="21"/>
                <w:highlight w:val="none"/>
                <w:lang w:val="en-US" w:eastAsia="zh-CN"/>
              </w:rPr>
              <w:br/>
            </w:r>
            <w:r>
              <w:rPr>
                <w:rFonts w:hint="eastAsia" w:ascii="宋体" w:hAnsi="宋体" w:eastAsia="宋体" w:cs="宋体"/>
                <w:bCs/>
                <w:color w:val="auto"/>
                <w:szCs w:val="21"/>
                <w:highlight w:val="none"/>
                <w:lang w:val="en-US" w:eastAsia="zh-CN"/>
              </w:rPr>
              <w:t xml:space="preserve">内容简单，具有一定可行性，基本符合项目需求，得</w:t>
            </w:r>
            <w:r>
              <w:rPr>
                <w:rFonts w:hint="eastAsia" w:ascii="宋体" w:hAnsi="宋体" w:cs="宋体"/>
                <w:bCs/>
                <w:color w:val="auto"/>
                <w:szCs w:val="21"/>
                <w:highlight w:val="none"/>
                <w:lang w:val="en-US" w:eastAsia="zh-CN"/>
              </w:rPr>
              <w:t xml:space="preserve">2</w:t>
            </w:r>
            <w:r>
              <w:rPr>
                <w:rFonts w:hint="eastAsia" w:ascii="宋体" w:hAnsi="宋体" w:eastAsia="宋体" w:cs="宋体"/>
                <w:bCs/>
                <w:color w:val="auto"/>
                <w:szCs w:val="21"/>
                <w:highlight w:val="none"/>
                <w:lang w:val="en-US" w:eastAsia="zh-CN"/>
              </w:rPr>
              <w:t xml:space="preserve">分；</w:t>
            </w:r>
            <w:r>
              <w:rPr>
                <w:rFonts w:hint="eastAsia" w:ascii="宋体" w:hAnsi="宋体" w:eastAsia="宋体" w:cs="宋体"/>
                <w:bCs/>
                <w:color w:val="auto"/>
                <w:szCs w:val="21"/>
                <w:highlight w:val="none"/>
                <w:lang w:val="en-US" w:eastAsia="zh-CN"/>
              </w:rPr>
              <w:br/>
            </w:r>
            <w:r>
              <w:rPr>
                <w:rFonts w:hint="eastAsia" w:ascii="宋体" w:hAnsi="宋体" w:eastAsia="宋体" w:cs="宋体"/>
                <w:bCs/>
                <w:color w:val="auto"/>
                <w:szCs w:val="21"/>
                <w:highlight w:val="none"/>
                <w:lang w:val="en-US" w:eastAsia="zh-CN"/>
              </w:rPr>
              <w:t xml:space="preserve">内容不够全面，不具有可行性，不能够符合项目需求，得0分；</w:t>
            </w:r>
            <w:r>
              <w:rPr>
                <w:rFonts w:hint="eastAsia" w:ascii="宋体" w:hAnsi="宋体" w:eastAsia="宋体" w:cs="宋体"/>
                <w:bCs/>
                <w:color w:val="auto"/>
                <w:szCs w:val="21"/>
                <w:highlight w:val="none"/>
                <w:lang w:val="en-US" w:eastAsia="zh-CN"/>
              </w:rPr>
              <w:br/>
            </w:r>
            <w:r>
              <w:rPr>
                <w:rFonts w:hint="eastAsia" w:ascii="宋体" w:hAnsi="宋体" w:eastAsia="宋体" w:cs="宋体"/>
                <w:bCs/>
                <w:color w:val="auto"/>
                <w:szCs w:val="21"/>
                <w:highlight w:val="none"/>
                <w:lang w:val="en-US" w:eastAsia="zh-CN"/>
              </w:rPr>
              <w:t xml:space="preserve">未提供相关内容不得分。</w:t>
            </w:r>
            <w:r/>
          </w:p>
        </w:tc>
      </w:tr>
      <w:tr>
        <w:trPr>
          <w:jc w:val="center"/>
          <w:trHeight w:val="341"/>
        </w:trPr>
        <w:tc>
          <w:tcPr>
            <w:shd w:val="clear" w:color="auto" w:fill="ffffff"/>
            <w:tcBorders>
              <w:left w:val="single" w:color="auto" w:sz="4" w:space="0"/>
              <w:bottom w:val="single" w:color="auto" w:sz="4" w:space="0"/>
              <w:right w:val="single" w:color="auto" w:sz="4" w:space="0"/>
            </w:tcBorders>
            <w:tcMar>
              <w:left w:w="108" w:type="dxa"/>
              <w:right w:w="108" w:type="dxa"/>
            </w:tcMar>
            <w:tcW w:w="829" w:type="pct"/>
            <w:vAlign w:val="center"/>
            <w:vMerge w:val="continue"/>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shd w:val="clear" w:color="auto" w:fill="ffffff"/>
            <w:tcBorders>
              <w:top w:val="single" w:color="auto" w:sz="4" w:space="0"/>
              <w:left w:val="single" w:color="auto" w:sz="4" w:space="0"/>
              <w:bottom w:val="single" w:color="auto" w:sz="4" w:space="0"/>
              <w:right w:val="single" w:color="auto" w:sz="4" w:space="0"/>
            </w:tcBorders>
            <w:tcMar>
              <w:left w:w="108" w:type="dxa"/>
              <w:right w:w="108" w:type="dxa"/>
            </w:tcMar>
            <w:tcW w:w="541" w:type="pct"/>
            <w:vAlign w:val="center"/>
            <w:textDirection w:val="lrTb"/>
            <w:noWrap w:val="false"/>
          </w:tcPr>
          <w:p>
            <w:pPr>
              <w:spacing w:line="360" w:lineRule="auto"/>
              <w:rPr>
                <w:rFonts w:hint="eastAsia" w:ascii="宋体" w:hAnsi="宋体" w:eastAsia="宋体" w:cs="宋体"/>
                <w:bCs/>
                <w:color w:val="auto"/>
                <w:szCs w:val="21"/>
                <w:highlight w:val="none"/>
              </w:rPr>
            </w:pPr>
            <w:r>
              <w:rPr>
                <w:rFonts w:hint="eastAsia" w:ascii="宋体" w:hAnsi="宋体" w:eastAsia="宋体" w:cs="宋体"/>
                <w:i w:val="0"/>
                <w:iCs w:val="0"/>
                <w:color w:val="auto"/>
                <w:sz w:val="21"/>
                <w:szCs w:val="21"/>
                <w:highlight w:val="none"/>
                <w:u w:val="none"/>
                <w:lang w:val="en-US" w:eastAsia="zh-CN" w:bidi="ar"/>
              </w:rPr>
              <w:t xml:space="preserve">安全方案</w:t>
            </w:r>
            <w:r>
              <w:rPr>
                <w:rFonts w:hint="eastAsia" w:ascii="宋体" w:hAnsi="宋体" w:eastAsia="宋体" w:cs="宋体"/>
                <w:bCs/>
                <w:color w:val="auto"/>
                <w:szCs w:val="21"/>
                <w:highlight w:val="none"/>
              </w:rPr>
              <w:t xml:space="preserve">(6分)</w:t>
            </w:r>
            <w:r/>
          </w:p>
        </w:tc>
        <w:tc>
          <w:tcPr>
            <w:shd w:val="clear" w:color="auto" w:fill="ffffff"/>
            <w:tcBorders>
              <w:top w:val="single" w:color="auto" w:sz="4" w:space="0"/>
              <w:left w:val="single" w:color="auto" w:sz="4" w:space="0"/>
              <w:bottom w:val="single" w:color="auto" w:sz="4" w:space="0"/>
              <w:right w:val="single" w:color="auto" w:sz="4" w:space="0"/>
            </w:tcBorders>
            <w:tcMar>
              <w:left w:w="108" w:type="dxa"/>
              <w:right w:w="108" w:type="dxa"/>
            </w:tcMar>
            <w:tcW w:w="3629" w:type="pct"/>
            <w:vAlign w:val="center"/>
            <w:textDirection w:val="lrTb"/>
            <w:noWrap w:val="false"/>
          </w:tcPr>
          <w:p>
            <w:pPr>
              <w:jc w:val="left"/>
              <w:spacing w:line="440" w:lineRule="exact"/>
              <w:rPr>
                <w:rFonts w:hint="eastAsia" w:ascii="宋体" w:hAnsi="宋体" w:eastAsia="宋体" w:cs="宋体"/>
                <w:bCs/>
                <w:color w:val="auto"/>
                <w:szCs w:val="21"/>
                <w:highlight w:val="none"/>
                <w:lang w:val="en-US"/>
              </w:rPr>
            </w:pPr>
            <w:r>
              <w:rPr>
                <w:rFonts w:hint="eastAsia" w:ascii="宋体" w:hAnsi="宋体" w:eastAsia="宋体" w:cs="宋体"/>
                <w:bCs/>
                <w:color w:val="auto"/>
                <w:szCs w:val="21"/>
                <w:highlight w:val="none"/>
                <w:lang w:val="en-US" w:eastAsia="zh-CN"/>
              </w:rPr>
              <w:t xml:space="preserve">投标人提供完整合理的监控系统安全性方案，安全性方案中需包含业务数据安全、业务及应用安全、网络安全、设备及软件系统安全等内容。</w:t>
            </w:r>
            <w:r>
              <w:rPr>
                <w:rFonts w:hint="eastAsia" w:ascii="宋体" w:hAnsi="宋体" w:eastAsia="宋体" w:cs="宋体"/>
                <w:bCs/>
                <w:color w:val="auto"/>
                <w:szCs w:val="21"/>
                <w:highlight w:val="none"/>
                <w:lang w:val="en-US" w:eastAsia="zh-CN"/>
              </w:rPr>
              <w:br/>
            </w:r>
            <w:r>
              <w:rPr>
                <w:rFonts w:hint="eastAsia" w:ascii="宋体" w:hAnsi="宋体" w:eastAsia="宋体" w:cs="宋体"/>
                <w:bCs/>
                <w:color w:val="auto"/>
                <w:szCs w:val="21"/>
                <w:highlight w:val="none"/>
                <w:lang w:val="en-US" w:eastAsia="zh-CN"/>
              </w:rPr>
              <w:t xml:space="preserve">内容详细全面，可行性、技术先进性强，完全符合项目需求，得6分；</w:t>
            </w:r>
            <w:r>
              <w:rPr>
                <w:rFonts w:hint="eastAsia" w:ascii="宋体" w:hAnsi="宋体" w:eastAsia="宋体" w:cs="宋体"/>
                <w:bCs/>
                <w:color w:val="auto"/>
                <w:szCs w:val="21"/>
                <w:highlight w:val="none"/>
                <w:lang w:val="en-US" w:eastAsia="zh-CN"/>
              </w:rPr>
              <w:br/>
            </w:r>
            <w:r>
              <w:rPr>
                <w:rFonts w:hint="eastAsia" w:ascii="宋体" w:hAnsi="宋体" w:eastAsia="宋体" w:cs="宋体"/>
                <w:bCs/>
                <w:color w:val="auto"/>
                <w:szCs w:val="21"/>
                <w:highlight w:val="none"/>
                <w:lang w:val="en-US" w:eastAsia="zh-CN"/>
              </w:rPr>
              <w:t xml:space="preserve">内容较为详细全面，可行性、技术先进性较强，较符合项目需求，得4分；</w:t>
            </w:r>
            <w:r>
              <w:rPr>
                <w:rFonts w:hint="eastAsia" w:ascii="宋体" w:hAnsi="宋体" w:eastAsia="宋体" w:cs="宋体"/>
                <w:bCs/>
                <w:color w:val="auto"/>
                <w:szCs w:val="21"/>
                <w:highlight w:val="none"/>
                <w:lang w:val="en-US" w:eastAsia="zh-CN"/>
              </w:rPr>
              <w:br/>
            </w:r>
            <w:r>
              <w:rPr>
                <w:rFonts w:hint="eastAsia" w:ascii="宋体" w:hAnsi="宋体" w:eastAsia="宋体" w:cs="宋体"/>
                <w:bCs/>
                <w:color w:val="auto"/>
                <w:szCs w:val="21"/>
                <w:highlight w:val="none"/>
                <w:lang w:val="en-US" w:eastAsia="zh-CN"/>
              </w:rPr>
              <w:t xml:space="preserve">内容简单，具有一定可行性，基本符合项目需求，得2分；</w:t>
            </w:r>
            <w:r>
              <w:rPr>
                <w:rFonts w:hint="eastAsia" w:ascii="宋体" w:hAnsi="宋体" w:eastAsia="宋体" w:cs="宋体"/>
                <w:bCs/>
                <w:color w:val="auto"/>
                <w:szCs w:val="21"/>
                <w:highlight w:val="none"/>
                <w:lang w:val="en-US" w:eastAsia="zh-CN"/>
              </w:rPr>
              <w:br/>
            </w:r>
            <w:r>
              <w:rPr>
                <w:rFonts w:hint="eastAsia" w:ascii="宋体" w:hAnsi="宋体" w:eastAsia="宋体" w:cs="宋体"/>
                <w:bCs/>
                <w:color w:val="auto"/>
                <w:szCs w:val="21"/>
                <w:highlight w:val="none"/>
                <w:lang w:val="en-US" w:eastAsia="zh-CN"/>
              </w:rPr>
              <w:t xml:space="preserve">内容不够全面，不具有可行性，不能够符合项目需求，得0分。</w:t>
            </w:r>
            <w:r/>
          </w:p>
        </w:tc>
      </w:tr>
      <w:tr>
        <w:trPr>
          <w:jc w:val="center"/>
          <w:trHeight w:val="341"/>
        </w:trPr>
        <w:tc>
          <w:tcPr>
            <w:shd w:val="clear" w:color="auto" w:fill="ffffff"/>
            <w:tcBorders>
              <w:left w:val="single" w:color="auto" w:sz="4" w:space="0"/>
              <w:bottom w:val="single" w:color="auto" w:sz="4" w:space="0"/>
              <w:right w:val="single" w:color="auto" w:sz="4" w:space="0"/>
            </w:tcBorders>
            <w:tcMar>
              <w:left w:w="108" w:type="dxa"/>
              <w:right w:w="108" w:type="dxa"/>
            </w:tcMar>
            <w:tcW w:w="829" w:type="pct"/>
            <w:vAlign w:val="center"/>
            <w:vMerge w:val="continue"/>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shd w:val="clear" w:color="auto" w:fill="ffffff"/>
            <w:tcBorders>
              <w:top w:val="single" w:color="auto" w:sz="4" w:space="0"/>
              <w:left w:val="single" w:color="auto" w:sz="4" w:space="0"/>
              <w:bottom w:val="single" w:color="auto" w:sz="4" w:space="0"/>
              <w:right w:val="single" w:color="auto" w:sz="4" w:space="0"/>
            </w:tcBorders>
            <w:tcMar>
              <w:left w:w="108" w:type="dxa"/>
              <w:right w:w="108" w:type="dxa"/>
            </w:tcMar>
            <w:tcW w:w="541" w:type="pct"/>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i w:val="0"/>
                <w:iCs w:val="0"/>
                <w:color w:val="auto"/>
                <w:sz w:val="21"/>
                <w:szCs w:val="21"/>
                <w:highlight w:val="none"/>
                <w:u w:val="none"/>
                <w:lang w:val="en-US" w:eastAsia="zh-CN" w:bidi="ar"/>
              </w:rPr>
              <w:t xml:space="preserve">质量保障方案</w:t>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Mar>
              <w:left w:w="108" w:type="dxa"/>
              <w:right w:w="108" w:type="dxa"/>
            </w:tcMar>
            <w:tcW w:w="3629" w:type="pct"/>
            <w:vAlign w:val="center"/>
            <w:textDirection w:val="lrTb"/>
            <w:noWrap w:val="false"/>
          </w:tcPr>
          <w:p>
            <w:pPr>
              <w:jc w:val="left"/>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投标人提供完整合理的项目质量保障方案，需包含质量管理制度、安全保证措施、技术保证措施、文明施工措施等内容。</w:t>
            </w:r>
            <w:r>
              <w:rPr>
                <w:rFonts w:hint="eastAsia" w:ascii="宋体" w:hAnsi="宋体" w:eastAsia="宋体" w:cs="宋体"/>
                <w:bCs/>
                <w:color w:val="auto"/>
                <w:szCs w:val="21"/>
                <w:highlight w:val="none"/>
                <w:lang w:val="en-US" w:eastAsia="zh-CN"/>
              </w:rPr>
              <w:br/>
            </w:r>
            <w:r>
              <w:rPr>
                <w:rFonts w:hint="eastAsia" w:ascii="宋体" w:hAnsi="宋体" w:eastAsia="宋体" w:cs="宋体"/>
                <w:bCs/>
                <w:color w:val="auto"/>
                <w:szCs w:val="21"/>
                <w:highlight w:val="none"/>
                <w:lang w:val="en-US" w:eastAsia="zh-CN"/>
              </w:rPr>
              <w:t xml:space="preserve">内容详细全面，可行性、技术先进性强，完全符合项目需求，得</w:t>
            </w:r>
            <w:r>
              <w:rPr>
                <w:rFonts w:hint="eastAsia" w:ascii="宋体" w:hAnsi="宋体" w:cs="宋体"/>
                <w:bCs/>
                <w:color w:val="auto"/>
                <w:szCs w:val="21"/>
                <w:highlight w:val="none"/>
                <w:lang w:val="en-US" w:eastAsia="zh-CN"/>
              </w:rPr>
              <w:t xml:space="preserve">6</w:t>
            </w:r>
            <w:r>
              <w:rPr>
                <w:rFonts w:hint="eastAsia" w:ascii="宋体" w:hAnsi="宋体" w:eastAsia="宋体" w:cs="宋体"/>
                <w:bCs/>
                <w:color w:val="auto"/>
                <w:szCs w:val="21"/>
                <w:highlight w:val="none"/>
                <w:lang w:val="en-US" w:eastAsia="zh-CN"/>
              </w:rPr>
              <w:t xml:space="preserve">分；</w:t>
            </w:r>
            <w:r>
              <w:rPr>
                <w:rFonts w:hint="eastAsia" w:ascii="宋体" w:hAnsi="宋体" w:eastAsia="宋体" w:cs="宋体"/>
                <w:bCs/>
                <w:color w:val="auto"/>
                <w:szCs w:val="21"/>
                <w:highlight w:val="none"/>
                <w:lang w:val="en-US" w:eastAsia="zh-CN"/>
              </w:rPr>
              <w:br/>
            </w:r>
            <w:r>
              <w:rPr>
                <w:rFonts w:hint="eastAsia" w:ascii="宋体" w:hAnsi="宋体" w:eastAsia="宋体" w:cs="宋体"/>
                <w:bCs/>
                <w:color w:val="auto"/>
                <w:szCs w:val="21"/>
                <w:highlight w:val="none"/>
                <w:lang w:val="en-US" w:eastAsia="zh-CN"/>
              </w:rPr>
              <w:t xml:space="preserve">内容较为详细全面，可行性、技术先进性较强，较符合项目需求，得</w:t>
            </w:r>
            <w:r>
              <w:rPr>
                <w:rFonts w:hint="eastAsia" w:ascii="宋体" w:hAnsi="宋体" w:cs="宋体"/>
                <w:bCs/>
                <w:color w:val="auto"/>
                <w:szCs w:val="21"/>
                <w:highlight w:val="none"/>
                <w:lang w:val="en-US" w:eastAsia="zh-CN"/>
              </w:rPr>
              <w:t xml:space="preserve">4</w:t>
            </w:r>
            <w:r>
              <w:rPr>
                <w:rFonts w:hint="eastAsia" w:ascii="宋体" w:hAnsi="宋体" w:eastAsia="宋体" w:cs="宋体"/>
                <w:bCs/>
                <w:color w:val="auto"/>
                <w:szCs w:val="21"/>
                <w:highlight w:val="none"/>
                <w:lang w:val="en-US" w:eastAsia="zh-CN"/>
              </w:rPr>
              <w:t xml:space="preserve">分；</w:t>
            </w:r>
            <w:r>
              <w:rPr>
                <w:rFonts w:hint="eastAsia" w:ascii="宋体" w:hAnsi="宋体" w:eastAsia="宋体" w:cs="宋体"/>
                <w:bCs/>
                <w:color w:val="auto"/>
                <w:szCs w:val="21"/>
                <w:highlight w:val="none"/>
                <w:lang w:val="en-US" w:eastAsia="zh-CN"/>
              </w:rPr>
              <w:br/>
            </w:r>
            <w:r>
              <w:rPr>
                <w:rFonts w:hint="eastAsia" w:ascii="宋体" w:hAnsi="宋体" w:eastAsia="宋体" w:cs="宋体"/>
                <w:bCs/>
                <w:color w:val="auto"/>
                <w:szCs w:val="21"/>
                <w:highlight w:val="none"/>
                <w:lang w:val="en-US" w:eastAsia="zh-CN"/>
              </w:rPr>
              <w:t xml:space="preserve">内容简单，具有一定可行性，基本符合项目需求，得</w:t>
            </w:r>
            <w:r>
              <w:rPr>
                <w:rFonts w:hint="eastAsia" w:ascii="宋体" w:hAnsi="宋体" w:cs="宋体"/>
                <w:bCs/>
                <w:color w:val="auto"/>
                <w:szCs w:val="21"/>
                <w:highlight w:val="none"/>
                <w:lang w:val="en-US" w:eastAsia="zh-CN"/>
              </w:rPr>
              <w:t xml:space="preserve">2</w:t>
            </w:r>
            <w:r>
              <w:rPr>
                <w:rFonts w:hint="eastAsia" w:ascii="宋体" w:hAnsi="宋体" w:eastAsia="宋体" w:cs="宋体"/>
                <w:bCs/>
                <w:color w:val="auto"/>
                <w:szCs w:val="21"/>
                <w:highlight w:val="none"/>
                <w:lang w:val="en-US" w:eastAsia="zh-CN"/>
              </w:rPr>
              <w:t xml:space="preserve">分；</w:t>
            </w:r>
            <w:r>
              <w:rPr>
                <w:rFonts w:hint="eastAsia" w:ascii="宋体" w:hAnsi="宋体" w:eastAsia="宋体" w:cs="宋体"/>
                <w:bCs/>
                <w:color w:val="auto"/>
                <w:szCs w:val="21"/>
                <w:highlight w:val="none"/>
                <w:lang w:val="en-US" w:eastAsia="zh-CN"/>
              </w:rPr>
              <w:br/>
            </w:r>
            <w:r>
              <w:rPr>
                <w:rFonts w:hint="eastAsia" w:ascii="宋体" w:hAnsi="宋体" w:eastAsia="宋体" w:cs="宋体"/>
                <w:bCs/>
                <w:color w:val="auto"/>
                <w:szCs w:val="21"/>
                <w:highlight w:val="none"/>
                <w:lang w:val="en-US" w:eastAsia="zh-CN"/>
              </w:rPr>
              <w:t xml:space="preserve">内容不够全面，不具有可行性，不能够符合项目需求，得0分。</w:t>
            </w:r>
            <w:r/>
          </w:p>
        </w:tc>
      </w:tr>
      <w:tr>
        <w:trPr>
          <w:jc w:val="center"/>
          <w:trHeight w:val="1635"/>
        </w:trPr>
        <w:tc>
          <w:tcPr>
            <w:shd w:val="clear" w:color="auto" w:fill="ffffff"/>
            <w:tcBorders>
              <w:left w:val="single" w:color="auto" w:sz="4" w:space="0"/>
              <w:bottom w:val="single" w:color="auto" w:sz="4" w:space="0"/>
              <w:right w:val="single" w:color="auto" w:sz="4" w:space="0"/>
            </w:tcBorders>
            <w:tcMar>
              <w:left w:w="108" w:type="dxa"/>
              <w:right w:w="108" w:type="dxa"/>
            </w:tcMar>
            <w:tcW w:w="829" w:type="pct"/>
            <w:vAlign w:val="center"/>
            <w:vMerge w:val="continue"/>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shd w:val="clear" w:color="auto" w:fill="ffffff"/>
            <w:tcBorders>
              <w:top w:val="single" w:color="auto" w:sz="4" w:space="0"/>
              <w:left w:val="single" w:color="auto" w:sz="4" w:space="0"/>
              <w:right w:val="single" w:color="auto" w:sz="4" w:space="0"/>
            </w:tcBorders>
            <w:tcMar>
              <w:left w:w="108" w:type="dxa"/>
              <w:right w:w="108" w:type="dxa"/>
            </w:tcMar>
            <w:tcW w:w="541" w:type="pct"/>
            <w:vAlign w:val="center"/>
            <w:textDirection w:val="lrTb"/>
            <w:noWrap w:val="false"/>
          </w:tcPr>
          <w:p>
            <w:pPr>
              <w:spacing w:line="360" w:lineRule="auto"/>
              <w:rPr>
                <w:rFonts w:hint="eastAsia" w:ascii="宋体" w:hAnsi="宋体" w:eastAsia="宋体" w:cs="宋体"/>
                <w:bCs/>
                <w:color w:val="auto"/>
                <w:szCs w:val="21"/>
                <w:highlight w:val="none"/>
              </w:rPr>
            </w:pPr>
            <w:r>
              <w:rPr>
                <w:rFonts w:hint="eastAsia" w:ascii="宋体" w:hAnsi="宋体" w:eastAsia="宋体" w:cs="宋体"/>
                <w:i w:val="0"/>
                <w:iCs w:val="0"/>
                <w:color w:val="auto"/>
                <w:sz w:val="21"/>
                <w:szCs w:val="21"/>
                <w:highlight w:val="none"/>
                <w:u w:val="none"/>
                <w:lang w:val="en-US" w:eastAsia="zh-CN" w:bidi="ar"/>
              </w:rPr>
              <w:t xml:space="preserve">售后服务方案</w:t>
            </w:r>
            <w:r>
              <w:rPr>
                <w:rFonts w:hint="eastAsia" w:ascii="宋体" w:hAnsi="宋体" w:eastAsia="宋体" w:cs="宋体"/>
                <w:bCs/>
                <w:color w:val="auto"/>
                <w:szCs w:val="21"/>
                <w:highlight w:val="none"/>
              </w:rPr>
              <w:t xml:space="preserve">(6分)</w:t>
            </w:r>
            <w:r/>
          </w:p>
        </w:tc>
        <w:tc>
          <w:tcPr>
            <w:shd w:val="clear" w:color="auto" w:fill="ffffff"/>
            <w:tcBorders>
              <w:top w:val="single" w:color="auto" w:sz="4" w:space="0"/>
              <w:left w:val="single" w:color="auto" w:sz="4" w:space="0"/>
              <w:bottom w:val="single" w:color="auto" w:sz="4" w:space="0"/>
              <w:right w:val="single" w:color="auto" w:sz="4" w:space="0"/>
            </w:tcBorders>
            <w:tcMar>
              <w:left w:w="108" w:type="dxa"/>
              <w:right w:w="108" w:type="dxa"/>
            </w:tcMar>
            <w:tcW w:w="3629" w:type="pct"/>
            <w:vAlign w:val="center"/>
            <w:textDirection w:val="lrTb"/>
            <w:noWrap w:val="false"/>
          </w:tcPr>
          <w:p>
            <w:pPr>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投标人提供完整合理的项目售后服务方案，需包含售后服务能力保障、主动巡检制度、应急响应、重大活动保障等内容。</w:t>
            </w:r>
            <w:r>
              <w:rPr>
                <w:rFonts w:hint="eastAsia" w:ascii="宋体" w:hAnsi="宋体" w:eastAsia="宋体" w:cs="宋体"/>
                <w:bCs/>
                <w:color w:val="auto"/>
                <w:szCs w:val="21"/>
                <w:highlight w:val="none"/>
                <w:lang w:val="en-US" w:eastAsia="zh-CN"/>
              </w:rPr>
              <w:br/>
            </w:r>
            <w:r>
              <w:rPr>
                <w:rFonts w:hint="eastAsia" w:ascii="宋体" w:hAnsi="宋体" w:eastAsia="宋体" w:cs="宋体"/>
                <w:bCs/>
                <w:color w:val="auto"/>
                <w:szCs w:val="21"/>
                <w:highlight w:val="none"/>
                <w:lang w:val="en-US" w:eastAsia="zh-CN"/>
              </w:rPr>
              <w:t xml:space="preserve">内容详细全面，可行性、技术先进性强，完全符合项目需求，得6分；</w:t>
            </w:r>
            <w:r>
              <w:rPr>
                <w:rFonts w:hint="eastAsia" w:ascii="宋体" w:hAnsi="宋体" w:eastAsia="宋体" w:cs="宋体"/>
                <w:bCs/>
                <w:color w:val="auto"/>
                <w:szCs w:val="21"/>
                <w:highlight w:val="none"/>
                <w:lang w:val="en-US" w:eastAsia="zh-CN"/>
              </w:rPr>
              <w:br/>
            </w:r>
            <w:r>
              <w:rPr>
                <w:rFonts w:hint="eastAsia" w:ascii="宋体" w:hAnsi="宋体" w:eastAsia="宋体" w:cs="宋体"/>
                <w:bCs/>
                <w:color w:val="auto"/>
                <w:szCs w:val="21"/>
                <w:highlight w:val="none"/>
                <w:lang w:val="en-US" w:eastAsia="zh-CN"/>
              </w:rPr>
              <w:t xml:space="preserve">内容较为详细全面，可行性、技术先进性较强，较符合项目需求，得4分；</w:t>
            </w:r>
            <w:r>
              <w:rPr>
                <w:rFonts w:hint="eastAsia" w:ascii="宋体" w:hAnsi="宋体" w:eastAsia="宋体" w:cs="宋体"/>
                <w:bCs/>
                <w:color w:val="auto"/>
                <w:szCs w:val="21"/>
                <w:highlight w:val="none"/>
                <w:lang w:val="en-US" w:eastAsia="zh-CN"/>
              </w:rPr>
              <w:br/>
            </w:r>
            <w:r>
              <w:rPr>
                <w:rFonts w:hint="eastAsia" w:ascii="宋体" w:hAnsi="宋体" w:eastAsia="宋体" w:cs="宋体"/>
                <w:bCs/>
                <w:color w:val="auto"/>
                <w:szCs w:val="21"/>
                <w:highlight w:val="none"/>
                <w:lang w:val="en-US" w:eastAsia="zh-CN"/>
              </w:rPr>
              <w:t xml:space="preserve">内容简单，具有一定可行性，基本符合项目需求，得2分；</w:t>
            </w:r>
            <w:r>
              <w:rPr>
                <w:rFonts w:hint="eastAsia" w:ascii="宋体" w:hAnsi="宋体" w:eastAsia="宋体" w:cs="宋体"/>
                <w:bCs/>
                <w:color w:val="auto"/>
                <w:szCs w:val="21"/>
                <w:highlight w:val="none"/>
                <w:lang w:val="en-US" w:eastAsia="zh-CN"/>
              </w:rPr>
              <w:br/>
            </w:r>
            <w:r>
              <w:rPr>
                <w:rFonts w:hint="eastAsia" w:ascii="宋体" w:hAnsi="宋体" w:eastAsia="宋体" w:cs="宋体"/>
                <w:bCs/>
                <w:color w:val="auto"/>
                <w:szCs w:val="21"/>
                <w:highlight w:val="none"/>
                <w:lang w:val="en-US" w:eastAsia="zh-CN"/>
              </w:rPr>
              <w:t xml:space="preserve">内容不够全面，不具有可行性，不能够符合项目需求，得0分；</w:t>
            </w:r>
            <w:r/>
          </w:p>
        </w:tc>
      </w:tr>
      <w:tr>
        <w:trPr>
          <w:jc w:val="center"/>
          <w:trHeight w:val="90"/>
        </w:trPr>
        <w:tc>
          <w:tcPr>
            <w:shd w:val="clear" w:color="auto" w:fill="ffffff"/>
            <w:tcBorders>
              <w:left w:val="single" w:color="auto" w:sz="4" w:space="0"/>
              <w:bottom w:val="single" w:color="auto" w:sz="4" w:space="0"/>
              <w:right w:val="single" w:color="auto" w:sz="4" w:space="0"/>
            </w:tcBorders>
            <w:tcMar>
              <w:left w:w="108" w:type="dxa"/>
              <w:right w:w="108" w:type="dxa"/>
            </w:tcMar>
            <w:tcW w:w="829" w:type="pct"/>
            <w:vAlign w:val="center"/>
            <w:vMerge w:val="continue"/>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shd w:val="clear" w:color="auto" w:fill="ffffff"/>
            <w:tcBorders>
              <w:top w:val="single" w:color="auto" w:sz="4" w:space="0"/>
              <w:left w:val="single" w:color="auto" w:sz="4" w:space="0"/>
              <w:right w:val="single" w:color="auto" w:sz="4" w:space="0"/>
            </w:tcBorders>
            <w:tcMar>
              <w:left w:w="108" w:type="dxa"/>
              <w:right w:w="108" w:type="dxa"/>
            </w:tcMar>
            <w:tcW w:w="541" w:type="pct"/>
            <w:vAlign w:val="center"/>
            <w:textDirection w:val="lrTb"/>
            <w:noWrap w:val="false"/>
          </w:tcPr>
          <w:p>
            <w:pPr>
              <w:jc w:val="cente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施工进度方案</w:t>
            </w:r>
            <w:r/>
          </w:p>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(6分)</w:t>
            </w:r>
            <w:r/>
          </w:p>
        </w:tc>
        <w:tc>
          <w:tcPr>
            <w:shd w:val="clear" w:color="auto" w:fill="ffffff"/>
            <w:tcBorders>
              <w:top w:val="single" w:color="auto" w:sz="4" w:space="0"/>
              <w:left w:val="single" w:color="auto" w:sz="4" w:space="0"/>
              <w:bottom w:val="single" w:color="auto" w:sz="4" w:space="0"/>
              <w:right w:val="single" w:color="auto" w:sz="4" w:space="0"/>
            </w:tcBorders>
            <w:tcMar>
              <w:left w:w="108" w:type="dxa"/>
              <w:right w:w="108" w:type="dxa"/>
            </w:tcMar>
            <w:tcW w:w="3629" w:type="pct"/>
            <w:vAlign w:val="center"/>
            <w:textDirection w:val="lrTb"/>
            <w:noWrap w:val="false"/>
          </w:tcPr>
          <w:p>
            <w:pPr>
              <w:numPr>
                <w:ilvl w:val="0"/>
                <w:numId w:val="0"/>
              </w:numPr>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投标人提供完整合理的项目施工进度计划方案，需包含项目进度安排、供货计划安排、施工进度安排、人员配置计划等。</w:t>
            </w:r>
            <w:r>
              <w:rPr>
                <w:rFonts w:hint="eastAsia" w:ascii="宋体" w:hAnsi="宋体" w:eastAsia="宋体" w:cs="宋体"/>
                <w:bCs/>
                <w:color w:val="auto"/>
                <w:szCs w:val="21"/>
                <w:highlight w:val="none"/>
                <w:lang w:val="en-US" w:eastAsia="zh-CN"/>
              </w:rPr>
              <w:br/>
            </w:r>
            <w:r>
              <w:rPr>
                <w:rFonts w:hint="eastAsia" w:ascii="宋体" w:hAnsi="宋体" w:eastAsia="宋体" w:cs="宋体"/>
                <w:bCs/>
                <w:color w:val="auto"/>
                <w:szCs w:val="21"/>
                <w:highlight w:val="none"/>
                <w:lang w:val="en-US" w:eastAsia="zh-CN"/>
              </w:rPr>
              <w:t xml:space="preserve">方案科学、严密、合理，描述详细且具有针对性的得6分；</w:t>
            </w:r>
            <w:r>
              <w:rPr>
                <w:rFonts w:hint="eastAsia" w:ascii="宋体" w:hAnsi="宋体" w:eastAsia="宋体" w:cs="宋体"/>
                <w:bCs/>
                <w:color w:val="auto"/>
                <w:szCs w:val="21"/>
                <w:highlight w:val="none"/>
                <w:lang w:val="en-US" w:eastAsia="zh-CN"/>
              </w:rPr>
              <w:br/>
            </w:r>
            <w:r>
              <w:rPr>
                <w:rFonts w:hint="eastAsia" w:ascii="宋体" w:hAnsi="宋体" w:eastAsia="宋体" w:cs="宋体"/>
                <w:bCs/>
                <w:color w:val="auto"/>
                <w:szCs w:val="21"/>
                <w:highlight w:val="none"/>
                <w:lang w:val="en-US" w:eastAsia="zh-CN"/>
              </w:rPr>
              <w:t xml:space="preserve">方案基本合理、描述一般、存在可操作性的得3分；</w:t>
            </w:r>
            <w:r>
              <w:rPr>
                <w:rFonts w:hint="eastAsia" w:ascii="宋体" w:hAnsi="宋体" w:eastAsia="宋体" w:cs="宋体"/>
                <w:bCs/>
                <w:color w:val="auto"/>
                <w:szCs w:val="21"/>
                <w:highlight w:val="none"/>
                <w:lang w:val="en-US" w:eastAsia="zh-CN"/>
              </w:rPr>
              <w:br/>
            </w:r>
            <w:r>
              <w:rPr>
                <w:rFonts w:hint="eastAsia" w:ascii="宋体" w:hAnsi="宋体" w:eastAsia="宋体" w:cs="宋体"/>
                <w:bCs/>
                <w:color w:val="auto"/>
                <w:szCs w:val="21"/>
                <w:highlight w:val="none"/>
                <w:lang w:val="en-US" w:eastAsia="zh-CN"/>
              </w:rPr>
              <w:t xml:space="preserve">具有明显不合理项、描述欠缺、存在实施难度的得1分；</w:t>
            </w:r>
            <w:r>
              <w:rPr>
                <w:rFonts w:hint="eastAsia" w:ascii="宋体" w:hAnsi="宋体" w:eastAsia="宋体" w:cs="宋体"/>
                <w:bCs/>
                <w:color w:val="auto"/>
                <w:szCs w:val="21"/>
                <w:highlight w:val="none"/>
                <w:lang w:val="en-US" w:eastAsia="zh-CN"/>
              </w:rPr>
              <w:br/>
            </w:r>
            <w:r>
              <w:rPr>
                <w:rFonts w:hint="eastAsia" w:ascii="宋体" w:hAnsi="宋体" w:eastAsia="宋体" w:cs="宋体"/>
                <w:bCs/>
                <w:color w:val="auto"/>
                <w:szCs w:val="21"/>
                <w:highlight w:val="none"/>
                <w:lang w:val="en-US" w:eastAsia="zh-CN"/>
              </w:rPr>
              <w:t xml:space="preserve">未提供不得分。</w:t>
            </w:r>
            <w:r/>
          </w:p>
        </w:tc>
      </w:tr>
      <w:tr>
        <w:trPr>
          <w:jc w:val="center"/>
          <w:trHeight w:val="846"/>
        </w:trPr>
        <w:tc>
          <w:tcPr>
            <w:shd w:val="clear" w:color="auto" w:fill="ffffff"/>
            <w:tcBorders>
              <w:top w:val="single" w:color="auto" w:sz="4" w:space="0"/>
              <w:left w:val="single" w:color="auto" w:sz="4" w:space="0"/>
              <w:bottom w:val="single" w:color="auto" w:sz="4" w:space="0"/>
              <w:right w:val="single" w:color="auto" w:sz="4" w:space="0"/>
            </w:tcBorders>
            <w:tcMar>
              <w:left w:w="108" w:type="dxa"/>
              <w:right w:w="108" w:type="dxa"/>
            </w:tcMar>
            <w:tcW w:w="829" w:type="pct"/>
            <w:vAlign w:val="center"/>
            <w:textDirection w:val="lrTb"/>
            <w:noWrap w:val="false"/>
          </w:tcPr>
          <w:p>
            <w:pPr>
              <w:jc w:val="center"/>
              <w:spacing w:line="360" w:lineRule="auto"/>
              <w:tabs>
                <w:tab w:val="left" w:pos="900" w:leader="none"/>
              </w:tabs>
              <w:rPr>
                <w:rStyle w:val="1029"/>
                <w:rFonts w:hint="eastAsia" w:ascii="宋体" w:hAnsi="宋体" w:eastAsia="宋体" w:cs="宋体"/>
                <w:b/>
                <w:bCs/>
                <w:color w:val="auto"/>
                <w:szCs w:val="21"/>
                <w:highlight w:val="none"/>
              </w:rPr>
            </w:pPr>
            <w:r>
              <w:rPr>
                <w:rStyle w:val="1029"/>
                <w:rFonts w:hint="eastAsia" w:ascii="宋体" w:hAnsi="宋体" w:eastAsia="宋体" w:cs="宋体"/>
                <w:b/>
                <w:bCs/>
                <w:color w:val="auto"/>
                <w:szCs w:val="21"/>
                <w:highlight w:val="none"/>
              </w:rPr>
              <w:t xml:space="preserve">企业实力</w:t>
            </w:r>
            <w:r/>
          </w:p>
          <w:p>
            <w:pPr>
              <w:jc w:val="center"/>
              <w:spacing w:line="360" w:lineRule="auto"/>
              <w:tabs>
                <w:tab w:val="left" w:pos="900" w:leader="none"/>
              </w:tabs>
              <w:rPr>
                <w:rStyle w:val="1029"/>
                <w:rFonts w:hint="eastAsia" w:ascii="宋体" w:hAnsi="宋体" w:eastAsia="宋体" w:cs="宋体"/>
                <w:color w:val="auto"/>
                <w:szCs w:val="21"/>
                <w:highlight w:val="none"/>
              </w:rPr>
            </w:pPr>
            <w:r>
              <w:rPr>
                <w:rStyle w:val="1029"/>
                <w:rFonts w:hint="eastAsia" w:ascii="宋体" w:hAnsi="宋体" w:eastAsia="宋体" w:cs="宋体"/>
                <w:b/>
                <w:bCs/>
                <w:color w:val="auto"/>
                <w:szCs w:val="21"/>
                <w:highlight w:val="none"/>
              </w:rPr>
              <w:t xml:space="preserve">（6分）</w:t>
            </w:r>
            <w:r/>
          </w:p>
        </w:tc>
        <w:tc>
          <w:tcPr>
            <w:gridSpan w:val="2"/>
            <w:shd w:val="clear" w:color="auto" w:fill="ffffff"/>
            <w:tcBorders>
              <w:top w:val="single" w:color="auto" w:sz="4" w:space="0"/>
              <w:left w:val="single" w:color="auto" w:sz="4" w:space="0"/>
              <w:bottom w:val="single" w:color="auto" w:sz="4" w:space="0"/>
              <w:right w:val="single" w:color="auto" w:sz="4" w:space="0"/>
            </w:tcBorders>
            <w:tcMar>
              <w:left w:w="108" w:type="dxa"/>
              <w:right w:w="108" w:type="dxa"/>
            </w:tcMar>
            <w:tcW w:w="4170" w:type="pct"/>
            <w:vAlign w:val="center"/>
            <w:textDirection w:val="lrTb"/>
            <w:noWrap w:val="false"/>
          </w:tcPr>
          <w:p>
            <w:pPr>
              <w:pStyle w:val="735"/>
              <w:ind w:left="0"/>
              <w:spacing w:line="360" w:lineRule="auto"/>
              <w:rPr>
                <w:rFonts w:hint="eastAsia" w:ascii="宋体" w:hAnsi="宋体" w:eastAsia="宋体" w:cs="宋体"/>
                <w:b/>
                <w:color w:val="auto"/>
                <w:sz w:val="21"/>
                <w:szCs w:val="21"/>
                <w:highlight w:val="none"/>
              </w:rPr>
            </w:pPr>
            <w:r>
              <w:rPr>
                <w:rFonts w:hint="eastAsia" w:ascii="宋体" w:hAnsi="宋体" w:eastAsia="宋体" w:cs="宋体"/>
                <w:i w:val="0"/>
                <w:iCs w:val="0"/>
                <w:color w:val="auto"/>
                <w:sz w:val="21"/>
                <w:szCs w:val="21"/>
                <w:highlight w:val="none"/>
                <w:u w:val="none"/>
                <w:lang w:val="en-US" w:eastAsia="zh-CN" w:bidi="ar"/>
              </w:rPr>
              <w:t xml:space="preserve">投标人自2023年1月1日以来（以合同书签订时间为准）承担过</w:t>
            </w:r>
            <w:r>
              <w:rPr>
                <w:rFonts w:hint="eastAsia" w:ascii="宋体" w:hAnsi="宋体" w:eastAsia="宋体" w:cs="宋体"/>
                <w:i w:val="0"/>
                <w:iCs w:val="0"/>
                <w:color w:val="auto"/>
                <w:sz w:val="21"/>
                <w:szCs w:val="21"/>
                <w:highlight w:val="none"/>
                <w:u w:val="none"/>
                <w:lang w:val="en-US" w:eastAsia="zh-CN" w:bidi="ar"/>
              </w:rPr>
              <w:t xml:space="preserve">类似项目业绩，</w:t>
            </w:r>
            <w:r>
              <w:rPr>
                <w:rFonts w:hint="eastAsia" w:ascii="宋体" w:hAnsi="宋体" w:eastAsia="宋体" w:cs="宋体"/>
                <w:color w:val="auto"/>
                <w:sz w:val="21"/>
                <w:szCs w:val="21"/>
                <w:highlight w:val="none"/>
              </w:rPr>
              <w:t xml:space="preserve">每提供一份合同得2分，最高6分。</w:t>
            </w:r>
            <w:r>
              <w:rPr>
                <w:rFonts w:hint="eastAsia" w:ascii="宋体" w:hAnsi="宋体" w:eastAsia="宋体" w:cs="宋体"/>
                <w:b/>
                <w:color w:val="auto"/>
                <w:sz w:val="21"/>
                <w:szCs w:val="21"/>
                <w:highlight w:val="none"/>
              </w:rPr>
              <w:t xml:space="preserve">（须提供合同原件扫描上传加盖投标人电子公章，不提供不得分。）</w:t>
            </w:r>
            <w:r/>
          </w:p>
        </w:tc>
      </w:tr>
      <w:tr>
        <w:trPr>
          <w:jc w:val="center"/>
          <w:trHeight w:val="860"/>
        </w:trPr>
        <w:tc>
          <w:tcPr>
            <w:shd w:val="clear" w:color="auto" w:fill="ffffff"/>
            <w:tcBorders>
              <w:top w:val="single" w:color="auto" w:sz="4" w:space="0"/>
              <w:left w:val="single" w:color="auto" w:sz="4" w:space="0"/>
              <w:bottom w:val="single" w:color="auto" w:sz="4" w:space="0"/>
              <w:right w:val="single" w:color="auto" w:sz="4" w:space="0"/>
            </w:tcBorders>
            <w:tcMar>
              <w:left w:w="108" w:type="dxa"/>
              <w:right w:w="108" w:type="dxa"/>
            </w:tcMar>
            <w:tcW w:w="829" w:type="pct"/>
            <w:vAlign w:val="center"/>
            <w:textDirection w:val="lrTb"/>
            <w:noWrap w:val="false"/>
          </w:tcPr>
          <w:p>
            <w:pPr>
              <w:pStyle w:val="970"/>
              <w:jc w:val="center"/>
              <w:spacing w:before="0" w:after="0" w:line="360" w:lineRule="auto"/>
              <w:rPr>
                <w:rFonts w:hint="eastAsia" w:ascii="宋体" w:hAnsi="宋体" w:eastAsia="宋体" w:cs="宋体"/>
                <w:bCs w:val="0"/>
                <w:color w:val="auto"/>
                <w:sz w:val="21"/>
                <w:szCs w:val="21"/>
                <w:highlight w:val="none"/>
                <w:lang w:val="zh-CN"/>
              </w:rPr>
            </w:pPr>
            <w:r>
              <w:rPr>
                <w:rFonts w:hint="eastAsia" w:ascii="宋体" w:hAnsi="宋体" w:eastAsia="宋体" w:cs="宋体"/>
                <w:bCs w:val="0"/>
                <w:color w:val="auto"/>
                <w:sz w:val="21"/>
                <w:szCs w:val="21"/>
                <w:highlight w:val="none"/>
                <w:lang w:val="zh-CN"/>
              </w:rPr>
              <w:t xml:space="preserve">人员配备</w:t>
            </w:r>
            <w:r/>
          </w:p>
          <w:p>
            <w:pPr>
              <w:pStyle w:val="970"/>
              <w:jc w:val="center"/>
              <w:spacing w:before="0" w:after="0" w:line="360" w:lineRule="auto"/>
              <w:rPr>
                <w:rFonts w:hint="eastAsia" w:ascii="宋体" w:hAnsi="宋体" w:eastAsia="宋体" w:cs="宋体"/>
                <w:color w:val="auto"/>
                <w:sz w:val="21"/>
                <w:szCs w:val="21"/>
                <w:highlight w:val="none"/>
                <w:lang w:val="zh-CN"/>
              </w:rPr>
            </w:pPr>
            <w:r>
              <w:rPr>
                <w:rFonts w:hint="eastAsia" w:ascii="宋体" w:hAnsi="宋体" w:eastAsia="宋体" w:cs="宋体"/>
                <w:bCs w:val="0"/>
                <w:color w:val="auto"/>
                <w:sz w:val="21"/>
                <w:szCs w:val="21"/>
                <w:highlight w:val="none"/>
                <w:lang w:val="zh-CN"/>
              </w:rPr>
              <w:t xml:space="preserve">（</w:t>
            </w:r>
            <w:r>
              <w:rPr>
                <w:rFonts w:hint="eastAsia" w:ascii="宋体" w:hAnsi="宋体" w:cs="宋体"/>
                <w:bCs w:val="0"/>
                <w:color w:val="auto"/>
                <w:sz w:val="21"/>
                <w:szCs w:val="21"/>
                <w:highlight w:val="none"/>
                <w:lang w:val="en-US" w:eastAsia="zh-CN"/>
              </w:rPr>
              <w:t xml:space="preserve">4</w:t>
            </w:r>
            <w:r>
              <w:rPr>
                <w:rFonts w:hint="eastAsia" w:ascii="宋体" w:hAnsi="宋体" w:eastAsia="宋体" w:cs="宋体"/>
                <w:bCs w:val="0"/>
                <w:color w:val="auto"/>
                <w:sz w:val="21"/>
                <w:szCs w:val="21"/>
                <w:highlight w:val="none"/>
              </w:rPr>
              <w:t xml:space="preserve">分</w:t>
            </w:r>
            <w:r>
              <w:rPr>
                <w:rFonts w:hint="eastAsia" w:ascii="宋体" w:hAnsi="宋体" w:eastAsia="宋体" w:cs="宋体"/>
                <w:bCs w:val="0"/>
                <w:color w:val="auto"/>
                <w:sz w:val="21"/>
                <w:szCs w:val="21"/>
                <w:highlight w:val="none"/>
                <w:lang w:val="zh-CN"/>
              </w:rPr>
              <w:t xml:space="preserve">）</w:t>
            </w:r>
            <w:r/>
          </w:p>
        </w:tc>
        <w:tc>
          <w:tcPr>
            <w:gridSpan w:val="2"/>
            <w:shd w:val="clear" w:color="auto" w:fill="ffffff"/>
            <w:tcBorders>
              <w:top w:val="single" w:color="auto" w:sz="4" w:space="0"/>
              <w:left w:val="single" w:color="auto" w:sz="4" w:space="0"/>
              <w:bottom w:val="single" w:color="auto" w:sz="4" w:space="0"/>
              <w:right w:val="single" w:color="auto" w:sz="4" w:space="0"/>
            </w:tcBorders>
            <w:tcMar>
              <w:left w:w="108" w:type="dxa"/>
              <w:right w:w="108" w:type="dxa"/>
            </w:tcMar>
            <w:tcW w:w="4170" w:type="pct"/>
            <w:textDirection w:val="lrTb"/>
            <w:noWrap w:val="false"/>
          </w:tcPr>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1、项目负责人具有信息化、自动化、通信、电子、机电或计算机类专业5年</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以职称发证日期为准</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及以上中级职称或高级职称的得2分。满足以上其中一个专业并附职称证书扫描件，否则不得分。</w:t>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2、除项目负责人外，项目组其他成员具有信息化、自动化、通信、电子、机电或计算机类专业中级及以上职称的工程师证书，有一个得1分，最高得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p>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注：同一人具有多个证书的只按一个证书计分。以上需提供人员证书扫描件或复印件及提交响应文件截止时间前近一年内任意一个月</w:t>
            </w:r>
            <w:r>
              <w:rPr>
                <w:rFonts w:hint="eastAsia" w:ascii="宋体" w:hAnsi="宋体" w:eastAsia="宋体" w:cs="宋体"/>
                <w:b/>
                <w:bCs/>
                <w:color w:val="auto"/>
                <w:szCs w:val="21"/>
                <w:highlight w:val="none"/>
                <w:lang w:val="en-US" w:eastAsia="zh-CN"/>
              </w:rPr>
              <w:t xml:space="preserve">投标单位为其缴纳的</w:t>
            </w:r>
            <w:r>
              <w:rPr>
                <w:rFonts w:hint="eastAsia" w:ascii="宋体" w:hAnsi="宋体" w:eastAsia="宋体" w:cs="宋体"/>
                <w:b/>
                <w:bCs/>
                <w:color w:val="auto"/>
                <w:szCs w:val="21"/>
                <w:highlight w:val="none"/>
              </w:rPr>
              <w:t xml:space="preserve">社保</w:t>
            </w:r>
            <w:r>
              <w:rPr>
                <w:rFonts w:hint="eastAsia" w:ascii="宋体" w:hAnsi="宋体" w:eastAsia="宋体" w:cs="宋体"/>
                <w:b/>
                <w:bCs/>
                <w:color w:val="auto"/>
                <w:szCs w:val="21"/>
                <w:highlight w:val="none"/>
                <w:lang w:val="en-US" w:eastAsia="zh-CN"/>
              </w:rPr>
              <w:t xml:space="preserve">原件扫描</w:t>
            </w:r>
            <w:r>
              <w:rPr>
                <w:rFonts w:hint="eastAsia" w:ascii="宋体" w:hAnsi="宋体" w:eastAsia="宋体" w:cs="宋体"/>
                <w:b/>
                <w:bCs/>
                <w:color w:val="auto"/>
                <w:szCs w:val="21"/>
                <w:highlight w:val="none"/>
              </w:rPr>
              <w:t xml:space="preserve">并加盖</w:t>
            </w:r>
            <w:r>
              <w:rPr>
                <w:rFonts w:hint="eastAsia" w:ascii="宋体" w:hAnsi="宋体" w:eastAsia="宋体" w:cs="宋体"/>
                <w:b/>
                <w:bCs/>
                <w:color w:val="auto"/>
                <w:szCs w:val="21"/>
                <w:highlight w:val="none"/>
                <w:lang w:val="en-US" w:eastAsia="zh-CN"/>
              </w:rPr>
              <w:t xml:space="preserve">投标单位</w:t>
            </w:r>
            <w:r>
              <w:rPr>
                <w:rFonts w:hint="eastAsia" w:ascii="宋体" w:hAnsi="宋体" w:eastAsia="宋体" w:cs="宋体"/>
                <w:b/>
                <w:bCs/>
                <w:color w:val="auto"/>
                <w:szCs w:val="21"/>
                <w:highlight w:val="none"/>
              </w:rPr>
              <w:t xml:space="preserve">公章，否则不得分。</w:t>
            </w:r>
            <w:r/>
          </w:p>
        </w:tc>
      </w:tr>
    </w:tbl>
    <w:p>
      <w:pPr>
        <w:ind w:firstLine="422"/>
        <w:keepLines w:val="0"/>
        <w:keepNext w:val="0"/>
        <w:pageBreakBefore w:val="0"/>
        <w:spacing w:line="360" w:lineRule="auto"/>
        <w:widowControl w:val="off"/>
        <w:rPr>
          <w:rFonts w:hint="eastAsia" w:ascii="Times New Roman" w:hAnsi="Times New Roman" w:eastAsia="宋体" w:cs="宋体"/>
          <w:b/>
          <w:bCs/>
          <w:color w:val="auto"/>
          <w:sz w:val="21"/>
          <w:szCs w:val="21"/>
          <w:highlight w:val="none"/>
          <w:lang w:val="en-US" w:eastAsia="zh-CN"/>
        </w:rPr>
      </w:pPr>
      <w:r>
        <w:rPr>
          <w:rFonts w:hint="eastAsia" w:ascii="Times New Roman" w:hAnsi="Times New Roman" w:eastAsia="宋体" w:cs="宋体"/>
          <w:b/>
          <w:bCs/>
          <w:color w:val="auto"/>
          <w:sz w:val="21"/>
          <w:szCs w:val="21"/>
          <w:highlight w:val="none"/>
          <w:lang w:val="en-US" w:eastAsia="zh-CN"/>
        </w:rPr>
      </w:r>
      <w:r/>
    </w:p>
    <w:p>
      <w:pPr>
        <w:keepLines w:val="0"/>
        <w:keepNext w:val="0"/>
        <w:pageBreakBefore w:val="0"/>
        <w:spacing w:line="360" w:lineRule="auto"/>
        <w:widowControl w:val="off"/>
        <w:rPr>
          <w:rFonts w:hint="eastAsia" w:ascii="Times New Roman" w:hAnsi="Times New Roman" w:eastAsia="宋体" w:cs="宋体"/>
          <w:b/>
          <w:bCs/>
          <w:color w:val="auto"/>
          <w:sz w:val="21"/>
          <w:szCs w:val="21"/>
          <w:highlight w:val="none"/>
          <w:lang w:val="en-US" w:eastAsia="zh-CN"/>
        </w:rPr>
      </w:pPr>
      <w:r>
        <w:rPr>
          <w:rFonts w:hint="eastAsia" w:ascii="Times New Roman" w:hAnsi="Times New Roman" w:eastAsia="宋体" w:cs="宋体"/>
          <w:b/>
          <w:bCs/>
          <w:color w:val="auto"/>
          <w:sz w:val="21"/>
          <w:szCs w:val="21"/>
          <w:highlight w:val="none"/>
          <w:lang w:val="en-US" w:eastAsia="zh-CN"/>
        </w:rPr>
      </w:r>
      <w:r/>
    </w:p>
    <w:p>
      <w:pPr>
        <w:ind w:firstLine="422"/>
        <w:keepLines w:val="0"/>
        <w:keepNext w:val="0"/>
        <w:pageBreakBefore w:val="0"/>
        <w:spacing w:line="360" w:lineRule="auto"/>
        <w:widowControl w:val="off"/>
        <w:rPr>
          <w:rFonts w:hint="eastAsia" w:ascii="Times New Roman" w:hAnsi="Times New Roman" w:eastAsia="宋体" w:cs="宋体"/>
          <w:b/>
          <w:color w:val="auto"/>
          <w:szCs w:val="21"/>
          <w:highlight w:val="none"/>
        </w:rPr>
      </w:pPr>
      <w:r>
        <w:rPr>
          <w:rFonts w:hint="eastAsia" w:ascii="Times New Roman" w:hAnsi="Times New Roman" w:eastAsia="宋体" w:cs="宋体"/>
          <w:b/>
          <w:bCs/>
          <w:color w:val="auto"/>
          <w:sz w:val="21"/>
          <w:szCs w:val="21"/>
          <w:highlight w:val="none"/>
          <w:lang w:val="en-US" w:eastAsia="zh-CN"/>
        </w:rPr>
        <w:t xml:space="preserve">四、</w:t>
      </w:r>
      <w:r>
        <w:rPr>
          <w:rFonts w:hint="eastAsia" w:ascii="Times New Roman" w:hAnsi="Times New Roman" w:eastAsia="宋体" w:cs="宋体"/>
          <w:b/>
          <w:bCs/>
          <w:color w:val="auto"/>
          <w:highlight w:val="none"/>
        </w:rPr>
        <w:t xml:space="preserve">本次采购执行财政部发布《关于推动解决政府采购异常低价问题的通知》财库〔2026〕2号）的文件要求。</w:t>
      </w:r>
      <w:r/>
    </w:p>
    <w:p>
      <w:pPr>
        <w:ind w:firstLine="422"/>
        <w:keepLines w:val="0"/>
        <w:keepNext w:val="0"/>
        <w:pageBreakBefore w:val="0"/>
        <w:spacing w:line="360" w:lineRule="auto"/>
        <w:widowControl w:val="off"/>
        <w:rPr>
          <w:rFonts w:hint="eastAsia"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rPr>
        <w:t xml:space="preserve">（一）政府采购评审中出现下列情形之一的，评审委员会应当启动异常低价投标（响应）审查程序：</w:t>
      </w:r>
      <w:r/>
    </w:p>
    <w:p>
      <w:pPr>
        <w:ind w:firstLine="422"/>
        <w:pageBreakBefore w:val="0"/>
        <w:spacing w:line="360" w:lineRule="auto"/>
        <w:rPr>
          <w:rFonts w:hint="eastAsia"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rPr>
        <w:t xml:space="preserve">1.投标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响应)报价低于全部通过符合性审查供应商投标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响应)报价平均值50%的</w:t>
      </w:r>
      <w:r>
        <w:rPr>
          <w:rFonts w:hint="eastAsia" w:ascii="Times New Roman" w:hAnsi="Times New Roman" w:eastAsia="宋体" w:cs="宋体"/>
          <w:b w:val="0"/>
          <w:bCs w:val="0"/>
          <w:color w:val="auto"/>
          <w:szCs w:val="21"/>
          <w:highlight w:val="none"/>
        </w:rPr>
        <w:t xml:space="preserve">，即投标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响应)报价〈全部通过符合性审查供应商投标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响应)报价平均值</w:t>
      </w:r>
      <w:r>
        <w:rPr>
          <w:rFonts w:hint="eastAsia" w:ascii="Times New Roman" w:hAnsi="Times New Roman" w:eastAsia="宋体"/>
          <w:b/>
          <w:bCs/>
          <w:color w:val="auto"/>
          <w:sz w:val="21"/>
          <w:szCs w:val="21"/>
          <w:highlight w:val="none"/>
          <w:lang w:val="en-US" w:eastAsia="zh-CN"/>
        </w:rPr>
        <w:t xml:space="preserve">×</w:t>
      </w:r>
      <w:r>
        <w:rPr>
          <w:rFonts w:hint="eastAsia" w:ascii="Times New Roman" w:hAnsi="Times New Roman" w:eastAsia="宋体" w:cs="宋体"/>
          <w:b w:val="0"/>
          <w:bCs w:val="0"/>
          <w:color w:val="auto"/>
          <w:szCs w:val="21"/>
          <w:highlight w:val="none"/>
        </w:rPr>
        <w:t xml:space="preserve">50%；</w:t>
      </w:r>
      <w:r/>
    </w:p>
    <w:p>
      <w:pPr>
        <w:ind w:firstLine="422"/>
        <w:pageBreakBefore w:val="0"/>
        <w:spacing w:line="360" w:lineRule="auto"/>
        <w:rPr>
          <w:rFonts w:hint="eastAsia"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rPr>
        <w:t xml:space="preserve">2.投标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响应)报价低于通过符合性审查的次低报价供应商投标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响应)报价50%的，即投标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响应)报价〈通过符合性审查的次低报价供应商投标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响应)报价</w:t>
      </w:r>
      <w:r>
        <w:rPr>
          <w:rFonts w:hint="eastAsia" w:ascii="Times New Roman" w:hAnsi="Times New Roman" w:eastAsia="宋体"/>
          <w:b/>
          <w:bCs/>
          <w:color w:val="auto"/>
          <w:sz w:val="21"/>
          <w:szCs w:val="21"/>
          <w:highlight w:val="none"/>
          <w:lang w:val="en-US" w:eastAsia="zh-CN"/>
        </w:rPr>
        <w:t xml:space="preserve">×</w:t>
      </w:r>
      <w:r>
        <w:rPr>
          <w:rFonts w:hint="eastAsia" w:ascii="Times New Roman" w:hAnsi="Times New Roman" w:eastAsia="宋体" w:cs="宋体"/>
          <w:b w:val="0"/>
          <w:bCs w:val="0"/>
          <w:color w:val="auto"/>
          <w:szCs w:val="21"/>
          <w:highlight w:val="none"/>
        </w:rPr>
        <w:t xml:space="preserve">50%；</w:t>
      </w:r>
      <w:r/>
    </w:p>
    <w:p>
      <w:pPr>
        <w:ind w:firstLine="422"/>
        <w:pageBreakBefore w:val="0"/>
        <w:spacing w:line="360" w:lineRule="auto"/>
        <w:rPr>
          <w:rFonts w:hint="eastAsia"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rPr>
        <w:t xml:space="preserve">3.投标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响应)报价低于采购项目最高限价45%的，即投标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响应)报价&lt;采购项目最高限价</w:t>
      </w:r>
      <w:r>
        <w:rPr>
          <w:rFonts w:hint="eastAsia" w:ascii="Times New Roman" w:hAnsi="Times New Roman" w:eastAsia="宋体"/>
          <w:b/>
          <w:bCs/>
          <w:color w:val="auto"/>
          <w:sz w:val="21"/>
          <w:szCs w:val="21"/>
          <w:highlight w:val="none"/>
          <w:lang w:val="en-US" w:eastAsia="zh-CN"/>
        </w:rPr>
        <w:t xml:space="preserve">×</w:t>
      </w:r>
      <w:r>
        <w:rPr>
          <w:rFonts w:hint="eastAsia" w:ascii="Times New Roman" w:hAnsi="Times New Roman" w:eastAsia="宋体" w:cs="宋体"/>
          <w:b w:val="0"/>
          <w:bCs w:val="0"/>
          <w:color w:val="auto"/>
          <w:szCs w:val="21"/>
          <w:highlight w:val="none"/>
        </w:rPr>
        <w:t xml:space="preserve">45%；</w:t>
      </w:r>
      <w:r/>
    </w:p>
    <w:p>
      <w:pPr>
        <w:ind w:firstLine="422"/>
        <w:pageBreakBefore w:val="0"/>
        <w:spacing w:line="360" w:lineRule="auto"/>
        <w:rPr>
          <w:rFonts w:hint="eastAsia"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rPr>
        <w:t xml:space="preserve">4.评审委员会基于专业判断，认为供应商报价过低，有可能影响产品质量或者不能诚信履约的其他情形。</w:t>
      </w:r>
      <w:r/>
    </w:p>
    <w:p>
      <w:pPr>
        <w:ind w:firstLine="422"/>
        <w:pageBreakBefore w:val="0"/>
        <w:spacing w:line="360" w:lineRule="auto"/>
        <w:rPr>
          <w:rFonts w:hint="eastAsia"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lang w:val="en-US" w:eastAsia="zh-CN"/>
        </w:rPr>
        <w:t xml:space="preserve">二</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评审委员会启动异常低价投标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响应)审查后，属于前述第1项至第4项情形的，应当要求相关供应商在评审现场合理的时间内对投标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价格作出解释，提供项目具体成本测算等与报价合理性相关的书面说明及必要的证明材料，包括但不限于原材料成本、人工成本、制造费用等，给予相关供应商的合理时间不少于30分钟。其中，属于第3项情形，供应商已随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响应)文件一并提交相关书面说明及必要的证明材料的，在评审现场可不再重复提交。</w:t>
      </w:r>
      <w:r/>
    </w:p>
    <w:p>
      <w:pPr>
        <w:ind w:firstLine="422"/>
        <w:pageBreakBefore w:val="0"/>
        <w:spacing w:line="360" w:lineRule="auto"/>
        <w:rPr>
          <w:rFonts w:hint="eastAsia"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lang w:val="en-US" w:eastAsia="zh-CN"/>
        </w:rPr>
        <w:t xml:space="preserve">三</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评审委员会依据专业经验，参考同类项目中标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成交)价格、类似产品市场价格水平、行业人工费用标准、国家有关部门指导行业协会发布的行业平均成本等情况，对报价合理性进行判断。投标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响应)供应商不能提供书面说明、证明材料，或者提供的书面说明、证明材料不能证明其报价合理性的，评审委员会应当将其作为无效投标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响应)处理。</w:t>
      </w:r>
      <w:r/>
    </w:p>
    <w:p>
      <w:pPr>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br w:type="page" w:clear="all"/>
      </w:r>
      <w:r/>
    </w:p>
    <w:p>
      <w:pPr>
        <w:pStyle w:val="719"/>
        <w:pageBreakBefore w:val="0"/>
        <w:spacing w:line="360" w:lineRule="auto"/>
        <w:rPr>
          <w:rFonts w:ascii="Times New Roman" w:hAnsi="Times New Roman" w:eastAsia="宋体"/>
          <w:color w:val="auto"/>
          <w:highlight w:val="none"/>
        </w:rPr>
      </w:pPr>
      <w:r/>
      <w:bookmarkStart w:id="91" w:name="_Toc8012"/>
      <w:r/>
      <w:bookmarkStart w:id="92" w:name="_Toc3287"/>
      <w:r/>
      <w:bookmarkStart w:id="93" w:name="_Toc24650"/>
      <w:r/>
      <w:bookmarkStart w:id="94" w:name="_Toc20299"/>
      <w:r/>
      <w:bookmarkStart w:id="95" w:name="_Toc27845"/>
      <w:r/>
      <w:bookmarkStart w:id="96" w:name="_Toc1523"/>
      <w:r>
        <w:rPr>
          <w:rFonts w:hint="eastAsia" w:ascii="Times New Roman" w:hAnsi="Times New Roman" w:eastAsia="宋体"/>
          <w:color w:val="auto"/>
          <w:highlight w:val="none"/>
        </w:rPr>
        <w:t xml:space="preserve">第六章 投标文件格式</w:t>
      </w:r>
      <w:bookmarkEnd w:id="91"/>
      <w:r/>
      <w:bookmarkEnd w:id="92"/>
      <w:r/>
      <w:bookmarkEnd w:id="93"/>
      <w:r/>
      <w:bookmarkEnd w:id="94"/>
      <w:r/>
      <w:bookmarkEnd w:id="95"/>
      <w:r/>
      <w:bookmarkEnd w:id="96"/>
      <w:r>
        <w:rPr>
          <w:rFonts w:hint="eastAsia" w:ascii="Times New Roman" w:hAnsi="Times New Roman" w:eastAsia="宋体"/>
          <w:color w:val="auto"/>
          <w:highlight w:val="none"/>
        </w:rPr>
        <w:t xml:space="preserve"> </w:t>
      </w:r>
      <w:r/>
    </w:p>
    <w:p>
      <w:pPr>
        <w:pageBreakBefore w:val="0"/>
        <w:spacing w:line="360" w:lineRule="auto"/>
        <w:rPr>
          <w:rFonts w:hint="eastAsia" w:ascii="Times New Roman" w:hAnsi="Times New Roman" w:eastAsia="宋体" w:cs="宋体"/>
          <w:bCs/>
          <w:color w:val="auto"/>
          <w:sz w:val="44"/>
          <w:highlight w:val="none"/>
        </w:rPr>
      </w:pPr>
      <w:r>
        <w:rPr>
          <w:rFonts w:hint="eastAsia" w:ascii="Times New Roman" w:hAnsi="Times New Roman" w:eastAsia="宋体" w:cs="宋体"/>
          <w:bCs/>
          <w:color w:val="auto"/>
          <w:sz w:val="44"/>
          <w:highlight w:val="none"/>
        </w:rPr>
      </w:r>
      <w:r/>
    </w:p>
    <w:p>
      <w:pPr>
        <w:pStyle w:val="735"/>
        <w:pageBreakBefore w:val="0"/>
        <w:spacing w:after="0" w:line="360" w:lineRule="auto"/>
        <w:rPr>
          <w:rFonts w:hint="eastAsia" w:ascii="Times New Roman" w:hAnsi="Times New Roman" w:eastAsia="宋体" w:cs="宋体"/>
          <w:bCs/>
          <w:color w:val="auto"/>
          <w:sz w:val="44"/>
          <w:highlight w:val="none"/>
        </w:rPr>
      </w:pPr>
      <w:r>
        <w:rPr>
          <w:rFonts w:hint="eastAsia" w:ascii="Times New Roman" w:hAnsi="Times New Roman" w:eastAsia="宋体" w:cs="宋体"/>
          <w:bCs/>
          <w:color w:val="auto"/>
          <w:sz w:val="44"/>
          <w:highlight w:val="none"/>
        </w:rPr>
      </w:r>
      <w:r/>
    </w:p>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jc w:val="center"/>
        <w:pageBreakBefore w:val="0"/>
        <w:spacing w:line="360" w:lineRule="auto"/>
        <w:rPr>
          <w:rFonts w:hint="eastAsia" w:ascii="Times New Roman" w:hAnsi="Times New Roman" w:eastAsia="宋体" w:cs="宋体"/>
          <w:b/>
          <w:color w:val="auto"/>
          <w:sz w:val="72"/>
          <w:highlight w:val="none"/>
        </w:rPr>
      </w:pPr>
      <w:r>
        <w:rPr>
          <w:rFonts w:hint="eastAsia" w:ascii="Times New Roman" w:hAnsi="Times New Roman" w:eastAsia="宋体" w:cs="宋体"/>
          <w:b/>
          <w:color w:val="auto"/>
          <w:sz w:val="72"/>
          <w:highlight w:val="none"/>
        </w:rPr>
        <w:t xml:space="preserve">投  标  文  件</w:t>
      </w:r>
      <w:r/>
    </w:p>
    <w:p>
      <w:pPr>
        <w:jc w:val="center"/>
        <w:pageBreakBefore w:val="0"/>
        <w:spacing w:line="360" w:lineRule="auto"/>
        <w:rPr>
          <w:rFonts w:hint="eastAsia" w:ascii="Times New Roman" w:hAnsi="Times New Roman" w:eastAsia="宋体" w:cs="宋体"/>
          <w:b/>
          <w:color w:val="auto"/>
          <w:sz w:val="72"/>
          <w:highlight w:val="none"/>
        </w:rPr>
      </w:pPr>
      <w:r>
        <w:rPr>
          <w:rFonts w:hint="eastAsia" w:ascii="Times New Roman" w:hAnsi="Times New Roman" w:eastAsia="宋体" w:cs="宋体"/>
          <w:b/>
          <w:color w:val="auto"/>
          <w:sz w:val="72"/>
          <w:highlight w:val="none"/>
        </w:rPr>
      </w:r>
      <w:r/>
    </w:p>
    <w:p>
      <w:pPr>
        <w:jc w:val="center"/>
        <w:pageBreakBefore w:val="0"/>
        <w:spacing w:line="360" w:lineRule="auto"/>
        <w:rPr>
          <w:rFonts w:hint="eastAsia" w:ascii="Times New Roman" w:hAnsi="Times New Roman" w:eastAsia="宋体" w:cs="宋体"/>
          <w:b/>
          <w:color w:val="auto"/>
          <w:sz w:val="72"/>
          <w:highlight w:val="none"/>
        </w:rPr>
      </w:pPr>
      <w:r>
        <w:rPr>
          <w:rFonts w:hint="eastAsia" w:ascii="Times New Roman" w:hAnsi="Times New Roman" w:eastAsia="宋体" w:cs="宋体"/>
          <w:b/>
          <w:color w:val="auto"/>
          <w:sz w:val="72"/>
          <w:highlight w:val="none"/>
        </w:rPr>
      </w:r>
      <w:r/>
    </w:p>
    <w:p>
      <w:pPr>
        <w:jc w:val="center"/>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jc w:val="center"/>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jc w:val="center"/>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jc w:val="center"/>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jc w:val="center"/>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ind w:firstLine="1084"/>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t xml:space="preserve">项 目 名 称：</w:t>
      </w:r>
      <w:r/>
    </w:p>
    <w:p>
      <w:pPr>
        <w:ind w:firstLine="1084"/>
        <w:pageBreakBefore w:val="0"/>
        <w:spacing w:line="360" w:lineRule="auto"/>
        <w:rPr>
          <w:rFonts w:hint="eastAsia" w:ascii="Times New Roman" w:hAnsi="Times New Roman" w:eastAsia="宋体" w:cs="宋体"/>
          <w:b/>
          <w:color w:val="auto"/>
          <w:sz w:val="36"/>
          <w:highlight w:val="none"/>
          <w:u w:val="single"/>
        </w:rPr>
      </w:pPr>
      <w:r>
        <w:rPr>
          <w:rFonts w:hint="eastAsia" w:ascii="Times New Roman" w:hAnsi="Times New Roman" w:eastAsia="宋体" w:cs="宋体"/>
          <w:b/>
          <w:color w:val="auto"/>
          <w:sz w:val="36"/>
          <w:highlight w:val="none"/>
        </w:rPr>
        <w:t xml:space="preserve">招 标 编 号：</w:t>
      </w:r>
      <w:r/>
    </w:p>
    <w:p>
      <w:pPr>
        <w:pageBreakBefore w:val="0"/>
        <w:spacing w:line="360" w:lineRule="auto"/>
        <w:rPr>
          <w:rFonts w:hint="eastAsia" w:ascii="Times New Roman" w:hAnsi="Times New Roman" w:eastAsia="宋体" w:cs="宋体"/>
          <w:b/>
          <w:color w:val="auto"/>
          <w:sz w:val="36"/>
          <w:highlight w:val="none"/>
          <w:u w:val="single"/>
        </w:rPr>
      </w:pPr>
      <w:r>
        <w:rPr>
          <w:rFonts w:hint="eastAsia" w:ascii="Times New Roman" w:hAnsi="Times New Roman" w:eastAsia="宋体" w:cs="宋体"/>
          <w:b/>
          <w:color w:val="auto"/>
          <w:sz w:val="36"/>
          <w:highlight w:val="none"/>
        </w:rPr>
        <w:t xml:space="preserve">      投标人名称 ：</w:t>
      </w:r>
      <w:r/>
    </w:p>
    <w:p>
      <w:pPr>
        <w:pageBreakBefore w:val="0"/>
        <w:spacing w:line="360" w:lineRule="auto"/>
        <w:rPr>
          <w:rFonts w:hint="eastAsia" w:ascii="Times New Roman" w:hAnsi="Times New Roman" w:eastAsia="宋体" w:cs="宋体"/>
          <w:b/>
          <w:color w:val="auto"/>
          <w:sz w:val="36"/>
          <w:highlight w:val="none"/>
          <w:u w:val="single"/>
        </w:rPr>
      </w:pPr>
      <w:r>
        <w:rPr>
          <w:rFonts w:hint="eastAsia" w:ascii="Times New Roman" w:hAnsi="Times New Roman" w:eastAsia="宋体" w:cs="宋体"/>
          <w:b/>
          <w:color w:val="auto"/>
          <w:sz w:val="36"/>
          <w:highlight w:val="none"/>
        </w:rPr>
        <w:t xml:space="preserve">      日      期 ：</w:t>
      </w:r>
      <w:r/>
    </w:p>
    <w:p>
      <w:pPr>
        <w:ind w:firstLine="1084"/>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t xml:space="preserve">投  标  人：（电子签章）</w:t>
      </w:r>
      <w:r/>
    </w:p>
    <w:p>
      <w:pPr>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t xml:space="preserve">投标主要文件目录</w:t>
      </w:r>
      <w:r/>
    </w:p>
    <w:p>
      <w:pPr>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ind w:firstLine="480"/>
        <w:pageBreakBefore w:val="0"/>
        <w:spacing w:line="360" w:lineRule="auto"/>
        <w:rPr>
          <w:rFonts w:hint="eastAsia"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一、资格审查响应对照表</w:t>
      </w:r>
      <w:r/>
    </w:p>
    <w:p>
      <w:pPr>
        <w:ind w:left="480"/>
        <w:pageBreakBefore w:val="0"/>
        <w:spacing w:line="360" w:lineRule="auto"/>
        <w:rPr>
          <w:rFonts w:hint="eastAsia"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二、符合性审查响应对照表</w:t>
      </w:r>
      <w:r/>
    </w:p>
    <w:p>
      <w:pPr>
        <w:ind w:left="480"/>
        <w:pageBreakBefore w:val="0"/>
        <w:spacing w:line="360" w:lineRule="auto"/>
        <w:rPr>
          <w:rFonts w:hint="eastAsia"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三、非实质性响应对照表</w:t>
      </w:r>
      <w:r/>
    </w:p>
    <w:p>
      <w:pPr>
        <w:ind w:firstLine="480"/>
        <w:pageBreakBefore w:val="0"/>
        <w:spacing w:line="360" w:lineRule="auto"/>
        <w:rPr>
          <w:rFonts w:hint="eastAsia" w:ascii="Times New Roman" w:hAnsi="Times New Roman" w:eastAsia="宋体" w:cs="宋体"/>
          <w:b/>
          <w:bCs/>
          <w:color w:val="auto"/>
          <w:sz w:val="24"/>
          <w:highlight w:val="none"/>
        </w:rPr>
      </w:pPr>
      <w:r>
        <w:rPr>
          <w:rFonts w:hint="eastAsia" w:ascii="Times New Roman" w:hAnsi="Times New Roman" w:eastAsia="宋体" w:cs="宋体"/>
          <w:color w:val="auto"/>
          <w:sz w:val="24"/>
          <w:highlight w:val="none"/>
        </w:rPr>
        <w:t xml:space="preserve">四</w:t>
      </w:r>
      <w:r>
        <w:rPr>
          <w:rFonts w:hint="eastAsia" w:ascii="Times New Roman" w:hAnsi="Times New Roman" w:eastAsia="宋体" w:cs="宋体"/>
          <w:b/>
          <w:bCs/>
          <w:color w:val="auto"/>
          <w:sz w:val="24"/>
          <w:highlight w:val="none"/>
        </w:rPr>
        <w:t xml:space="preserve">、</w:t>
      </w:r>
      <w:r>
        <w:rPr>
          <w:rFonts w:hint="eastAsia" w:ascii="Times New Roman" w:hAnsi="Times New Roman" w:eastAsia="宋体" w:cs="宋体"/>
          <w:i/>
          <w:color w:val="auto"/>
          <w:sz w:val="24"/>
          <w:highlight w:val="none"/>
          <w:u w:val="single"/>
        </w:rPr>
        <w:t xml:space="preserve">开标一览表</w:t>
      </w:r>
      <w:r/>
    </w:p>
    <w:p>
      <w:pPr>
        <w:ind w:firstLine="480"/>
        <w:pageBreakBefore w:val="0"/>
        <w:spacing w:line="360" w:lineRule="auto"/>
        <w:rPr>
          <w:rFonts w:hint="eastAsia"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五、投标配置与分项报价表</w:t>
      </w:r>
      <w:r/>
    </w:p>
    <w:p>
      <w:pPr>
        <w:ind w:firstLine="480"/>
        <w:pageBreakBefore w:val="0"/>
        <w:spacing w:line="360" w:lineRule="auto"/>
        <w:rPr>
          <w:rFonts w:hint="eastAsia"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六</w:t>
      </w:r>
      <w:r>
        <w:rPr>
          <w:rFonts w:hint="eastAsia" w:ascii="Times New Roman" w:hAnsi="Times New Roman" w:eastAsia="宋体" w:cs="宋体"/>
          <w:color w:val="auto"/>
          <w:sz w:val="24"/>
          <w:szCs w:val="24"/>
          <w:highlight w:val="none"/>
        </w:rPr>
        <w:t xml:space="preserve">、技术参数响应及偏离表</w:t>
      </w:r>
      <w:r/>
    </w:p>
    <w:p>
      <w:pPr>
        <w:ind w:firstLine="480"/>
        <w:pageBreakBefore w:val="0"/>
        <w:spacing w:line="360" w:lineRule="auto"/>
        <w:rPr>
          <w:rFonts w:hint="eastAsia"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七、商务条款响应及偏离表</w:t>
      </w:r>
      <w:r/>
    </w:p>
    <w:p>
      <w:pPr>
        <w:ind w:firstLine="480"/>
        <w:pageBreakBefore w:val="0"/>
        <w:spacing w:line="360" w:lineRule="auto"/>
        <w:rPr>
          <w:rFonts w:hint="eastAsia" w:ascii="Times New Roman" w:hAnsi="Times New Roman" w:eastAsia="宋体" w:cs="宋体"/>
          <w:color w:val="auto"/>
          <w:sz w:val="36"/>
          <w:szCs w:val="36"/>
          <w:highlight w:val="none"/>
        </w:rPr>
      </w:pPr>
      <w:r>
        <w:rPr>
          <w:rFonts w:hint="eastAsia" w:ascii="Times New Roman" w:hAnsi="Times New Roman" w:eastAsia="宋体" w:cs="宋体"/>
          <w:color w:val="auto"/>
          <w:sz w:val="24"/>
          <w:highlight w:val="none"/>
        </w:rPr>
        <w:t xml:space="preserve">八、其他 （投标人认为有必要提供的声明和文件，如有自拟并自行添加）</w:t>
      </w:r>
      <w:r/>
    </w:p>
    <w:p>
      <w:pPr>
        <w:contextualSpacing/>
        <w:jc w:val="center"/>
        <w:pageBreakBefore w:val="0"/>
        <w:spacing w:line="360" w:lineRule="auto"/>
        <w:rPr>
          <w:rFonts w:hint="eastAsia" w:ascii="Times New Roman" w:hAnsi="Times New Roman" w:eastAsia="宋体" w:cs="宋体"/>
          <w:b/>
          <w:color w:val="auto"/>
          <w:sz w:val="72"/>
          <w:highlight w:val="none"/>
        </w:rPr>
      </w:pPr>
      <w:r>
        <w:rPr>
          <w:rFonts w:hint="eastAsia" w:ascii="Times New Roman" w:hAnsi="Times New Roman" w:eastAsia="宋体" w:cs="宋体"/>
          <w:b/>
          <w:color w:val="auto"/>
          <w:sz w:val="72"/>
          <w:highlight w:val="none"/>
        </w:rPr>
      </w:r>
      <w:r/>
    </w:p>
    <w:p>
      <w:pPr>
        <w:contextualSpacing/>
        <w:jc w:val="center"/>
        <w:pageBreakBefore w:val="0"/>
        <w:spacing w:line="360" w:lineRule="auto"/>
        <w:rPr>
          <w:rFonts w:hint="eastAsia" w:ascii="Times New Roman" w:hAnsi="Times New Roman" w:eastAsia="宋体" w:cs="宋体"/>
          <w:b/>
          <w:color w:val="auto"/>
          <w:sz w:val="72"/>
          <w:highlight w:val="none"/>
        </w:rPr>
      </w:pPr>
      <w:r>
        <w:rPr>
          <w:rFonts w:hint="eastAsia" w:ascii="Times New Roman" w:hAnsi="Times New Roman" w:eastAsia="宋体" w:cs="宋体"/>
          <w:b/>
          <w:color w:val="auto"/>
          <w:sz w:val="72"/>
          <w:highlight w:val="none"/>
        </w:rPr>
      </w:r>
      <w:r/>
    </w:p>
    <w:p>
      <w:pPr>
        <w:contextualSpacing/>
        <w:jc w:val="center"/>
        <w:pageBreakBefore w:val="0"/>
        <w:spacing w:line="360" w:lineRule="auto"/>
        <w:rPr>
          <w:rFonts w:hint="eastAsia" w:ascii="Times New Roman" w:hAnsi="Times New Roman" w:eastAsia="宋体" w:cs="宋体"/>
          <w:b/>
          <w:color w:val="auto"/>
          <w:sz w:val="72"/>
          <w:highlight w:val="none"/>
        </w:rPr>
      </w:pPr>
      <w:r>
        <w:rPr>
          <w:rFonts w:hint="eastAsia" w:ascii="Times New Roman" w:hAnsi="Times New Roman" w:eastAsia="宋体" w:cs="宋体"/>
          <w:b/>
          <w:color w:val="auto"/>
          <w:sz w:val="72"/>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pageBreakBefore w:val="0"/>
        <w:spacing w:line="360" w:lineRule="auto"/>
        <w:rPr>
          <w:rFonts w:hint="eastAsia" w:ascii="Times New Roman" w:hAnsi="Times New Roman" w:eastAsia="宋体" w:cs="宋体"/>
          <w:b/>
          <w:color w:val="auto"/>
          <w:sz w:val="32"/>
          <w:szCs w:val="32"/>
          <w:highlight w:val="none"/>
        </w:rPr>
      </w:pPr>
      <w:r>
        <w:rPr>
          <w:rFonts w:hint="eastAsia" w:ascii="Times New Roman" w:hAnsi="Times New Roman" w:eastAsia="宋体" w:cs="宋体"/>
          <w:b/>
          <w:color w:val="auto"/>
          <w:sz w:val="32"/>
          <w:szCs w:val="32"/>
          <w:highlight w:val="none"/>
        </w:rPr>
      </w:r>
      <w:r/>
    </w:p>
    <w:p>
      <w:pPr>
        <w:pStyle w:val="720"/>
        <w:jc w:val="center"/>
        <w:pageBreakBefore w:val="0"/>
        <w:spacing w:before="0" w:after="0" w:line="360" w:lineRule="auto"/>
        <w:rPr>
          <w:rFonts w:ascii="Times New Roman" w:hAnsi="Times New Roman" w:eastAsia="宋体"/>
          <w:b w:val="0"/>
          <w:color w:val="auto"/>
          <w:sz w:val="32"/>
          <w:szCs w:val="32"/>
          <w:highlight w:val="none"/>
        </w:rPr>
      </w:pPr>
      <w:r>
        <w:rPr>
          <w:rFonts w:hint="eastAsia" w:ascii="Times New Roman" w:hAnsi="Times New Roman" w:eastAsia="宋体" w:cs="宋体"/>
          <w:color w:val="auto"/>
          <w:sz w:val="32"/>
          <w:szCs w:val="32"/>
          <w:highlight w:val="none"/>
        </w:rPr>
        <w:br w:type="page" w:clear="all"/>
      </w:r>
      <w:bookmarkStart w:id="97" w:name="_Toc26156"/>
      <w:r/>
      <w:bookmarkStart w:id="98" w:name="_Toc7268"/>
      <w:r/>
      <w:bookmarkStart w:id="99" w:name="_Toc5792"/>
      <w:r/>
      <w:bookmarkStart w:id="100" w:name="_Toc20369"/>
      <w:r/>
      <w:bookmarkStart w:id="101" w:name="_Toc1107"/>
      <w:r>
        <w:rPr>
          <w:rFonts w:hint="eastAsia" w:ascii="Times New Roman" w:hAnsi="Times New Roman" w:eastAsia="宋体" w:cs="宋体"/>
          <w:b/>
          <w:bCs/>
          <w:color w:val="auto"/>
          <w:sz w:val="32"/>
          <w:highlight w:val="none"/>
        </w:rPr>
        <w:t xml:space="preserve">一、</w:t>
      </w:r>
      <w:bookmarkEnd w:id="97"/>
      <w:r/>
      <w:bookmarkEnd w:id="98"/>
      <w:r/>
      <w:bookmarkEnd w:id="99"/>
      <w:r/>
      <w:bookmarkEnd w:id="100"/>
      <w:r/>
      <w:bookmarkEnd w:id="101"/>
      <w:r>
        <w:rPr>
          <w:rFonts w:hint="eastAsia" w:ascii="Times New Roman" w:hAnsi="Times New Roman" w:eastAsia="宋体"/>
          <w:b/>
          <w:bCs/>
          <w:color w:val="auto"/>
          <w:sz w:val="32"/>
          <w:highlight w:val="none"/>
        </w:rPr>
        <w:t xml:space="preserve">资格审查响应对照表</w:t>
      </w:r>
      <w:r/>
    </w:p>
    <w:tbl>
      <w:tblPr>
        <w:tblStyle w:val="729"/>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854"/>
        <w:gridCol w:w="1751"/>
      </w:tblGrid>
      <w:tr>
        <w:trPr>
          <w:trHeight w:val="647"/>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序号</w:t>
            </w:r>
            <w:r/>
          </w:p>
        </w:tc>
        <w:tc>
          <w:tcPr>
            <w:tcW w:w="5854"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资格审查响应内容</w:t>
            </w:r>
            <w:r/>
          </w:p>
        </w:tc>
        <w:tc>
          <w:tcPr>
            <w:tcW w:w="1751"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是否响应</w:t>
            </w:r>
            <w:r/>
          </w:p>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lang w:eastAsia="zh-CN"/>
              </w:rPr>
              <w:t xml:space="preserve">（</w:t>
            </w:r>
            <w:r>
              <w:rPr>
                <w:rFonts w:hint="eastAsia" w:ascii="Times New Roman" w:hAnsi="Times New Roman" w:eastAsia="宋体"/>
                <w:b/>
                <w:color w:val="auto"/>
                <w:szCs w:val="21"/>
                <w:highlight w:val="none"/>
              </w:rPr>
              <w:t xml:space="preserve">填是或者否）</w:t>
            </w:r>
            <w:r/>
          </w:p>
        </w:tc>
      </w:tr>
      <w:tr>
        <w:trPr>
          <w:trHeight w:val="335"/>
        </w:trPr>
        <w:tc>
          <w:tcPr>
            <w:gridSpan w:val="3"/>
            <w:tcW w:w="8251"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通用资格条件</w:t>
            </w:r>
            <w:r/>
          </w:p>
        </w:tc>
      </w:tr>
      <w:tr>
        <w:trPr>
          <w:trHeight w:val="761"/>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olor w:val="auto"/>
                <w:szCs w:val="21"/>
                <w:highlight w:val="none"/>
              </w:rPr>
              <w:t xml:space="preserve">1</w:t>
            </w:r>
            <w:r/>
          </w:p>
        </w:tc>
        <w:tc>
          <w:tcPr>
            <w:shd w:val="clear" w:color="auto" w:fill="auto"/>
            <w:tcW w:w="5854"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法人或者其他组织的营业执照等证明文件，自然人的身份证明</w:t>
            </w:r>
            <w:r/>
          </w:p>
        </w:tc>
        <w:tc>
          <w:tcPr>
            <w:tcW w:w="1751"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2</w:t>
            </w:r>
            <w:r/>
          </w:p>
        </w:tc>
        <w:tc>
          <w:tcPr>
            <w:shd w:val="clear" w:color="auto" w:fill="auto"/>
            <w:tcW w:w="5854" w:type="dxa"/>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lang w:eastAsia="zh-CN"/>
              </w:rPr>
              <w:t xml:space="preserve">上一年度</w:t>
            </w:r>
            <w:r>
              <w:rPr>
                <w:rFonts w:hint="eastAsia" w:ascii="Times New Roman" w:hAnsi="Times New Roman" w:eastAsia="宋体" w:cs="宋体"/>
                <w:color w:val="auto"/>
                <w:szCs w:val="21"/>
                <w:highlight w:val="none"/>
              </w:rPr>
              <w:t xml:space="preserve">的财务报告情况（成立不满一年无需提供）</w:t>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lang w:eastAsia="zh-CN"/>
              </w:rPr>
            </w:pPr>
            <w:r>
              <w:rPr>
                <w:rFonts w:hint="eastAsia" w:ascii="Times New Roman" w:hAnsi="Times New Roman" w:eastAsia="宋体"/>
                <w:color w:val="auto"/>
                <w:szCs w:val="21"/>
                <w:highlight w:val="none"/>
                <w:lang w:val="en-US" w:eastAsia="zh-CN"/>
              </w:rPr>
              <w:t xml:space="preserve">3</w:t>
            </w:r>
            <w:r/>
          </w:p>
        </w:tc>
        <w:tc>
          <w:tcPr>
            <w:shd w:val="clear" w:color="auto" w:fill="auto"/>
            <w:tcW w:w="5854"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依法缴纳税收和社会保障资金的相关材料</w:t>
            </w:r>
            <w:r>
              <w:rPr>
                <w:rFonts w:hint="eastAsia" w:ascii="Times New Roman" w:hAnsi="Times New Roman" w:eastAsia="宋体" w:cs="宋体"/>
                <w:color w:val="auto"/>
                <w:szCs w:val="21"/>
                <w:highlight w:val="none"/>
                <w:lang w:eastAsia="zh-CN"/>
              </w:rPr>
              <w:t xml:space="preserve">（</w:t>
            </w:r>
            <w:r>
              <w:rPr>
                <w:rFonts w:hint="eastAsia" w:ascii="Times New Roman" w:hAnsi="Times New Roman" w:eastAsia="宋体" w:cs="宋体"/>
                <w:color w:val="auto"/>
                <w:szCs w:val="21"/>
                <w:highlight w:val="none"/>
              </w:rPr>
              <w:t xml:space="preserve">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17"/>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4</w:t>
            </w:r>
            <w:r/>
          </w:p>
        </w:tc>
        <w:tc>
          <w:tcPr>
            <w:shd w:val="clear" w:color="auto" w:fill="auto"/>
            <w:tcW w:w="5854"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具备履行合同所必需的设备和专业技术能力的证明材料</w:t>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5</w:t>
            </w:r>
            <w:r/>
          </w:p>
        </w:tc>
        <w:tc>
          <w:tcPr>
            <w:shd w:val="clear" w:color="auto" w:fill="auto"/>
            <w:tcW w:w="5854"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参加本次政府采购活动前3年内在经营活动中没有重大违法记录的书面声明</w:t>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6</w:t>
            </w:r>
            <w:r/>
          </w:p>
        </w:tc>
        <w:tc>
          <w:tcPr>
            <w:shd w:val="clear" w:color="auto" w:fill="auto"/>
            <w:tcW w:w="5854" w:type="dxa"/>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供应商信用承诺书</w:t>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lang w:eastAsia="zh-CN"/>
              </w:rPr>
            </w:pPr>
            <w:r>
              <w:rPr>
                <w:rFonts w:hint="eastAsia" w:ascii="Times New Roman" w:hAnsi="Times New Roman" w:eastAsia="宋体"/>
                <w:color w:val="auto"/>
                <w:szCs w:val="21"/>
                <w:highlight w:val="none"/>
                <w:lang w:val="en-US" w:eastAsia="zh-CN"/>
              </w:rPr>
              <w:t xml:space="preserve">7</w:t>
            </w:r>
            <w:r/>
          </w:p>
        </w:tc>
        <w:tc>
          <w:tcPr>
            <w:shd w:val="clear" w:color="auto" w:fill="auto"/>
            <w:tcW w:w="5854"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投标函</w:t>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color w:val="auto"/>
                <w:szCs w:val="21"/>
                <w:highlight w:val="none"/>
                <w:lang w:val="en-US" w:eastAsia="zh-CN"/>
              </w:rPr>
              <w:t xml:space="preserve">8</w:t>
            </w:r>
            <w:r/>
          </w:p>
        </w:tc>
        <w:tc>
          <w:tcPr>
            <w:shd w:val="clear" w:color="auto" w:fill="auto"/>
            <w:tcW w:w="5854" w:type="dxa"/>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若法定代表人参加投标的，须提供本人身份证复印件(原件扫描上传)；若授权代表参加的，须提供《法人授权书》原件和授权代表身份证（原件扫描上传），并且提供提交投标文件截止时间前一年内至少一个月投标单位为法定代表人或者授权代表缴纳社会保障资金的证明材料。</w:t>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90"/>
        </w:trPr>
        <w:tc>
          <w:tcPr>
            <w:gridSpan w:val="3"/>
            <w:tcW w:w="82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s="宋体"/>
                <w:b/>
                <w:bCs/>
                <w:color w:val="auto"/>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pageBreakBefore w:val="0"/>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color w:val="auto"/>
                <w:szCs w:val="21"/>
                <w:highlight w:val="none"/>
                <w:lang w:val="en-US" w:eastAsia="zh-CN"/>
              </w:rPr>
              <w:t xml:space="preserve">9</w:t>
            </w:r>
            <w:r/>
          </w:p>
        </w:tc>
        <w:tc>
          <w:tcPr>
            <w:tcW w:w="5854" w:type="dxa"/>
            <w:vAlign w:val="center"/>
            <w:textDirection w:val="lrTb"/>
            <w:noWrap w:val="false"/>
          </w:tcPr>
          <w:p>
            <w:pPr>
              <w:pageBreakBefore w:val="0"/>
              <w:spacing w:line="360" w:lineRule="auto"/>
              <w:rPr>
                <w:rFonts w:hint="eastAsia"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根据《政府采购促进中小企业发展管理办法》的规定，本项目对小型和微型企业提供的货物、服务给予20%的价格扣除优惠。  </w:t>
            </w:r>
            <w:r/>
          </w:p>
          <w:p>
            <w:pPr>
              <w:pageBreakBefore w:val="0"/>
              <w:spacing w:line="360" w:lineRule="auto"/>
              <w:rPr>
                <w:rFonts w:hint="eastAsia"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注：本项目中小企业划分标准按照《关于印发中小企业划型标准规定的通知》（工信部联企业[2011]300号）中第（二）条：工业。</w:t>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00"/>
        </w:trPr>
        <w:tc>
          <w:tcPr>
            <w:gridSpan w:val="3"/>
            <w:tcW w:w="82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b/>
                <w:color w:val="auto"/>
                <w:szCs w:val="21"/>
                <w:highlight w:val="none"/>
              </w:rPr>
              <w:t xml:space="preserve">特定资格条件</w:t>
            </w:r>
            <w:r/>
          </w:p>
        </w:tc>
      </w:tr>
      <w:tr>
        <w:trPr>
          <w:trHeight w:val="389"/>
        </w:trPr>
        <w:tc>
          <w:tcPr>
            <w:tcW w:w="646" w:type="dxa"/>
            <w:vAlign w:val="center"/>
            <w:textDirection w:val="lrTb"/>
            <w:noWrap w:val="false"/>
          </w:tcPr>
          <w:p>
            <w:pPr>
              <w:jc w:val="center"/>
              <w:pageBreakBefore w:val="0"/>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color w:val="auto"/>
                <w:szCs w:val="21"/>
                <w:highlight w:val="none"/>
                <w:lang w:val="en-US" w:eastAsia="zh-CN"/>
              </w:rPr>
              <w:t xml:space="preserve">10</w:t>
            </w:r>
            <w:r/>
          </w:p>
        </w:tc>
        <w:tc>
          <w:tcPr>
            <w:tcW w:w="5854" w:type="dxa"/>
            <w:vAlign w:val="center"/>
            <w:textDirection w:val="lrTb"/>
            <w:noWrap w:val="false"/>
          </w:tcPr>
          <w:p>
            <w:pPr>
              <w:jc w:val="left"/>
              <w:pageBreakBefore w:val="0"/>
              <w:spacing w:line="360" w:lineRule="auto"/>
              <w:rPr>
                <w:rFonts w:hint="eastAsia" w:ascii="Times New Roman" w:hAnsi="Times New Roman" w:eastAsia="宋体" w:cs="宋体"/>
                <w:color w:val="auto"/>
                <w:szCs w:val="21"/>
                <w:highlight w:val="none"/>
                <w:lang w:val="en-US" w:eastAsia="zh-CN"/>
              </w:rPr>
            </w:pPr>
            <w:r>
              <w:rPr>
                <w:rFonts w:hint="eastAsia" w:ascii="Times New Roman" w:hAnsi="Times New Roman" w:cs="Times New Roman"/>
                <w:i w:val="0"/>
                <w:iCs w:val="0"/>
                <w:color w:val="auto"/>
                <w:sz w:val="21"/>
                <w:szCs w:val="21"/>
                <w:highlight w:val="none"/>
                <w:u w:val="none"/>
                <w:lang w:val="en-US" w:eastAsia="zh-CN"/>
              </w:rPr>
              <w:t xml:space="preserve">无</w:t>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ind w:left="0" w:firstLine="420"/>
        <w:keepLines w:val="0"/>
        <w:keepNext w:val="0"/>
        <w:pageBreakBefore w:val="0"/>
        <w:spacing w:line="360" w:lineRule="auto"/>
        <w:widowControl w:val="off"/>
        <w:rPr>
          <w:rFonts w:hint="eastAsia" w:ascii="Times New Roman" w:hAnsi="Times New Roman" w:eastAsia="宋体"/>
          <w:color w:val="auto"/>
          <w:sz w:val="21"/>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Times New Roman" w:hAnsi="Times New Roman" w:eastAsia="宋体"/>
          <w:color w:val="auto"/>
          <w:sz w:val="21"/>
          <w:szCs w:val="21"/>
          <w:highlight w:val="none"/>
        </w:rPr>
      </w:r>
      <w:r/>
    </w:p>
    <w:p>
      <w:pPr>
        <w:ind w:firstLine="1476"/>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具备履行合同所必需的设备和专业技术能力的书面声明</w:t>
      </w:r>
      <w:r/>
    </w:p>
    <w:p>
      <w:pPr>
        <w:ind w:firstLine="492"/>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主要设备有</w:t>
      </w:r>
      <w:r>
        <w:rPr>
          <w:rFonts w:hint="eastAsia" w:ascii="Times New Roman" w:hAnsi="Times New Roman" w:eastAsia="宋体" w:cs="宋体"/>
          <w:bCs/>
          <w:color w:val="auto"/>
          <w:szCs w:val="21"/>
          <w:highlight w:val="none"/>
          <w:lang w:eastAsia="zh-CN"/>
        </w:rPr>
        <w:t xml:space="preserve">：</w:t>
      </w:r>
      <w:r/>
    </w:p>
    <w:p>
      <w:pPr>
        <w:ind w:firstLine="492"/>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主要专业技术能力有</w:t>
      </w:r>
      <w:r>
        <w:rPr>
          <w:rFonts w:hint="eastAsia" w:ascii="Times New Roman" w:hAnsi="Times New Roman" w:eastAsia="宋体" w:cs="宋体"/>
          <w:bCs/>
          <w:color w:val="auto"/>
          <w:szCs w:val="21"/>
          <w:highlight w:val="none"/>
          <w:lang w:eastAsia="zh-CN"/>
        </w:rPr>
        <w:t xml:space="preserve">：</w:t>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br w:type="page" w:clear="all"/>
      </w:r>
      <w:r/>
    </w:p>
    <w:p>
      <w:pPr>
        <w:jc w:val="center"/>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参加本次政府采购活动前 3 年内在经营活动中没有重大违法记录的书面声明</w:t>
      </w:r>
      <w:r/>
    </w:p>
    <w:p>
      <w:pPr>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r>
      <w:r/>
    </w:p>
    <w:p>
      <w:pPr>
        <w:jc w:val="center"/>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声  明</w:t>
      </w:r>
      <w:r/>
    </w:p>
    <w:p>
      <w:pPr>
        <w:pageBreakBefore w:val="0"/>
        <w:spacing w:line="360" w:lineRule="auto"/>
        <w:rPr>
          <w:rFonts w:hint="eastAsia"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pageBreakBefore w:val="0"/>
        <w:spacing w:line="360" w:lineRule="auto"/>
        <w:rPr>
          <w:rFonts w:hint="eastAsia"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                               供应商名称（公章）：</w:t>
      </w:r>
      <w:r/>
    </w:p>
    <w:p>
      <w:pPr>
        <w:pageBreakBefore w:val="0"/>
        <w:spacing w:line="360" w:lineRule="auto"/>
        <w:rPr>
          <w:rFonts w:hint="eastAsia"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                               法定代表人签章：</w:t>
      </w:r>
      <w:r>
        <w:rPr>
          <w:rFonts w:hint="eastAsia" w:ascii="Times New Roman" w:hAnsi="Times New Roman" w:eastAsia="宋体" w:cs="宋体"/>
          <w:bCs/>
          <w:color w:val="auto"/>
          <w:highlight w:val="none"/>
          <w:u w:val="single"/>
        </w:rPr>
        <w:t xml:space="preserve">_______________________</w:t>
      </w:r>
      <w:r/>
    </w:p>
    <w:p>
      <w:pPr>
        <w:pageBreakBefore w:val="0"/>
        <w:spacing w:line="360" w:lineRule="auto"/>
        <w:rPr>
          <w:rFonts w:hint="eastAsia"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                               日期：  年  月  日</w:t>
      </w:r>
      <w:r/>
    </w:p>
    <w:p>
      <w:pPr>
        <w:jc w:val="center"/>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center"/>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center"/>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center"/>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center"/>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center"/>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bCs/>
          <w:color w:val="auto"/>
          <w:highlight w:val="none"/>
        </w:rPr>
        <w:br w:type="page" w:clear="all"/>
      </w:r>
      <w:r>
        <w:rPr>
          <w:rFonts w:hint="eastAsia" w:ascii="Times New Roman" w:hAnsi="Times New Roman" w:eastAsia="宋体" w:cs="宋体"/>
          <w:b/>
          <w:color w:val="auto"/>
          <w:szCs w:val="21"/>
          <w:highlight w:val="none"/>
        </w:rPr>
        <w:t xml:space="preserve">供应商信用承诺书</w:t>
      </w:r>
      <w:r/>
    </w:p>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承诺主体名称：</w:t>
      </w:r>
      <w:r/>
    </w:p>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统一社会信用代码：</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二、严格按照国家</w:t>
      </w:r>
      <w:r>
        <w:rPr>
          <w:rFonts w:hint="eastAsia" w:ascii="Times New Roman" w:hAnsi="Times New Roman" w:eastAsia="宋体" w:cs="宋体"/>
          <w:color w:val="auto"/>
          <w:szCs w:val="21"/>
          <w:highlight w:val="none"/>
          <w:lang w:eastAsia="zh-CN"/>
        </w:rPr>
        <w:t xml:space="preserve">法律法规</w:t>
      </w:r>
      <w:r>
        <w:rPr>
          <w:rFonts w:hint="eastAsia" w:ascii="Times New Roman" w:hAnsi="Times New Roman" w:eastAsia="宋体" w:cs="宋体"/>
          <w:color w:val="auto"/>
          <w:szCs w:val="21"/>
          <w:highlight w:val="none"/>
        </w:rPr>
        <w:t xml:space="preserve">和规章开展采购活动，全面履行应尽的责任和义务，全面做到履约守信，具备《中华人民共和国政府采购法》第二十二条第一款规定的条件；</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四、自觉接受行政管理部门、行业组织、社会公众、新闻舆论的监督；</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六、提出政府采购质疑和投诉坚持依法依规、诚实信用原则，在全国范围12个月内没有三次以上查无实据的政府采购投诉；</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七、严格遵守信用信息公示相关规定，向社会公示信用信息；</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八、在“信用中国”和“中国政府采购网”网站中无违法违规、较重或严重失信记录；</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十、本承诺书自签订之日起生效。</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 （注：法定代表人或负责人、主体名称发生变更的应当重新作出承诺。）</w:t>
      </w:r>
      <w:r/>
    </w:p>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　　　　　　　　　　        承诺单位（签章）：           </w:t>
      </w:r>
      <w:r/>
    </w:p>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　　　　　　　　　   　  法定代表人（负责人）：</w:t>
      </w:r>
      <w:r/>
    </w:p>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　　　　　　　　　      　年    月    日</w:t>
      </w:r>
      <w:r/>
    </w:p>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jc w:val="center"/>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br w:type="page" w:clear="all"/>
      </w:r>
      <w:r>
        <w:rPr>
          <w:rFonts w:hint="eastAsia" w:ascii="Times New Roman" w:hAnsi="Times New Roman" w:eastAsia="宋体" w:cs="宋体"/>
          <w:b/>
          <w:bCs/>
          <w:color w:val="auto"/>
          <w:highlight w:val="none"/>
        </w:rPr>
        <w:t xml:space="preserve">投标函格式</w:t>
      </w:r>
      <w:r/>
    </w:p>
    <w:p>
      <w:pPr>
        <w:pStyle w:val="779"/>
        <w:ind w:firstLine="0"/>
        <w:pageBreakBefore w:val="0"/>
        <w:spacing w:before="0" w:after="0" w:line="360" w:lineRule="auto"/>
        <w:rPr>
          <w:rFonts w:hint="eastAsia" w:ascii="Times New Roman" w:hAnsi="Times New Roman" w:eastAsia="宋体" w:cs="宋体"/>
          <w:color w:val="auto"/>
          <w:sz w:val="21"/>
          <w:szCs w:val="21"/>
          <w:highlight w:val="none"/>
          <w:lang w:eastAsia="zh-CN"/>
        </w:rPr>
      </w:pPr>
      <w:r>
        <w:rPr>
          <w:rFonts w:hint="eastAsia" w:ascii="Times New Roman" w:hAnsi="Times New Roman" w:eastAsia="宋体" w:cs="宋体"/>
          <w:color w:val="auto"/>
          <w:sz w:val="21"/>
          <w:szCs w:val="21"/>
          <w:highlight w:val="none"/>
        </w:rPr>
        <w:t xml:space="preserve">致：</w:t>
      </w:r>
      <w:r>
        <w:rPr>
          <w:rFonts w:hint="eastAsia" w:ascii="Times New Roman" w:hAnsi="Times New Roman" w:cs="宋体"/>
          <w:color w:val="auto"/>
          <w:sz w:val="21"/>
          <w:highlight w:val="none"/>
          <w:lang w:eastAsia="zh-CN"/>
        </w:rPr>
        <w:t xml:space="preserve">江苏苏中兴工程造价咨询有限公司</w:t>
      </w:r>
      <w:r/>
    </w:p>
    <w:p>
      <w:pPr>
        <w:pStyle w:val="779"/>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779"/>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据此函，__________签字人（姓名）兹宣布同意如下：</w:t>
      </w:r>
      <w:r/>
    </w:p>
    <w:p>
      <w:pPr>
        <w:pStyle w:val="779"/>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1.按照招标文件规定的各项要求，向买方提供所需货物与服务。</w:t>
      </w:r>
      <w:r/>
    </w:p>
    <w:p>
      <w:pPr>
        <w:pStyle w:val="779"/>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2.我们完全理解贵方不一定将合同授予最低报价的投标人。</w:t>
      </w:r>
      <w:r/>
    </w:p>
    <w:p>
      <w:pPr>
        <w:pStyle w:val="779"/>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3.我们已详细审核全部招标文件及其有效补充文件，我们知道必须放弃提出含糊不清或误解问题的权利。</w:t>
      </w:r>
      <w:r/>
    </w:p>
    <w:p>
      <w:pPr>
        <w:pStyle w:val="779"/>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4.我们同意从规定的开标日期起遵循本投标文件，并在规定的投标有效期期满之前均具有约束力。</w:t>
      </w:r>
      <w:r/>
    </w:p>
    <w:p>
      <w:pPr>
        <w:pStyle w:val="779"/>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779"/>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6.一旦我方中标，我方将根据招标文件的规定，严格履行合同的责任和义务，并保证在招标文件规定的时</w:t>
      </w:r>
      <w:r>
        <w:rPr>
          <w:rFonts w:hint="eastAsia" w:ascii="Times New Roman" w:hAnsi="Times New Roman" w:eastAsia="宋体" w:cs="宋体"/>
          <w:color w:val="auto"/>
          <w:sz w:val="21"/>
          <w:szCs w:val="21"/>
          <w:highlight w:val="none"/>
          <w:lang w:eastAsia="zh-CN"/>
        </w:rPr>
        <w:t xml:space="preserve">间内</w:t>
      </w:r>
      <w:r>
        <w:rPr>
          <w:rFonts w:hint="eastAsia" w:ascii="Times New Roman" w:hAnsi="Times New Roman" w:eastAsia="宋体" w:cs="宋体"/>
          <w:color w:val="auto"/>
          <w:sz w:val="21"/>
          <w:szCs w:val="21"/>
          <w:highlight w:val="none"/>
        </w:rPr>
        <w:t xml:space="preserve">完成项目，交付买方验收、使用。</w:t>
      </w:r>
      <w:r/>
    </w:p>
    <w:p>
      <w:pPr>
        <w:pStyle w:val="779"/>
        <w:ind w:left="425" w:firstLine="105"/>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7.与本投标有关的正式通讯地址为：</w:t>
      </w:r>
      <w:r/>
    </w:p>
    <w:p>
      <w:pPr>
        <w:pStyle w:val="779"/>
        <w:ind w:firstLine="478"/>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地 址：</w:t>
      </w:r>
      <w:r/>
    </w:p>
    <w:p>
      <w:pPr>
        <w:pStyle w:val="779"/>
        <w:ind w:firstLine="478"/>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邮 编：</w:t>
      </w:r>
      <w:r/>
    </w:p>
    <w:p>
      <w:pPr>
        <w:pStyle w:val="779"/>
        <w:ind w:firstLine="478"/>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电 话： </w:t>
      </w:r>
      <w:r/>
    </w:p>
    <w:p>
      <w:pPr>
        <w:pStyle w:val="779"/>
        <w:ind w:firstLine="478"/>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传 真： </w:t>
      </w:r>
      <w:r/>
    </w:p>
    <w:p>
      <w:pPr>
        <w:pStyle w:val="779"/>
        <w:ind w:firstLine="478"/>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投标人开户行：</w:t>
      </w:r>
      <w:r/>
    </w:p>
    <w:p>
      <w:pPr>
        <w:pStyle w:val="779"/>
        <w:ind w:firstLine="478"/>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账 户： </w:t>
      </w:r>
      <w:r/>
    </w:p>
    <w:p>
      <w:pPr>
        <w:pStyle w:val="779"/>
        <w:ind w:firstLine="478"/>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行 号：</w:t>
      </w:r>
      <w:r/>
    </w:p>
    <w:p>
      <w:pPr>
        <w:pStyle w:val="779"/>
        <w:ind w:firstLine="478"/>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日 期：________年____月____日</w:t>
      </w:r>
      <w:r/>
    </w:p>
    <w:p>
      <w:pPr>
        <w:contextualSpacing/>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 w:val="32"/>
          <w:szCs w:val="32"/>
          <w:highlight w:val="none"/>
        </w:rPr>
        <w:br w:type="page" w:clear="all"/>
      </w:r>
      <w:r>
        <w:rPr>
          <w:rFonts w:hint="eastAsia" w:ascii="Times New Roman" w:hAnsi="Times New Roman" w:eastAsia="宋体" w:cs="宋体"/>
          <w:b/>
          <w:color w:val="auto"/>
          <w:szCs w:val="21"/>
          <w:highlight w:val="none"/>
        </w:rPr>
        <w:t xml:space="preserve">法人授权书</w:t>
      </w:r>
      <w:r/>
    </w:p>
    <w:p>
      <w:pPr>
        <w:pStyle w:val="998"/>
        <w:ind w:firstLine="42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p>
      <w:pPr>
        <w:pStyle w:val="998"/>
        <w:ind w:firstLine="42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本授权书声明：________________（投标人名称）授权________________（被授权人的姓名）为我方就（项目编号）（项目名称）项目采购活动的合法代理人，以本公司名义全权处理一切与该项目采购有关的事务。</w:t>
      </w:r>
      <w:r/>
    </w:p>
    <w:p>
      <w:pPr>
        <w:pStyle w:val="998"/>
        <w:ind w:firstLine="42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本授权书于______年____月____日起生效，特此声明。</w:t>
      </w:r>
      <w:r/>
    </w:p>
    <w:p>
      <w:pPr>
        <w:pStyle w:val="998"/>
        <w:ind w:firstLine="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p>
      <w:pPr>
        <w:pStyle w:val="998"/>
        <w:ind w:firstLine="42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被授权人姓名： </w:t>
      </w:r>
      <w:r/>
    </w:p>
    <w:p>
      <w:pPr>
        <w:pStyle w:val="998"/>
        <w:ind w:firstLine="420"/>
        <w:pageBreakBefore w:val="0"/>
        <w:spacing w:line="360" w:lineRule="auto"/>
        <w:rPr>
          <w:rFonts w:hint="eastAsia" w:ascii="Times New Roman" w:hAnsi="Times New Roman" w:eastAsia="宋体" w:cs="宋体"/>
          <w:color w:val="auto"/>
          <w:sz w:val="21"/>
          <w:szCs w:val="21"/>
          <w:highlight w:val="none"/>
          <w:u w:val="single"/>
        </w:rPr>
      </w:pPr>
      <w:r>
        <w:rPr>
          <w:rFonts w:hint="eastAsia" w:ascii="Times New Roman" w:hAnsi="Times New Roman" w:eastAsia="宋体" w:cs="宋体"/>
          <w:color w:val="auto"/>
          <w:sz w:val="21"/>
          <w:szCs w:val="21"/>
          <w:highlight w:val="none"/>
        </w:rPr>
        <w:t xml:space="preserve">联系电话（手机）：</w:t>
      </w:r>
      <w:r/>
    </w:p>
    <w:p>
      <w:pPr>
        <w:pStyle w:val="998"/>
        <w:ind w:firstLine="42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单位名称： </w:t>
      </w:r>
      <w:r/>
    </w:p>
    <w:p>
      <w:pPr>
        <w:pStyle w:val="998"/>
        <w:ind w:firstLine="420"/>
        <w:pageBreakBefore w:val="0"/>
        <w:spacing w:line="360" w:lineRule="auto"/>
        <w:rPr>
          <w:rFonts w:hint="eastAsia" w:ascii="Times New Roman" w:hAnsi="Times New Roman" w:eastAsia="宋体" w:cs="宋体"/>
          <w:color w:val="auto"/>
          <w:sz w:val="21"/>
          <w:szCs w:val="21"/>
          <w:highlight w:val="none"/>
          <w:u w:val="single"/>
        </w:rPr>
      </w:pPr>
      <w:r>
        <w:rPr>
          <w:rFonts w:hint="eastAsia" w:ascii="Times New Roman" w:hAnsi="Times New Roman" w:eastAsia="宋体" w:cs="宋体"/>
          <w:color w:val="auto"/>
          <w:sz w:val="21"/>
          <w:szCs w:val="21"/>
          <w:highlight w:val="none"/>
        </w:rPr>
        <w:t xml:space="preserve">单位地址：</w:t>
      </w:r>
      <w:r/>
    </w:p>
    <w:p>
      <w:pPr>
        <w:pStyle w:val="998"/>
        <w:ind w:firstLine="42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日期：</w:t>
      </w:r>
      <w:r/>
    </w:p>
    <w:p>
      <w:pPr>
        <w:pageBreakBefore w:val="0"/>
        <w:spacing w:line="360" w:lineRule="auto"/>
        <w:rPr>
          <w:rFonts w:hint="eastAsia" w:ascii="Times New Roman" w:hAnsi="Times New Roman" w:eastAsia="宋体" w:cs="宋体"/>
          <w:bCs/>
          <w:color w:val="auto"/>
          <w:highlight w:val="none"/>
        </w:rPr>
      </w:pPr>
      <w:r>
        <w:rPr>
          <w:rFonts w:hint="eastAsia" w:ascii="Times New Roman" w:hAnsi="Times New Roman" w:eastAsia="宋体" w:cs="宋体"/>
          <w:bCs/>
          <w:color w:val="auto"/>
          <w:highlight w:val="none"/>
        </w:rPr>
      </w:r>
      <w:r/>
    </w:p>
    <w:p>
      <w:pPr>
        <w:pageBreakBefore w:val="0"/>
        <w:spacing w:line="360" w:lineRule="auto"/>
        <w:rPr>
          <w:rFonts w:hint="eastAsia" w:ascii="Times New Roman" w:hAnsi="Times New Roman" w:eastAsia="宋体" w:cs="宋体"/>
          <w:bCs/>
          <w:color w:val="auto"/>
          <w:sz w:val="24"/>
          <w:highlight w:val="none"/>
        </w:rPr>
      </w:pPr>
      <w:r>
        <w:rPr>
          <w:rFonts w:hint="eastAsia" w:ascii="Times New Roman" w:hAnsi="Times New Roman" w:eastAsia="宋体" w:cs="宋体"/>
          <w:bCs/>
          <w:color w:val="auto"/>
          <w:sz w:val="24"/>
          <w:highlight w:val="none"/>
        </w:rPr>
      </w:r>
      <w:r/>
    </w:p>
    <w:p>
      <w:pPr>
        <w:ind w:firstLine="420"/>
        <w:pageBreakBefore w:val="0"/>
        <w:spacing w:line="360" w:lineRule="auto"/>
        <w:rPr>
          <w:rFonts w:hint="eastAsia" w:ascii="Times New Roman" w:hAnsi="Times New Roman" w:eastAsia="宋体" w:cs="宋体"/>
          <w:bCs/>
          <w:i/>
          <w:iCs/>
          <w:color w:val="auto"/>
          <w:highlight w:val="none"/>
          <w:u w:val="single"/>
        </w:rPr>
      </w:pPr>
      <w:r>
        <w:rPr>
          <w:rFonts w:hint="eastAsia" w:ascii="Times New Roman" w:hAnsi="Times New Roman" w:eastAsia="宋体" w:cs="宋体"/>
          <w:bCs/>
          <w:i/>
          <w:iCs/>
          <w:color w:val="auto"/>
          <w:highlight w:val="none"/>
          <w:u w:val="single"/>
        </w:rPr>
        <w:t xml:space="preserve">法定代表人身份证复印件</w:t>
      </w:r>
      <w:r/>
    </w:p>
    <w:p>
      <w:pPr>
        <w:ind w:firstLine="420"/>
        <w:pageBreakBefore w:val="0"/>
        <w:spacing w:line="360" w:lineRule="auto"/>
        <w:rPr>
          <w:rFonts w:hint="eastAsia" w:ascii="Times New Roman" w:hAnsi="Times New Roman" w:eastAsia="宋体" w:cs="宋体"/>
          <w:bCs/>
          <w:i/>
          <w:iCs/>
          <w:color w:val="auto"/>
          <w:highlight w:val="none"/>
          <w:u w:val="single"/>
        </w:rPr>
      </w:pPr>
      <w:r>
        <w:rPr>
          <w:rFonts w:hint="eastAsia" w:ascii="Times New Roman" w:hAnsi="Times New Roman" w:eastAsia="宋体" w:cs="宋体"/>
          <w:bCs/>
          <w:i/>
          <w:iCs/>
          <w:color w:val="auto"/>
          <w:highlight w:val="none"/>
          <w:u w:val="single"/>
        </w:rPr>
      </w:r>
      <w:r/>
    </w:p>
    <w:p>
      <w:pPr>
        <w:ind w:firstLine="420"/>
        <w:pageBreakBefore w:val="0"/>
        <w:spacing w:line="360" w:lineRule="auto"/>
        <w:rPr>
          <w:rFonts w:hint="eastAsia" w:ascii="Times New Roman" w:hAnsi="Times New Roman" w:eastAsia="宋体" w:cs="宋体"/>
          <w:bCs/>
          <w:i/>
          <w:iCs/>
          <w:color w:val="auto"/>
          <w:highlight w:val="none"/>
          <w:u w:val="single"/>
        </w:rPr>
      </w:pPr>
      <w:r>
        <w:rPr>
          <w:rFonts w:hint="eastAsia" w:ascii="Times New Roman" w:hAnsi="Times New Roman" w:eastAsia="宋体" w:cs="宋体"/>
          <w:bCs/>
          <w:i/>
          <w:iCs/>
          <w:color w:val="auto"/>
          <w:highlight w:val="none"/>
          <w:u w:val="single"/>
        </w:rPr>
      </w:r>
      <w:r/>
    </w:p>
    <w:p>
      <w:pPr>
        <w:ind w:firstLine="420"/>
        <w:pageBreakBefore w:val="0"/>
        <w:spacing w:line="360" w:lineRule="auto"/>
        <w:rPr>
          <w:rFonts w:hint="eastAsia" w:ascii="Times New Roman" w:hAnsi="Times New Roman" w:eastAsia="宋体" w:cs="宋体"/>
          <w:bCs/>
          <w:i/>
          <w:iCs/>
          <w:color w:val="auto"/>
          <w:highlight w:val="none"/>
          <w:u w:val="single"/>
        </w:rPr>
      </w:pPr>
      <w:r>
        <w:rPr>
          <w:rFonts w:hint="eastAsia" w:ascii="Times New Roman" w:hAnsi="Times New Roman" w:eastAsia="宋体" w:cs="宋体"/>
          <w:bCs/>
          <w:i/>
          <w:iCs/>
          <w:color w:val="auto"/>
          <w:highlight w:val="none"/>
          <w:u w:val="single"/>
        </w:rPr>
        <w:t xml:space="preserve">被授权人身份证复印件</w:t>
      </w:r>
      <w:r/>
    </w:p>
    <w:p>
      <w:pPr>
        <w:jc w:val="center"/>
        <w:pageBreakBefore w:val="0"/>
        <w:spacing w:line="360" w:lineRule="auto"/>
        <w:rPr>
          <w:rFonts w:hint="eastAsia" w:ascii="Times New Roman" w:hAnsi="Times New Roman" w:eastAsia="宋体" w:cs="宋体"/>
          <w:b/>
          <w:bCs/>
          <w:i/>
          <w:iCs/>
          <w:color w:val="auto"/>
          <w:highlight w:val="none"/>
          <w:u w:val="single"/>
        </w:rPr>
      </w:pPr>
      <w:r>
        <w:rPr>
          <w:rFonts w:hint="eastAsia" w:ascii="Times New Roman" w:hAnsi="Times New Roman" w:eastAsia="宋体" w:cs="宋体"/>
          <w:b/>
          <w:bCs/>
          <w:i/>
          <w:iCs/>
          <w:color w:val="auto"/>
          <w:highlight w:val="none"/>
          <w:u w:val="single"/>
        </w:rPr>
      </w:r>
      <w:r/>
    </w:p>
    <w:p>
      <w:pPr>
        <w:ind w:firstLine="420"/>
        <w:pageBreakBefore w:val="0"/>
        <w:spacing w:line="360" w:lineRule="auto"/>
        <w:rPr>
          <w:rFonts w:hint="eastAsia" w:ascii="Times New Roman" w:hAnsi="Times New Roman" w:eastAsia="宋体" w:cs="宋体"/>
          <w:bCs/>
          <w:i/>
          <w:iCs/>
          <w:color w:val="auto"/>
          <w:highlight w:val="none"/>
          <w:u w:val="single"/>
        </w:rPr>
      </w:pPr>
      <w:r>
        <w:rPr>
          <w:rFonts w:hint="eastAsia" w:ascii="Times New Roman" w:hAnsi="Times New Roman" w:eastAsia="宋体" w:cs="宋体"/>
          <w:bCs/>
          <w:i/>
          <w:iCs/>
          <w:color w:val="auto"/>
          <w:highlight w:val="none"/>
          <w:u w:val="single"/>
        </w:rPr>
      </w:r>
      <w:r/>
    </w:p>
    <w:p>
      <w:pPr>
        <w:ind w:firstLine="420"/>
        <w:pageBreakBefore w:val="0"/>
        <w:spacing w:line="360" w:lineRule="auto"/>
        <w:rPr>
          <w:rFonts w:hint="eastAsia" w:ascii="Times New Roman" w:hAnsi="Times New Roman" w:eastAsia="宋体" w:cs="宋体"/>
          <w:bCs/>
          <w:i/>
          <w:iCs/>
          <w:color w:val="auto"/>
          <w:highlight w:val="none"/>
          <w:u w:val="single"/>
        </w:rPr>
      </w:pPr>
      <w:r>
        <w:rPr>
          <w:rFonts w:hint="eastAsia" w:ascii="Times New Roman" w:hAnsi="Times New Roman" w:eastAsia="宋体" w:cs="宋体"/>
          <w:bCs/>
          <w:i/>
          <w:iCs/>
          <w:color w:val="auto"/>
          <w:highlight w:val="none"/>
          <w:u w:val="single"/>
        </w:rPr>
      </w:r>
      <w:r/>
    </w:p>
    <w:p>
      <w:pPr>
        <w:ind w:firstLine="420"/>
        <w:pageBreakBefore w:val="0"/>
        <w:spacing w:line="360" w:lineRule="auto"/>
        <w:rPr>
          <w:rFonts w:hint="eastAsia" w:ascii="Times New Roman" w:hAnsi="Times New Roman" w:eastAsia="宋体" w:cs="宋体"/>
          <w:bCs/>
          <w:i/>
          <w:iCs/>
          <w:color w:val="auto"/>
          <w:highlight w:val="none"/>
          <w:u w:val="single"/>
        </w:rPr>
      </w:pPr>
      <w:r>
        <w:rPr>
          <w:rFonts w:hint="eastAsia" w:ascii="Times New Roman" w:hAnsi="Times New Roman" w:eastAsia="宋体" w:cs="宋体"/>
          <w:bCs/>
          <w:i/>
          <w:iCs/>
          <w:color w:val="auto"/>
          <w:highlight w:val="none"/>
          <w:u w:val="single"/>
        </w:rPr>
        <w:t xml:space="preserve">被授权人提供提交</w:t>
      </w:r>
      <w:r>
        <w:rPr>
          <w:rFonts w:hint="eastAsia" w:ascii="Times New Roman" w:hAnsi="Times New Roman" w:cs="宋体"/>
          <w:bCs/>
          <w:i/>
          <w:iCs/>
          <w:color w:val="auto"/>
          <w:highlight w:val="none"/>
          <w:u w:val="single"/>
          <w:lang w:val="en-US" w:eastAsia="zh-CN"/>
        </w:rPr>
        <w:t xml:space="preserve">投标</w:t>
      </w:r>
      <w:r>
        <w:rPr>
          <w:rFonts w:hint="eastAsia" w:ascii="Times New Roman" w:hAnsi="Times New Roman" w:eastAsia="宋体" w:cs="宋体"/>
          <w:bCs/>
          <w:i/>
          <w:iCs/>
          <w:color w:val="auto"/>
          <w:highlight w:val="none"/>
          <w:u w:val="single"/>
        </w:rPr>
        <w:t xml:space="preserve">文件截止时间前一年内至少一个月依法缴纳社会保障资金的证明材料</w:t>
      </w:r>
      <w:r/>
    </w:p>
    <w:p>
      <w:pPr>
        <w:jc w:val="center"/>
        <w:pageBreakBefore w:val="0"/>
        <w:spacing w:line="360" w:lineRule="auto"/>
        <w:rPr>
          <w:rFonts w:hint="eastAsia" w:ascii="Times New Roman" w:hAnsi="Times New Roman" w:eastAsia="宋体" w:cs="宋体"/>
          <w:b/>
          <w:bCs/>
          <w:i/>
          <w:iCs/>
          <w:color w:val="auto"/>
          <w:highlight w:val="none"/>
          <w:u w:val="singl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Times New Roman" w:hAnsi="Times New Roman" w:eastAsia="宋体" w:cs="宋体"/>
          <w:b/>
          <w:bCs/>
          <w:i/>
          <w:iCs/>
          <w:color w:val="auto"/>
          <w:highlight w:val="none"/>
          <w:u w:val="single"/>
        </w:rPr>
      </w:r>
      <w:r/>
    </w:p>
    <w:p>
      <w:pPr>
        <w:jc w:val="center"/>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中小企业声明函（货物）</w:t>
      </w:r>
      <w:r/>
    </w:p>
    <w:p>
      <w:pPr>
        <w:ind w:firstLine="420"/>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本公司（联合体）郑重声明，根据《政府采购促进中小企业发展管理办法》（财库﹝2020﹞46 号）的规定，本公司（联合体）参加</w:t>
      </w:r>
      <w:r>
        <w:rPr>
          <w:rFonts w:hint="eastAsia" w:ascii="Times New Roman" w:hAnsi="Times New Roman" w:eastAsia="宋体" w:cs="宋体"/>
          <w:color w:val="auto"/>
          <w:szCs w:val="21"/>
          <w:highlight w:val="none"/>
          <w:u w:val="single"/>
        </w:rPr>
        <w:t xml:space="preserve">（单位名称）</w:t>
      </w:r>
      <w:r>
        <w:rPr>
          <w:rFonts w:hint="eastAsia" w:ascii="Times New Roman" w:hAnsi="Times New Roman" w:eastAsia="宋体" w:cs="宋体"/>
          <w:color w:val="auto"/>
          <w:szCs w:val="21"/>
          <w:highlight w:val="none"/>
        </w:rPr>
        <w:t xml:space="preserve">的</w:t>
      </w:r>
      <w:r>
        <w:rPr>
          <w:rFonts w:hint="eastAsia" w:ascii="Times New Roman" w:hAnsi="Times New Roman" w:eastAsia="宋体" w:cs="宋体"/>
          <w:color w:val="auto"/>
          <w:szCs w:val="21"/>
          <w:highlight w:val="none"/>
          <w:u w:val="single"/>
        </w:rPr>
        <w:t xml:space="preserve">（项目名称）</w:t>
      </w:r>
      <w:r>
        <w:rPr>
          <w:rFonts w:hint="eastAsia" w:ascii="Times New Roman" w:hAnsi="Times New Roman" w:eastAsia="宋体" w:cs="宋体"/>
          <w:color w:val="auto"/>
          <w:szCs w:val="21"/>
          <w:highlight w:val="none"/>
        </w:rPr>
        <w:t xml:space="preserve">采购活动，提供的货物全部由符合政策要求的中小企业制造。相关企业（含联合体中的中小企业、签订分包意向协议的中小企业）的具体情况如下：</w:t>
      </w:r>
      <w:r/>
    </w:p>
    <w:p>
      <w:pPr>
        <w:ind w:firstLine="420"/>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 </w:t>
      </w:r>
      <w:r>
        <w:rPr>
          <w:rFonts w:hint="eastAsia" w:ascii="Times New Roman" w:hAnsi="Times New Roman" w:eastAsia="宋体" w:cs="宋体"/>
          <w:color w:val="auto"/>
          <w:szCs w:val="21"/>
          <w:highlight w:val="none"/>
          <w:u w:val="single"/>
        </w:rPr>
        <w:t xml:space="preserve">（标的名称） </w:t>
      </w:r>
      <w:r>
        <w:rPr>
          <w:rFonts w:hint="eastAsia" w:ascii="Times New Roman" w:hAnsi="Times New Roman" w:eastAsia="宋体" w:cs="宋体"/>
          <w:color w:val="auto"/>
          <w:szCs w:val="21"/>
          <w:highlight w:val="none"/>
        </w:rPr>
        <w:t xml:space="preserve">，属于</w:t>
      </w:r>
      <w:r>
        <w:rPr>
          <w:rFonts w:hint="eastAsia" w:ascii="Times New Roman" w:hAnsi="Times New Roman" w:eastAsia="宋体" w:cs="宋体"/>
          <w:b/>
          <w:bCs/>
          <w:color w:val="auto"/>
          <w:szCs w:val="21"/>
          <w:highlight w:val="none"/>
          <w:u w:val="single"/>
        </w:rPr>
        <w:t xml:space="preserve">（</w:t>
      </w:r>
      <w:r>
        <w:rPr>
          <w:rFonts w:hint="eastAsia" w:ascii="Times New Roman" w:hAnsi="Times New Roman" w:eastAsia="宋体" w:cs="宋体"/>
          <w:b/>
          <w:bCs/>
          <w:color w:val="auto"/>
          <w:szCs w:val="21"/>
          <w:highlight w:val="none"/>
          <w:u w:val="single"/>
          <w:lang w:val="en-US" w:eastAsia="zh-CN"/>
        </w:rPr>
        <w:t xml:space="preserve">工业</w:t>
      </w:r>
      <w:r>
        <w:rPr>
          <w:rFonts w:hint="eastAsia" w:ascii="Times New Roman" w:hAnsi="Times New Roman" w:eastAsia="宋体" w:cs="宋体"/>
          <w:b/>
          <w:bCs/>
          <w:color w:val="auto"/>
          <w:szCs w:val="21"/>
          <w:highlight w:val="none"/>
          <w:u w:val="single"/>
        </w:rPr>
        <w:t xml:space="preserve">）</w:t>
      </w:r>
      <w:r>
        <w:rPr>
          <w:rFonts w:hint="eastAsia" w:ascii="Times New Roman" w:hAnsi="Times New Roman" w:eastAsia="宋体" w:cs="宋体"/>
          <w:color w:val="auto"/>
          <w:szCs w:val="21"/>
          <w:highlight w:val="none"/>
          <w:u w:val="single"/>
        </w:rPr>
        <w:t xml:space="preserve">行业（不得对行业类别修改）</w:t>
      </w:r>
      <w:r>
        <w:rPr>
          <w:rFonts w:hint="eastAsia" w:ascii="Times New Roman" w:hAnsi="Times New Roman" w:eastAsia="宋体" w:cs="宋体"/>
          <w:color w:val="auto"/>
          <w:szCs w:val="21"/>
          <w:highlight w:val="none"/>
        </w:rPr>
        <w:t xml:space="preserve">；制造商为</w:t>
      </w:r>
      <w:r>
        <w:rPr>
          <w:rFonts w:hint="eastAsia" w:ascii="Times New Roman" w:hAnsi="Times New Roman" w:eastAsia="宋体" w:cs="宋体"/>
          <w:color w:val="auto"/>
          <w:szCs w:val="21"/>
          <w:highlight w:val="none"/>
          <w:u w:val="single"/>
        </w:rPr>
        <w:t xml:space="preserve">（企业名称）</w:t>
      </w:r>
      <w:r>
        <w:rPr>
          <w:rFonts w:hint="eastAsia" w:ascii="Times New Roman" w:hAnsi="Times New Roman" w:eastAsia="宋体" w:cs="宋体"/>
          <w:color w:val="auto"/>
          <w:szCs w:val="21"/>
          <w:highlight w:val="none"/>
        </w:rPr>
        <w:t xml:space="preserve">，从业人员</w:t>
      </w:r>
      <w:r>
        <w:rPr>
          <w:rFonts w:hint="eastAsia" w:ascii="Times New Roman" w:hAnsi="Times New Roman" w:eastAsia="宋体" w:cs="宋体"/>
          <w:color w:val="auto"/>
          <w:szCs w:val="21"/>
          <w:highlight w:val="none"/>
          <w:u w:val="single"/>
        </w:rPr>
        <w:t xml:space="preserve">       </w:t>
      </w:r>
      <w:r>
        <w:rPr>
          <w:rFonts w:hint="eastAsia" w:ascii="Times New Roman" w:hAnsi="Times New Roman" w:eastAsia="宋体" w:cs="宋体"/>
          <w:color w:val="auto"/>
          <w:szCs w:val="21"/>
          <w:highlight w:val="none"/>
        </w:rPr>
        <w:t xml:space="preserve">人，营业收入为</w:t>
      </w:r>
      <w:r>
        <w:rPr>
          <w:rFonts w:hint="eastAsia" w:ascii="Times New Roman" w:hAnsi="Times New Roman" w:eastAsia="宋体" w:cs="宋体"/>
          <w:color w:val="auto"/>
          <w:szCs w:val="21"/>
          <w:highlight w:val="none"/>
          <w:u w:val="single"/>
        </w:rPr>
        <w:t xml:space="preserve">        </w:t>
      </w:r>
      <w:r>
        <w:rPr>
          <w:rFonts w:hint="eastAsia" w:ascii="Times New Roman" w:hAnsi="Times New Roman" w:eastAsia="宋体" w:cs="宋体"/>
          <w:color w:val="auto"/>
          <w:szCs w:val="21"/>
          <w:highlight w:val="none"/>
        </w:rPr>
        <w:t xml:space="preserve">万元，资产总额为</w:t>
      </w:r>
      <w:r>
        <w:rPr>
          <w:rFonts w:hint="eastAsia" w:ascii="Times New Roman" w:hAnsi="Times New Roman" w:eastAsia="宋体" w:cs="宋体"/>
          <w:color w:val="auto"/>
          <w:szCs w:val="21"/>
          <w:highlight w:val="none"/>
          <w:u w:val="single"/>
        </w:rPr>
        <w:t xml:space="preserve">        </w:t>
      </w:r>
      <w:r>
        <w:rPr>
          <w:rFonts w:hint="eastAsia" w:ascii="Times New Roman" w:hAnsi="Times New Roman" w:eastAsia="宋体" w:cs="宋体"/>
          <w:color w:val="auto"/>
          <w:szCs w:val="21"/>
          <w:highlight w:val="none"/>
        </w:rPr>
        <w:t xml:space="preserve">万元</w:t>
      </w:r>
      <w:r>
        <w:rPr>
          <w:rFonts w:ascii="Times New Roman" w:hAnsi="Times New Roman" w:eastAsia="宋体"/>
          <w:color w:val="auto"/>
          <w:highlight w:val="none"/>
        </w:rPr>
        <w:fldChar w:fldCharType="begin"/>
      </w:r>
      <w:r>
        <w:rPr>
          <w:rFonts w:ascii="Times New Roman" w:hAnsi="Times New Roman" w:eastAsia="宋体"/>
          <w:color w:val="auto"/>
          <w:highlight w:val="none"/>
        </w:rPr>
        <w:instrText xml:space="preserve"> HYPERLINK \l "br1" \o "#br1" </w:instrText>
      </w:r>
      <w:r>
        <w:rPr>
          <w:rFonts w:ascii="Times New Roman" w:hAnsi="Times New Roman" w:eastAsia="宋体"/>
          <w:color w:val="auto"/>
          <w:highlight w:val="none"/>
        </w:rPr>
        <w:fldChar w:fldCharType="separate"/>
      </w:r>
      <w:r>
        <w:rPr>
          <w:rFonts w:hint="eastAsia" w:ascii="Times New Roman" w:hAnsi="Times New Roman" w:eastAsia="宋体" w:cs="宋体"/>
          <w:color w:val="auto"/>
          <w:spacing w:val="-1"/>
          <w:szCs w:val="21"/>
          <w:highlight w:val="none"/>
          <w:vertAlign w:val="superscript"/>
        </w:rPr>
        <w:t xml:space="preserve">1</w:t>
      </w:r>
      <w:r>
        <w:rPr>
          <w:rFonts w:hint="eastAsia" w:ascii="Times New Roman" w:hAnsi="Times New Roman" w:eastAsia="宋体" w:cs="宋体"/>
          <w:color w:val="auto"/>
          <w:spacing w:val="-1"/>
          <w:szCs w:val="21"/>
          <w:highlight w:val="none"/>
          <w:vertAlign w:val="superscript"/>
        </w:rPr>
        <w:fldChar w:fldCharType="end"/>
      </w:r>
      <w:r>
        <w:rPr>
          <w:rFonts w:hint="eastAsia" w:ascii="Times New Roman" w:hAnsi="Times New Roman" w:eastAsia="宋体" w:cs="宋体"/>
          <w:color w:val="auto"/>
          <w:szCs w:val="21"/>
          <w:highlight w:val="none"/>
        </w:rPr>
        <w:t xml:space="preserve">，属于</w:t>
      </w:r>
      <w:r>
        <w:rPr>
          <w:rFonts w:hint="eastAsia" w:ascii="Times New Roman" w:hAnsi="Times New Roman" w:eastAsia="宋体" w:cs="宋体"/>
          <w:color w:val="auto"/>
          <w:szCs w:val="21"/>
          <w:highlight w:val="none"/>
          <w:u w:val="single"/>
        </w:rPr>
        <w:t xml:space="preserve">（□中型企业 □小型企业 □微型企业）；</w:t>
      </w:r>
      <w:r/>
    </w:p>
    <w:p>
      <w:pPr>
        <w:ind w:firstLine="420"/>
        <w:jc w:val="left"/>
        <w:pageBreakBefore w:val="0"/>
        <w:spacing w:line="360" w:lineRule="auto"/>
        <w:rPr>
          <w:rFonts w:ascii="Times New Roman" w:hAnsi="Times New Roman" w:eastAsia="宋体" w:cs="宋体"/>
          <w:color w:val="auto"/>
          <w:szCs w:val="21"/>
          <w:highlight w:val="none"/>
          <w:u w:val="single"/>
        </w:rPr>
      </w:pPr>
      <w:r>
        <w:rPr>
          <w:rFonts w:hint="eastAsia" w:ascii="Times New Roman" w:hAnsi="Times New Roman" w:eastAsia="宋体" w:cs="宋体"/>
          <w:color w:val="auto"/>
          <w:szCs w:val="21"/>
          <w:highlight w:val="none"/>
        </w:rPr>
        <w:t xml:space="preserve">2. </w:t>
      </w:r>
      <w:r>
        <w:rPr>
          <w:rFonts w:hint="eastAsia" w:ascii="Times New Roman" w:hAnsi="Times New Roman" w:eastAsia="宋体" w:cs="宋体"/>
          <w:color w:val="auto"/>
          <w:szCs w:val="21"/>
          <w:highlight w:val="none"/>
          <w:u w:val="single"/>
        </w:rPr>
        <w:t xml:space="preserve">（标的名称） </w:t>
      </w:r>
      <w:r>
        <w:rPr>
          <w:rFonts w:hint="eastAsia" w:ascii="Times New Roman" w:hAnsi="Times New Roman" w:eastAsia="宋体" w:cs="宋体"/>
          <w:color w:val="auto"/>
          <w:szCs w:val="21"/>
          <w:highlight w:val="none"/>
        </w:rPr>
        <w:t xml:space="preserve">，属于</w:t>
      </w:r>
      <w:r>
        <w:rPr>
          <w:rFonts w:hint="eastAsia" w:ascii="Times New Roman" w:hAnsi="Times New Roman" w:eastAsia="宋体" w:cs="宋体"/>
          <w:b/>
          <w:bCs/>
          <w:color w:val="auto"/>
          <w:szCs w:val="21"/>
          <w:highlight w:val="none"/>
          <w:u w:val="single"/>
        </w:rPr>
        <w:t xml:space="preserve">（</w:t>
      </w:r>
      <w:r>
        <w:rPr>
          <w:rFonts w:hint="eastAsia" w:ascii="Times New Roman" w:hAnsi="Times New Roman" w:eastAsia="宋体" w:cs="宋体"/>
          <w:b/>
          <w:bCs/>
          <w:color w:val="auto"/>
          <w:szCs w:val="21"/>
          <w:highlight w:val="none"/>
          <w:u w:val="single"/>
          <w:lang w:val="en-US" w:eastAsia="zh-CN"/>
        </w:rPr>
        <w:t xml:space="preserve">工业</w:t>
      </w:r>
      <w:r>
        <w:rPr>
          <w:rFonts w:hint="eastAsia" w:ascii="Times New Roman" w:hAnsi="Times New Roman" w:eastAsia="宋体" w:cs="宋体"/>
          <w:b/>
          <w:bCs/>
          <w:color w:val="auto"/>
          <w:szCs w:val="21"/>
          <w:highlight w:val="none"/>
          <w:u w:val="single"/>
        </w:rPr>
        <w:t xml:space="preserve">）</w:t>
      </w:r>
      <w:r>
        <w:rPr>
          <w:rFonts w:hint="eastAsia" w:ascii="Times New Roman" w:hAnsi="Times New Roman" w:eastAsia="宋体" w:cs="宋体"/>
          <w:color w:val="auto"/>
          <w:szCs w:val="21"/>
          <w:highlight w:val="none"/>
          <w:u w:val="single"/>
        </w:rPr>
        <w:t xml:space="preserve">行业（不得对行业类别修改）；</w:t>
      </w:r>
      <w:r>
        <w:rPr>
          <w:rFonts w:hint="eastAsia" w:ascii="Times New Roman" w:hAnsi="Times New Roman" w:eastAsia="宋体" w:cs="宋体"/>
          <w:color w:val="auto"/>
          <w:szCs w:val="21"/>
          <w:highlight w:val="none"/>
        </w:rPr>
        <w:t xml:space="preserve">制造商为</w:t>
      </w:r>
      <w:r>
        <w:rPr>
          <w:rFonts w:hint="eastAsia" w:ascii="Times New Roman" w:hAnsi="Times New Roman" w:eastAsia="宋体" w:cs="宋体"/>
          <w:color w:val="auto"/>
          <w:szCs w:val="21"/>
          <w:highlight w:val="none"/>
          <w:u w:val="single"/>
        </w:rPr>
        <w:t xml:space="preserve">（企业名称）</w:t>
      </w:r>
      <w:r>
        <w:rPr>
          <w:rFonts w:hint="eastAsia" w:ascii="Times New Roman" w:hAnsi="Times New Roman" w:eastAsia="宋体" w:cs="宋体"/>
          <w:color w:val="auto"/>
          <w:szCs w:val="21"/>
          <w:highlight w:val="none"/>
        </w:rPr>
        <w:t xml:space="preserve">，从业人员</w:t>
      </w:r>
      <w:r>
        <w:rPr>
          <w:rFonts w:hint="eastAsia" w:ascii="Times New Roman" w:hAnsi="Times New Roman" w:eastAsia="宋体" w:cs="宋体"/>
          <w:color w:val="auto"/>
          <w:szCs w:val="21"/>
          <w:highlight w:val="none"/>
          <w:u w:val="single"/>
        </w:rPr>
        <w:t xml:space="preserve">       </w:t>
      </w:r>
      <w:r>
        <w:rPr>
          <w:rFonts w:hint="eastAsia" w:ascii="Times New Roman" w:hAnsi="Times New Roman" w:eastAsia="宋体" w:cs="宋体"/>
          <w:color w:val="auto"/>
          <w:szCs w:val="21"/>
          <w:highlight w:val="none"/>
        </w:rPr>
        <w:t xml:space="preserve">人，营业收入为</w:t>
      </w:r>
      <w:r>
        <w:rPr>
          <w:rFonts w:hint="eastAsia" w:ascii="Times New Roman" w:hAnsi="Times New Roman" w:eastAsia="宋体" w:cs="宋体"/>
          <w:color w:val="auto"/>
          <w:szCs w:val="21"/>
          <w:highlight w:val="none"/>
          <w:u w:val="single"/>
        </w:rPr>
        <w:t xml:space="preserve">        </w:t>
      </w:r>
      <w:r>
        <w:rPr>
          <w:rFonts w:hint="eastAsia" w:ascii="Times New Roman" w:hAnsi="Times New Roman" w:eastAsia="宋体" w:cs="宋体"/>
          <w:color w:val="auto"/>
          <w:szCs w:val="21"/>
          <w:highlight w:val="none"/>
        </w:rPr>
        <w:t xml:space="preserve">万元，资产总额为</w:t>
      </w:r>
      <w:r>
        <w:rPr>
          <w:rFonts w:hint="eastAsia" w:ascii="Times New Roman" w:hAnsi="Times New Roman" w:eastAsia="宋体" w:cs="宋体"/>
          <w:color w:val="auto"/>
          <w:szCs w:val="21"/>
          <w:highlight w:val="none"/>
          <w:u w:val="single"/>
        </w:rPr>
        <w:t xml:space="preserve">        </w:t>
      </w:r>
      <w:r>
        <w:rPr>
          <w:rFonts w:hint="eastAsia" w:ascii="Times New Roman" w:hAnsi="Times New Roman" w:eastAsia="宋体" w:cs="宋体"/>
          <w:color w:val="auto"/>
          <w:szCs w:val="21"/>
          <w:highlight w:val="none"/>
        </w:rPr>
        <w:t xml:space="preserve">万元，属于</w:t>
      </w:r>
      <w:r>
        <w:rPr>
          <w:rFonts w:hint="eastAsia" w:ascii="Times New Roman" w:hAnsi="Times New Roman" w:eastAsia="宋体" w:cs="宋体"/>
          <w:color w:val="auto"/>
          <w:szCs w:val="21"/>
          <w:highlight w:val="none"/>
          <w:u w:val="single"/>
        </w:rPr>
        <w:t xml:space="preserve">（□中型企业 □小型企业 □微型企业）；</w:t>
      </w:r>
      <w:r/>
    </w:p>
    <w:p>
      <w:pPr>
        <w:ind w:firstLine="420"/>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w:t>
      </w:r>
      <w:r/>
    </w:p>
    <w:p>
      <w:pPr>
        <w:ind w:firstLine="420"/>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以上企业，不属于大企业的分支机构，不存在控股股东为大企业的情形，也不存在与大企业的负责人为同一人的情形。</w:t>
      </w:r>
      <w:r/>
    </w:p>
    <w:p>
      <w:pPr>
        <w:ind w:firstLine="420"/>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本企业对上述声明内容的真实性负责。如有虚假，将依法承担相应责任。</w:t>
      </w:r>
      <w:r/>
    </w:p>
    <w:p>
      <w:pPr>
        <w:ind w:firstLine="420"/>
        <w:jc w:val="left"/>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注： 1、从业人员（不仅指在职职工）、营业收入、资产总额填报上一年度数据，无上一年度数据的新成立企业可不填报。</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w:t>
      </w:r>
      <w:r>
        <w:rPr>
          <w:rFonts w:hint="eastAsia" w:ascii="Times New Roman" w:hAnsi="Times New Roman" w:eastAsia="宋体" w:cs="宋体"/>
          <w:color w:val="auto"/>
          <w:highlight w:val="none"/>
        </w:rPr>
        <w:t xml:space="preserve">《中小企业声明函》不符合要求或未提供的，作如下处理：①如本项目专门面向中小企业采购，则投标</w:t>
      </w:r>
      <w:r>
        <w:rPr>
          <w:rFonts w:hint="eastAsia" w:ascii="Times New Roman" w:hAnsi="Times New Roman" w:eastAsia="宋体" w:cs="宋体"/>
          <w:color w:val="auto"/>
          <w:highlight w:val="none"/>
          <w:lang w:eastAsia="zh-CN"/>
        </w:rPr>
        <w:t xml:space="preserve">（</w:t>
      </w:r>
      <w:r>
        <w:rPr>
          <w:rFonts w:hint="eastAsia" w:ascii="Times New Roman" w:hAnsi="Times New Roman" w:eastAsia="宋体" w:cs="宋体"/>
          <w:color w:val="auto"/>
          <w:highlight w:val="none"/>
        </w:rPr>
        <w:t xml:space="preserve">响应）文件无效；②如本项目不专门面向中小企业采购，则价格将不做相应扣除。</w:t>
      </w:r>
      <w:r/>
    </w:p>
    <w:p>
      <w:pPr>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    3、企业声明函请完整填写，中标后将公示。</w:t>
      </w:r>
      <w:r/>
    </w:p>
    <w:p>
      <w:pPr>
        <w:ind w:firstLine="420"/>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pageBreakBefore w:val="0"/>
        <w:spacing w:line="360" w:lineRule="auto"/>
        <w:rPr>
          <w:rFonts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rPr>
        <w:t xml:space="preserve">5、声明函应涵盖本项目</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分包)所有货物，否则价格不作扣除。</w:t>
      </w:r>
      <w:r/>
    </w:p>
    <w:p>
      <w:pPr>
        <w:ind w:firstLine="420"/>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6、中小企业不得属于大企业的分支机构，不得存在控股股东为大企业的情形，不得存在与大企业的负责人为同一人的情形。</w:t>
      </w:r>
      <w:r/>
    </w:p>
    <w:p>
      <w:pPr>
        <w:ind w:firstLine="420"/>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7、</w:t>
      </w:r>
      <w:r>
        <w:rPr>
          <w:rFonts w:hint="eastAsia" w:ascii="Times New Roman" w:hAnsi="Times New Roman" w:eastAsia="宋体" w:cs="宋体"/>
          <w:bCs/>
          <w:color w:val="auto"/>
          <w:szCs w:val="21"/>
          <w:highlight w:val="none"/>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企业名称（盖章）：</w:t>
      </w:r>
      <w:r/>
    </w:p>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                             日 期：</w:t>
      </w:r>
      <w:r/>
    </w:p>
    <w:p>
      <w:pPr>
        <w:pStyle w:val="989"/>
        <w:ind w:firstLine="420"/>
        <w:pageBreakBefore w:val="0"/>
        <w:spacing w:line="36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    </w:t>
      </w:r>
      <w:r>
        <w:rPr>
          <w:rStyle w:val="994"/>
          <w:rFonts w:hint="eastAsia" w:ascii="Times New Roman" w:hAnsi="Times New Roman" w:eastAsia="宋体" w:cs="宋体"/>
          <w:color w:val="auto"/>
          <w:sz w:val="21"/>
          <w:szCs w:val="21"/>
          <w:highlight w:val="none"/>
        </w:rPr>
        <w:t xml:space="preserve">中小微企业划型标准如下：</w:t>
      </w:r>
      <w:r/>
    </w:p>
    <w:tbl>
      <w:tblPr>
        <w:tblStyle w:val="729"/>
        <w:tblW w:w="8988" w:type="dxa"/>
        <w:tblCellSpacing w:w="15" w:type="dxa"/>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989"/>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行业名称</w:t>
            </w:r>
            <w:r/>
          </w:p>
        </w:tc>
        <w:tc>
          <w:tcPr>
            <w:tcMar>
              <w:left w:w="105" w:type="dxa"/>
              <w:top w:w="0" w:type="dxa"/>
              <w:right w:w="105" w:type="dxa"/>
              <w:bottom w:w="0" w:type="dxa"/>
            </w:tcMar>
            <w:tcW w:w="1709"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指标名称</w:t>
            </w:r>
            <w:r/>
          </w:p>
        </w:tc>
        <w:tc>
          <w:tcPr>
            <w:tcMar>
              <w:left w:w="105" w:type="dxa"/>
              <w:top w:w="0" w:type="dxa"/>
              <w:right w:w="105" w:type="dxa"/>
              <w:bottom w:w="0" w:type="dxa"/>
            </w:tcMar>
            <w:tcW w:w="1151"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计量单位</w:t>
            </w:r>
            <w:r/>
          </w:p>
        </w:tc>
        <w:tc>
          <w:tcPr>
            <w:tcMar>
              <w:left w:w="105" w:type="dxa"/>
              <w:top w:w="0" w:type="dxa"/>
              <w:right w:w="105" w:type="dxa"/>
              <w:bottom w:w="0" w:type="dxa"/>
            </w:tcMar>
            <w:tcW w:w="1383"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中型</w:t>
            </w:r>
            <w:r/>
          </w:p>
        </w:tc>
        <w:tc>
          <w:tcPr>
            <w:tcMar>
              <w:left w:w="105" w:type="dxa"/>
              <w:top w:w="0" w:type="dxa"/>
              <w:right w:w="105" w:type="dxa"/>
              <w:bottom w:w="0" w:type="dxa"/>
            </w:tcMar>
            <w:tcW w:w="1679"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小型</w:t>
            </w:r>
            <w:r/>
          </w:p>
        </w:tc>
        <w:tc>
          <w:tcPr>
            <w:tcMar>
              <w:left w:w="105" w:type="dxa"/>
              <w:top w:w="0" w:type="dxa"/>
              <w:right w:w="105" w:type="dxa"/>
              <w:bottom w:w="0" w:type="dxa"/>
            </w:tcMar>
            <w:tcW w:w="1455"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农、林、牧、渔</w:t>
            </w:r>
            <w:r/>
          </w:p>
        </w:tc>
        <w:tc>
          <w:tcPr>
            <w:tcMar>
              <w:left w:w="105" w:type="dxa"/>
              <w:top w:w="0" w:type="dxa"/>
              <w:right w:w="105" w:type="dxa"/>
              <w:bottom w:w="0" w:type="dxa"/>
            </w:tcMar>
            <w:tcW w:w="1709"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500≤Y&lt;20000</w:t>
            </w:r>
            <w:r/>
          </w:p>
        </w:tc>
        <w:tc>
          <w:tcPr>
            <w:tcMar>
              <w:left w:w="105" w:type="dxa"/>
              <w:top w:w="0" w:type="dxa"/>
              <w:right w:w="105" w:type="dxa"/>
              <w:bottom w:w="0" w:type="dxa"/>
            </w:tcMar>
            <w:tcW w:w="1679"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50≤Y&lt;500</w:t>
            </w:r>
            <w:r/>
          </w:p>
        </w:tc>
        <w:tc>
          <w:tcPr>
            <w:tcMar>
              <w:left w:w="105" w:type="dxa"/>
              <w:top w:w="0" w:type="dxa"/>
              <w:right w:w="105" w:type="dxa"/>
              <w:bottom w:w="0" w:type="dxa"/>
            </w:tcMar>
            <w:tcW w:w="1455"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Y&lt;50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工业</w:t>
            </w:r>
            <w:r/>
          </w:p>
        </w:tc>
        <w:tc>
          <w:tcPr>
            <w:tcMar>
              <w:left w:w="105" w:type="dxa"/>
              <w:top w:w="0" w:type="dxa"/>
              <w:right w:w="105" w:type="dxa"/>
              <w:bottom w:w="0" w:type="dxa"/>
            </w:tcMar>
            <w:tcW w:w="1709"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300≤X&lt;1000</w:t>
            </w:r>
            <w:r/>
          </w:p>
        </w:tc>
        <w:tc>
          <w:tcPr>
            <w:tcMar>
              <w:left w:w="105" w:type="dxa"/>
              <w:top w:w="0" w:type="dxa"/>
              <w:right w:w="105" w:type="dxa"/>
              <w:bottom w:w="0" w:type="dxa"/>
            </w:tcMar>
            <w:tcW w:w="1679"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20≤X&lt;300</w:t>
            </w:r>
            <w:r/>
          </w:p>
        </w:tc>
        <w:tc>
          <w:tcPr>
            <w:tcMar>
              <w:left w:w="105" w:type="dxa"/>
              <w:top w:w="0" w:type="dxa"/>
              <w:right w:w="105" w:type="dxa"/>
              <w:bottom w:w="0" w:type="dxa"/>
            </w:tcMar>
            <w:tcW w:w="1455"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X&lt;20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2000≤Y&lt;40000</w:t>
            </w:r>
            <w:r/>
          </w:p>
        </w:tc>
        <w:tc>
          <w:tcPr>
            <w:tcMar>
              <w:left w:w="105" w:type="dxa"/>
              <w:top w:w="0" w:type="dxa"/>
              <w:right w:w="105" w:type="dxa"/>
              <w:bottom w:w="0" w:type="dxa"/>
            </w:tcMar>
            <w:tcW w:w="1679"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300≤Y&lt;2000</w:t>
            </w:r>
            <w:r/>
          </w:p>
        </w:tc>
        <w:tc>
          <w:tcPr>
            <w:tcMar>
              <w:left w:w="105" w:type="dxa"/>
              <w:top w:w="0" w:type="dxa"/>
              <w:right w:w="105" w:type="dxa"/>
              <w:bottom w:w="0" w:type="dxa"/>
            </w:tcMar>
            <w:tcW w:w="1455"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Y&lt;300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建筑业</w:t>
            </w:r>
            <w:r/>
          </w:p>
        </w:tc>
        <w:tc>
          <w:tcPr>
            <w:tcMar>
              <w:left w:w="105" w:type="dxa"/>
              <w:top w:w="0" w:type="dxa"/>
              <w:right w:w="105" w:type="dxa"/>
              <w:bottom w:w="0" w:type="dxa"/>
            </w:tcMar>
            <w:tcW w:w="1709"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6000≤Y&lt;80000</w:t>
            </w:r>
            <w:r/>
          </w:p>
        </w:tc>
        <w:tc>
          <w:tcPr>
            <w:tcMar>
              <w:left w:w="105" w:type="dxa"/>
              <w:top w:w="0" w:type="dxa"/>
              <w:right w:w="105" w:type="dxa"/>
              <w:bottom w:w="0" w:type="dxa"/>
            </w:tcMar>
            <w:tcW w:w="1679"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300≤Y&lt;6000</w:t>
            </w:r>
            <w:r/>
          </w:p>
        </w:tc>
        <w:tc>
          <w:tcPr>
            <w:tcMar>
              <w:left w:w="105" w:type="dxa"/>
              <w:top w:w="0" w:type="dxa"/>
              <w:right w:w="105" w:type="dxa"/>
              <w:bottom w:w="0" w:type="dxa"/>
            </w:tcMar>
            <w:tcW w:w="1455"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Y&lt;300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5000≤Z&lt;80000</w:t>
            </w:r>
            <w:r/>
          </w:p>
        </w:tc>
        <w:tc>
          <w:tcPr>
            <w:tcMar>
              <w:left w:w="105" w:type="dxa"/>
              <w:top w:w="0" w:type="dxa"/>
              <w:right w:w="105" w:type="dxa"/>
              <w:bottom w:w="0" w:type="dxa"/>
            </w:tcMar>
            <w:tcW w:w="1679"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300≤Z&lt;5000</w:t>
            </w:r>
            <w:r/>
          </w:p>
        </w:tc>
        <w:tc>
          <w:tcPr>
            <w:tcMar>
              <w:left w:w="105" w:type="dxa"/>
              <w:top w:w="0" w:type="dxa"/>
              <w:right w:w="105" w:type="dxa"/>
              <w:bottom w:w="0" w:type="dxa"/>
            </w:tcMar>
            <w:tcW w:w="1455"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Z&lt;300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批发业</w:t>
            </w:r>
            <w:r/>
          </w:p>
        </w:tc>
        <w:tc>
          <w:tcPr>
            <w:tcMar>
              <w:left w:w="105" w:type="dxa"/>
              <w:top w:w="0" w:type="dxa"/>
              <w:right w:w="105" w:type="dxa"/>
              <w:bottom w:w="0" w:type="dxa"/>
            </w:tcMar>
            <w:tcW w:w="1709"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20≤X&lt;200</w:t>
            </w:r>
            <w:r/>
          </w:p>
        </w:tc>
        <w:tc>
          <w:tcPr>
            <w:tcMar>
              <w:left w:w="105" w:type="dxa"/>
              <w:top w:w="0" w:type="dxa"/>
              <w:right w:w="105" w:type="dxa"/>
              <w:bottom w:w="0" w:type="dxa"/>
            </w:tcMar>
            <w:tcW w:w="1679"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5≤X&lt;20</w:t>
            </w:r>
            <w:r/>
          </w:p>
        </w:tc>
        <w:tc>
          <w:tcPr>
            <w:tcMar>
              <w:left w:w="105" w:type="dxa"/>
              <w:top w:w="0" w:type="dxa"/>
              <w:right w:w="105" w:type="dxa"/>
              <w:bottom w:w="0" w:type="dxa"/>
            </w:tcMar>
            <w:tcW w:w="1455"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X&lt;5</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5000≤Y&lt;40000</w:t>
            </w:r>
            <w:r/>
          </w:p>
        </w:tc>
        <w:tc>
          <w:tcPr>
            <w:tcMar>
              <w:left w:w="105" w:type="dxa"/>
              <w:top w:w="0" w:type="dxa"/>
              <w:right w:w="105" w:type="dxa"/>
              <w:bottom w:w="0" w:type="dxa"/>
            </w:tcMar>
            <w:tcW w:w="1679"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1000≤Y&lt;5000</w:t>
            </w:r>
            <w:r/>
          </w:p>
        </w:tc>
        <w:tc>
          <w:tcPr>
            <w:tcMar>
              <w:left w:w="105" w:type="dxa"/>
              <w:top w:w="0" w:type="dxa"/>
              <w:right w:w="105" w:type="dxa"/>
              <w:bottom w:w="0" w:type="dxa"/>
            </w:tcMar>
            <w:tcW w:w="1455"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Y&lt;1000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零售业</w:t>
            </w:r>
            <w:r/>
          </w:p>
        </w:tc>
        <w:tc>
          <w:tcPr>
            <w:tcMar>
              <w:left w:w="105" w:type="dxa"/>
              <w:top w:w="0" w:type="dxa"/>
              <w:right w:w="105" w:type="dxa"/>
              <w:bottom w:w="0" w:type="dxa"/>
            </w:tcMar>
            <w:tcW w:w="1709"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50≤X&lt;300</w:t>
            </w:r>
            <w:r/>
          </w:p>
        </w:tc>
        <w:tc>
          <w:tcPr>
            <w:tcMar>
              <w:left w:w="105" w:type="dxa"/>
              <w:top w:w="0" w:type="dxa"/>
              <w:right w:w="105" w:type="dxa"/>
              <w:bottom w:w="0" w:type="dxa"/>
            </w:tcMar>
            <w:tcW w:w="1679"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10≤X&lt;50</w:t>
            </w:r>
            <w:r/>
          </w:p>
        </w:tc>
        <w:tc>
          <w:tcPr>
            <w:tcMar>
              <w:left w:w="105" w:type="dxa"/>
              <w:top w:w="0" w:type="dxa"/>
              <w:right w:w="105" w:type="dxa"/>
              <w:bottom w:w="0" w:type="dxa"/>
            </w:tcMar>
            <w:tcW w:w="1455"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500≤Y&lt;20000</w:t>
            </w:r>
            <w:r/>
          </w:p>
        </w:tc>
        <w:tc>
          <w:tcPr>
            <w:tcMar>
              <w:left w:w="105" w:type="dxa"/>
              <w:top w:w="0" w:type="dxa"/>
              <w:right w:w="105" w:type="dxa"/>
              <w:bottom w:w="0" w:type="dxa"/>
            </w:tcMar>
            <w:tcW w:w="1679"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100≤Y&lt;500</w:t>
            </w:r>
            <w:r/>
          </w:p>
        </w:tc>
        <w:tc>
          <w:tcPr>
            <w:tcMar>
              <w:left w:w="105" w:type="dxa"/>
              <w:top w:w="0" w:type="dxa"/>
              <w:right w:w="105" w:type="dxa"/>
              <w:bottom w:w="0" w:type="dxa"/>
            </w:tcMar>
            <w:tcW w:w="1455"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交通运输业</w:t>
            </w:r>
            <w:r/>
          </w:p>
        </w:tc>
        <w:tc>
          <w:tcPr>
            <w:tcMar>
              <w:left w:w="105" w:type="dxa"/>
              <w:top w:w="0" w:type="dxa"/>
              <w:right w:w="105" w:type="dxa"/>
              <w:bottom w:w="0" w:type="dxa"/>
            </w:tcMar>
            <w:tcW w:w="1709"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300≤X&lt;1000</w:t>
            </w:r>
            <w:r/>
          </w:p>
        </w:tc>
        <w:tc>
          <w:tcPr>
            <w:tcMar>
              <w:left w:w="105" w:type="dxa"/>
              <w:top w:w="0" w:type="dxa"/>
              <w:right w:w="105" w:type="dxa"/>
              <w:bottom w:w="0" w:type="dxa"/>
            </w:tcMar>
            <w:tcW w:w="1679"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20≤X&lt;300</w:t>
            </w:r>
            <w:r/>
          </w:p>
        </w:tc>
        <w:tc>
          <w:tcPr>
            <w:tcMar>
              <w:left w:w="105" w:type="dxa"/>
              <w:top w:w="0" w:type="dxa"/>
              <w:right w:w="105" w:type="dxa"/>
              <w:bottom w:w="0" w:type="dxa"/>
            </w:tcMar>
            <w:tcW w:w="1455"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X&lt;20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3000≤Y&lt;30000</w:t>
            </w:r>
            <w:r/>
          </w:p>
        </w:tc>
        <w:tc>
          <w:tcPr>
            <w:tcMar>
              <w:left w:w="105" w:type="dxa"/>
              <w:top w:w="0" w:type="dxa"/>
              <w:right w:w="105" w:type="dxa"/>
              <w:bottom w:w="0" w:type="dxa"/>
            </w:tcMar>
            <w:tcW w:w="1679"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200≤Y&lt;3000</w:t>
            </w:r>
            <w:r/>
          </w:p>
        </w:tc>
        <w:tc>
          <w:tcPr>
            <w:tcMar>
              <w:left w:w="105" w:type="dxa"/>
              <w:top w:w="0" w:type="dxa"/>
              <w:right w:w="105" w:type="dxa"/>
              <w:bottom w:w="0" w:type="dxa"/>
            </w:tcMar>
            <w:tcW w:w="1455"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Y&lt;200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仓储业</w:t>
            </w:r>
            <w:r/>
          </w:p>
        </w:tc>
        <w:tc>
          <w:tcPr>
            <w:tcMar>
              <w:left w:w="105" w:type="dxa"/>
              <w:top w:w="0" w:type="dxa"/>
              <w:right w:w="105" w:type="dxa"/>
              <w:bottom w:w="0" w:type="dxa"/>
            </w:tcMar>
            <w:tcW w:w="1709"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100≤X&lt;200</w:t>
            </w:r>
            <w:r/>
          </w:p>
        </w:tc>
        <w:tc>
          <w:tcPr>
            <w:tcMar>
              <w:left w:w="105" w:type="dxa"/>
              <w:top w:w="0" w:type="dxa"/>
              <w:right w:w="105" w:type="dxa"/>
              <w:bottom w:w="0" w:type="dxa"/>
            </w:tcMar>
            <w:tcW w:w="1679"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20≤X&lt;100</w:t>
            </w:r>
            <w:r/>
          </w:p>
        </w:tc>
        <w:tc>
          <w:tcPr>
            <w:tcMar>
              <w:left w:w="105" w:type="dxa"/>
              <w:top w:w="0" w:type="dxa"/>
              <w:right w:w="105" w:type="dxa"/>
              <w:bottom w:w="0" w:type="dxa"/>
            </w:tcMar>
            <w:tcW w:w="1455"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X&lt;20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1000≤Y&lt;30000</w:t>
            </w:r>
            <w:r/>
          </w:p>
        </w:tc>
        <w:tc>
          <w:tcPr>
            <w:tcMar>
              <w:left w:w="105" w:type="dxa"/>
              <w:top w:w="0" w:type="dxa"/>
              <w:right w:w="105" w:type="dxa"/>
              <w:bottom w:w="0" w:type="dxa"/>
            </w:tcMar>
            <w:tcW w:w="1679"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100≤Y&lt;1000</w:t>
            </w:r>
            <w:r/>
          </w:p>
        </w:tc>
        <w:tc>
          <w:tcPr>
            <w:tcMar>
              <w:left w:w="105" w:type="dxa"/>
              <w:top w:w="0" w:type="dxa"/>
              <w:right w:w="105" w:type="dxa"/>
              <w:bottom w:w="0" w:type="dxa"/>
            </w:tcMar>
            <w:tcW w:w="1455"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邮政业</w:t>
            </w:r>
            <w:r/>
          </w:p>
        </w:tc>
        <w:tc>
          <w:tcPr>
            <w:tcMar>
              <w:left w:w="105" w:type="dxa"/>
              <w:top w:w="0" w:type="dxa"/>
              <w:right w:w="105" w:type="dxa"/>
              <w:bottom w:w="0" w:type="dxa"/>
            </w:tcMar>
            <w:tcW w:w="1709"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300≤X&lt;1000</w:t>
            </w:r>
            <w:r/>
          </w:p>
        </w:tc>
        <w:tc>
          <w:tcPr>
            <w:tcMar>
              <w:left w:w="105" w:type="dxa"/>
              <w:top w:w="0" w:type="dxa"/>
              <w:right w:w="105" w:type="dxa"/>
              <w:bottom w:w="0" w:type="dxa"/>
            </w:tcMar>
            <w:tcW w:w="1679"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20≤X&lt;300</w:t>
            </w:r>
            <w:r/>
          </w:p>
        </w:tc>
        <w:tc>
          <w:tcPr>
            <w:tcMar>
              <w:left w:w="105" w:type="dxa"/>
              <w:top w:w="0" w:type="dxa"/>
              <w:right w:w="105" w:type="dxa"/>
              <w:bottom w:w="0" w:type="dxa"/>
            </w:tcMar>
            <w:tcW w:w="1455"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X&lt;20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2000≤Y&lt;30000</w:t>
            </w:r>
            <w:r/>
          </w:p>
        </w:tc>
        <w:tc>
          <w:tcPr>
            <w:tcMar>
              <w:left w:w="105" w:type="dxa"/>
              <w:top w:w="0" w:type="dxa"/>
              <w:right w:w="105" w:type="dxa"/>
              <w:bottom w:w="0" w:type="dxa"/>
            </w:tcMar>
            <w:tcW w:w="1679"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100≤Y&lt;2000</w:t>
            </w:r>
            <w:r/>
          </w:p>
        </w:tc>
        <w:tc>
          <w:tcPr>
            <w:tcMar>
              <w:left w:w="105" w:type="dxa"/>
              <w:top w:w="0" w:type="dxa"/>
              <w:right w:w="105" w:type="dxa"/>
              <w:bottom w:w="0" w:type="dxa"/>
            </w:tcMar>
            <w:tcW w:w="1455"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住宿业</w:t>
            </w:r>
            <w:r/>
          </w:p>
        </w:tc>
        <w:tc>
          <w:tcPr>
            <w:tcMar>
              <w:left w:w="105" w:type="dxa"/>
              <w:top w:w="0" w:type="dxa"/>
              <w:right w:w="105" w:type="dxa"/>
              <w:bottom w:w="0" w:type="dxa"/>
            </w:tcMar>
            <w:tcW w:w="1709"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100≤X&lt;300</w:t>
            </w:r>
            <w:r/>
          </w:p>
        </w:tc>
        <w:tc>
          <w:tcPr>
            <w:tcMar>
              <w:left w:w="105" w:type="dxa"/>
              <w:top w:w="0" w:type="dxa"/>
              <w:right w:w="105" w:type="dxa"/>
              <w:bottom w:w="0" w:type="dxa"/>
            </w:tcMar>
            <w:tcW w:w="1679" w:type="dxa"/>
            <w:vAlign w:val="center"/>
            <w:textDirection w:val="lrTb"/>
            <w:noWrap w:val="false"/>
          </w:tcPr>
          <w:p>
            <w:pPr>
              <w:pStyle w:val="989"/>
              <w:ind w:firstLine="42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2000≤Y&lt;10000</w:t>
            </w:r>
            <w:r/>
          </w:p>
        </w:tc>
        <w:tc>
          <w:tcPr>
            <w:tcMar>
              <w:left w:w="105" w:type="dxa"/>
              <w:top w:w="0" w:type="dxa"/>
              <w:right w:w="105" w:type="dxa"/>
              <w:bottom w:w="0" w:type="dxa"/>
            </w:tcMar>
            <w:tcW w:w="1679"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100≤Y&lt;2000</w:t>
            </w:r>
            <w:r/>
          </w:p>
        </w:tc>
        <w:tc>
          <w:tcPr>
            <w:tcMar>
              <w:left w:w="105" w:type="dxa"/>
              <w:top w:w="0" w:type="dxa"/>
              <w:right w:w="105" w:type="dxa"/>
              <w:bottom w:w="0" w:type="dxa"/>
            </w:tcMar>
            <w:tcW w:w="1455"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餐饮业</w:t>
            </w:r>
            <w:r/>
          </w:p>
        </w:tc>
        <w:tc>
          <w:tcPr>
            <w:tcMar>
              <w:left w:w="105" w:type="dxa"/>
              <w:top w:w="0" w:type="dxa"/>
              <w:right w:w="105" w:type="dxa"/>
              <w:bottom w:w="0" w:type="dxa"/>
            </w:tcMar>
            <w:tcW w:w="1709"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100≤X&lt;300</w:t>
            </w:r>
            <w:r/>
          </w:p>
        </w:tc>
        <w:tc>
          <w:tcPr>
            <w:tcMar>
              <w:left w:w="105" w:type="dxa"/>
              <w:top w:w="0" w:type="dxa"/>
              <w:right w:w="105" w:type="dxa"/>
              <w:bottom w:w="0" w:type="dxa"/>
            </w:tcMar>
            <w:tcW w:w="1679"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2000≤Y&lt;10000</w:t>
            </w:r>
            <w:r/>
          </w:p>
        </w:tc>
        <w:tc>
          <w:tcPr>
            <w:tcMar>
              <w:left w:w="105" w:type="dxa"/>
              <w:top w:w="0" w:type="dxa"/>
              <w:right w:w="105" w:type="dxa"/>
              <w:bottom w:w="0" w:type="dxa"/>
            </w:tcMar>
            <w:tcW w:w="1679"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100≤Y&lt;2000</w:t>
            </w:r>
            <w:r/>
          </w:p>
        </w:tc>
        <w:tc>
          <w:tcPr>
            <w:tcMar>
              <w:left w:w="105" w:type="dxa"/>
              <w:top w:w="0" w:type="dxa"/>
              <w:right w:w="105" w:type="dxa"/>
              <w:bottom w:w="0" w:type="dxa"/>
            </w:tcMar>
            <w:tcW w:w="1455"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信息传输业</w:t>
            </w:r>
            <w:r/>
          </w:p>
        </w:tc>
        <w:tc>
          <w:tcPr>
            <w:tcMar>
              <w:left w:w="105" w:type="dxa"/>
              <w:top w:w="0" w:type="dxa"/>
              <w:right w:w="105" w:type="dxa"/>
              <w:bottom w:w="0" w:type="dxa"/>
            </w:tcMar>
            <w:tcW w:w="1709"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100≤X&lt;2000</w:t>
            </w:r>
            <w:r/>
          </w:p>
        </w:tc>
        <w:tc>
          <w:tcPr>
            <w:tcMar>
              <w:left w:w="105" w:type="dxa"/>
              <w:top w:w="0" w:type="dxa"/>
              <w:right w:w="105" w:type="dxa"/>
              <w:bottom w:w="0" w:type="dxa"/>
            </w:tcMar>
            <w:tcW w:w="1679"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1000≤Y&lt;100000</w:t>
            </w:r>
            <w:r/>
          </w:p>
        </w:tc>
        <w:tc>
          <w:tcPr>
            <w:tcMar>
              <w:left w:w="105" w:type="dxa"/>
              <w:top w:w="0" w:type="dxa"/>
              <w:right w:w="105" w:type="dxa"/>
              <w:bottom w:w="0" w:type="dxa"/>
            </w:tcMar>
            <w:tcW w:w="1679"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100≤Y&lt;1000</w:t>
            </w:r>
            <w:r/>
          </w:p>
        </w:tc>
        <w:tc>
          <w:tcPr>
            <w:tcMar>
              <w:left w:w="105" w:type="dxa"/>
              <w:top w:w="0" w:type="dxa"/>
              <w:right w:w="105" w:type="dxa"/>
              <w:bottom w:w="0" w:type="dxa"/>
            </w:tcMar>
            <w:tcW w:w="1455"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100≤X&lt;300</w:t>
            </w:r>
            <w:r/>
          </w:p>
        </w:tc>
        <w:tc>
          <w:tcPr>
            <w:tcMar>
              <w:left w:w="105" w:type="dxa"/>
              <w:top w:w="0" w:type="dxa"/>
              <w:right w:w="105" w:type="dxa"/>
              <w:bottom w:w="0" w:type="dxa"/>
            </w:tcMar>
            <w:tcW w:w="1679"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1000≤Y&lt;10000</w:t>
            </w:r>
            <w:r/>
          </w:p>
        </w:tc>
        <w:tc>
          <w:tcPr>
            <w:tcMar>
              <w:left w:w="105" w:type="dxa"/>
              <w:top w:w="0" w:type="dxa"/>
              <w:right w:w="105" w:type="dxa"/>
              <w:bottom w:w="0" w:type="dxa"/>
            </w:tcMar>
            <w:tcW w:w="1679"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50≤Y&lt;1000</w:t>
            </w:r>
            <w:r/>
          </w:p>
        </w:tc>
        <w:tc>
          <w:tcPr>
            <w:tcMar>
              <w:left w:w="105" w:type="dxa"/>
              <w:top w:w="0" w:type="dxa"/>
              <w:right w:w="105" w:type="dxa"/>
              <w:bottom w:w="0" w:type="dxa"/>
            </w:tcMar>
            <w:tcW w:w="1455"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Y&lt;50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房地产开发经营</w:t>
            </w:r>
            <w:r/>
          </w:p>
        </w:tc>
        <w:tc>
          <w:tcPr>
            <w:tcMar>
              <w:left w:w="105" w:type="dxa"/>
              <w:top w:w="0" w:type="dxa"/>
              <w:right w:w="105" w:type="dxa"/>
              <w:bottom w:w="0" w:type="dxa"/>
            </w:tcMar>
            <w:tcW w:w="1709"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1000≤Y&lt;200000</w:t>
            </w:r>
            <w:r/>
          </w:p>
        </w:tc>
        <w:tc>
          <w:tcPr>
            <w:tcMar>
              <w:left w:w="105" w:type="dxa"/>
              <w:top w:w="0" w:type="dxa"/>
              <w:right w:w="105" w:type="dxa"/>
              <w:bottom w:w="0" w:type="dxa"/>
            </w:tcMar>
            <w:tcW w:w="1679"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100≤X&lt;1000</w:t>
            </w:r>
            <w:r/>
          </w:p>
        </w:tc>
        <w:tc>
          <w:tcPr>
            <w:tcMar>
              <w:left w:w="105" w:type="dxa"/>
              <w:top w:w="0" w:type="dxa"/>
              <w:right w:w="105" w:type="dxa"/>
              <w:bottom w:w="0" w:type="dxa"/>
            </w:tcMar>
            <w:tcW w:w="1455"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X&lt;100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5000≤Z&lt;10000</w:t>
            </w:r>
            <w:r/>
          </w:p>
        </w:tc>
        <w:tc>
          <w:tcPr>
            <w:tcMar>
              <w:left w:w="105" w:type="dxa"/>
              <w:top w:w="0" w:type="dxa"/>
              <w:right w:w="105" w:type="dxa"/>
              <w:bottom w:w="0" w:type="dxa"/>
            </w:tcMar>
            <w:tcW w:w="1679"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2000≤Y&lt;5000</w:t>
            </w:r>
            <w:r/>
          </w:p>
        </w:tc>
        <w:tc>
          <w:tcPr>
            <w:tcMar>
              <w:left w:w="105" w:type="dxa"/>
              <w:top w:w="0" w:type="dxa"/>
              <w:right w:w="105" w:type="dxa"/>
              <w:bottom w:w="0" w:type="dxa"/>
            </w:tcMar>
            <w:tcW w:w="1455"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Y&lt;2000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物业管理</w:t>
            </w:r>
            <w:r/>
          </w:p>
        </w:tc>
        <w:tc>
          <w:tcPr>
            <w:tcMar>
              <w:left w:w="105" w:type="dxa"/>
              <w:top w:w="0" w:type="dxa"/>
              <w:right w:w="105" w:type="dxa"/>
              <w:bottom w:w="0" w:type="dxa"/>
            </w:tcMar>
            <w:tcW w:w="1709"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300≤X&lt;1000</w:t>
            </w:r>
            <w:r/>
          </w:p>
        </w:tc>
        <w:tc>
          <w:tcPr>
            <w:tcMar>
              <w:left w:w="105" w:type="dxa"/>
              <w:top w:w="0" w:type="dxa"/>
              <w:right w:w="105" w:type="dxa"/>
              <w:bottom w:w="0" w:type="dxa"/>
            </w:tcMar>
            <w:tcW w:w="1679"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100≤X&lt;300</w:t>
            </w:r>
            <w:r/>
          </w:p>
        </w:tc>
        <w:tc>
          <w:tcPr>
            <w:tcMar>
              <w:left w:w="105" w:type="dxa"/>
              <w:top w:w="0" w:type="dxa"/>
              <w:right w:w="105" w:type="dxa"/>
              <w:bottom w:w="0" w:type="dxa"/>
            </w:tcMar>
            <w:tcW w:w="1455"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X&lt;100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1000≤Y&lt;5000</w:t>
            </w:r>
            <w:r/>
          </w:p>
        </w:tc>
        <w:tc>
          <w:tcPr>
            <w:tcMar>
              <w:left w:w="105" w:type="dxa"/>
              <w:top w:w="0" w:type="dxa"/>
              <w:right w:w="105" w:type="dxa"/>
              <w:bottom w:w="0" w:type="dxa"/>
            </w:tcMar>
            <w:tcW w:w="1679"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500≤Y&lt;1000</w:t>
            </w:r>
            <w:r/>
          </w:p>
        </w:tc>
        <w:tc>
          <w:tcPr>
            <w:tcMar>
              <w:left w:w="105" w:type="dxa"/>
              <w:top w:w="0" w:type="dxa"/>
              <w:right w:w="105" w:type="dxa"/>
              <w:bottom w:w="0" w:type="dxa"/>
            </w:tcMar>
            <w:tcW w:w="1455"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Y&lt;500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租赁和商务服务业</w:t>
            </w:r>
            <w:r/>
          </w:p>
        </w:tc>
        <w:tc>
          <w:tcPr>
            <w:tcMar>
              <w:left w:w="105" w:type="dxa"/>
              <w:top w:w="0" w:type="dxa"/>
              <w:right w:w="105" w:type="dxa"/>
              <w:bottom w:w="0" w:type="dxa"/>
            </w:tcMar>
            <w:tcW w:w="1709"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100≤X&lt;300</w:t>
            </w:r>
            <w:r/>
          </w:p>
        </w:tc>
        <w:tc>
          <w:tcPr>
            <w:tcMar>
              <w:left w:w="105" w:type="dxa"/>
              <w:top w:w="0" w:type="dxa"/>
              <w:right w:w="105" w:type="dxa"/>
              <w:bottom w:w="0" w:type="dxa"/>
            </w:tcMar>
            <w:tcW w:w="1679"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8000≤Z&lt;120000</w:t>
            </w:r>
            <w:r/>
          </w:p>
        </w:tc>
        <w:tc>
          <w:tcPr>
            <w:tcMar>
              <w:left w:w="105" w:type="dxa"/>
              <w:top w:w="0" w:type="dxa"/>
              <w:right w:w="105" w:type="dxa"/>
              <w:bottom w:w="0" w:type="dxa"/>
            </w:tcMar>
            <w:tcW w:w="1679"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100≤Z&lt;8000</w:t>
            </w:r>
            <w:r/>
          </w:p>
        </w:tc>
        <w:tc>
          <w:tcPr>
            <w:tcMar>
              <w:left w:w="105" w:type="dxa"/>
              <w:top w:w="0" w:type="dxa"/>
              <w:right w:w="105" w:type="dxa"/>
              <w:bottom w:w="0" w:type="dxa"/>
            </w:tcMar>
            <w:tcW w:w="1455"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其他未列明行业</w:t>
            </w:r>
            <w:r/>
          </w:p>
        </w:tc>
        <w:tc>
          <w:tcPr>
            <w:tcMar>
              <w:left w:w="105" w:type="dxa"/>
              <w:top w:w="0" w:type="dxa"/>
              <w:right w:w="105" w:type="dxa"/>
              <w:bottom w:w="0" w:type="dxa"/>
            </w:tcMar>
            <w:tcW w:w="1709"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100≤X&lt;300</w:t>
            </w:r>
            <w:r/>
          </w:p>
        </w:tc>
        <w:tc>
          <w:tcPr>
            <w:tcMar>
              <w:left w:w="105" w:type="dxa"/>
              <w:top w:w="0" w:type="dxa"/>
              <w:right w:w="105" w:type="dxa"/>
              <w:bottom w:w="0" w:type="dxa"/>
            </w:tcMar>
            <w:tcW w:w="1679"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989"/>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X&lt;10</w:t>
            </w:r>
            <w:r/>
          </w:p>
        </w:tc>
      </w:tr>
    </w:tbl>
    <w:p>
      <w:pPr>
        <w:pStyle w:val="989"/>
        <w:ind w:firstLine="810"/>
        <w:pageBreakBefore w:val="0"/>
        <w:spacing w:line="360" w:lineRule="auto"/>
        <w:widowControl/>
        <w:rPr>
          <w:rStyle w:val="994"/>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说明：上述标准参照《关于印发中小企业划型标准规定的通知》（工信部联企业〔2011〕300号），大型、中型和小型企业须同时满足所列指标的下限，否则下划一档；微型企业只需满足所列指标中的一项即可。</w:t>
      </w:r>
      <w:r/>
    </w:p>
    <w:p>
      <w:pPr>
        <w:ind w:firstLine="420"/>
        <w:pageBreakBefore w:val="0"/>
        <w:spacing w:line="360" w:lineRule="auto"/>
        <w:rPr>
          <w:rFonts w:hint="eastAsia" w:ascii="Times New Roman" w:hAnsi="Times New Roman" w:eastAsia="宋体" w:cs="宋体"/>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Times New Roman" w:hAnsi="Times New Roman" w:eastAsia="宋体" w:cs="宋体"/>
          <w:bCs/>
          <w:color w:val="auto"/>
          <w:highlight w:val="none"/>
        </w:rPr>
      </w:r>
      <w:r/>
    </w:p>
    <w:p>
      <w:pPr>
        <w:pStyle w:val="969"/>
        <w:pageBreakBefore w:val="0"/>
        <w:spacing w:before="0" w:after="0" w:line="360" w:lineRule="auto"/>
        <w:rPr>
          <w:rFonts w:hint="eastAsia" w:ascii="Times New Roman" w:hAnsi="Times New Roman" w:eastAsia="宋体" w:cs="宋体"/>
          <w:color w:val="auto"/>
          <w:sz w:val="32"/>
          <w:highlight w:val="none"/>
        </w:rPr>
      </w:pPr>
      <w:r/>
      <w:bookmarkStart w:id="102" w:name="_Toc20616"/>
      <w:r/>
      <w:bookmarkStart w:id="103" w:name="_Toc9345"/>
      <w:r/>
      <w:bookmarkStart w:id="104" w:name="_Toc14959"/>
      <w:r/>
      <w:bookmarkStart w:id="105" w:name="_Toc16911"/>
      <w:r/>
      <w:bookmarkStart w:id="106" w:name="_Toc3074"/>
      <w:r>
        <w:rPr>
          <w:rFonts w:hint="eastAsia" w:ascii="Times New Roman" w:hAnsi="Times New Roman" w:eastAsia="宋体" w:cs="宋体"/>
          <w:color w:val="auto"/>
          <w:sz w:val="32"/>
          <w:highlight w:val="none"/>
        </w:rPr>
        <w:t xml:space="preserve">二、符合性审查响应对照表</w:t>
      </w:r>
      <w:bookmarkEnd w:id="102"/>
      <w:r/>
      <w:bookmarkEnd w:id="103"/>
      <w:r/>
      <w:bookmarkEnd w:id="104"/>
      <w:r/>
      <w:bookmarkEnd w:id="105"/>
      <w:r/>
      <w:bookmarkEnd w:id="106"/>
      <w:r/>
      <w:r/>
    </w:p>
    <w:tbl>
      <w:tblPr>
        <w:tblStyle w:val="729"/>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355" w:type="pct"/>
            <w:vAlign w:val="center"/>
            <w:textDirection w:val="lrTb"/>
            <w:noWrap w:val="false"/>
          </w:tcPr>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序号</w:t>
            </w:r>
            <w:r/>
          </w:p>
        </w:tc>
        <w:tc>
          <w:tcPr>
            <w:tcW w:w="2999" w:type="pct"/>
            <w:vAlign w:val="center"/>
            <w:textDirection w:val="lrTb"/>
            <w:noWrap w:val="false"/>
          </w:tcPr>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符合性审查响应内容</w:t>
            </w:r>
            <w:r/>
          </w:p>
        </w:tc>
        <w:tc>
          <w:tcPr>
            <w:tcW w:w="924" w:type="pct"/>
            <w:vAlign w:val="center"/>
            <w:textDirection w:val="lrTb"/>
            <w:noWrap w:val="false"/>
          </w:tcPr>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是否响应</w:t>
            </w:r>
            <w:r/>
          </w:p>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（填是或者否）</w:t>
            </w:r>
            <w:r/>
          </w:p>
        </w:tc>
        <w:tc>
          <w:tcPr>
            <w:tcW w:w="720" w:type="pct"/>
            <w:vAlign w:val="center"/>
            <w:textDirection w:val="lrTb"/>
            <w:noWrap w:val="false"/>
          </w:tcPr>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响应情况</w:t>
            </w:r>
            <w:r/>
          </w:p>
        </w:tc>
      </w:tr>
      <w:tr>
        <w:trPr>
          <w:trHeight w:val="585"/>
        </w:trPr>
        <w:tc>
          <w:tcPr>
            <w:tcW w:w="355" w:type="pct"/>
            <w:vAlign w:val="center"/>
            <w:textDirection w:val="lrTb"/>
            <w:noWrap w:val="false"/>
          </w:tcPr>
          <w:p>
            <w:pPr>
              <w:jc w:val="center"/>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w:t>
            </w:r>
            <w:r/>
          </w:p>
        </w:tc>
        <w:tc>
          <w:tcPr>
            <w:tcW w:w="2999" w:type="pct"/>
            <w:vAlign w:val="center"/>
            <w:textDirection w:val="lrTb"/>
            <w:noWrap w:val="false"/>
          </w:tcPr>
          <w:p>
            <w:pPr>
              <w:pageBreakBefore w:val="0"/>
              <w:spacing w:line="360" w:lineRule="auto"/>
              <w:rPr>
                <w:rFonts w:hint="eastAsia" w:ascii="Times New Roman" w:hAnsi="Times New Roman" w:eastAsia="宋体" w:cs="宋体"/>
                <w:bCs/>
                <w:iCs/>
                <w:color w:val="auto"/>
                <w:szCs w:val="21"/>
                <w:highlight w:val="none"/>
              </w:rPr>
            </w:pPr>
            <w:r>
              <w:rPr>
                <w:rFonts w:hint="eastAsia" w:ascii="Times New Roman" w:hAnsi="Times New Roman" w:eastAsia="宋体" w:cs="宋体"/>
                <w:bCs/>
                <w:iCs/>
                <w:color w:val="auto"/>
                <w:szCs w:val="21"/>
                <w:highlight w:val="none"/>
              </w:rPr>
              <w:t xml:space="preserve">采购需求中必须满足的实质性要求（即加斜体下划线内容，每条详细列出）</w:t>
            </w:r>
            <w:r/>
          </w:p>
        </w:tc>
        <w:tc>
          <w:tcPr>
            <w:tcW w:w="924" w:type="pct"/>
            <w:vAlign w:val="center"/>
            <w:textDirection w:val="lrTb"/>
            <w:noWrap w:val="false"/>
          </w:tcPr>
          <w:p>
            <w:pP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r>
            <w:r/>
          </w:p>
        </w:tc>
        <w:tc>
          <w:tcPr>
            <w:tcW w:w="720" w:type="pct"/>
            <w:vAlign w:val="center"/>
            <w:textDirection w:val="lrTb"/>
            <w:noWrap w:val="false"/>
          </w:tcPr>
          <w:p>
            <w:pP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r>
            <w:r/>
          </w:p>
        </w:tc>
      </w:tr>
      <w:tr>
        <w:trPr>
          <w:trHeight w:val="585"/>
        </w:trPr>
        <w:tc>
          <w:tcPr>
            <w:tcW w:w="35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w:t>
            </w:r>
            <w:r/>
          </w:p>
        </w:tc>
        <w:tc>
          <w:tcPr>
            <w:tcW w:w="2999" w:type="pct"/>
            <w:vAlign w:val="center"/>
            <w:textDirection w:val="lrTb"/>
            <w:noWrap w:val="false"/>
          </w:tcPr>
          <w:p>
            <w:pPr>
              <w:pageBreakBefore w:val="0"/>
              <w:spacing w:line="360" w:lineRule="auto"/>
              <w:rPr>
                <w:rFonts w:hint="eastAsia" w:ascii="Times New Roman" w:hAnsi="Times New Roman" w:eastAsia="宋体" w:cs="宋体"/>
                <w:iCs/>
                <w:color w:val="auto"/>
                <w:szCs w:val="21"/>
                <w:highlight w:val="none"/>
              </w:rPr>
            </w:pPr>
            <w:r>
              <w:rPr>
                <w:rFonts w:hint="eastAsia" w:ascii="Times New Roman" w:hAnsi="Times New Roman" w:eastAsia="宋体" w:cs="宋体"/>
                <w:iCs/>
                <w:color w:val="auto"/>
                <w:szCs w:val="21"/>
                <w:highlight w:val="none"/>
              </w:rPr>
            </w:r>
            <w:r/>
          </w:p>
        </w:tc>
        <w:tc>
          <w:tcPr>
            <w:tcW w:w="924"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720"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r>
        <w:trPr>
          <w:trHeight w:val="585"/>
        </w:trPr>
        <w:tc>
          <w:tcPr>
            <w:tcW w:w="35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3</w:t>
            </w:r>
            <w:r/>
          </w:p>
        </w:tc>
        <w:tc>
          <w:tcPr>
            <w:tcW w:w="2999" w:type="pct"/>
            <w:vAlign w:val="center"/>
            <w:textDirection w:val="lrTb"/>
            <w:noWrap w:val="false"/>
          </w:tcPr>
          <w:p>
            <w:pPr>
              <w:pageBreakBefore w:val="0"/>
              <w:spacing w:line="360" w:lineRule="auto"/>
              <w:rPr>
                <w:rFonts w:hint="eastAsia" w:ascii="Times New Roman" w:hAnsi="Times New Roman" w:eastAsia="宋体" w:cs="宋体"/>
                <w:iCs/>
                <w:color w:val="auto"/>
                <w:szCs w:val="21"/>
                <w:highlight w:val="none"/>
                <w:lang w:val="en-US" w:eastAsia="zh-CN"/>
              </w:rPr>
            </w:pPr>
            <w:r>
              <w:rPr>
                <w:rFonts w:hint="eastAsia" w:ascii="Times New Roman" w:hAnsi="Times New Roman" w:eastAsia="宋体" w:cs="宋体"/>
                <w:iCs/>
                <w:color w:val="auto"/>
                <w:szCs w:val="21"/>
                <w:highlight w:val="none"/>
                <w:lang w:val="en-US" w:eastAsia="zh-CN"/>
              </w:rPr>
            </w:r>
            <w:r/>
          </w:p>
        </w:tc>
        <w:tc>
          <w:tcPr>
            <w:tcW w:w="924"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720"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r>
        <w:trPr>
          <w:trHeight w:val="417"/>
        </w:trPr>
        <w:tc>
          <w:tcPr>
            <w:tcW w:w="35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4</w:t>
            </w:r>
            <w:r/>
          </w:p>
        </w:tc>
        <w:tc>
          <w:tcPr>
            <w:tcW w:w="2999" w:type="pct"/>
            <w:vAlign w:val="center"/>
            <w:textDirection w:val="lrTb"/>
            <w:noWrap w:val="false"/>
          </w:tcPr>
          <w:p>
            <w:pPr>
              <w:pageBreakBefore w:val="0"/>
              <w:spacing w:line="360" w:lineRule="auto"/>
              <w:rPr>
                <w:rFonts w:hint="eastAsia" w:ascii="Times New Roman" w:hAnsi="Times New Roman" w:eastAsia="宋体" w:cs="宋体"/>
                <w:iCs/>
                <w:color w:val="auto"/>
                <w:szCs w:val="21"/>
                <w:highlight w:val="none"/>
                <w:lang w:val="en-US" w:eastAsia="zh-CN"/>
              </w:rPr>
            </w:pPr>
            <w:r>
              <w:rPr>
                <w:rFonts w:hint="eastAsia" w:ascii="Times New Roman" w:hAnsi="Times New Roman" w:eastAsia="宋体" w:cs="宋体"/>
                <w:iCs/>
                <w:color w:val="auto"/>
                <w:szCs w:val="21"/>
                <w:highlight w:val="none"/>
                <w:lang w:val="en-US" w:eastAsia="zh-CN"/>
              </w:rPr>
            </w:r>
            <w:r/>
          </w:p>
        </w:tc>
        <w:tc>
          <w:tcPr>
            <w:tcW w:w="924"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720"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r>
        <w:trPr>
          <w:trHeight w:val="780"/>
        </w:trPr>
        <w:tc>
          <w:tcPr>
            <w:tcW w:w="35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5</w:t>
            </w:r>
            <w:r/>
          </w:p>
        </w:tc>
        <w:tc>
          <w:tcPr>
            <w:tcW w:w="2999" w:type="pct"/>
            <w:vAlign w:val="center"/>
            <w:textDirection w:val="lrTb"/>
            <w:noWrap w:val="false"/>
          </w:tcPr>
          <w:p>
            <w:pPr>
              <w:pageBreakBefore w:val="0"/>
              <w:spacing w:line="360" w:lineRule="auto"/>
              <w:rPr>
                <w:rFonts w:hint="eastAsia" w:ascii="Times New Roman" w:hAnsi="Times New Roman" w:eastAsia="宋体" w:cs="宋体"/>
                <w:iCs/>
                <w:color w:val="auto"/>
                <w:szCs w:val="21"/>
                <w:highlight w:val="none"/>
              </w:rPr>
            </w:pPr>
            <w:r>
              <w:rPr>
                <w:rFonts w:hint="eastAsia" w:ascii="Times New Roman" w:hAnsi="Times New Roman" w:eastAsia="宋体" w:cs="宋体"/>
                <w:iCs/>
                <w:color w:val="auto"/>
                <w:szCs w:val="21"/>
                <w:highlight w:val="none"/>
              </w:rPr>
              <w:t xml:space="preserve">……</w:t>
            </w:r>
            <w:r/>
          </w:p>
        </w:tc>
        <w:tc>
          <w:tcPr>
            <w:tcW w:w="924"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720"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bl>
    <w:p>
      <w:pPr>
        <w:pageBreakBefore w:val="0"/>
        <w:spacing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ins w:id="0" w:author="刘洋" w:date="2026-09-14T06:56:27Z" oouserid="5474f34d1ff74755be7ce931149c21ca">
        <w:r>
          <w:rPr>
            <w:rFonts w:hint="eastAsia" w:ascii="Times New Roman" w:hAnsi="Times New Roman" w:eastAsia="宋体" w:cs="宋体"/>
            <w:b/>
            <w:bCs/>
            <w:color w:val="auto"/>
            <w:sz w:val="32"/>
            <w:szCs w:val="32"/>
            <w:highlight w:val="none"/>
          </w:rPr>
        </w:r>
      </w:ins>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pStyle w:val="969"/>
        <w:pageBreakBefore w:val="0"/>
        <w:spacing w:before="0" w:after="0" w:line="360" w:lineRule="auto"/>
        <w:rPr>
          <w:rFonts w:hint="eastAsia" w:ascii="Times New Roman" w:hAnsi="Times New Roman" w:eastAsia="宋体" w:cs="宋体"/>
          <w:color w:val="auto"/>
          <w:sz w:val="32"/>
          <w:highlight w:val="none"/>
        </w:rPr>
      </w:pPr>
      <w:r/>
      <w:bookmarkStart w:id="107" w:name="_Toc29406"/>
      <w:r/>
      <w:bookmarkStart w:id="108" w:name="_Toc6752"/>
      <w:r/>
      <w:bookmarkStart w:id="109" w:name="_Toc14100"/>
      <w:r/>
      <w:bookmarkStart w:id="110" w:name="_Toc23420"/>
      <w:r/>
      <w:bookmarkStart w:id="111" w:name="_Toc23068"/>
      <w:r>
        <w:rPr>
          <w:rFonts w:hint="eastAsia" w:ascii="Times New Roman" w:hAnsi="Times New Roman" w:eastAsia="宋体" w:cs="宋体"/>
          <w:color w:val="auto"/>
          <w:sz w:val="32"/>
          <w:highlight w:val="none"/>
        </w:rPr>
        <w:t xml:space="preserve">三、非实质性响应对照表</w:t>
      </w:r>
      <w:bookmarkEnd w:id="107"/>
      <w:r/>
      <w:bookmarkEnd w:id="108"/>
      <w:r/>
      <w:bookmarkEnd w:id="109"/>
      <w:r/>
      <w:bookmarkEnd w:id="110"/>
      <w:r/>
      <w:bookmarkEnd w:id="111"/>
      <w:r/>
      <w:r/>
    </w:p>
    <w:tbl>
      <w:tblPr>
        <w:tblStyle w:val="729"/>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355" w:type="pct"/>
            <w:vAlign w:val="center"/>
            <w:textDirection w:val="lrTb"/>
            <w:noWrap w:val="false"/>
          </w:tcPr>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序号</w:t>
            </w:r>
            <w:r/>
          </w:p>
        </w:tc>
        <w:tc>
          <w:tcPr>
            <w:tcW w:w="2999" w:type="pct"/>
            <w:vAlign w:val="center"/>
            <w:textDirection w:val="lrTb"/>
            <w:noWrap w:val="false"/>
          </w:tcPr>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非实质性响应内容</w:t>
            </w:r>
            <w:r/>
          </w:p>
        </w:tc>
        <w:tc>
          <w:tcPr>
            <w:tcW w:w="924" w:type="pct"/>
            <w:vAlign w:val="center"/>
            <w:textDirection w:val="lrTb"/>
            <w:noWrap w:val="false"/>
          </w:tcPr>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是否响应</w:t>
            </w:r>
            <w:r/>
          </w:p>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（填是或者否）</w:t>
            </w:r>
            <w:r/>
          </w:p>
        </w:tc>
        <w:tc>
          <w:tcPr>
            <w:tcW w:w="720" w:type="pct"/>
            <w:vAlign w:val="center"/>
            <w:textDirection w:val="lrTb"/>
            <w:noWrap w:val="false"/>
          </w:tcPr>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响应情况</w:t>
            </w:r>
            <w:r/>
          </w:p>
        </w:tc>
      </w:tr>
      <w:tr>
        <w:trPr>
          <w:trHeight w:val="585"/>
        </w:trPr>
        <w:tc>
          <w:tcPr>
            <w:tcW w:w="355" w:type="pct"/>
            <w:vAlign w:val="center"/>
            <w:textDirection w:val="lrTb"/>
            <w:noWrap w:val="false"/>
          </w:tcPr>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color w:val="auto"/>
                <w:szCs w:val="21"/>
                <w:highlight w:val="none"/>
              </w:rPr>
              <w:t xml:space="preserve">1</w:t>
            </w:r>
            <w:r/>
          </w:p>
        </w:tc>
        <w:tc>
          <w:tcPr>
            <w:tcW w:w="2999" w:type="pct"/>
            <w:vAlign w:val="center"/>
            <w:textDirection w:val="lrTb"/>
            <w:noWrap w:val="false"/>
          </w:tcPr>
          <w:p>
            <w:pPr>
              <w:pageBreakBefore w:val="0"/>
              <w:spacing w:line="360" w:lineRule="auto"/>
              <w:rPr>
                <w:rFonts w:hint="eastAsia" w:ascii="Times New Roman" w:hAnsi="Times New Roman" w:eastAsia="宋体" w:cs="宋体"/>
                <w:iCs/>
                <w:color w:val="auto"/>
                <w:szCs w:val="21"/>
                <w:highlight w:val="none"/>
              </w:rPr>
            </w:pPr>
            <w:r>
              <w:rPr>
                <w:rFonts w:hint="eastAsia" w:ascii="Times New Roman" w:hAnsi="Times New Roman" w:eastAsia="宋体" w:cs="宋体"/>
                <w:color w:val="auto"/>
                <w:szCs w:val="21"/>
                <w:highlight w:val="none"/>
              </w:rPr>
              <w:t xml:space="preserve">《残疾人福利性单位声明函》</w:t>
            </w:r>
            <w:r/>
          </w:p>
        </w:tc>
        <w:tc>
          <w:tcPr>
            <w:tcW w:w="924" w:type="pct"/>
            <w:vAlign w:val="center"/>
            <w:textDirection w:val="lrTb"/>
            <w:noWrap w:val="false"/>
          </w:tcPr>
          <w:p>
            <w:pP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r>
            <w:r/>
          </w:p>
        </w:tc>
        <w:tc>
          <w:tcPr>
            <w:tcW w:w="720" w:type="pct"/>
            <w:vAlign w:val="center"/>
            <w:textDirection w:val="lrTb"/>
            <w:noWrap w:val="false"/>
          </w:tcPr>
          <w:p>
            <w:pP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r>
            <w:r/>
          </w:p>
        </w:tc>
      </w:tr>
      <w:tr>
        <w:trPr>
          <w:trHeight w:val="585"/>
        </w:trPr>
        <w:tc>
          <w:tcPr>
            <w:tcW w:w="35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w:t>
            </w:r>
            <w:r/>
          </w:p>
        </w:tc>
        <w:tc>
          <w:tcPr>
            <w:tcW w:w="2999" w:type="pct"/>
            <w:vAlign w:val="center"/>
            <w:textDirection w:val="lrTb"/>
            <w:noWrap w:val="false"/>
          </w:tcPr>
          <w:p>
            <w:pPr>
              <w:pageBreakBefore w:val="0"/>
              <w:spacing w:line="360" w:lineRule="auto"/>
              <w:rPr>
                <w:rFonts w:hint="eastAsia" w:ascii="Times New Roman" w:hAnsi="Times New Roman" w:eastAsia="宋体" w:cs="宋体"/>
                <w:iCs/>
                <w:color w:val="auto"/>
                <w:szCs w:val="21"/>
                <w:highlight w:val="none"/>
              </w:rPr>
            </w:pPr>
            <w:r>
              <w:rPr>
                <w:rFonts w:hint="eastAsia" w:ascii="Times New Roman" w:hAnsi="Times New Roman" w:eastAsia="宋体"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rPr>
              <w:t xml:space="preserve">关于符合本国产品标准的声明函</w:t>
            </w:r>
            <w:r>
              <w:rPr>
                <w:rFonts w:hint="eastAsia" w:ascii="Times New Roman" w:hAnsi="Times New Roman" w:eastAsia="宋体" w:cs="宋体"/>
                <w:color w:val="auto"/>
                <w:sz w:val="21"/>
                <w:szCs w:val="21"/>
                <w:highlight w:val="none"/>
                <w:lang w:eastAsia="zh-CN"/>
              </w:rPr>
              <w:t xml:space="preserve">》</w:t>
            </w:r>
            <w:r/>
          </w:p>
        </w:tc>
        <w:tc>
          <w:tcPr>
            <w:tcW w:w="924"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720"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r>
        <w:trPr>
          <w:trHeight w:val="780"/>
        </w:trPr>
        <w:tc>
          <w:tcPr>
            <w:tcW w:w="35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highlight w:val="none"/>
                <w:lang w:val="en-US" w:eastAsia="zh-CN"/>
              </w:rPr>
            </w:pPr>
            <w:r>
              <w:rPr>
                <w:rFonts w:hint="eastAsia" w:ascii="Times New Roman" w:hAnsi="Times New Roman" w:eastAsia="宋体" w:cs="宋体"/>
                <w:color w:val="auto"/>
                <w:szCs w:val="21"/>
                <w:highlight w:val="none"/>
                <w:lang w:val="en-US" w:eastAsia="zh-CN"/>
              </w:rPr>
              <w:t xml:space="preserve">3</w:t>
            </w:r>
            <w:r/>
          </w:p>
        </w:tc>
        <w:tc>
          <w:tcPr>
            <w:tcW w:w="2999" w:type="pct"/>
            <w:vAlign w:val="center"/>
            <w:textDirection w:val="lrTb"/>
            <w:noWrap w:val="false"/>
          </w:tcPr>
          <w:p>
            <w:pPr>
              <w:pageBreakBefore w:val="0"/>
              <w:spacing w:line="360" w:lineRule="auto"/>
              <w:rPr>
                <w:rFonts w:hint="eastAsia" w:ascii="Times New Roman" w:hAnsi="Times New Roman" w:eastAsia="宋体" w:cs="宋体"/>
                <w:iCs/>
                <w:color w:val="auto"/>
                <w:szCs w:val="21"/>
                <w:highlight w:val="none"/>
              </w:rPr>
            </w:pPr>
            <w:r>
              <w:rPr>
                <w:rFonts w:hint="eastAsia" w:ascii="Times New Roman" w:hAnsi="Times New Roman" w:eastAsia="宋体" w:cs="宋体"/>
                <w:iCs/>
                <w:color w:val="auto"/>
                <w:szCs w:val="21"/>
                <w:highlight w:val="none"/>
              </w:rPr>
              <w:t xml:space="preserve">……</w:t>
            </w:r>
            <w:r/>
          </w:p>
        </w:tc>
        <w:tc>
          <w:tcPr>
            <w:tcW w:w="924"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720"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r>
        <w:trPr>
          <w:trHeight w:val="780"/>
        </w:trPr>
        <w:tc>
          <w:tcPr>
            <w:tcW w:w="35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highlight w:val="none"/>
                <w:lang w:eastAsia="zh-CN"/>
              </w:rPr>
            </w:pPr>
            <w:r>
              <w:rPr>
                <w:rFonts w:hint="eastAsia" w:ascii="Times New Roman" w:hAnsi="Times New Roman" w:eastAsia="宋体" w:cs="宋体"/>
                <w:color w:val="auto"/>
                <w:szCs w:val="21"/>
                <w:highlight w:val="none"/>
                <w:lang w:eastAsia="zh-CN"/>
              </w:rPr>
            </w:r>
            <w:r/>
          </w:p>
        </w:tc>
        <w:tc>
          <w:tcPr>
            <w:tcW w:w="2999" w:type="pct"/>
            <w:vAlign w:val="center"/>
            <w:textDirection w:val="lrTb"/>
            <w:noWrap w:val="false"/>
          </w:tcPr>
          <w:p>
            <w:pPr>
              <w:pageBreakBefore w:val="0"/>
              <w:spacing w:line="360" w:lineRule="auto"/>
              <w:rPr>
                <w:rFonts w:hint="eastAsia" w:ascii="Times New Roman" w:hAnsi="Times New Roman" w:eastAsia="宋体" w:cs="宋体"/>
                <w:iCs/>
                <w:color w:val="auto"/>
                <w:szCs w:val="21"/>
                <w:highlight w:val="none"/>
              </w:rPr>
            </w:pPr>
            <w:r>
              <w:rPr>
                <w:rFonts w:hint="eastAsia" w:ascii="Times New Roman" w:hAnsi="Times New Roman" w:eastAsia="宋体" w:cs="宋体"/>
                <w:iCs/>
                <w:color w:val="auto"/>
                <w:szCs w:val="21"/>
                <w:highlight w:val="none"/>
              </w:rPr>
            </w:r>
            <w:r/>
          </w:p>
        </w:tc>
        <w:tc>
          <w:tcPr>
            <w:tcW w:w="924"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720"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bl>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ind w:firstLine="2726"/>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残疾人福利性单位声明函</w:t>
      </w:r>
      <w:r/>
    </w:p>
    <w:p>
      <w:pPr>
        <w:ind w:firstLine="624"/>
        <w:pageBreakBefore w:val="0"/>
        <w:spacing w:line="360" w:lineRule="auto"/>
        <w:rPr>
          <w:rFonts w:hint="eastAsia" w:ascii="Times New Roman" w:hAnsi="Times New Roman" w:eastAsia="宋体" w:cs="宋体"/>
          <w:color w:val="auto"/>
          <w:spacing w:val="6"/>
          <w:sz w:val="30"/>
          <w:szCs w:val="30"/>
          <w:highlight w:val="none"/>
        </w:rPr>
      </w:pPr>
      <w:r>
        <w:rPr>
          <w:rFonts w:hint="eastAsia" w:ascii="Times New Roman" w:hAnsi="Times New Roman" w:eastAsia="宋体" w:cs="宋体"/>
          <w:color w:val="auto"/>
          <w:spacing w:val="6"/>
          <w:sz w:val="30"/>
          <w:szCs w:val="30"/>
          <w:highlight w:val="none"/>
        </w:rPr>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w:t>
      </w:r>
      <w:r>
        <w:rPr>
          <w:rFonts w:hint="eastAsia" w:ascii="Times New Roman" w:hAnsi="Times New Roman" w:eastAsia="宋体"/>
          <w:color w:val="auto"/>
          <w:szCs w:val="21"/>
          <w:highlight w:val="none"/>
          <w:lang w:val="en-US" w:eastAsia="zh-CN"/>
        </w:rPr>
        <w:t xml:space="preserve">货物</w:t>
      </w:r>
      <w:r>
        <w:rPr>
          <w:rFonts w:hint="eastAsia" w:ascii="Times New Roman" w:hAnsi="Times New Roman" w:eastAsia="宋体"/>
          <w:color w:val="auto"/>
          <w:szCs w:val="21"/>
          <w:highlight w:val="none"/>
        </w:rPr>
        <w:t xml:space="preserve">，或者提供其他残疾人福利性单位制造的产品或服务（不包括使用非残疾人福利性单位注册商标的产品或服务）。</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本单位在本次政府采购活动中提供的残疾人福利单位产品报价合计为人民币（大写）圆整（￥：）。</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本单位对上述声明的真实性负责。如有虚假，将依法承担相应责任。</w:t>
      </w:r>
      <w:r/>
    </w:p>
    <w:p>
      <w:pPr>
        <w:ind w:firstLine="420"/>
        <w:pageBreakBefore w:val="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p>
      <w:pPr>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备注：</w:t>
      </w:r>
      <w:r/>
    </w:p>
    <w:p>
      <w:pPr>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1</w:t>
      </w:r>
      <w:r>
        <w:rPr>
          <w:rFonts w:ascii="Times New Roman" w:hAnsi="Times New Roman" w:eastAsia="宋体"/>
          <w:color w:val="auto"/>
          <w:sz w:val="21"/>
          <w:szCs w:val="21"/>
          <w:highlight w:val="none"/>
        </w:rPr>
        <w:t xml:space="preserve">.</w:t>
      </w:r>
      <w:r>
        <w:rPr>
          <w:rFonts w:hint="eastAsia" w:ascii="Times New Roman" w:hAnsi="Times New Roman" w:eastAsia="宋体"/>
          <w:color w:val="auto"/>
          <w:sz w:val="21"/>
          <w:szCs w:val="21"/>
          <w:highlight w:val="none"/>
        </w:rPr>
        <w:t xml:space="preserve">专门面向中小微型企业采购的</w:t>
      </w:r>
      <w:r>
        <w:rPr>
          <w:rFonts w:ascii="Times New Roman" w:hAnsi="Times New Roman" w:eastAsia="宋体"/>
          <w:color w:val="auto"/>
          <w:sz w:val="21"/>
          <w:szCs w:val="21"/>
          <w:highlight w:val="none"/>
        </w:rPr>
        <w:t xml:space="preserve">项目</w:t>
      </w:r>
      <w:r>
        <w:rPr>
          <w:rFonts w:hint="eastAsia" w:ascii="Times New Roman" w:hAnsi="Times New Roman" w:eastAsia="宋体"/>
          <w:color w:val="auto"/>
          <w:sz w:val="21"/>
          <w:szCs w:val="21"/>
          <w:highlight w:val="none"/>
        </w:rPr>
        <w:t xml:space="preserve">，供应商为残疾人福利性单位并提供本单位制造的货物，或者提供其他残疾人福利性单位制造的货物，必须提供此</w:t>
      </w:r>
      <w:r>
        <w:rPr>
          <w:rFonts w:ascii="Times New Roman" w:hAnsi="Times New Roman" w:eastAsia="宋体"/>
          <w:color w:val="auto"/>
          <w:sz w:val="21"/>
          <w:szCs w:val="21"/>
          <w:highlight w:val="none"/>
        </w:rPr>
        <w:t xml:space="preserve">声明函</w:t>
      </w:r>
      <w:r>
        <w:rPr>
          <w:rFonts w:hint="eastAsia" w:ascii="Times New Roman" w:hAnsi="Times New Roman" w:eastAsia="宋体"/>
          <w:color w:val="auto"/>
          <w:sz w:val="21"/>
          <w:szCs w:val="21"/>
          <w:highlight w:val="none"/>
        </w:rPr>
        <w:t xml:space="preserve">，</w:t>
      </w:r>
      <w:r>
        <w:rPr>
          <w:rFonts w:ascii="Times New Roman" w:hAnsi="Times New Roman" w:eastAsia="宋体"/>
          <w:color w:val="auto"/>
          <w:sz w:val="21"/>
          <w:szCs w:val="21"/>
          <w:highlight w:val="none"/>
        </w:rPr>
        <w:t xml:space="preserve">否则将</w:t>
      </w:r>
      <w:r>
        <w:rPr>
          <w:rFonts w:hint="eastAsia" w:ascii="Times New Roman" w:hAnsi="Times New Roman" w:eastAsia="宋体"/>
          <w:color w:val="auto"/>
          <w:sz w:val="21"/>
          <w:szCs w:val="21"/>
          <w:highlight w:val="none"/>
        </w:rPr>
        <w:t xml:space="preserve">不能</w:t>
      </w:r>
      <w:r>
        <w:rPr>
          <w:rFonts w:ascii="Times New Roman" w:hAnsi="Times New Roman" w:eastAsia="宋体"/>
          <w:color w:val="auto"/>
          <w:sz w:val="21"/>
          <w:szCs w:val="21"/>
          <w:highlight w:val="none"/>
        </w:rPr>
        <w:t xml:space="preserve">通过资格审查</w:t>
      </w:r>
      <w:r>
        <w:rPr>
          <w:rFonts w:hint="eastAsia" w:ascii="Times New Roman" w:hAnsi="Times New Roman" w:eastAsia="宋体"/>
          <w:color w:val="auto"/>
          <w:sz w:val="21"/>
          <w:szCs w:val="21"/>
          <w:highlight w:val="none"/>
        </w:rPr>
        <w:t xml:space="preserve">。</w:t>
      </w:r>
      <w:r/>
    </w:p>
    <w:p>
      <w:pPr>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2. 非专门面向中小微型企业采购的</w:t>
      </w:r>
      <w:r>
        <w:rPr>
          <w:rFonts w:ascii="Times New Roman" w:hAnsi="Times New Roman" w:eastAsia="宋体"/>
          <w:color w:val="auto"/>
          <w:sz w:val="21"/>
          <w:szCs w:val="21"/>
          <w:highlight w:val="none"/>
        </w:rPr>
        <w:t xml:space="preserve">项目</w:t>
      </w:r>
      <w:r>
        <w:rPr>
          <w:rFonts w:hint="eastAsia" w:ascii="Times New Roman" w:hAnsi="Times New Roman" w:eastAsia="宋体"/>
          <w:color w:val="auto"/>
          <w:sz w:val="21"/>
          <w:szCs w:val="21"/>
          <w:highlight w:val="none"/>
        </w:rPr>
        <w:t xml:space="preserve">，供应商如不提供此声明函，价格将不做相应扣除。</w:t>
      </w:r>
      <w:r/>
    </w:p>
    <w:p>
      <w:pPr>
        <w:ind w:firstLine="420"/>
        <w:pageBreakBefore w:val="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3</w:t>
      </w:r>
      <w:r>
        <w:rPr>
          <w:rFonts w:hint="eastAsia" w:ascii="Times New Roman" w:hAnsi="Times New Roman" w:eastAsia="宋体"/>
          <w:color w:val="auto"/>
          <w:sz w:val="21"/>
          <w:szCs w:val="21"/>
          <w:highlight w:val="none"/>
        </w:rPr>
        <w:t xml:space="preserve">.中标/成交供应商为残疾人福利性单位的，此声明函将随中标/成交结果同时公告，接受社会监督。</w:t>
      </w:r>
      <w:r/>
    </w:p>
    <w:p>
      <w:pPr>
        <w:ind w:firstLine="444"/>
        <w:pageBreakBefore w:val="0"/>
        <w:spacing w:line="360" w:lineRule="auto"/>
        <w:rPr>
          <w:rFonts w:ascii="Times New Roman" w:hAnsi="Times New Roman" w:eastAsia="宋体"/>
          <w:color w:val="auto"/>
          <w:spacing w:val="6"/>
          <w:sz w:val="21"/>
          <w:szCs w:val="21"/>
          <w:highlight w:val="none"/>
        </w:rPr>
      </w:pPr>
      <w:r>
        <w:rPr>
          <w:rFonts w:ascii="Times New Roman" w:hAnsi="Times New Roman" w:eastAsia="宋体"/>
          <w:color w:val="auto"/>
          <w:spacing w:val="6"/>
          <w:sz w:val="21"/>
          <w:szCs w:val="21"/>
          <w:highlight w:val="none"/>
        </w:rPr>
      </w:r>
      <w:r/>
    </w:p>
    <w:p>
      <w:pPr>
        <w:ind w:right="1559" w:firstLine="444"/>
        <w:jc w:val="center"/>
        <w:pageBreakBefore w:val="0"/>
        <w:spacing w:line="360" w:lineRule="auto"/>
        <w:tabs>
          <w:tab w:val="left" w:pos="4860" w:leader="none"/>
        </w:tabs>
        <w:rPr>
          <w:rFonts w:ascii="Times New Roman" w:hAnsi="Times New Roman" w:eastAsia="宋体"/>
          <w:color w:val="auto"/>
          <w:sz w:val="21"/>
          <w:szCs w:val="21"/>
          <w:highlight w:val="none"/>
        </w:rPr>
      </w:pPr>
      <w:r>
        <w:rPr>
          <w:rFonts w:hint="eastAsia" w:ascii="Times New Roman" w:hAnsi="Times New Roman" w:eastAsia="宋体"/>
          <w:color w:val="auto"/>
          <w:spacing w:val="6"/>
          <w:sz w:val="21"/>
          <w:szCs w:val="21"/>
          <w:highlight w:val="none"/>
        </w:rPr>
        <w:t xml:space="preserve">             </w:t>
      </w:r>
      <w:r>
        <w:rPr>
          <w:rFonts w:hint="eastAsia" w:ascii="Times New Roman" w:hAnsi="Times New Roman" w:eastAsia="宋体"/>
          <w:color w:val="auto"/>
          <w:sz w:val="21"/>
          <w:szCs w:val="21"/>
          <w:highlight w:val="none"/>
        </w:rPr>
        <w:t xml:space="preserve">    供应商全称（加盖CA电子</w:t>
      </w:r>
      <w:r>
        <w:rPr>
          <w:rFonts w:hint="eastAsia" w:ascii="Times New Roman" w:hAnsi="Times New Roman" w:eastAsia="宋体"/>
          <w:color w:val="auto"/>
          <w:sz w:val="21"/>
          <w:szCs w:val="21"/>
          <w:highlight w:val="none"/>
          <w:lang w:val="en-US" w:eastAsia="zh-CN"/>
        </w:rPr>
        <w:t xml:space="preserve">公章</w:t>
      </w:r>
      <w:r>
        <w:rPr>
          <w:rFonts w:hint="eastAsia" w:ascii="Times New Roman" w:hAnsi="Times New Roman" w:eastAsia="宋体"/>
          <w:color w:val="auto"/>
          <w:sz w:val="21"/>
          <w:szCs w:val="21"/>
          <w:highlight w:val="none"/>
        </w:rPr>
        <w:t xml:space="preserve">）：</w:t>
      </w:r>
      <w:r/>
    </w:p>
    <w:p>
      <w:pPr>
        <w:ind w:right="1559" w:firstLine="420"/>
        <w:jc w:val="center"/>
        <w:pageBreakBefore w:val="0"/>
        <w:spacing w:line="360" w:lineRule="auto"/>
        <w:tabs>
          <w:tab w:val="left" w:pos="4860" w:leader="none"/>
        </w:tabs>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   日  期：</w:t>
      </w:r>
      <w:r/>
    </w:p>
    <w:p>
      <w:pPr>
        <w:pageBreakBefore w:val="0"/>
        <w:spacing w:line="360" w:lineRule="auto"/>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br w:type="page" w:clear="all"/>
      </w:r>
      <w:r/>
    </w:p>
    <w:p>
      <w:pPr>
        <w:jc w:val="center"/>
        <w:pageBreakBefore w:val="0"/>
        <w:spacing w:line="360" w:lineRule="auto"/>
        <w:rPr>
          <w:rFonts w:hint="eastAsia" w:ascii="Times New Roman" w:hAnsi="Times New Roman" w:eastAsia="宋体" w:cs="方正魏碑_GBK"/>
          <w:color w:val="auto"/>
          <w:sz w:val="24"/>
          <w:szCs w:val="24"/>
          <w:highlight w:val="none"/>
        </w:rPr>
      </w:pPr>
      <w:r>
        <w:rPr>
          <w:rFonts w:hint="eastAsia" w:ascii="Times New Roman" w:hAnsi="Times New Roman" w:eastAsia="宋体" w:cs="方正魏碑_GBK"/>
          <w:b/>
          <w:color w:val="auto"/>
          <w:sz w:val="24"/>
          <w:szCs w:val="24"/>
          <w:highlight w:val="none"/>
        </w:rPr>
        <w:t xml:space="preserve">关于符合本国产品标准的声明函（采购包号：**）</w:t>
      </w:r>
      <w:r/>
    </w:p>
    <w:p>
      <w:pPr>
        <w:pStyle w:val="755"/>
        <w:ind w:firstLine="420"/>
        <w:pageBreakBefore w:val="0"/>
        <w:spacing w:beforeAutospacing="0" w:afterAutospacing="0" w:line="360" w:lineRule="auto"/>
        <w:rPr>
          <w:rFonts w:ascii="Times New Roman" w:hAnsi="Times New Roman" w:eastAsia="宋体" w:cs="方正魏碑_GBK"/>
          <w:color w:val="auto"/>
          <w:highlight w:val="none"/>
        </w:rPr>
      </w:pPr>
      <w:r>
        <w:rPr>
          <w:rFonts w:ascii="Times New Roman" w:hAnsi="Times New Roman" w:eastAsia="宋体" w:cs="方正魏碑_GBK"/>
          <w:color w:val="auto"/>
          <w:highlight w:val="none"/>
        </w:rPr>
      </w:r>
      <w:r/>
    </w:p>
    <w:p>
      <w:pPr>
        <w:pStyle w:val="755"/>
        <w:ind w:firstLine="420"/>
        <w:pageBreakBefore w:val="0"/>
        <w:spacing w:beforeAutospacing="0" w:afterAutospacing="0" w:line="360" w:lineRule="auto"/>
        <w:rPr>
          <w:rFonts w:hint="eastAsia" w:ascii="Times New Roman" w:hAnsi="Times New Roman" w:eastAsia="宋体" w:cs="方正魏碑_GBK"/>
          <w:color w:val="auto"/>
          <w:highlight w:val="none"/>
        </w:rPr>
      </w:pPr>
      <w:r>
        <w:rPr>
          <w:rFonts w:hint="eastAsia" w:ascii="Times New Roman" w:hAnsi="Times New Roman" w:eastAsia="宋体"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5"/>
        <w:ind w:firstLine="420"/>
        <w:pageBreakBefore w:val="0"/>
        <w:spacing w:beforeAutospacing="0" w:afterAutospacing="0" w:line="360" w:lineRule="auto"/>
        <w:rPr>
          <w:rFonts w:hint="eastAsia" w:ascii="Times New Roman" w:hAnsi="Times New Roman" w:eastAsia="宋体" w:cs="方正魏碑_GBK"/>
          <w:color w:val="auto"/>
          <w:highlight w:val="none"/>
        </w:rPr>
      </w:pP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4" name="直接箭头连接符 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1552;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5" name="直接箭头连接符 1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0528;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6"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9504;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7" name="直接箭头连接符 9"/>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8"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7456;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9" name="直接箭头连接符 1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2336;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0"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1312;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1"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028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shd w:val="clear" w:color="auto" w:fill="ffffff"/>
        </w:rPr>
        <w:t xml:space="preserve">1.</w:t>
      </w:r>
      <w:r>
        <w:rPr>
          <w:rStyle w:val="762"/>
          <w:rFonts w:hint="eastAsia" w:ascii="Times New Roman" w:hAnsi="Times New Roman" w:eastAsia="宋体" w:cs="方正魏碑_GBK"/>
          <w:i w:val="0"/>
          <w:color w:val="auto"/>
          <w:highlight w:val="none"/>
          <w:u w:val="single"/>
          <w:shd w:val="clear" w:color="auto" w:fill="ffffff"/>
        </w:rPr>
        <w:t xml:space="preserve">（产品名称1）</w:t>
      </w:r>
      <w:r>
        <w:rPr>
          <w:rStyle w:val="762"/>
          <w:rFonts w:hint="eastAsia" w:ascii="Times New Roman" w:hAnsi="Times New Roman" w:eastAsia="宋体" w:cs="方正魏碑_GBK"/>
          <w:i w:val="0"/>
          <w:color w:val="auto"/>
          <w:highlight w:val="none"/>
          <w:shd w:val="clear" w:color="auto" w:fill="ffffff"/>
          <w:vertAlign w:val="superscript"/>
        </w:rPr>
        <w:t xml:space="preserve">1</w:t>
      </w:r>
      <w:r>
        <w:rPr>
          <w:rFonts w:hint="eastAsia" w:ascii="Times New Roman" w:hAnsi="Times New Roman" w:eastAsia="宋体" w:cs="方正魏碑_GBK"/>
          <w:color w:val="auto"/>
          <w:highlight w:val="none"/>
          <w:shd w:val="clear" w:color="auto" w:fill="ffffff"/>
        </w:rPr>
        <w:t xml:space="preserve">，生产厂为</w:t>
      </w:r>
      <w:r>
        <w:rPr>
          <w:rStyle w:val="762"/>
          <w:rFonts w:hint="eastAsia" w:ascii="Times New Roman" w:hAnsi="Times New Roman" w:eastAsia="宋体" w:cs="方正魏碑_GBK"/>
          <w:i w:val="0"/>
          <w:color w:val="auto"/>
          <w:highlight w:val="none"/>
          <w:u w:val="single"/>
          <w:shd w:val="clear" w:color="auto" w:fill="ffffff"/>
        </w:rPr>
        <w:t xml:space="preserve">（厂名）</w:t>
      </w:r>
      <w:r>
        <w:rPr>
          <w:rStyle w:val="762"/>
          <w:rFonts w:hint="eastAsia" w:ascii="Times New Roman" w:hAnsi="Times New Roman" w:eastAsia="宋体" w:cs="方正魏碑_GBK"/>
          <w:i w:val="0"/>
          <w:color w:val="auto"/>
          <w:highlight w:val="none"/>
          <w:shd w:val="clear" w:color="auto" w:fill="ffffff"/>
          <w:vertAlign w:val="superscript"/>
        </w:rPr>
        <w:t xml:space="preserve">2</w:t>
      </w:r>
      <w:r>
        <w:rPr>
          <w:rFonts w:hint="eastAsia" w:ascii="Times New Roman" w:hAnsi="Times New Roman" w:eastAsia="宋体" w:cs="方正魏碑_GBK"/>
          <w:color w:val="auto"/>
          <w:highlight w:val="none"/>
          <w:shd w:val="clear" w:color="auto" w:fill="ffffff"/>
        </w:rPr>
        <w:t xml:space="preserve">，厂址为</w:t>
      </w:r>
      <w:r>
        <w:rPr>
          <w:rStyle w:val="762"/>
          <w:rFonts w:hint="eastAsia" w:ascii="Times New Roman" w:hAnsi="Times New Roman" w:eastAsia="宋体" w:cs="方正魏碑_GBK"/>
          <w:i w:val="0"/>
          <w:color w:val="auto"/>
          <w:highlight w:val="none"/>
          <w:u w:val="single"/>
          <w:shd w:val="clear" w:color="auto" w:fill="ffffff"/>
        </w:rPr>
        <w:t xml:space="preserve">（生产厂址）</w:t>
      </w:r>
      <w:r>
        <w:rPr>
          <w:rFonts w:hint="eastAsia" w:ascii="Times New Roman" w:hAnsi="Times New Roman" w:eastAsia="宋体" w:cs="方正魏碑_GBK"/>
          <w:color w:val="auto"/>
          <w:highlight w:val="none"/>
          <w:shd w:val="clear" w:color="auto" w:fill="ffffff"/>
        </w:rPr>
        <w:t xml:space="preserve">。</w:t>
      </w:r>
      <w:r>
        <w:rPr>
          <w:rFonts w:hint="eastAsia" w:ascii="Times New Roman" w:hAnsi="Times New Roman" w:eastAsia="宋体" w:cs="方正魏碑_GBK"/>
          <w:color w:val="auto"/>
          <w:highlight w:val="none"/>
          <w:u w:val="single"/>
          <w:shd w:val="clear" w:color="auto" w:fill="ffffff"/>
        </w:rPr>
        <w:t xml:space="preserve"> </w:t>
      </w:r>
      <w:r>
        <w:rPr>
          <w:rStyle w:val="762"/>
          <w:rFonts w:hint="eastAsia" w:ascii="Times New Roman" w:hAnsi="Times New Roman" w:eastAsia="宋体" w:cs="方正魏碑_GBK"/>
          <w:i w:val="0"/>
          <w:color w:val="auto"/>
          <w:highlight w:val="none"/>
          <w:u w:val="single"/>
          <w:shd w:val="clear" w:color="auto" w:fill="ffffff"/>
        </w:rPr>
        <w:t xml:space="preserve">（产品名称1） </w:t>
      </w:r>
      <w:r>
        <w:rPr>
          <w:rFonts w:hint="eastAsia" w:ascii="Times New Roman" w:hAnsi="Times New Roman" w:eastAsia="宋体" w:cs="方正魏碑_GBK"/>
          <w:color w:val="auto"/>
          <w:highlight w:val="none"/>
          <w:shd w:val="clear" w:color="auto" w:fill="ffffff"/>
        </w:rPr>
        <w:t xml:space="preserve">的中国境内生产的组件成本占比≥</w:t>
      </w:r>
      <w:r>
        <w:rPr>
          <w:rStyle w:val="762"/>
          <w:rFonts w:hint="eastAsia" w:ascii="Times New Roman" w:hAnsi="Times New Roman" w:eastAsia="宋体" w:cs="方正魏碑_GBK"/>
          <w:i w:val="0"/>
          <w:color w:val="auto"/>
          <w:highlight w:val="none"/>
          <w:u w:val="single"/>
          <w:shd w:val="clear" w:color="auto" w:fill="ffffff"/>
        </w:rPr>
        <w:t xml:space="preserve">（规定</w:t>
      </w:r>
      <w:r>
        <w:rPr>
          <w:rStyle w:val="762"/>
          <w:rFonts w:ascii="Times New Roman" w:hAnsi="Times New Roman" w:eastAsia="宋体" w:cs="方正魏碑_GBK"/>
          <w:i w:val="0"/>
          <w:color w:val="auto"/>
          <w:highlight w:val="none"/>
          <w:u w:val="single"/>
          <w:shd w:val="clear" w:color="auto" w:fill="ffffff"/>
        </w:rPr>
        <w:t xml:space="preserve">比例</w:t>
      </w:r>
      <w:r>
        <w:rPr>
          <w:rStyle w:val="762"/>
          <w:rFonts w:hint="eastAsia" w:ascii="Times New Roman" w:hAnsi="Times New Roman" w:eastAsia="宋体" w:cs="方正魏碑_GBK"/>
          <w:i w:val="0"/>
          <w:color w:val="auto"/>
          <w:highlight w:val="none"/>
          <w:u w:val="single"/>
          <w:shd w:val="clear" w:color="auto" w:fill="ffffff"/>
        </w:rPr>
        <w:t xml:space="preserve">）</w:t>
      </w:r>
      <w:r>
        <w:rPr>
          <w:rStyle w:val="762"/>
          <w:rFonts w:hint="eastAsia" w:ascii="Times New Roman" w:hAnsi="Times New Roman" w:eastAsia="宋体" w:cs="方正魏碑_GBK"/>
          <w:i w:val="0"/>
          <w:color w:val="auto"/>
          <w:highlight w:val="none"/>
          <w:shd w:val="clear" w:color="auto" w:fill="ffffff"/>
          <w:vertAlign w:val="superscript"/>
        </w:rPr>
        <w:t xml:space="preserve">3</w:t>
      </w:r>
      <w:r>
        <w:rPr>
          <w:rFonts w:hint="eastAsia" w:ascii="Times New Roman" w:hAnsi="Times New Roman" w:eastAsia="宋体" w:cs="方正魏碑_GBK"/>
          <w:color w:val="auto"/>
          <w:highlight w:val="none"/>
          <w:shd w:val="clear" w:color="auto" w:fill="ffffff"/>
        </w:rPr>
        <w:t xml:space="preserve">。</w:t>
      </w:r>
      <w:r>
        <w:rPr>
          <w:rStyle w:val="762"/>
          <w:rFonts w:hint="eastAsia" w:ascii="Times New Roman" w:hAnsi="Times New Roman" w:eastAsia="宋体" w:cs="方正魏碑_GBK"/>
          <w:i w:val="0"/>
          <w:color w:val="auto"/>
          <w:highlight w:val="none"/>
          <w:u w:val="single"/>
          <w:shd w:val="clear" w:color="auto" w:fill="ffffff"/>
        </w:rPr>
        <w:t xml:space="preserve">（产品名称1）</w:t>
      </w:r>
      <w:r>
        <w:rPr>
          <w:rFonts w:hint="eastAsia" w:ascii="Times New Roman" w:hAnsi="Times New Roman" w:eastAsia="宋体" w:cs="方正魏碑_GBK"/>
          <w:color w:val="auto"/>
          <w:highlight w:val="none"/>
          <w:shd w:val="clear" w:color="auto" w:fill="ffffff"/>
        </w:rPr>
        <w:t xml:space="preserve">的</w:t>
      </w:r>
      <w:r>
        <w:rPr>
          <w:rStyle w:val="762"/>
          <w:rFonts w:hint="eastAsia" w:ascii="Times New Roman" w:hAnsi="Times New Roman" w:eastAsia="宋体" w:cs="方正魏碑_GBK"/>
          <w:i w:val="0"/>
          <w:color w:val="auto"/>
          <w:highlight w:val="none"/>
          <w:u w:val="single"/>
          <w:shd w:val="clear" w:color="auto" w:fill="ffffff"/>
        </w:rPr>
        <w:t xml:space="preserve">（关键</w:t>
      </w:r>
      <w:r>
        <w:rPr>
          <w:rStyle w:val="762"/>
          <w:rFonts w:ascii="Times New Roman" w:hAnsi="Times New Roman" w:eastAsia="宋体" w:cs="方正魏碑_GBK"/>
          <w:i w:val="0"/>
          <w:color w:val="auto"/>
          <w:highlight w:val="none"/>
          <w:u w:val="single"/>
          <w:shd w:val="clear" w:color="auto" w:fill="ffffff"/>
        </w:rPr>
        <w:t xml:space="preserve">组件</w:t>
      </w:r>
      <w:r>
        <w:rPr>
          <w:rStyle w:val="762"/>
          <w:rFonts w:hint="eastAsia" w:ascii="Times New Roman" w:hAnsi="Times New Roman" w:eastAsia="宋体" w:cs="方正魏碑_GBK"/>
          <w:i w:val="0"/>
          <w:color w:val="auto"/>
          <w:highlight w:val="none"/>
          <w:u w:val="single"/>
          <w:shd w:val="clear" w:color="auto" w:fill="ffffff"/>
        </w:rPr>
        <w:t xml:space="preserve">）</w:t>
      </w:r>
      <w:r>
        <w:rPr>
          <w:rStyle w:val="762"/>
          <w:rFonts w:hint="eastAsia" w:ascii="Times New Roman" w:hAnsi="Times New Roman" w:eastAsia="宋体" w:cs="方正魏碑_GBK"/>
          <w:i w:val="0"/>
          <w:color w:val="auto"/>
          <w:highlight w:val="none"/>
          <w:shd w:val="clear" w:color="auto" w:fill="ffffff"/>
          <w:vertAlign w:val="superscript"/>
        </w:rPr>
        <w:t xml:space="preserve">4</w:t>
      </w:r>
      <w:r>
        <w:rPr>
          <w:rFonts w:hint="eastAsia" w:ascii="Times New Roman" w:hAnsi="Times New Roman" w:eastAsia="宋体" w:cs="方正魏碑_GBK"/>
          <w:color w:val="auto"/>
          <w:highlight w:val="none"/>
          <w:shd w:val="clear" w:color="auto" w:fill="ffffff"/>
        </w:rPr>
        <w:t xml:space="preserve">在中国境内生产。</w:t>
      </w:r>
      <w:r>
        <w:rPr>
          <w:rStyle w:val="762"/>
          <w:rFonts w:hint="eastAsia" w:ascii="Times New Roman" w:hAnsi="Times New Roman" w:eastAsia="宋体" w:cs="方正魏碑_GBK"/>
          <w:i w:val="0"/>
          <w:color w:val="auto"/>
          <w:highlight w:val="none"/>
          <w:u w:val="single"/>
          <w:shd w:val="clear" w:color="auto" w:fill="ffffff"/>
        </w:rPr>
        <w:t xml:space="preserve">（产品名称1）</w:t>
      </w:r>
      <w:r>
        <w:rPr>
          <w:rFonts w:hint="eastAsia" w:ascii="Times New Roman" w:hAnsi="Times New Roman" w:eastAsia="宋体" w:cs="方正魏碑_GBK"/>
          <w:color w:val="auto"/>
          <w:highlight w:val="none"/>
          <w:shd w:val="clear" w:color="auto" w:fill="ffffff"/>
        </w:rPr>
        <w:t xml:space="preserve">的</w:t>
      </w:r>
      <w:r>
        <w:rPr>
          <w:rStyle w:val="762"/>
          <w:rFonts w:hint="eastAsia" w:ascii="Times New Roman" w:hAnsi="Times New Roman" w:eastAsia="宋体" w:cs="方正魏碑_GBK"/>
          <w:i w:val="0"/>
          <w:color w:val="auto"/>
          <w:highlight w:val="none"/>
          <w:u w:val="single"/>
          <w:shd w:val="clear" w:color="auto" w:fill="ffffff"/>
        </w:rPr>
        <w:t xml:space="preserve">（关键工序）</w:t>
      </w:r>
      <w:r>
        <w:rPr>
          <w:rStyle w:val="762"/>
          <w:rFonts w:hint="eastAsia" w:ascii="Times New Roman" w:hAnsi="Times New Roman" w:eastAsia="宋体" w:cs="方正魏碑_GBK"/>
          <w:i w:val="0"/>
          <w:color w:val="auto"/>
          <w:highlight w:val="none"/>
          <w:shd w:val="clear" w:color="auto" w:fill="ffffff"/>
          <w:vertAlign w:val="superscript"/>
        </w:rPr>
        <w:t xml:space="preserve">5</w:t>
      </w:r>
      <w:r>
        <w:rPr>
          <w:rFonts w:hint="eastAsia" w:ascii="Times New Roman" w:hAnsi="Times New Roman" w:eastAsia="宋体" w:cs="方正魏碑_GBK"/>
          <w:color w:val="auto"/>
          <w:highlight w:val="none"/>
          <w:shd w:val="clear" w:color="auto" w:fill="ffffff"/>
        </w:rPr>
        <w:t xml:space="preserve">在中国境内完成。</w:t>
      </w:r>
      <w:r/>
    </w:p>
    <w:p>
      <w:pPr>
        <w:pStyle w:val="755"/>
        <w:ind w:firstLine="420"/>
        <w:pageBreakBefore w:val="0"/>
        <w:spacing w:beforeAutospacing="0" w:afterAutospacing="0" w:line="360" w:lineRule="auto"/>
        <w:rPr>
          <w:rFonts w:hint="eastAsia" w:ascii="Times New Roman" w:hAnsi="Times New Roman" w:eastAsia="宋体" w:cs="方正魏碑_GBK"/>
          <w:color w:val="auto"/>
          <w:highlight w:val="none"/>
        </w:rPr>
      </w:pP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2" name="直接箭头连接符 15"/>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462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3"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564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4" name="直接箭头连接符 1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3600;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5" name="直接箭头连接符 1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2576;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6"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7" name="直接箭头连接符 19"/>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6432;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8" name="直接箭头连接符 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438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9"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3360;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shd w:val="clear" w:color="auto" w:fill="ffffff"/>
        </w:rPr>
        <w:t xml:space="preserve">2.</w:t>
      </w:r>
      <w:r>
        <w:rPr>
          <w:rStyle w:val="762"/>
          <w:rFonts w:hint="eastAsia" w:ascii="Times New Roman" w:hAnsi="Times New Roman" w:eastAsia="宋体" w:cs="方正魏碑_GBK"/>
          <w:i w:val="0"/>
          <w:color w:val="auto"/>
          <w:highlight w:val="none"/>
          <w:u w:val="single"/>
          <w:shd w:val="clear" w:color="auto" w:fill="ffffff"/>
        </w:rPr>
        <w:t xml:space="preserve">（产品名称2）</w:t>
      </w:r>
      <w:r>
        <w:rPr>
          <w:rFonts w:hint="eastAsia" w:ascii="Times New Roman" w:hAnsi="Times New Roman" w:eastAsia="宋体" w:cs="方正魏碑_GBK"/>
          <w:color w:val="auto"/>
          <w:highlight w:val="none"/>
          <w:shd w:val="clear" w:color="auto" w:fill="ffffff"/>
        </w:rPr>
        <w:t xml:space="preserve">，生产厂为</w:t>
      </w:r>
      <w:r>
        <w:rPr>
          <w:rStyle w:val="762"/>
          <w:rFonts w:hint="eastAsia" w:ascii="Times New Roman" w:hAnsi="Times New Roman" w:eastAsia="宋体" w:cs="方正魏碑_GBK"/>
          <w:i w:val="0"/>
          <w:color w:val="auto"/>
          <w:highlight w:val="none"/>
          <w:u w:val="single"/>
          <w:shd w:val="clear" w:color="auto" w:fill="ffffff"/>
        </w:rPr>
        <w:t xml:space="preserve">（厂名）</w:t>
      </w:r>
      <w:r>
        <w:rPr>
          <w:rFonts w:hint="eastAsia" w:ascii="Times New Roman" w:hAnsi="Times New Roman" w:eastAsia="宋体" w:cs="方正魏碑_GBK"/>
          <w:color w:val="auto"/>
          <w:highlight w:val="none"/>
          <w:shd w:val="clear" w:color="auto" w:fill="ffffff"/>
        </w:rPr>
        <w:t xml:space="preserve">，厂址为</w:t>
      </w:r>
      <w:r>
        <w:rPr>
          <w:rStyle w:val="762"/>
          <w:rFonts w:hint="eastAsia" w:ascii="Times New Roman" w:hAnsi="Times New Roman" w:eastAsia="宋体" w:cs="方正魏碑_GBK"/>
          <w:i w:val="0"/>
          <w:color w:val="auto"/>
          <w:highlight w:val="none"/>
          <w:u w:val="single"/>
          <w:shd w:val="clear" w:color="auto" w:fill="ffffff"/>
        </w:rPr>
        <w:t xml:space="preserve">（生产厂址）</w:t>
      </w:r>
      <w:r>
        <w:rPr>
          <w:rFonts w:hint="eastAsia" w:ascii="Times New Roman" w:hAnsi="Times New Roman" w:eastAsia="宋体" w:cs="方正魏碑_GBK"/>
          <w:color w:val="auto"/>
          <w:highlight w:val="none"/>
          <w:shd w:val="clear" w:color="auto" w:fill="ffffff"/>
        </w:rPr>
        <w:t xml:space="preserve">。</w:t>
      </w:r>
      <w:r>
        <w:rPr>
          <w:rStyle w:val="762"/>
          <w:rFonts w:hint="eastAsia" w:ascii="Times New Roman" w:hAnsi="Times New Roman" w:eastAsia="宋体" w:cs="方正魏碑_GBK"/>
          <w:i w:val="0"/>
          <w:color w:val="auto"/>
          <w:highlight w:val="none"/>
          <w:u w:val="single"/>
          <w:shd w:val="clear" w:color="auto" w:fill="ffffff"/>
        </w:rPr>
        <w:t xml:space="preserve">（产品名称2）</w:t>
      </w:r>
      <w:r>
        <w:rPr>
          <w:rFonts w:hint="eastAsia" w:ascii="Times New Roman" w:hAnsi="Times New Roman" w:eastAsia="宋体" w:cs="方正魏碑_GBK"/>
          <w:color w:val="auto"/>
          <w:highlight w:val="none"/>
          <w:shd w:val="clear" w:color="auto" w:fill="ffffff"/>
        </w:rPr>
        <w:t xml:space="preserve">的中国境内生产的组件成本占比≥</w:t>
      </w:r>
      <w:r>
        <w:rPr>
          <w:rStyle w:val="762"/>
          <w:rFonts w:hint="eastAsia" w:ascii="Times New Roman" w:hAnsi="Times New Roman" w:eastAsia="宋体" w:cs="方正魏碑_GBK"/>
          <w:i w:val="0"/>
          <w:color w:val="auto"/>
          <w:highlight w:val="none"/>
          <w:u w:val="single"/>
          <w:shd w:val="clear" w:color="auto" w:fill="ffffff"/>
        </w:rPr>
        <w:t xml:space="preserve">（规定</w:t>
      </w:r>
      <w:r>
        <w:rPr>
          <w:rStyle w:val="762"/>
          <w:rFonts w:ascii="Times New Roman" w:hAnsi="Times New Roman" w:eastAsia="宋体" w:cs="方正魏碑_GBK"/>
          <w:i w:val="0"/>
          <w:color w:val="auto"/>
          <w:highlight w:val="none"/>
          <w:u w:val="single"/>
          <w:shd w:val="clear" w:color="auto" w:fill="ffffff"/>
        </w:rPr>
        <w:t xml:space="preserve">比例</w:t>
      </w:r>
      <w:r>
        <w:rPr>
          <w:rStyle w:val="762"/>
          <w:rFonts w:hint="eastAsia" w:ascii="Times New Roman" w:hAnsi="Times New Roman" w:eastAsia="宋体" w:cs="方正魏碑_GBK"/>
          <w:i w:val="0"/>
          <w:color w:val="auto"/>
          <w:highlight w:val="none"/>
          <w:u w:val="single"/>
          <w:shd w:val="clear" w:color="auto" w:fill="ffffff"/>
        </w:rPr>
        <w:t xml:space="preserve">）</w:t>
      </w:r>
      <w:r>
        <w:rPr>
          <w:rFonts w:hint="eastAsia" w:ascii="Times New Roman" w:hAnsi="Times New Roman" w:eastAsia="宋体" w:cs="方正魏碑_GBK"/>
          <w:color w:val="auto"/>
          <w:highlight w:val="none"/>
          <w:shd w:val="clear" w:color="auto" w:fill="ffffff"/>
        </w:rPr>
        <w:t xml:space="preserve">。</w:t>
      </w:r>
      <w:r>
        <w:rPr>
          <w:rStyle w:val="762"/>
          <w:rFonts w:hint="eastAsia" w:ascii="Times New Roman" w:hAnsi="Times New Roman" w:eastAsia="宋体" w:cs="方正魏碑_GBK"/>
          <w:i w:val="0"/>
          <w:color w:val="auto"/>
          <w:highlight w:val="none"/>
          <w:u w:val="single"/>
          <w:shd w:val="clear" w:color="auto" w:fill="ffffff"/>
        </w:rPr>
        <w:t xml:space="preserve">（产品名称2）</w:t>
      </w:r>
      <w:r>
        <w:rPr>
          <w:rFonts w:hint="eastAsia" w:ascii="Times New Roman" w:hAnsi="Times New Roman" w:eastAsia="宋体" w:cs="方正魏碑_GBK"/>
          <w:color w:val="auto"/>
          <w:highlight w:val="none"/>
          <w:shd w:val="clear" w:color="auto" w:fill="ffffff"/>
        </w:rPr>
        <w:t xml:space="preserve">的</w:t>
      </w:r>
      <w:r>
        <w:rPr>
          <w:rStyle w:val="762"/>
          <w:rFonts w:hint="eastAsia" w:ascii="Times New Roman" w:hAnsi="Times New Roman" w:eastAsia="宋体" w:cs="方正魏碑_GBK"/>
          <w:i w:val="0"/>
          <w:color w:val="auto"/>
          <w:highlight w:val="none"/>
          <w:u w:val="single"/>
          <w:shd w:val="clear" w:color="auto" w:fill="ffffff"/>
        </w:rPr>
        <w:t xml:space="preserve">（关键</w:t>
      </w:r>
      <w:r>
        <w:rPr>
          <w:rStyle w:val="762"/>
          <w:rFonts w:ascii="Times New Roman" w:hAnsi="Times New Roman" w:eastAsia="宋体" w:cs="方正魏碑_GBK"/>
          <w:i w:val="0"/>
          <w:color w:val="auto"/>
          <w:highlight w:val="none"/>
          <w:u w:val="single"/>
          <w:shd w:val="clear" w:color="auto" w:fill="ffffff"/>
        </w:rPr>
        <w:t xml:space="preserve">组件</w:t>
      </w:r>
      <w:r>
        <w:rPr>
          <w:rStyle w:val="762"/>
          <w:rFonts w:hint="eastAsia" w:ascii="Times New Roman" w:hAnsi="Times New Roman" w:eastAsia="宋体" w:cs="方正魏碑_GBK"/>
          <w:i w:val="0"/>
          <w:color w:val="auto"/>
          <w:highlight w:val="none"/>
          <w:u w:val="single"/>
          <w:shd w:val="clear" w:color="auto" w:fill="ffffff"/>
        </w:rPr>
        <w:t xml:space="preserve">）</w:t>
      </w:r>
      <w:r>
        <w:rPr>
          <w:rFonts w:hint="eastAsia" w:ascii="Times New Roman" w:hAnsi="Times New Roman" w:eastAsia="宋体" w:cs="方正魏碑_GBK"/>
          <w:color w:val="auto"/>
          <w:highlight w:val="none"/>
          <w:shd w:val="clear" w:color="auto" w:fill="ffffff"/>
        </w:rPr>
        <w:t xml:space="preserve">在中国境内生产。</w:t>
      </w:r>
      <w:r>
        <w:rPr>
          <w:rStyle w:val="762"/>
          <w:rFonts w:hint="eastAsia" w:ascii="Times New Roman" w:hAnsi="Times New Roman" w:eastAsia="宋体" w:cs="方正魏碑_GBK"/>
          <w:i w:val="0"/>
          <w:color w:val="auto"/>
          <w:highlight w:val="none"/>
          <w:u w:val="single"/>
          <w:shd w:val="clear" w:color="auto" w:fill="ffffff"/>
        </w:rPr>
        <w:t xml:space="preserve">（产品名称1）</w:t>
      </w:r>
      <w:r>
        <w:rPr>
          <w:rFonts w:hint="eastAsia" w:ascii="Times New Roman" w:hAnsi="Times New Roman" w:eastAsia="宋体" w:cs="方正魏碑_GBK"/>
          <w:color w:val="auto"/>
          <w:highlight w:val="none"/>
          <w:shd w:val="clear" w:color="auto" w:fill="ffffff"/>
        </w:rPr>
        <w:t xml:space="preserve">的</w:t>
      </w:r>
      <w:r>
        <w:rPr>
          <w:rStyle w:val="762"/>
          <w:rFonts w:hint="eastAsia" w:ascii="Times New Roman" w:hAnsi="Times New Roman" w:eastAsia="宋体" w:cs="方正魏碑_GBK"/>
          <w:i w:val="0"/>
          <w:color w:val="auto"/>
          <w:highlight w:val="none"/>
          <w:u w:val="single"/>
          <w:shd w:val="clear" w:color="auto" w:fill="ffffff"/>
        </w:rPr>
        <w:t xml:space="preserve">（关键工序）</w:t>
      </w:r>
      <w:r>
        <w:rPr>
          <w:rFonts w:hint="eastAsia" w:ascii="Times New Roman" w:hAnsi="Times New Roman" w:eastAsia="宋体" w:cs="方正魏碑_GBK"/>
          <w:color w:val="auto"/>
          <w:highlight w:val="none"/>
          <w:shd w:val="clear" w:color="auto" w:fill="ffffff"/>
        </w:rPr>
        <w:t xml:space="preserve">在中国境内完成。</w:t>
      </w:r>
      <w:r/>
    </w:p>
    <w:p>
      <w:pPr>
        <w:pStyle w:val="755"/>
        <w:ind w:firstLine="420"/>
        <w:pageBreakBefore w:val="0"/>
        <w:spacing w:beforeAutospacing="0" w:afterAutospacing="0" w:line="360" w:lineRule="auto"/>
        <w:rPr>
          <w:rFonts w:hint="eastAsia" w:ascii="Times New Roman" w:hAnsi="Times New Roman" w:eastAsia="宋体" w:cs="方正魏碑_GBK"/>
          <w:color w:val="auto"/>
          <w:highlight w:val="none"/>
        </w:rPr>
      </w:pPr>
      <w:r>
        <w:rPr>
          <w:rFonts w:hint="eastAsia" w:ascii="Times New Roman" w:hAnsi="Times New Roman" w:eastAsia="宋体" w:cs="方正魏碑_GBK"/>
          <w:color w:val="auto"/>
          <w:highlight w:val="none"/>
          <w:shd w:val="clear" w:color="auto" w:fill="ffffff"/>
        </w:rPr>
        <w:t xml:space="preserve">……</w:t>
      </w:r>
      <w:r/>
    </w:p>
    <w:p>
      <w:pPr>
        <w:pStyle w:val="755"/>
        <w:ind w:firstLine="420"/>
        <w:pageBreakBefore w:val="0"/>
        <w:spacing w:beforeAutospacing="0" w:afterAutospacing="0" w:line="360" w:lineRule="auto"/>
        <w:rPr>
          <w:rFonts w:hint="eastAsia" w:ascii="Times New Roman" w:hAnsi="Times New Roman" w:eastAsia="宋体" w:cs="方正魏碑_GBK"/>
          <w:color w:val="auto"/>
          <w:highlight w:val="none"/>
        </w:rPr>
      </w:pPr>
      <w:r>
        <w:rPr>
          <w:rFonts w:hint="eastAsia" w:ascii="Times New Roman" w:hAnsi="Times New Roman" w:eastAsia="宋体" w:cs="方正魏碑_GBK"/>
          <w:color w:val="auto"/>
          <w:highlight w:val="none"/>
          <w:shd w:val="clear" w:color="auto" w:fill="ffffff"/>
        </w:rPr>
        <w:t xml:space="preserve">本公司（单位）对上述声明内容的真实性负责。如有虚假，愿承担相应法律责任。</w:t>
      </w:r>
      <w:r/>
    </w:p>
    <w:p>
      <w:pPr>
        <w:pStyle w:val="755"/>
        <w:pageBreakBefore w:val="0"/>
        <w:spacing w:beforeAutospacing="0" w:afterAutospacing="0" w:line="360" w:lineRule="auto"/>
        <w:rPr>
          <w:rFonts w:hint="eastAsia" w:ascii="Times New Roman" w:hAnsi="Times New Roman" w:eastAsia="宋体" w:cs="方正魏碑_GBK"/>
          <w:color w:val="auto"/>
          <w:highlight w:val="none"/>
        </w:rPr>
      </w:pPr>
      <w:r>
        <w:rPr>
          <w:rFonts w:hint="eastAsia" w:ascii="Times New Roman" w:hAnsi="Times New Roman" w:eastAsia="宋体" w:cs="方正魏碑_GBK"/>
          <w:color w:val="auto"/>
          <w:highlight w:val="none"/>
        </w:rPr>
      </w:r>
      <w:r/>
    </w:p>
    <w:p>
      <w:pPr>
        <w:pStyle w:val="755"/>
        <w:ind w:right="480" w:firstLine="3720"/>
        <w:pageBreakBefore w:val="0"/>
        <w:spacing w:beforeAutospacing="0" w:afterAutospacing="0" w:line="360" w:lineRule="auto"/>
        <w:rPr>
          <w:rFonts w:hint="eastAsia" w:ascii="Times New Roman" w:hAnsi="Times New Roman" w:eastAsia="宋体" w:cs="方正魏碑_GBK"/>
          <w:color w:val="auto"/>
          <w:highlight w:val="none"/>
        </w:rPr>
      </w:pPr>
      <w:r>
        <w:rPr>
          <w:rFonts w:hint="eastAsia" w:ascii="Times New Roman" w:hAnsi="Times New Roman" w:eastAsia="宋体" w:cs="方正魏碑_GBK"/>
          <w:color w:val="auto"/>
          <w:highlight w:val="none"/>
          <w:shd w:val="clear" w:color="auto" w:fill="ffffff"/>
        </w:rPr>
        <w:t xml:space="preserve">公司（单位）名称（盖章）：　        </w:t>
      </w:r>
      <w:r/>
    </w:p>
    <w:p>
      <w:pPr>
        <w:pStyle w:val="755"/>
        <w:jc w:val="center"/>
        <w:pageBreakBefore w:val="0"/>
        <w:spacing w:beforeAutospacing="0" w:afterAutospacing="0" w:line="360" w:lineRule="auto"/>
        <w:rPr>
          <w:rFonts w:hint="eastAsia" w:ascii="Times New Roman" w:hAnsi="Times New Roman" w:eastAsia="宋体" w:cs="方正魏碑_GBK"/>
          <w:color w:val="auto"/>
          <w:highlight w:val="none"/>
        </w:rPr>
      </w:pPr>
      <w:r>
        <w:rPr>
          <w:rFonts w:hint="eastAsia" w:ascii="Times New Roman" w:hAnsi="Times New Roman" w:eastAsia="宋体" w:cs="方正魏碑_GBK"/>
          <w:color w:val="auto"/>
          <w:highlight w:val="none"/>
          <w:shd w:val="clear" w:color="auto" w:fill="ffffff"/>
        </w:rPr>
        <w:t xml:space="preserve">                    </w:t>
      </w:r>
      <w:r>
        <w:rPr>
          <w:rFonts w:ascii="Times New Roman" w:hAnsi="Times New Roman" w:eastAsia="宋体" w:cs="方正魏碑_GBK"/>
          <w:color w:val="auto"/>
          <w:highlight w:val="none"/>
          <w:shd w:val="clear" w:color="auto" w:fill="ffffff"/>
        </w:rPr>
        <w:t xml:space="preserve">            </w:t>
      </w:r>
      <w:r>
        <w:rPr>
          <w:rFonts w:hint="eastAsia" w:ascii="Times New Roman" w:hAnsi="Times New Roman" w:eastAsia="宋体" w:cs="方正魏碑_GBK"/>
          <w:color w:val="auto"/>
          <w:highlight w:val="none"/>
          <w:shd w:val="clear" w:color="auto" w:fill="ffffff"/>
        </w:rPr>
        <w:t xml:space="preserve">日期：　   年　  月　  日         </w:t>
      </w:r>
      <w:r/>
    </w:p>
    <w:p>
      <w:pPr>
        <w:pStyle w:val="755"/>
        <w:pageBreakBefore w:val="0"/>
        <w:spacing w:beforeAutospacing="0" w:afterAutospacing="0" w:line="360" w:lineRule="auto"/>
        <w:rPr>
          <w:rFonts w:hint="eastAsia" w:ascii="Times New Roman" w:hAnsi="Times New Roman" w:eastAsia="宋体" w:cs="方正魏碑_GBK"/>
          <w:color w:val="auto"/>
          <w:highlight w:val="none"/>
        </w:rPr>
      </w:pPr>
      <w:r>
        <w:rPr>
          <w:rFonts w:hint="eastAsia" w:ascii="Times New Roman" w:hAnsi="Times New Roman" w:eastAsia="宋体" w:cs="方正魏碑_GBK"/>
          <w:color w:val="auto"/>
          <w:highlight w:val="none"/>
          <w:shd w:val="clear" w:color="auto" w:fill="ffffff"/>
        </w:rPr>
        <w:t xml:space="preserve">__________________</w:t>
      </w:r>
      <w:r/>
    </w:p>
    <w:p>
      <w:pPr>
        <w:pStyle w:val="755"/>
        <w:pageBreakBefore w:val="0"/>
        <w:spacing w:beforeAutospacing="0" w:afterAutospacing="0" w:line="360" w:lineRule="auto"/>
        <w:rPr>
          <w:rFonts w:hint="eastAsia" w:ascii="Times New Roman" w:hAnsi="Times New Roman" w:eastAsia="宋体" w:cs="方正魏碑_GBK"/>
          <w:color w:val="auto"/>
          <w:sz w:val="22"/>
          <w:highlight w:val="none"/>
        </w:rPr>
      </w:pPr>
      <w:r>
        <w:rPr>
          <w:rFonts w:hint="eastAsia" w:ascii="Times New Roman" w:hAnsi="Times New Roman" w:eastAsia="宋体" w:cs="方正魏碑_GBK"/>
          <w:color w:val="auto"/>
          <w:sz w:val="22"/>
          <w:highlight w:val="none"/>
          <w:shd w:val="clear" w:color="auto" w:fill="ffffff"/>
        </w:rPr>
        <w:t xml:space="preserve">1.产品如有型号，请在“产品名称”栏一并填写。</w:t>
      </w:r>
      <w:r/>
    </w:p>
    <w:p>
      <w:pPr>
        <w:pStyle w:val="755"/>
        <w:pageBreakBefore w:val="0"/>
        <w:spacing w:beforeAutospacing="0" w:afterAutospacing="0" w:line="360" w:lineRule="auto"/>
        <w:rPr>
          <w:rFonts w:hint="eastAsia" w:ascii="Times New Roman" w:hAnsi="Times New Roman" w:eastAsia="宋体" w:cs="方正魏碑_GBK"/>
          <w:color w:val="auto"/>
          <w:sz w:val="22"/>
          <w:highlight w:val="none"/>
        </w:rPr>
      </w:pPr>
      <w:r>
        <w:rPr>
          <w:rFonts w:hint="eastAsia" w:ascii="Times New Roman" w:hAnsi="Times New Roman" w:eastAsia="宋体" w:cs="方正魏碑_GBK"/>
          <w:color w:val="auto"/>
          <w:sz w:val="22"/>
          <w:highlight w:val="none"/>
          <w:shd w:val="clear" w:color="auto" w:fill="ffffff"/>
        </w:rPr>
        <w:t xml:space="preserve">2.生产厂名与厂址应与生产厂营业执照载明的相关信息保持一致。</w:t>
      </w:r>
      <w:r/>
    </w:p>
    <w:p>
      <w:pPr>
        <w:pStyle w:val="755"/>
        <w:pageBreakBefore w:val="0"/>
        <w:spacing w:beforeAutospacing="0" w:afterAutospacing="0" w:line="360" w:lineRule="auto"/>
        <w:rPr>
          <w:rFonts w:hint="eastAsia" w:ascii="Times New Roman" w:hAnsi="Times New Roman" w:eastAsia="宋体" w:cs="方正魏碑_GBK"/>
          <w:color w:val="auto"/>
          <w:sz w:val="22"/>
          <w:highlight w:val="none"/>
        </w:rPr>
      </w:pPr>
      <w:r>
        <w:rPr>
          <w:rFonts w:hint="eastAsia" w:ascii="Times New Roman" w:hAnsi="Times New Roman" w:eastAsia="宋体" w:cs="方正魏碑_GBK"/>
          <w:color w:val="auto"/>
          <w:sz w:val="22"/>
          <w:highlight w:val="none"/>
          <w:shd w:val="clear" w:color="auto" w:fill="ffffff"/>
        </w:rPr>
        <w:t xml:space="preserve">3.该产品的中国境内生产的组件成本占比相关要求实施前，“规定比例”栏可不填，下同。</w:t>
      </w:r>
      <w:r/>
    </w:p>
    <w:p>
      <w:pPr>
        <w:pStyle w:val="755"/>
        <w:pageBreakBefore w:val="0"/>
        <w:spacing w:beforeAutospacing="0" w:afterAutospacing="0" w:line="360" w:lineRule="auto"/>
        <w:rPr>
          <w:rFonts w:hint="eastAsia" w:ascii="Times New Roman" w:hAnsi="Times New Roman" w:eastAsia="宋体" w:cs="方正魏碑_GBK"/>
          <w:color w:val="auto"/>
          <w:sz w:val="22"/>
          <w:highlight w:val="none"/>
        </w:rPr>
      </w:pPr>
      <w:r>
        <w:rPr>
          <w:rFonts w:hint="eastAsia" w:ascii="Times New Roman" w:hAnsi="Times New Roman" w:eastAsia="宋体" w:cs="方正魏碑_GBK"/>
          <w:color w:val="auto"/>
          <w:sz w:val="22"/>
          <w:highlight w:val="none"/>
          <w:shd w:val="clear" w:color="auto" w:fill="ffffff"/>
        </w:rPr>
        <w:t xml:space="preserve">4.该产品的关键组件要求实施前，“关键组件”栏可不填，下同。</w:t>
      </w:r>
      <w:r/>
    </w:p>
    <w:p>
      <w:pPr>
        <w:pStyle w:val="755"/>
        <w:pageBreakBefore w:val="0"/>
        <w:spacing w:beforeAutospacing="0" w:afterAutospacing="0" w:line="360" w:lineRule="auto"/>
        <w:rPr>
          <w:rFonts w:ascii="Times New Roman" w:hAnsi="Times New Roman" w:eastAsia="宋体" w:cs="方正魏碑_GBK"/>
          <w:color w:val="auto"/>
          <w:sz w:val="22"/>
          <w:highlight w:val="none"/>
          <w:shd w:val="clear" w:color="auto" w:fill="ffffff"/>
        </w:rPr>
      </w:pPr>
      <w:r>
        <w:rPr>
          <w:rFonts w:hint="eastAsia" w:ascii="Times New Roman" w:hAnsi="Times New Roman" w:eastAsia="宋体" w:cs="方正魏碑_GBK"/>
          <w:color w:val="auto"/>
          <w:sz w:val="22"/>
          <w:highlight w:val="none"/>
          <w:shd w:val="clear" w:color="auto" w:fill="ffffff"/>
        </w:rPr>
        <w:t xml:space="preserve">5.该产品的关键工序要求实施前，“关键工序”栏可不填，下同。</w:t>
      </w:r>
      <w:r/>
    </w:p>
    <w:p>
      <w:pPr>
        <w:pStyle w:val="755"/>
        <w:pageBreakBefore w:val="0"/>
        <w:spacing w:beforeAutospacing="0" w:afterAutospacing="0" w:line="360" w:lineRule="auto"/>
        <w:rPr>
          <w:rFonts w:ascii="Times New Roman" w:hAnsi="Times New Roman" w:eastAsia="宋体" w:cs="方正魏碑_GBK"/>
          <w:color w:val="auto"/>
          <w:sz w:val="22"/>
          <w:highlight w:val="none"/>
          <w:shd w:val="clear" w:color="auto" w:fill="ffffff"/>
        </w:rPr>
      </w:pPr>
      <w:r>
        <w:rPr>
          <w:rFonts w:hint="eastAsia" w:ascii="Times New Roman" w:hAnsi="Times New Roman" w:eastAsia="宋体" w:cs="方正魏碑_GBK"/>
          <w:color w:val="auto"/>
          <w:sz w:val="22"/>
          <w:highlight w:val="none"/>
          <w:shd w:val="clear" w:color="auto" w:fill="ffffff"/>
        </w:rPr>
        <w:t xml:space="preserve">6.用斜线划除的地方无需填写。</w:t>
      </w:r>
      <w:r/>
    </w:p>
    <w:p>
      <w:pPr>
        <w:jc w:val="left"/>
        <w:pageBreakBefore w:val="0"/>
        <w:spacing w:line="360" w:lineRule="auto"/>
        <w:widowControl/>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r>
      <w:r/>
    </w:p>
    <w:p>
      <w:pPr>
        <w:jc w:val="left"/>
        <w:pageBreakBefore w:val="0"/>
        <w:spacing w:line="360" w:lineRule="auto"/>
        <w:widowControl/>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center"/>
        <w:pageBreakBefore w:val="0"/>
        <w:spacing w:line="360" w:lineRule="auto"/>
        <w:rPr>
          <w:rFonts w:hint="eastAsia" w:ascii="Times New Roman" w:hAnsi="Times New Roman" w:eastAsia="宋体" w:cs="宋体"/>
          <w:color w:val="auto"/>
          <w:sz w:val="32"/>
          <w:highlight w:val="none"/>
        </w:rPr>
      </w:pPr>
      <w:r/>
      <w:bookmarkStart w:id="112" w:name="_Toc19910"/>
      <w:r/>
      <w:bookmarkStart w:id="113" w:name="_Toc25382"/>
      <w:r>
        <w:rPr>
          <w:rFonts w:hint="eastAsia" w:ascii="Times New Roman" w:hAnsi="Times New Roman" w:eastAsia="宋体" w:cs="宋体"/>
          <w:b/>
          <w:bCs/>
          <w:color w:val="auto"/>
          <w:sz w:val="32"/>
          <w:szCs w:val="44"/>
          <w:highlight w:val="none"/>
        </w:rPr>
        <w:t xml:space="preserve">四、开标一览表</w:t>
      </w:r>
      <w:bookmarkEnd w:id="112"/>
      <w:r/>
      <w:bookmarkEnd w:id="113"/>
      <w:r/>
      <w:r/>
    </w:p>
    <w:p>
      <w:pPr>
        <w:ind w:firstLine="48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项目名称：</w:t>
      </w:r>
      <w:r/>
    </w:p>
    <w:p>
      <w:pPr>
        <w:ind w:firstLine="48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项目编号：</w:t>
      </w:r>
      <w:r/>
    </w:p>
    <w:p>
      <w:pPr>
        <w:ind w:firstLine="48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分包号（如有）： </w:t>
      </w:r>
      <w:r/>
    </w:p>
    <w:p>
      <w:pPr>
        <w:ind w:firstLine="48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bl>
      <w:tblPr>
        <w:tblStyle w:val="729"/>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7"/>
        <w:gridCol w:w="6143"/>
      </w:tblGrid>
      <w:tr>
        <w:trPr>
          <w:cantSplit/>
          <w:trHeight w:val="1098"/>
        </w:trPr>
        <w:tc>
          <w:tcPr>
            <w:tcW w:w="1395" w:type="pct"/>
            <w:vAlign w:val="center"/>
            <w:textDirection w:val="lrTb"/>
            <w:noWrap w:val="false"/>
          </w:tcPr>
          <w:p>
            <w:pPr>
              <w:pStyle w:val="979"/>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  投标货物及服务名称</w:t>
            </w:r>
            <w:r/>
          </w:p>
        </w:tc>
        <w:tc>
          <w:tcPr>
            <w:tcW w:w="3604"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投标总报价</w:t>
            </w:r>
            <w:r/>
          </w:p>
        </w:tc>
      </w:tr>
      <w:tr>
        <w:trPr>
          <w:cantSplit/>
          <w:trHeight w:val="1697"/>
        </w:trPr>
        <w:tc>
          <w:tcPr>
            <w:tcW w:w="1395" w:type="pct"/>
            <w:vAlign w:val="center"/>
            <w:textDirection w:val="lrTb"/>
            <w:noWrap w:val="false"/>
          </w:tcPr>
          <w:p>
            <w:pPr>
              <w:pStyle w:val="979"/>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3604" w:type="pct"/>
            <w:vAlign w:val="center"/>
            <w:textDirection w:val="lrTb"/>
            <w:noWrap w:val="false"/>
          </w:tcPr>
          <w:p>
            <w:pPr>
              <w:pStyle w:val="779"/>
              <w:ind w:firstLine="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大写：</w:t>
            </w:r>
            <w:r/>
          </w:p>
          <w:p>
            <w:pPr>
              <w:pStyle w:val="779"/>
              <w:ind w:firstLine="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小写：                             （人民币：元）</w:t>
            </w:r>
            <w:r/>
          </w:p>
          <w:p>
            <w:pPr>
              <w:pStyle w:val="779"/>
              <w:ind w:firstLine="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r>
      <w:tr>
        <w:trPr>
          <w:cantSplit/>
          <w:trHeight w:val="1697"/>
        </w:trPr>
        <w:tc>
          <w:tcPr>
            <w:tcW w:w="1395" w:type="pct"/>
            <w:vAlign w:val="center"/>
            <w:textDirection w:val="lrTb"/>
            <w:noWrap w:val="false"/>
          </w:tcPr>
          <w:p>
            <w:pPr>
              <w:pStyle w:val="979"/>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核心产品品牌</w:t>
            </w:r>
            <w:r/>
          </w:p>
        </w:tc>
        <w:tc>
          <w:tcPr>
            <w:tcW w:w="3604" w:type="pct"/>
            <w:vAlign w:val="center"/>
            <w:textDirection w:val="lrTb"/>
            <w:noWrap w:val="false"/>
          </w:tcPr>
          <w:p>
            <w:pPr>
              <w:pStyle w:val="779"/>
              <w:ind w:firstLine="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r>
    </w:tbl>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ind w:firstLine="480"/>
        <w:pageBreakBefore w:val="0"/>
        <w:spacing w:line="360" w:lineRule="auto"/>
        <w:rPr>
          <w:rFonts w:hint="eastAsia" w:ascii="Times New Roman" w:hAnsi="Times New Roman" w:eastAsia="宋体" w:cs="宋体"/>
          <w:color w:val="auto"/>
          <w:sz w:val="32"/>
          <w:szCs w:val="32"/>
          <w:highlight w:val="none"/>
        </w:rPr>
      </w:pPr>
      <w:r>
        <w:rPr>
          <w:rFonts w:hint="eastAsia" w:ascii="Times New Roman" w:hAnsi="Times New Roman" w:eastAsia="宋体" w:cs="宋体"/>
          <w:color w:val="auto"/>
          <w:szCs w:val="21"/>
          <w:highlight w:val="none"/>
        </w:rPr>
        <w:t xml:space="preserve">                                          </w:t>
      </w:r>
      <w:r/>
    </w:p>
    <w:p>
      <w:pPr>
        <w:pStyle w:val="976"/>
        <w:ind w:firstLine="640"/>
        <w:pageBreakBefore w:val="0"/>
        <w:spacing w:line="360" w:lineRule="auto"/>
        <w:rPr>
          <w:rFonts w:hint="eastAsia" w:ascii="Times New Roman" w:hAnsi="Times New Roman" w:eastAsia="宋体" w:cs="宋体"/>
          <w:color w:val="auto"/>
          <w:sz w:val="32"/>
          <w:szCs w:val="32"/>
          <w:highlight w:val="none"/>
        </w:rPr>
      </w:pPr>
      <w:r>
        <w:rPr>
          <w:rFonts w:hint="eastAsia" w:ascii="Times New Roman" w:hAnsi="Times New Roman" w:eastAsia="宋体" w:cs="宋体"/>
          <w:color w:val="auto"/>
          <w:sz w:val="32"/>
          <w:szCs w:val="32"/>
          <w:highlight w:val="none"/>
        </w:rPr>
      </w:r>
      <w:r/>
    </w:p>
    <w:p>
      <w:pPr>
        <w:pStyle w:val="976"/>
        <w:ind w:firstLine="640"/>
        <w:pageBreakBefore w:val="0"/>
        <w:spacing w:line="360" w:lineRule="auto"/>
        <w:rPr>
          <w:rFonts w:hint="eastAsia" w:ascii="Times New Roman" w:hAnsi="Times New Roman" w:eastAsia="宋体" w:cs="宋体"/>
          <w:color w:val="auto"/>
          <w:sz w:val="32"/>
          <w:szCs w:val="32"/>
          <w:highlight w:val="none"/>
        </w:rPr>
      </w:pPr>
      <w:r>
        <w:rPr>
          <w:rFonts w:hint="eastAsia" w:ascii="Times New Roman" w:hAnsi="Times New Roman" w:eastAsia="宋体" w:cs="宋体"/>
          <w:color w:val="auto"/>
          <w:sz w:val="32"/>
          <w:szCs w:val="32"/>
          <w:highlight w:val="none"/>
        </w:rPr>
      </w:r>
      <w:r/>
    </w:p>
    <w:p>
      <w:pPr>
        <w:jc w:val="center"/>
        <w:pageBreakBefore w:val="0"/>
        <w:spacing w:line="360" w:lineRule="auto"/>
        <w:rPr>
          <w:rFonts w:hint="eastAsia" w:ascii="Times New Roman" w:hAnsi="Times New Roman" w:eastAsia="宋体" w:cs="宋体"/>
          <w:color w:val="auto"/>
          <w:sz w:val="32"/>
          <w:highlight w:val="none"/>
        </w:rPr>
      </w:pPr>
      <w:r>
        <w:rPr>
          <w:rFonts w:hint="eastAsia" w:ascii="Times New Roman" w:hAnsi="Times New Roman" w:eastAsia="宋体" w:cs="宋体"/>
          <w:color w:val="auto"/>
          <w:sz w:val="32"/>
          <w:szCs w:val="32"/>
          <w:highlight w:val="none"/>
        </w:rPr>
        <w:br w:type="page" w:clear="all"/>
      </w:r>
      <w:bookmarkStart w:id="114" w:name="_Toc17891"/>
      <w:r/>
      <w:bookmarkStart w:id="115" w:name="_Toc20323"/>
      <w:r>
        <w:rPr>
          <w:rFonts w:hint="eastAsia" w:ascii="Times New Roman" w:hAnsi="Times New Roman" w:eastAsia="宋体" w:cs="宋体"/>
          <w:b/>
          <w:bCs/>
          <w:color w:val="auto"/>
          <w:sz w:val="32"/>
          <w:szCs w:val="44"/>
          <w:highlight w:val="none"/>
        </w:rPr>
        <w:t xml:space="preserve">五、</w:t>
      </w:r>
      <w:bookmarkEnd w:id="114"/>
      <w:r/>
      <w:bookmarkEnd w:id="115"/>
      <w:r>
        <w:rPr>
          <w:rFonts w:hint="eastAsia" w:ascii="Times New Roman" w:hAnsi="Times New Roman" w:eastAsia="宋体" w:cs="宋体"/>
          <w:b/>
          <w:bCs/>
          <w:color w:val="auto"/>
          <w:sz w:val="32"/>
          <w:szCs w:val="44"/>
          <w:highlight w:val="none"/>
        </w:rPr>
        <w:t xml:space="preserve">投标产品配置及分项报价表</w:t>
      </w:r>
      <w:r/>
    </w:p>
    <w:tbl>
      <w:tblPr>
        <w:tblStyle w:val="729"/>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序号</w:t>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1</w:t>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2</w:t>
            </w:r>
            <w:r/>
          </w:p>
        </w:tc>
        <w:tc>
          <w:tcPr>
            <w:tcW w:w="93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3</w:t>
            </w:r>
            <w:r/>
          </w:p>
        </w:tc>
        <w:tc>
          <w:tcPr>
            <w:tcW w:w="980"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4</w:t>
            </w:r>
            <w:r/>
          </w:p>
        </w:tc>
        <w:tc>
          <w:tcPr>
            <w:tcW w:w="1106"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5</w:t>
            </w:r>
            <w:r/>
          </w:p>
        </w:tc>
        <w:tc>
          <w:tcPr>
            <w:tcW w:w="1385"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6</w:t>
            </w:r>
            <w:r/>
          </w:p>
        </w:tc>
        <w:tc>
          <w:tcPr>
            <w:tcW w:w="924"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7</w:t>
            </w:r>
            <w:r/>
          </w:p>
        </w:tc>
        <w:tc>
          <w:tcPr>
            <w:tcW w:w="100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8</w:t>
            </w:r>
            <w:r/>
          </w:p>
        </w:tc>
        <w:tc>
          <w:tcPr>
            <w:tcW w:w="966"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9</w:t>
            </w:r>
            <w:r/>
          </w:p>
        </w:tc>
      </w:tr>
      <w:tr>
        <w:trPr>
          <w:cantSplit/>
          <w:trHeight w:val="294"/>
        </w:trPr>
        <w:tc>
          <w:tcPr>
            <w:tcW w:w="500"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1</w:t>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产品</w:t>
            </w:r>
            <w:r/>
          </w:p>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名称</w:t>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品牌</w:t>
            </w:r>
            <w:r/>
          </w:p>
        </w:tc>
        <w:tc>
          <w:tcPr>
            <w:tcW w:w="93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规格</w:t>
            </w:r>
            <w:r/>
          </w:p>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型号</w:t>
            </w:r>
            <w:r/>
          </w:p>
        </w:tc>
        <w:tc>
          <w:tcPr>
            <w:tcW w:w="980"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制造商名称</w:t>
            </w:r>
            <w:r/>
          </w:p>
        </w:tc>
        <w:tc>
          <w:tcPr>
            <w:tcW w:w="1106"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产地</w:t>
            </w:r>
            <w:r/>
          </w:p>
        </w:tc>
        <w:tc>
          <w:tcPr>
            <w:tcW w:w="1385"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交付期</w:t>
            </w:r>
            <w:r/>
          </w:p>
        </w:tc>
        <w:tc>
          <w:tcPr>
            <w:tcW w:w="924"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数量</w:t>
            </w:r>
            <w:r/>
          </w:p>
        </w:tc>
        <w:tc>
          <w:tcPr>
            <w:tcW w:w="1008" w:type="dxa"/>
            <w:vAlign w:val="center"/>
            <w:textDirection w:val="lrTb"/>
            <w:noWrap w:val="false"/>
          </w:tcPr>
          <w:p>
            <w:pPr>
              <w:jc w:val="center"/>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分项</w:t>
            </w:r>
            <w:r/>
          </w:p>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单价</w:t>
            </w:r>
            <w:r/>
          </w:p>
        </w:tc>
        <w:tc>
          <w:tcPr>
            <w:tcW w:w="966" w:type="dxa"/>
            <w:vAlign w:val="center"/>
            <w:textDirection w:val="lrTb"/>
            <w:noWrap w:val="false"/>
          </w:tcPr>
          <w:p>
            <w:pPr>
              <w:jc w:val="center"/>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分项</w:t>
            </w:r>
            <w:r/>
          </w:p>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总价</w:t>
            </w:r>
            <w:r/>
          </w:p>
        </w:tc>
      </w:tr>
      <w:tr>
        <w:trPr>
          <w:cantSplit/>
          <w:trHeight w:val="696"/>
        </w:trPr>
        <w:tc>
          <w:tcPr>
            <w:tcW w:w="500"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2</w:t>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3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80"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106" w:type="dxa"/>
            <w:vAlign w:val="top"/>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385"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u w:val="single"/>
              </w:rPr>
            </w:pPr>
            <w:r>
              <w:rPr>
                <w:rFonts w:hint="eastAsia" w:ascii="Times New Roman" w:hAnsi="Times New Roman" w:eastAsia="宋体"/>
                <w:color w:val="auto"/>
                <w:sz w:val="21"/>
                <w:szCs w:val="21"/>
                <w:highlight w:val="none"/>
              </w:rPr>
              <w:t xml:space="preserve">合同签订后</w:t>
            </w:r>
            <w:r>
              <w:rPr>
                <w:rFonts w:hint="eastAsia" w:ascii="Times New Roman" w:hAnsi="Times New Roman" w:eastAsia="宋体"/>
                <w:color w:val="auto"/>
                <w:sz w:val="21"/>
                <w:szCs w:val="21"/>
                <w:highlight w:val="none"/>
                <w:u w:val="single"/>
              </w:rPr>
              <w:t xml:space="preserve">  </w:t>
            </w:r>
            <w:r>
              <w:rPr>
                <w:rFonts w:hint="eastAsia" w:ascii="Times New Roman" w:hAnsi="Times New Roman" w:eastAsia="宋体"/>
                <w:color w:val="auto"/>
                <w:sz w:val="21"/>
                <w:szCs w:val="21"/>
                <w:highlight w:val="none"/>
              </w:rPr>
              <w:t xml:space="preserve">日</w:t>
            </w:r>
            <w:r/>
          </w:p>
        </w:tc>
        <w:tc>
          <w:tcPr>
            <w:tcW w:w="924"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00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66"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r>
      <w:tr>
        <w:trPr>
          <w:cantSplit/>
          <w:trHeight w:val="724"/>
        </w:trPr>
        <w:tc>
          <w:tcPr>
            <w:tcW w:w="500"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3</w:t>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3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80"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106" w:type="dxa"/>
            <w:vAlign w:val="top"/>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385"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24"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00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66"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r>
      <w:tr>
        <w:trPr>
          <w:cantSplit/>
          <w:trHeight w:val="640"/>
        </w:trPr>
        <w:tc>
          <w:tcPr>
            <w:tcW w:w="500"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4</w:t>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3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80"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106" w:type="dxa"/>
            <w:vAlign w:val="top"/>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385"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24"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00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66"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r>
      <w:tr>
        <w:trPr>
          <w:cantSplit/>
          <w:trHeight w:val="580"/>
        </w:trPr>
        <w:tc>
          <w:tcPr>
            <w:tcW w:w="500" w:type="dxa"/>
            <w:vAlign w:val="center"/>
            <w:textDirection w:val="lrTb"/>
            <w:noWrap w:val="false"/>
          </w:tcPr>
          <w:p>
            <w:pPr>
              <w:jc w:val="center"/>
              <w:pageBreakBefore w:val="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w:t>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w:t>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3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80"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106" w:type="dxa"/>
            <w:vAlign w:val="top"/>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385"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24"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00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66"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r>
      <w:tr>
        <w:trPr>
          <w:cantSplit/>
          <w:trHeight w:val="580"/>
        </w:trPr>
        <w:tc>
          <w:tcPr>
            <w:tcW w:w="500"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lang w:val="en-US" w:eastAsia="zh-CN"/>
              </w:rPr>
            </w:pPr>
            <w:r>
              <w:rPr>
                <w:rFonts w:hint="eastAsia" w:ascii="Times New Roman" w:hAnsi="Times New Roman"/>
                <w:color w:val="auto"/>
                <w:sz w:val="21"/>
                <w:szCs w:val="21"/>
                <w:highlight w:val="none"/>
                <w:lang w:val="en-US" w:eastAsia="zh-CN"/>
              </w:rPr>
              <w:t xml:space="preserve">序号</w:t>
            </w:r>
            <w:r/>
          </w:p>
        </w:tc>
        <w:tc>
          <w:tcPr>
            <w:gridSpan w:val="3"/>
            <w:tcW w:w="2394" w:type="dxa"/>
            <w:vAlign w:val="center"/>
            <w:textDirection w:val="lrTb"/>
            <w:noWrap w:val="false"/>
          </w:tcPr>
          <w:p>
            <w:pPr>
              <w:jc w:val="center"/>
              <w:pageBreakBefore w:val="0"/>
              <w:spacing w:line="360" w:lineRule="auto"/>
              <w:rPr>
                <w:rFonts w:hint="eastAsia" w:ascii="Times New Roman" w:hAnsi="Times New Roman" w:eastAsia="宋体" w:cs="Times New Roman"/>
                <w:color w:val="auto"/>
                <w:sz w:val="21"/>
                <w:szCs w:val="21"/>
                <w:highlight w:val="none"/>
              </w:rPr>
            </w:pPr>
            <w:r>
              <w:rPr>
                <w:rFonts w:hint="eastAsia" w:ascii="Times New Roman" w:hAnsi="Times New Roman" w:cs="Times New Roman"/>
                <w:color w:val="auto"/>
                <w:sz w:val="21"/>
                <w:szCs w:val="21"/>
                <w:highlight w:val="none"/>
                <w:lang w:val="en-US" w:eastAsia="zh-CN"/>
              </w:rPr>
              <w:t xml:space="preserve">除货物产品外其他分项</w:t>
            </w:r>
            <w:r/>
          </w:p>
        </w:tc>
        <w:tc>
          <w:tcPr>
            <w:gridSpan w:val="3"/>
            <w:tcW w:w="3471" w:type="dxa"/>
            <w:vAlign w:val="center"/>
            <w:textDirection w:val="lrTb"/>
            <w:noWrap w:val="false"/>
          </w:tcPr>
          <w:p>
            <w:pPr>
              <w:jc w:val="center"/>
              <w:pageBreakBefore w:val="0"/>
              <w:spacing w:line="360" w:lineRule="auto"/>
              <w:rPr>
                <w:rFonts w:hint="eastAsia" w:ascii="Times New Roman" w:hAnsi="Times New Roman" w:eastAsia="宋体" w:cs="Times New Roman"/>
                <w:color w:val="auto"/>
                <w:sz w:val="21"/>
                <w:szCs w:val="21"/>
                <w:highlight w:val="none"/>
              </w:rPr>
            </w:pPr>
            <w:r>
              <w:rPr>
                <w:rFonts w:hint="eastAsia" w:ascii="Times New Roman" w:hAnsi="Times New Roman" w:cs="Times New Roman"/>
                <w:color w:val="auto"/>
                <w:szCs w:val="21"/>
                <w:highlight w:val="none"/>
              </w:rPr>
              <w:t xml:space="preserve">分项单位</w:t>
            </w:r>
            <w:r/>
          </w:p>
        </w:tc>
        <w:tc>
          <w:tcPr>
            <w:shd w:val="clear" w:color="auto" w:fill="auto"/>
            <w:tcW w:w="924" w:type="dxa"/>
            <w:vAlign w:val="center"/>
            <w:textDirection w:val="lrTb"/>
            <w:noWrap w:val="false"/>
          </w:tcPr>
          <w:p>
            <w:pPr>
              <w:jc w:val="center"/>
              <w:spacing w:line="360" w:lineRule="auto"/>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rPr>
              <w:t xml:space="preserve">数量</w:t>
            </w:r>
            <w:r/>
          </w:p>
        </w:tc>
        <w:tc>
          <w:tcPr>
            <w:shd w:val="clear" w:color="auto" w:fill="auto"/>
            <w:tcW w:w="1008" w:type="dxa"/>
            <w:vAlign w:val="center"/>
            <w:textDirection w:val="lrTb"/>
            <w:noWrap w:val="false"/>
          </w:tcPr>
          <w:p>
            <w:pPr>
              <w:jc w:val="center"/>
              <w:spacing w:line="360" w:lineRule="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分项</w:t>
            </w:r>
            <w:r/>
          </w:p>
          <w:p>
            <w:pPr>
              <w:jc w:val="center"/>
              <w:spacing w:line="360" w:lineRule="auto"/>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rPr>
              <w:t xml:space="preserve">单价</w:t>
            </w:r>
            <w:r/>
          </w:p>
        </w:tc>
        <w:tc>
          <w:tcPr>
            <w:shd w:val="clear" w:color="auto" w:fill="auto"/>
            <w:tcW w:w="966" w:type="dxa"/>
            <w:vAlign w:val="center"/>
            <w:textDirection w:val="lrTb"/>
            <w:noWrap w:val="false"/>
          </w:tcPr>
          <w:p>
            <w:pPr>
              <w:jc w:val="center"/>
              <w:spacing w:line="360" w:lineRule="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分项</w:t>
            </w:r>
            <w:r/>
          </w:p>
          <w:p>
            <w:pPr>
              <w:jc w:val="center"/>
              <w:spacing w:line="360" w:lineRule="auto"/>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rPr>
              <w:t xml:space="preserve">总价</w:t>
            </w:r>
            <w:r/>
          </w:p>
        </w:tc>
      </w:tr>
      <w:tr>
        <w:trPr>
          <w:cantSplit/>
          <w:trHeight w:val="580"/>
        </w:trPr>
        <w:tc>
          <w:tcPr>
            <w:tcW w:w="500"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lang w:val="en-US" w:eastAsia="zh-CN"/>
              </w:rPr>
            </w:pPr>
            <w:r>
              <w:rPr>
                <w:rFonts w:hint="eastAsia" w:ascii="Times New Roman" w:hAnsi="Times New Roman"/>
                <w:color w:val="auto"/>
                <w:sz w:val="21"/>
                <w:szCs w:val="21"/>
                <w:highlight w:val="none"/>
                <w:lang w:val="en-US" w:eastAsia="zh-CN"/>
              </w:rPr>
              <w:t xml:space="preserve">1</w:t>
            </w:r>
            <w:r/>
          </w:p>
        </w:tc>
        <w:tc>
          <w:tcPr>
            <w:gridSpan w:val="3"/>
            <w:tcW w:w="2394"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color w:val="auto"/>
                <w:szCs w:val="21"/>
                <w:highlight w:val="none"/>
              </w:rPr>
              <w:t xml:space="preserve">土方开挖回填</w:t>
            </w:r>
            <w:r/>
          </w:p>
        </w:tc>
        <w:tc>
          <w:tcPr>
            <w:gridSpan w:val="3"/>
            <w:tcW w:w="3471"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24"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00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66"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r>
      <w:tr>
        <w:trPr>
          <w:cantSplit/>
          <w:trHeight w:val="580"/>
        </w:trPr>
        <w:tc>
          <w:tcPr>
            <w:tcW w:w="500" w:type="dxa"/>
            <w:vAlign w:val="center"/>
            <w:textDirection w:val="lrTb"/>
            <w:noWrap w:val="false"/>
          </w:tcPr>
          <w:p>
            <w:pPr>
              <w:jc w:val="center"/>
              <w:pageBreakBefore w:val="0"/>
              <w:spacing w:line="360" w:lineRule="auto"/>
              <w:rPr>
                <w:rFonts w:hint="default" w:ascii="Times New Roman" w:hAnsi="Times New Roman"/>
                <w:color w:val="auto"/>
                <w:sz w:val="21"/>
                <w:szCs w:val="21"/>
                <w:highlight w:val="none"/>
                <w:lang w:val="en-US" w:eastAsia="zh-CN"/>
              </w:rPr>
            </w:pPr>
            <w:r>
              <w:rPr>
                <w:rFonts w:hint="eastAsia" w:ascii="Times New Roman" w:hAnsi="Times New Roman"/>
                <w:color w:val="auto"/>
                <w:sz w:val="21"/>
                <w:szCs w:val="21"/>
                <w:highlight w:val="none"/>
                <w:lang w:val="en-US" w:eastAsia="zh-CN"/>
              </w:rPr>
              <w:t xml:space="preserve">2</w:t>
            </w:r>
            <w:r/>
          </w:p>
        </w:tc>
        <w:tc>
          <w:tcPr>
            <w:gridSpan w:val="3"/>
            <w:tcW w:w="2394"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gridSpan w:val="3"/>
            <w:tcW w:w="3471"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24"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00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66"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r>
      <w:tr>
        <w:trPr>
          <w:cantSplit/>
          <w:trHeight w:val="580"/>
        </w:trPr>
        <w:tc>
          <w:tcPr>
            <w:tcW w:w="500" w:type="dxa"/>
            <w:vAlign w:val="center"/>
            <w:textDirection w:val="lrTb"/>
            <w:noWrap w:val="false"/>
          </w:tcPr>
          <w:p>
            <w:pPr>
              <w:jc w:val="center"/>
              <w:pageBreakBefore w:val="0"/>
              <w:spacing w:line="360" w:lineRule="auto"/>
              <w:rPr>
                <w:rFonts w:hint="default" w:ascii="Times New Roman" w:hAnsi="Times New Roman"/>
                <w:color w:val="auto"/>
                <w:sz w:val="21"/>
                <w:szCs w:val="21"/>
                <w:highlight w:val="none"/>
                <w:lang w:val="en-US" w:eastAsia="zh-CN"/>
              </w:rPr>
            </w:pPr>
            <w:r>
              <w:rPr>
                <w:rFonts w:ascii="Times New Roman" w:hAnsi="Times New Roman" w:eastAsia="宋体"/>
                <w:color w:val="auto"/>
                <w:sz w:val="21"/>
                <w:szCs w:val="21"/>
                <w:highlight w:val="none"/>
              </w:rPr>
              <w:t xml:space="preserve">…</w:t>
            </w:r>
            <w:r/>
          </w:p>
        </w:tc>
        <w:tc>
          <w:tcPr>
            <w:gridSpan w:val="3"/>
            <w:tcW w:w="2394"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w:t>
            </w:r>
            <w:r/>
          </w:p>
        </w:tc>
        <w:tc>
          <w:tcPr>
            <w:gridSpan w:val="3"/>
            <w:tcW w:w="3471"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24"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00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66"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r>
      <w:tr>
        <w:trPr>
          <w:cantSplit/>
          <w:trHeight w:val="434"/>
        </w:trPr>
        <w:tc>
          <w:tcPr>
            <w:gridSpan w:val="10"/>
            <w:tcW w:w="9263" w:type="dxa"/>
            <w:vAlign w:val="top"/>
            <w:textDirection w:val="lrTb"/>
            <w:noWrap w:val="false"/>
          </w:tcPr>
          <w:p>
            <w:pPr>
              <w:pageBreakBefore w:val="0"/>
              <w:spacing w:line="360" w:lineRule="auto"/>
              <w:rPr>
                <w:rFonts w:ascii="Times New Roman" w:hAnsi="Times New Roman" w:eastAsia="宋体"/>
                <w:color w:val="auto"/>
                <w:sz w:val="21"/>
                <w:szCs w:val="21"/>
                <w:highlight w:val="none"/>
                <w:u w:val="single"/>
              </w:rPr>
            </w:pPr>
            <w:r>
              <w:rPr>
                <w:rFonts w:hint="eastAsia" w:ascii="Times New Roman" w:hAnsi="Times New Roman" w:eastAsia="宋体"/>
                <w:color w:val="auto"/>
                <w:sz w:val="21"/>
                <w:szCs w:val="21"/>
                <w:highlight w:val="none"/>
              </w:rPr>
              <w:t xml:space="preserve">投标总报价（人民币：元）</w:t>
            </w:r>
            <w:r>
              <w:rPr>
                <w:rFonts w:hint="eastAsia" w:ascii="Times New Roman" w:hAnsi="Times New Roman" w:eastAsia="宋体"/>
                <w:color w:val="auto"/>
                <w:sz w:val="21"/>
                <w:szCs w:val="21"/>
                <w:highlight w:val="none"/>
                <w:u w:val="single"/>
              </w:rPr>
              <w:t xml:space="preserve">                             </w:t>
            </w:r>
            <w:r/>
          </w:p>
        </w:tc>
      </w:tr>
      <w:tr>
        <w:trPr>
          <w:cantSplit/>
          <w:trHeight w:val="434"/>
        </w:trPr>
        <w:tc>
          <w:tcPr>
            <w:gridSpan w:val="10"/>
            <w:tcW w:w="9263" w:type="dxa"/>
            <w:vAlign w:val="top"/>
            <w:textDirection w:val="lrTb"/>
            <w:noWrap w:val="false"/>
          </w:tcPr>
          <w:p>
            <w:pP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s="宋体"/>
                <w:color w:val="auto"/>
                <w:sz w:val="21"/>
                <w:szCs w:val="21"/>
                <w:highlight w:val="none"/>
              </w:rPr>
              <w:t xml:space="preserve">本采购包中提供的符合本国产品标准的产品成本之和占该采购包提供的全部产品成本之和的比例为</w:t>
            </w:r>
            <w:r>
              <w:rPr>
                <w:rFonts w:hint="eastAsia" w:ascii="Times New Roman" w:hAnsi="Times New Roman" w:eastAsia="宋体" w:cs="宋体"/>
                <w:color w:val="auto"/>
                <w:sz w:val="21"/>
                <w:szCs w:val="21"/>
                <w:highlight w:val="none"/>
                <w:u w:val="single"/>
                <w:lang w:val="en-US" w:eastAsia="zh-CN"/>
              </w:rPr>
              <w:t xml:space="preserve">     </w:t>
            </w:r>
            <w:r>
              <w:rPr>
                <w:rFonts w:hint="eastAsia" w:ascii="Times New Roman" w:hAnsi="Times New Roman" w:eastAsia="宋体" w:cs="宋体"/>
                <w:color w:val="auto"/>
                <w:sz w:val="21"/>
                <w:szCs w:val="21"/>
                <w:highlight w:val="none"/>
              </w:rPr>
              <w:t xml:space="preserve">%。</w:t>
            </w:r>
            <w:r/>
          </w:p>
        </w:tc>
      </w:tr>
    </w:tbl>
    <w:p>
      <w:pPr>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备注：</w:t>
      </w:r>
      <w:r/>
    </w:p>
    <w:p>
      <w:pPr>
        <w:numPr>
          <w:ilvl w:val="0"/>
          <w:numId w:val="3"/>
        </w:numP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投标报价采用总承包方式，“投标总报价”应包括所投货物制作（采购）、安装、施工、运输、调试验收相关的技术指导和售后服务、利润、保险、税金、以及所包含的风险、责任及其他有关的为完成本项目发生的所有费用，招标文件中另有规定的除外。</w:t>
      </w:r>
      <w:r/>
    </w:p>
    <w:p>
      <w:pPr>
        <w:numPr>
          <w:ilvl w:val="0"/>
          <w:numId w:val="0"/>
        </w:numP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2.“投标分项报价表”中“投标总报价”数额应当与“开标一览表”中“投标总报价”数额一致。</w:t>
      </w:r>
      <w:r/>
    </w:p>
    <w:p>
      <w:pP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3.投标人需认真填写本报价表，尤其注意规格型号的准确填写。</w:t>
      </w:r>
      <w:r/>
    </w:p>
    <w:p>
      <w:pPr>
        <w:pageBreakBefore w:val="0"/>
        <w:spacing w:line="360" w:lineRule="auto"/>
        <w:rPr>
          <w:rFonts w:hint="eastAsia" w:ascii="Times New Roman" w:hAnsi="Times New Roman" w:eastAsia="宋体" w:cs="方正魏碑_GBK"/>
          <w:color w:val="auto"/>
          <w:sz w:val="21"/>
          <w:szCs w:val="21"/>
          <w:highlight w:val="none"/>
        </w:rPr>
      </w:pPr>
      <w:r>
        <w:rPr>
          <w:rFonts w:hint="eastAsia" w:ascii="Times New Roman" w:hAnsi="Times New Roman" w:eastAsia="宋体"/>
          <w:color w:val="auto"/>
          <w:sz w:val="21"/>
          <w:szCs w:val="21"/>
          <w:highlight w:val="none"/>
        </w:rPr>
        <w:t xml:space="preserve">4.项目经办人可以根据项目实际需要对表格结构进行调整</w:t>
      </w:r>
      <w:r>
        <w:rPr>
          <w:rFonts w:hint="eastAsia" w:ascii="Times New Roman" w:hAnsi="Times New Roman" w:eastAsia="宋体" w:cs="方正魏碑_GBK"/>
          <w:color w:val="auto"/>
          <w:sz w:val="21"/>
          <w:szCs w:val="21"/>
          <w:highlight w:val="none"/>
        </w:rPr>
        <w:t xml:space="preserve">。</w:t>
      </w:r>
      <w:r/>
    </w:p>
    <w:p>
      <w:pPr>
        <w:pageBreakBefore w:val="0"/>
        <w:spacing w:line="360" w:lineRule="auto"/>
        <w:rPr>
          <w:rFonts w:hint="default" w:ascii="Times New Roman" w:hAnsi="Times New Roman" w:eastAsia="宋体" w:cs="方正魏碑_GBK"/>
          <w:color w:val="auto"/>
          <w:sz w:val="24"/>
          <w:szCs w:val="24"/>
          <w:highlight w:val="none"/>
          <w:lang w:val="en-US" w:eastAsia="zh-CN"/>
        </w:rPr>
      </w:pPr>
      <w:r>
        <w:rPr>
          <w:rFonts w:hint="eastAsia" w:ascii="Times New Roman" w:hAnsi="Times New Roman" w:eastAsia="宋体" w:cs="方正魏碑_GBK"/>
          <w:color w:val="auto"/>
          <w:sz w:val="21"/>
          <w:szCs w:val="21"/>
          <w:highlight w:val="none"/>
          <w:lang w:val="en-US" w:eastAsia="zh-CN"/>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Times New Roman" w:hAnsi="Times New Roman" w:eastAsia="宋体" w:cs="方正魏碑_GBK"/>
          <w:color w:val="auto"/>
          <w:sz w:val="24"/>
          <w:szCs w:val="24"/>
          <w:highlight w:val="none"/>
          <w:lang w:val="en-US" w:eastAsia="zh-CN"/>
        </w:rPr>
        <w:t xml:space="preserve">。</w:t>
      </w:r>
      <w:r/>
    </w:p>
    <w:p>
      <w:pPr>
        <w:pageBreakBefore w:val="0"/>
        <w:spacing w:line="360" w:lineRule="auto"/>
        <w:rPr>
          <w:rFonts w:hint="eastAsia" w:ascii="Times New Roman" w:hAnsi="Times New Roman" w:eastAsia="宋体" w:cs="方正魏碑_GBK"/>
          <w:color w:val="auto"/>
          <w:sz w:val="24"/>
          <w:szCs w:val="24"/>
          <w:highlight w:val="none"/>
        </w:rPr>
      </w:pPr>
      <w:r>
        <w:rPr>
          <w:rFonts w:hint="eastAsia" w:ascii="Times New Roman" w:hAnsi="Times New Roman" w:eastAsia="宋体" w:cs="方正魏碑_GBK"/>
          <w:color w:val="auto"/>
          <w:sz w:val="24"/>
          <w:szCs w:val="24"/>
          <w:highlight w:val="none"/>
        </w:rPr>
        <w:br w:type="page" w:clear="all"/>
      </w:r>
      <w:r/>
    </w:p>
    <w:p>
      <w:pPr>
        <w:pStyle w:val="969"/>
        <w:pageBreakBefore w:val="0"/>
        <w:spacing w:before="0" w:after="0" w:line="360" w:lineRule="auto"/>
        <w:rPr>
          <w:rFonts w:hint="eastAsia" w:ascii="Times New Roman" w:hAnsi="Times New Roman" w:eastAsia="宋体" w:cs="宋体"/>
          <w:color w:val="auto"/>
          <w:sz w:val="32"/>
          <w:highlight w:val="none"/>
        </w:rPr>
      </w:pPr>
      <w:r/>
      <w:bookmarkStart w:id="116" w:name="_Toc32755"/>
      <w:r/>
      <w:bookmarkStart w:id="117" w:name="_Toc9678"/>
      <w:r/>
      <w:bookmarkStart w:id="118" w:name="_Toc16517"/>
      <w:r/>
      <w:bookmarkStart w:id="119" w:name="_Toc17996"/>
      <w:r/>
      <w:bookmarkStart w:id="120" w:name="_Toc5967"/>
      <w:r>
        <w:rPr>
          <w:rFonts w:hint="eastAsia" w:ascii="Times New Roman" w:hAnsi="Times New Roman" w:eastAsia="宋体" w:cs="宋体"/>
          <w:color w:val="auto"/>
          <w:sz w:val="32"/>
          <w:highlight w:val="none"/>
        </w:rPr>
        <w:t xml:space="preserve">六、技术参数响应及偏离表</w:t>
      </w:r>
      <w:bookmarkEnd w:id="116"/>
      <w:r/>
      <w:bookmarkEnd w:id="117"/>
      <w:r/>
      <w:bookmarkEnd w:id="118"/>
      <w:r/>
      <w:bookmarkEnd w:id="119"/>
      <w:r/>
      <w:bookmarkEnd w:id="120"/>
      <w:r/>
      <w:r/>
    </w:p>
    <w:tbl>
      <w:tblPr>
        <w:tblStyle w:val="729"/>
        <w:tblW w:w="890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序号</w:t>
            </w:r>
            <w:r/>
          </w:p>
        </w:tc>
        <w:tc>
          <w:tcPr>
            <w:tcW w:w="2551" w:type="dxa"/>
            <w:vAlign w:val="center"/>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招标要求</w:t>
            </w:r>
            <w:r/>
          </w:p>
        </w:tc>
        <w:tc>
          <w:tcPr>
            <w:tcW w:w="2701" w:type="dxa"/>
            <w:vAlign w:val="center"/>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投标响应</w:t>
            </w:r>
            <w:r/>
          </w:p>
        </w:tc>
        <w:tc>
          <w:tcPr>
            <w:tcW w:w="1458" w:type="dxa"/>
            <w:vAlign w:val="center"/>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超出、符合或偏离</w:t>
            </w:r>
            <w:r/>
          </w:p>
        </w:tc>
        <w:tc>
          <w:tcPr>
            <w:tcW w:w="1210" w:type="dxa"/>
            <w:vAlign w:val="center"/>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证明材料</w:t>
            </w:r>
            <w:r/>
          </w:p>
        </w:tc>
      </w:tr>
      <w:tr>
        <w:trPr>
          <w:cantSplit/>
          <w:trHeight w:val="640"/>
        </w:trPr>
        <w:tc>
          <w:tcPr>
            <w:tcW w:w="984"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1</w:t>
            </w:r>
            <w:r/>
          </w:p>
        </w:tc>
        <w:tc>
          <w:tcPr>
            <w:tcW w:w="2551"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2701"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458"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210"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r>
      <w:tr>
        <w:trPr>
          <w:cantSplit/>
          <w:trHeight w:val="640"/>
        </w:trPr>
        <w:tc>
          <w:tcPr>
            <w:tcW w:w="984"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2</w:t>
            </w:r>
            <w:r/>
          </w:p>
        </w:tc>
        <w:tc>
          <w:tcPr>
            <w:tcW w:w="2551"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2701"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458"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210"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r>
      <w:tr>
        <w:trPr>
          <w:cantSplit/>
          <w:trHeight w:val="640"/>
        </w:trPr>
        <w:tc>
          <w:tcPr>
            <w:tcW w:w="984"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3</w:t>
            </w:r>
            <w:r/>
          </w:p>
        </w:tc>
        <w:tc>
          <w:tcPr>
            <w:tcW w:w="2551"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2701"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458"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210"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r>
      <w:tr>
        <w:trPr>
          <w:cantSplit/>
          <w:trHeight w:val="640"/>
        </w:trPr>
        <w:tc>
          <w:tcPr>
            <w:tcW w:w="984"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4</w:t>
            </w:r>
            <w:r/>
          </w:p>
        </w:tc>
        <w:tc>
          <w:tcPr>
            <w:tcW w:w="2551"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2701"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458"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210"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r>
      <w:tr>
        <w:trPr>
          <w:cantSplit/>
          <w:trHeight w:val="640"/>
        </w:trPr>
        <w:tc>
          <w:tcPr>
            <w:tcW w:w="984"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5</w:t>
            </w:r>
            <w:r/>
          </w:p>
        </w:tc>
        <w:tc>
          <w:tcPr>
            <w:tcW w:w="2551"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2701"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458"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210"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r>
      <w:tr>
        <w:trPr>
          <w:cantSplit/>
          <w:trHeight w:val="640"/>
        </w:trPr>
        <w:tc>
          <w:tcPr>
            <w:tcW w:w="984"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2551" w:type="dxa"/>
            <w:textDirection w:val="lrTb"/>
            <w:noWrap w:val="false"/>
          </w:tcPr>
          <w:p>
            <w:pPr>
              <w:jc w:val="center"/>
              <w:pageBreakBefore w:val="0"/>
              <w:spacing w:line="360" w:lineRule="auto"/>
              <w:rPr>
                <w:rFonts w:hint="default"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w:t>
            </w:r>
            <w:r/>
          </w:p>
        </w:tc>
        <w:tc>
          <w:tcPr>
            <w:tcW w:w="2701"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458"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210"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r>
    </w:tbl>
    <w:p>
      <w:pP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p>
      <w:pP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注：</w:t>
      </w:r>
      <w:r/>
    </w:p>
    <w:p>
      <w:pP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1.投标人需对技术要求（</w:t>
      </w:r>
      <w:r>
        <w:rPr>
          <w:rFonts w:hint="eastAsia" w:ascii="Times New Roman" w:hAnsi="Times New Roman" w:eastAsia="宋体" w:cs="宋体"/>
          <w:color w:val="auto"/>
          <w:sz w:val="21"/>
          <w:szCs w:val="21"/>
          <w:highlight w:val="none"/>
          <w:lang w:val="en-US" w:eastAsia="zh-CN"/>
        </w:rPr>
        <w:t xml:space="preserve">以及</w:t>
      </w:r>
      <w:r>
        <w:rPr>
          <w:rFonts w:hint="eastAsia" w:ascii="Times New Roman" w:hAnsi="Times New Roman" w:eastAsia="宋体" w:cs="宋体"/>
          <w:color w:val="auto"/>
          <w:sz w:val="21"/>
          <w:szCs w:val="21"/>
          <w:highlight w:val="none"/>
        </w:rPr>
        <w:t xml:space="preserve">未加斜体下划线的非实质性要求）逐条做出明确响应。</w:t>
      </w:r>
      <w:r/>
    </w:p>
    <w:p>
      <w:pP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2.如果招标文件要求提供证明材料，投标人需将证明材料列于该表之下。</w:t>
      </w:r>
      <w:r/>
    </w:p>
    <w:p>
      <w:pPr>
        <w:pStyle w:val="818"/>
        <w:pageBreakBefore w:val="0"/>
        <w:spacing w:line="360" w:lineRule="auto"/>
        <w:rPr>
          <w:rFonts w:hint="default" w:ascii="Times New Roman" w:hAnsi="Times New Roman" w:eastAsia="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3.行数不够，可自行添加。</w:t>
      </w:r>
      <w:r/>
    </w:p>
    <w:p>
      <w:pPr>
        <w:jc w:val="center"/>
        <w:pageBreakBefore w:val="0"/>
        <w:spacing w:line="360" w:lineRule="auto"/>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r>
      <w:r/>
    </w:p>
    <w:p>
      <w:pPr>
        <w:jc w:val="center"/>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jc w:val="center"/>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pageBreakBefore w:val="0"/>
        <w:spacing w:line="360" w:lineRule="auto"/>
        <w:rPr>
          <w:rFonts w:hint="eastAsia" w:ascii="Times New Roman" w:hAnsi="Times New Roman" w:eastAsia="宋体" w:cs="宋体"/>
          <w:color w:val="auto"/>
          <w:sz w:val="32"/>
          <w:highlight w:val="none"/>
        </w:rPr>
      </w:pPr>
      <w:r>
        <w:rPr>
          <w:rFonts w:hint="eastAsia" w:ascii="Times New Roman" w:hAnsi="Times New Roman" w:eastAsia="宋体" w:cs="宋体"/>
          <w:color w:val="auto"/>
          <w:sz w:val="32"/>
          <w:highlight w:val="none"/>
        </w:rPr>
      </w:r>
      <w:r/>
    </w:p>
    <w:p>
      <w:pPr>
        <w:pageBreakBefore w:val="0"/>
        <w:spacing w:line="360" w:lineRule="auto"/>
        <w:rPr>
          <w:rFonts w:hint="eastAsia" w:ascii="Times New Roman" w:hAnsi="Times New Roman" w:eastAsia="宋体" w:cs="宋体"/>
          <w:color w:val="auto"/>
          <w:sz w:val="32"/>
          <w:highlight w:val="none"/>
        </w:rPr>
      </w:pPr>
      <w:r>
        <w:rPr>
          <w:rFonts w:hint="eastAsia" w:ascii="Times New Roman" w:hAnsi="Times New Roman" w:eastAsia="宋体" w:cs="宋体"/>
          <w:color w:val="auto"/>
          <w:sz w:val="32"/>
          <w:highlight w:val="none"/>
        </w:rPr>
      </w:r>
      <w:r/>
    </w:p>
    <w:p>
      <w:pPr>
        <w:jc w:val="center"/>
        <w:pageBreakBefore w:val="0"/>
        <w:spacing w:line="360" w:lineRule="auto"/>
        <w:rPr>
          <w:rFonts w:hint="eastAsia" w:ascii="Times New Roman" w:hAnsi="Times New Roman" w:eastAsia="宋体" w:cs="宋体"/>
          <w:color w:val="auto"/>
          <w:sz w:val="32"/>
          <w:highlight w:val="none"/>
        </w:rPr>
      </w:pPr>
      <w:r>
        <w:rPr>
          <w:rFonts w:hint="eastAsia" w:ascii="Times New Roman" w:hAnsi="Times New Roman" w:eastAsia="宋体" w:cs="宋体"/>
          <w:color w:val="auto"/>
          <w:sz w:val="32"/>
          <w:highlight w:val="none"/>
        </w:rPr>
        <w:br w:type="page" w:clear="all"/>
      </w:r>
      <w:bookmarkStart w:id="121" w:name="_Hlt26955054"/>
      <w:r/>
      <w:bookmarkEnd w:id="121"/>
      <w:r/>
      <w:bookmarkStart w:id="122" w:name="_Toc32154"/>
      <w:r/>
      <w:bookmarkStart w:id="123" w:name="_Toc16820"/>
      <w:r>
        <w:rPr>
          <w:rFonts w:hint="eastAsia" w:ascii="Times New Roman" w:hAnsi="Times New Roman" w:eastAsia="宋体" w:cs="宋体"/>
          <w:b/>
          <w:bCs/>
          <w:color w:val="auto"/>
          <w:sz w:val="32"/>
          <w:szCs w:val="44"/>
          <w:highlight w:val="none"/>
        </w:rPr>
        <w:t xml:space="preserve">七、商务条款响应及偏离表</w:t>
      </w:r>
      <w:bookmarkEnd w:id="122"/>
      <w:r/>
      <w:bookmarkEnd w:id="123"/>
      <w:r/>
      <w:r/>
    </w:p>
    <w:tbl>
      <w:tblPr>
        <w:tblStyle w:val="729"/>
        <w:tblW w:w="84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35"/>
        <w:gridCol w:w="2122"/>
        <w:gridCol w:w="1800"/>
        <w:gridCol w:w="2561"/>
      </w:tblGrid>
      <w:tr>
        <w:trPr>
          <w:trHeight w:val="850"/>
        </w:trPr>
        <w:tc>
          <w:tcPr>
            <w:tcW w:w="1935"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bookmarkStart w:id="124" w:name="_Hlt26671372"/>
            <w:r/>
            <w:bookmarkEnd w:id="124"/>
            <w:r/>
            <w:bookmarkStart w:id="125" w:name="_Hlt26782999"/>
            <w:r/>
            <w:bookmarkEnd w:id="125"/>
            <w:r/>
            <w:bookmarkStart w:id="126" w:name="_Hlt26609391"/>
            <w:r/>
            <w:bookmarkEnd w:id="126"/>
            <w:r/>
            <w:bookmarkStart w:id="127" w:name="_Hlt26955056"/>
            <w:r/>
            <w:bookmarkEnd w:id="127"/>
            <w:r/>
            <w:bookmarkStart w:id="128" w:name="_Hlt26955064"/>
            <w:r/>
            <w:bookmarkEnd w:id="128"/>
            <w:r/>
            <w:bookmarkStart w:id="129" w:name="_Hlt26671343"/>
            <w:r/>
            <w:bookmarkEnd w:id="129"/>
            <w:r/>
            <w:bookmarkStart w:id="130" w:name="_Hlt24879081"/>
            <w:r/>
            <w:bookmarkEnd w:id="130"/>
            <w:r/>
            <w:bookmarkStart w:id="131" w:name="_Hlt26580838"/>
            <w:r/>
            <w:bookmarkEnd w:id="131"/>
            <w:r>
              <w:rPr>
                <w:rFonts w:hint="eastAsia" w:ascii="Times New Roman" w:hAnsi="Times New Roman" w:eastAsia="宋体" w:cs="宋体"/>
                <w:color w:val="auto"/>
                <w:szCs w:val="21"/>
                <w:highlight w:val="none"/>
              </w:rPr>
              <w:t xml:space="preserve">项目</w:t>
            </w:r>
            <w:r/>
          </w:p>
        </w:tc>
        <w:tc>
          <w:tcPr>
            <w:tcW w:w="2122"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招标文件要求</w:t>
            </w:r>
            <w:r/>
          </w:p>
        </w:tc>
        <w:tc>
          <w:tcPr>
            <w:tcW w:w="1800"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是否响应</w:t>
            </w:r>
            <w:r/>
          </w:p>
        </w:tc>
        <w:tc>
          <w:tcPr>
            <w:tcW w:w="2561"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投标人的承诺或说明</w:t>
            </w:r>
            <w:r/>
          </w:p>
        </w:tc>
      </w:tr>
      <w:tr>
        <w:trPr>
          <w:trHeight w:val="624"/>
        </w:trPr>
        <w:tc>
          <w:tcPr>
            <w:tcW w:w="1935"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质保期</w:t>
            </w:r>
            <w:r/>
          </w:p>
        </w:tc>
        <w:tc>
          <w:tcPr>
            <w:tcW w:w="2122"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1800"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2561"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r>
        <w:trPr>
          <w:trHeight w:val="950"/>
        </w:trPr>
        <w:tc>
          <w:tcPr>
            <w:tcW w:w="1935"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售后技术服务要求</w:t>
            </w:r>
            <w:r/>
          </w:p>
        </w:tc>
        <w:tc>
          <w:tcPr>
            <w:tcW w:w="2122"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1800"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2561"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r>
        <w:trPr>
          <w:trHeight w:val="717"/>
        </w:trPr>
        <w:tc>
          <w:tcPr>
            <w:tcW w:w="1935"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交付时间</w:t>
            </w:r>
            <w:r/>
          </w:p>
        </w:tc>
        <w:tc>
          <w:tcPr>
            <w:tcW w:w="2122"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1800" w:type="dxa"/>
            <w:textDirection w:val="lrTb"/>
            <w:noWrap w:val="false"/>
          </w:tcPr>
          <w:p>
            <w:pPr>
              <w:ind w:left="43"/>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2561" w:type="dxa"/>
            <w:textDirection w:val="lrTb"/>
            <w:noWrap w:val="false"/>
          </w:tcPr>
          <w:p>
            <w:pPr>
              <w:ind w:left="43"/>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r>
        <w:trPr>
          <w:trHeight w:val="586"/>
        </w:trPr>
        <w:tc>
          <w:tcPr>
            <w:tcW w:w="1935"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交货方式</w:t>
            </w:r>
            <w:r/>
          </w:p>
        </w:tc>
        <w:tc>
          <w:tcPr>
            <w:tcW w:w="2122" w:type="dxa"/>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1800" w:type="dxa"/>
            <w:textDirection w:val="lrTb"/>
            <w:noWrap w:val="false"/>
          </w:tcPr>
          <w:p>
            <w:pPr>
              <w:ind w:left="43"/>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2561" w:type="dxa"/>
            <w:textDirection w:val="lrTb"/>
            <w:noWrap w:val="false"/>
          </w:tcPr>
          <w:p>
            <w:pPr>
              <w:ind w:left="43"/>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r>
        <w:trPr>
          <w:trHeight w:val="613"/>
        </w:trPr>
        <w:tc>
          <w:tcPr>
            <w:tcW w:w="1935"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交货地点</w:t>
            </w:r>
            <w:r/>
          </w:p>
        </w:tc>
        <w:tc>
          <w:tcPr>
            <w:tcW w:w="2122" w:type="dxa"/>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1800" w:type="dxa"/>
            <w:textDirection w:val="lrTb"/>
            <w:noWrap w:val="false"/>
          </w:tcPr>
          <w:p>
            <w:pPr>
              <w:ind w:left="43"/>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2561" w:type="dxa"/>
            <w:textDirection w:val="lrTb"/>
            <w:noWrap w:val="false"/>
          </w:tcPr>
          <w:p>
            <w:pPr>
              <w:ind w:left="43"/>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r>
        <w:trPr>
          <w:trHeight w:val="584"/>
        </w:trPr>
        <w:tc>
          <w:tcPr>
            <w:tcW w:w="1935"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付款方式</w:t>
            </w:r>
            <w:r/>
          </w:p>
        </w:tc>
        <w:tc>
          <w:tcPr>
            <w:tcW w:w="2122" w:type="dxa"/>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1800"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2561"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r>
        <w:trPr>
          <w:trHeight w:val="584"/>
        </w:trPr>
        <w:tc>
          <w:tcPr>
            <w:tcW w:w="1935"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2122" w:type="dxa"/>
            <w:textDirection w:val="lrTb"/>
            <w:noWrap w:val="false"/>
          </w:tcPr>
          <w:p>
            <w:pPr>
              <w:pageBreakBefore w:val="0"/>
              <w:spacing w:line="360" w:lineRule="auto"/>
              <w:rPr>
                <w:rFonts w:hint="default" w:ascii="Times New Roman" w:hAnsi="Times New Roman" w:eastAsia="宋体" w:cs="宋体"/>
                <w:color w:val="auto"/>
                <w:szCs w:val="21"/>
                <w:highlight w:val="none"/>
                <w:lang w:val="en-US" w:eastAsia="zh-CN"/>
              </w:rPr>
            </w:pPr>
            <w:r>
              <w:rPr>
                <w:rFonts w:hint="eastAsia" w:ascii="Times New Roman" w:hAnsi="Times New Roman" w:eastAsia="宋体" w:cs="宋体"/>
                <w:color w:val="auto"/>
                <w:szCs w:val="21"/>
                <w:highlight w:val="none"/>
                <w:lang w:val="en-US" w:eastAsia="zh-CN"/>
              </w:rPr>
              <w:t xml:space="preserve">......</w:t>
            </w:r>
            <w:r/>
          </w:p>
        </w:tc>
        <w:tc>
          <w:tcPr>
            <w:tcW w:w="1800"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2561"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bl>
    <w:p>
      <w:pP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olor w:val="auto"/>
          <w:sz w:val="21"/>
          <w:szCs w:val="21"/>
          <w:highlight w:val="none"/>
        </w:rPr>
        <w:t xml:space="preserve">备注</w:t>
      </w:r>
      <w:r>
        <w:rPr>
          <w:rFonts w:ascii="Times New Roman" w:hAnsi="Times New Roman" w:eastAsia="宋体"/>
          <w:color w:val="auto"/>
          <w:sz w:val="21"/>
          <w:szCs w:val="21"/>
          <w:highlight w:val="none"/>
        </w:rPr>
        <w:t xml:space="preserve">：</w:t>
      </w:r>
      <w:r/>
    </w:p>
    <w:p>
      <w:pPr>
        <w:pageBreakBefore w:val="0"/>
        <w:spacing w:line="360" w:lineRule="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1.投标人需对</w:t>
      </w:r>
      <w:r>
        <w:rPr>
          <w:rFonts w:hint="eastAsia" w:ascii="Times New Roman" w:hAnsi="Times New Roman" w:eastAsia="宋体" w:cs="Times New Roman"/>
          <w:color w:val="auto"/>
          <w:sz w:val="21"/>
          <w:szCs w:val="21"/>
          <w:highlight w:val="none"/>
          <w:lang w:val="en-US" w:eastAsia="zh-CN"/>
        </w:rPr>
        <w:t xml:space="preserve">商务</w:t>
      </w:r>
      <w:r>
        <w:rPr>
          <w:rFonts w:hint="eastAsia" w:ascii="Times New Roman" w:hAnsi="Times New Roman" w:eastAsia="宋体" w:cs="Times New Roman"/>
          <w:color w:val="auto"/>
          <w:sz w:val="21"/>
          <w:szCs w:val="21"/>
          <w:highlight w:val="none"/>
        </w:rPr>
        <w:t xml:space="preserve">要求（未加斜体下划线的非实质性要求）逐条做出明确响应。</w:t>
      </w:r>
      <w:r/>
    </w:p>
    <w:p>
      <w:pPr>
        <w:pageBreakBefore w:val="0"/>
        <w:spacing w:line="360" w:lineRule="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2.如果招标文件要求提供证明材料，投标人需将证明材料列于该表之下。</w:t>
      </w:r>
      <w:r/>
    </w:p>
    <w:p>
      <w:pPr>
        <w:pageBreakBefore w:val="0"/>
        <w:spacing w:line="360" w:lineRule="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3.行数不够，可自行添加。</w:t>
      </w:r>
      <w:r/>
    </w:p>
    <w:p>
      <w:pPr>
        <w:pStyle w:val="976"/>
        <w:ind w:firstLine="480"/>
        <w:pageBreakBefore w:val="0"/>
        <w:spacing w:line="360" w:lineRule="auto"/>
        <w:rPr>
          <w:rFonts w:hint="eastAsia" w:ascii="Times New Roman" w:hAnsi="Times New Roman" w:eastAsia="宋体" w:cs="宋体"/>
          <w:color w:val="auto"/>
          <w:sz w:val="24"/>
          <w:highlight w:val="none"/>
        </w:rPr>
      </w:pPr>
      <w:r/>
      <w:bookmarkStart w:id="132" w:name="_Hlt26609389"/>
      <w:r/>
      <w:bookmarkEnd w:id="132"/>
      <w:r/>
      <w:bookmarkStart w:id="133" w:name="_Hlt26955066"/>
      <w:r/>
      <w:bookmarkEnd w:id="133"/>
      <w:r/>
      <w:bookmarkStart w:id="134" w:name="_Hlt26671374"/>
      <w:r/>
      <w:bookmarkEnd w:id="134"/>
      <w:r/>
      <w:bookmarkStart w:id="135" w:name="_Toc462564146"/>
      <w:r/>
      <w:r/>
    </w:p>
    <w:p>
      <w:pPr>
        <w:pStyle w:val="976"/>
        <w:ind w:firstLine="480"/>
        <w:pageBreakBefore w:val="0"/>
        <w:spacing w:line="360" w:lineRule="auto"/>
        <w:rPr>
          <w:rFonts w:hint="eastAsia"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r>
      <w:r/>
    </w:p>
    <w:p>
      <w:pPr>
        <w:pStyle w:val="976"/>
        <w:ind w:firstLine="480"/>
        <w:pageBreakBefore w:val="0"/>
        <w:spacing w:line="360" w:lineRule="auto"/>
        <w:rPr>
          <w:rFonts w:hint="eastAsia"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r>
      <w:r/>
    </w:p>
    <w:p>
      <w:pPr>
        <w:pStyle w:val="976"/>
        <w:ind w:firstLine="480"/>
        <w:jc w:val="center"/>
        <w:pageBreakBefore w:val="0"/>
        <w:spacing w:line="360" w:lineRule="auto"/>
        <w:rPr>
          <w:rFonts w:hint="eastAsia" w:ascii="Times New Roman" w:hAnsi="Times New Roman" w:eastAsia="宋体" w:cs="宋体"/>
          <w:b/>
          <w:color w:val="auto"/>
          <w:highlight w:val="none"/>
        </w:rPr>
      </w:pPr>
      <w:r>
        <w:rPr>
          <w:rFonts w:hint="eastAsia" w:ascii="Times New Roman" w:hAnsi="Times New Roman" w:eastAsia="宋体" w:cs="宋体"/>
          <w:color w:val="auto"/>
          <w:sz w:val="24"/>
          <w:highlight w:val="none"/>
        </w:rPr>
        <w:br w:type="page" w:clear="all"/>
      </w:r>
      <w:bookmarkEnd w:id="135"/>
      <w:r/>
      <w:bookmarkStart w:id="136" w:name="_格式2__法定代表人授权书"/>
      <w:r/>
      <w:bookmarkEnd w:id="136"/>
      <w:r>
        <w:rPr>
          <w:rFonts w:hint="eastAsia" w:ascii="Times New Roman" w:hAnsi="Times New Roman" w:eastAsia="宋体" w:cs="宋体"/>
          <w:b/>
          <w:bCs/>
          <w:color w:val="auto"/>
          <w:sz w:val="32"/>
          <w:szCs w:val="44"/>
          <w:highlight w:val="none"/>
        </w:rPr>
        <w:t xml:space="preserve">主要标的信息（中标后将公示）</w:t>
      </w:r>
      <w:r/>
    </w:p>
    <w:p>
      <w:pPr>
        <w:pageBreakBefore w:val="0"/>
        <w:spacing w:line="360" w:lineRule="auto"/>
        <w:rPr>
          <w:rFonts w:hint="eastAsia" w:ascii="Times New Roman" w:hAnsi="Times New Roman" w:eastAsia="宋体" w:cs="宋体"/>
          <w:b/>
          <w:color w:val="auto"/>
          <w:highlight w:val="none"/>
        </w:rPr>
      </w:pPr>
      <w:r>
        <w:rPr>
          <w:rFonts w:hint="eastAsia" w:ascii="Times New Roman" w:hAnsi="Times New Roman" w:eastAsia="宋体" w:cs="宋体"/>
          <w:color w:val="auto"/>
          <w:highlight w:val="none"/>
        </w:rPr>
        <w:t xml:space="preserve">投标人全称：</w:t>
      </w:r>
      <w:r/>
    </w:p>
    <w:tbl>
      <w:tblPr>
        <w:tblStyle w:val="729"/>
        <w:tblW w:w="6645" w:type="dxa"/>
        <w:tblInd w:w="7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45"/>
      </w:tblGrid>
      <w:tr>
        <w:trPr/>
        <w:tc>
          <w:tcPr>
            <w:tcW w:w="6645" w:type="dxa"/>
            <w:textDirection w:val="lrTb"/>
            <w:noWrap w:val="false"/>
          </w:tcPr>
          <w:p>
            <w:pPr>
              <w:jc w:val="center"/>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货物类</w:t>
            </w:r>
            <w:r/>
          </w:p>
        </w:tc>
      </w:tr>
      <w:tr>
        <w:trPr>
          <w:trHeight w:val="3810"/>
        </w:trPr>
        <w:tc>
          <w:tcPr>
            <w:tcW w:w="6645" w:type="dxa"/>
            <w:textDirection w:val="lrTb"/>
            <w:noWrap w:val="false"/>
          </w:tcPr>
          <w:p>
            <w:pPr>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名称：</w:t>
            </w:r>
            <w:r/>
          </w:p>
          <w:p>
            <w:pPr>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品牌（如有）：</w:t>
            </w:r>
            <w:r/>
          </w:p>
          <w:p>
            <w:pPr>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规格型号：</w:t>
            </w:r>
            <w:r/>
          </w:p>
          <w:p>
            <w:pPr>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数量：</w:t>
            </w:r>
            <w:r/>
          </w:p>
          <w:p>
            <w:pPr>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单价：</w:t>
            </w:r>
            <w:r/>
          </w:p>
        </w:tc>
      </w:tr>
    </w:tbl>
    <w:p>
      <w:pPr>
        <w:jc w:val="left"/>
        <w:pageBreakBefore w:val="0"/>
        <w:spacing w:line="360" w:lineRule="auto"/>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sectPr>
      <w:head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commentsDocument.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sai" w:date="2026-09-03T15:44:30Z">
    <w:p w14:paraId="00000001" w14:textId="00000001">
      <w:pPr>
        <w:spacing w:line="240" w:after="0" w:lineRule="auto" w:before="0"/>
        <w:ind w:firstLine="0" w:left="0" w:right="0"/>
        <w:jc w:val="left"/>
      </w:pPr>
      <w:r>
        <w:rPr>
          <w:rFonts w:eastAsia="Arial" w:ascii="Arial" w:hAnsi="Arial" w:cs="Arial"/>
          <w:sz w:val="22"/>
        </w:rPr>
        <w:t xml:space="preserve">请采购人确认合同付款方式</w:t>
      </w:r>
    </w:p>
  </w:comment>
  <w:comment w:id="1" w:author="sai" w:date="2026-09-03T15:27:25Z">
    <w:p w14:paraId="00000002" w14:textId="00000002">
      <w:pPr>
        <w:spacing w:line="240" w:after="0" w:lineRule="auto" w:before="0"/>
        <w:ind w:firstLine="0" w:left="0" w:right="0"/>
        <w:jc w:val="left"/>
      </w:pPr>
      <w:r>
        <w:rPr>
          <w:rFonts w:eastAsia="Arial" w:ascii="Arial" w:hAnsi="Arial" w:cs="Arial"/>
          <w:sz w:val="22"/>
        </w:rPr>
        <w:t xml:space="preserve">请采购人核对项目参数，虽然单一参数并不违规，但是整体参数结合（比如400 万智能球机、多光谱蓝藻摄像机、AI 排污识别双镜头摄像机的全套参数传感器尺寸、焦距、光谱波段、光谱分辨率、北斗定位、雨刷、全景 + 特写双路输出等整套参数）可能会涉嫌指向某单一品牌，建议核对各个厂家是否有至少三家以上厂家能够全部满足。</w:t>
      </w:r>
    </w:p>
  </w:comment>
  <w:comment w:id="2" w:author="sai" w:date="2026-09-03T14:30:38Z">
    <w:p w14:paraId="00000003" w14:textId="00000003">
      <w:pPr>
        <w:spacing w:line="240" w:after="0" w:lineRule="auto" w:before="0"/>
        <w:ind w:firstLine="0" w:left="0" w:right="0"/>
        <w:jc w:val="left"/>
      </w:pPr>
      <w:r>
        <w:rPr>
          <w:rFonts w:eastAsia="Arial" w:ascii="Arial" w:hAnsi="Arial" w:cs="Arial"/>
          <w:sz w:val="22"/>
        </w:rPr>
        <w:t xml:space="preserve">请采购人确认质保时间</w:t>
      </w:r>
    </w:p>
  </w:comment>
  <w:comment w:id="3" w:author="sai" w:date="2026-09-07T10:20:59Z">
    <w:p w14:paraId="00000004" w14:textId="00000004">
      <w:pPr>
        <w:spacing w:line="240" w:after="0" w:lineRule="auto" w:before="0"/>
        <w:ind w:firstLine="0" w:left="0" w:right="0"/>
        <w:jc w:val="left"/>
      </w:pPr>
      <w:r>
        <w:rPr>
          <w:rFonts w:eastAsia="Arial" w:ascii="Arial" w:hAnsi="Arial" w:cs="Arial"/>
          <w:sz w:val="22"/>
        </w:rPr>
        <w:t xml:space="preserve"/>
      </w:r>
    </w:p>
  </w:comment>
  <w:comment w:id="4" w:author="sai" w:date="2026-09-03T14:59:21Z">
    <w:p w14:paraId="00000005" w14:textId="00000005">
      <w:pPr>
        <w:spacing w:line="240" w:after="0" w:lineRule="auto" w:before="0"/>
        <w:ind w:firstLine="0" w:left="0" w:right="0"/>
        <w:jc w:val="left"/>
      </w:pPr>
      <w:r>
        <w:rPr>
          <w:rFonts w:eastAsia="Arial" w:ascii="Arial" w:hAnsi="Arial" w:cs="Arial"/>
          <w:sz w:val="22"/>
        </w:rPr>
        <w:t xml:space="preserve">根据《关于推动解决政府采购异常低价问题的通知》采购人可以结合具体项目实际情况，提高上述第1项至第3项中启动异常低价投标（响应）审查的数值标准，但是最高不得超过65%。本项目是否需要提高数值？请采购人确认。</w:t>
      </w:r>
    </w:p>
  </w:comment>
</w:comments>
</file>

<file path=word/commentsExtendedDocument.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1" w15:done="0"/>
  <w15:commentEx w15:paraId="00000002" w15:done="0"/>
  <w15:commentEx w15:paraId="00000003" w15:done="0"/>
  <w15:commentEx w15:paraId="00000004" w15:done="0"/>
  <w15:commentEx w15:paraId="00000005" w15:done="0"/>
</w15:commentsEx>
</file>

<file path=word/commentsIdsDocument.xml><?xml version="1.0" encoding="utf-8"?>
<w16cid:commentsIds xmlns:mc="http://schemas.openxmlformats.org/markup-compatibility/2006" xmlns:w16cid="http://schemas.microsoft.com/office/word/2016/wordml/cid" mc:Ignorable="w16cid">
  <w16cid:commentId w16cid:paraId="00000001" w16cid:durableId="4419A2FC"/>
  <w16cid:commentId w16cid:paraId="00000002" w16cid:durableId="001FE7BC"/>
  <w16cid:commentId w16cid:paraId="00000003" w16cid:durableId="58143A9B"/>
  <w16cid:commentId w16cid:paraId="00000004" w16cid:durableId="790E5C7D"/>
  <w16cid:commentId w16cid:paraId="00000005" w16cid:durableId="073AD675"/>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Segoe UI Symbol">
    <w:panose1 w:val="020B0502040204020203"/>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Noto Sans CJK JP Regular">
    <w:panose1 w:val="020B0503020202020204"/>
  </w:font>
  <w:font w:name="Courier New">
    <w:panose1 w:val="02070309020205020404"/>
  </w:font>
  <w:font w:name="等线">
    <w:panose1 w:val="02010600030101010101"/>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center"/>
    </w:pPr>
    <w:r/>
    <w:r/>
  </w:p>
  <w:p>
    <w:pPr>
      <w:pStyle w:val="98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98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both"/>
      <w:rPr>
        <w:rFonts w:hint="eastAsia" w:eastAsia="宋体"/>
        <w:lang w:eastAsia="zh-CN"/>
      </w:rPr>
    </w:pPr>
    <w:r>
      <w:rPr>
        <w:rFonts w:hint="eastAsia"/>
        <w:lang w:eastAsia="zh-CN"/>
      </w:rPr>
      <w:t xml:space="preserve">JSZC-321000-SSZX-G2026-0007号</w:t>
    </w:r>
    <w:r>
      <w:rPr>
        <w:rFonts w:hint="eastAsia"/>
      </w:rPr>
      <w:t xml:space="preserve">                                 </w:t>
    </w:r>
    <w:r>
      <w:rPr>
        <w:rFonts w:hint="eastAsia"/>
        <w:lang w:eastAsia="zh-CN"/>
      </w:rPr>
      <w:t xml:space="preserve">江苏苏中兴工程造价咨询有限公司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both"/>
      <w:rPr>
        <w:rFonts w:hint="eastAsia" w:eastAsia="宋体"/>
        <w:lang w:eastAsia="zh-CN"/>
      </w:rPr>
    </w:pPr>
    <w:r>
      <w:rPr>
        <w:rFonts w:hint="eastAsia"/>
        <w:lang w:eastAsia="zh-CN"/>
      </w:rPr>
      <w:t xml:space="preserve">JSZC-321000-SSZX-G2026-0007号</w:t>
    </w:r>
    <w:r>
      <w:tab/>
    </w:r>
    <w:r>
      <w:rPr>
        <w:rFonts w:hint="eastAsia"/>
      </w:rPr>
      <w:t xml:space="preserve">                                </w:t>
    </w:r>
    <w:r>
      <w:rPr>
        <w:rFonts w:hint="eastAsia"/>
        <w:lang w:eastAsia="zh-CN"/>
      </w:rPr>
      <w:t xml:space="preserve">江苏苏中兴工程造价咨询有限公司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00"/>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737"/>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peopleDocument.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ai">
    <w15:presenceInfo w15:providerId="WPS Office" w15:userId="135240451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8" w:default="1">
    <w:name w:val="Normal"/>
    <w:next w:val="730"/>
    <w:uiPriority w:val="0"/>
    <w:qFormat/>
    <w:pPr>
      <w:jc w:val="both"/>
      <w:widowControl w:val="off"/>
    </w:pPr>
    <w:rPr>
      <w:rFonts w:hint="default" w:ascii="Calibri" w:hAnsi="Calibri" w:eastAsia="宋体" w:cs="Times New Roman"/>
      <w:sz w:val="21"/>
      <w:szCs w:val="22"/>
      <w:lang w:val="en-US" w:eastAsia="zh-CN" w:bidi="ar-SA"/>
    </w:rPr>
  </w:style>
  <w:style w:type="paragraph" w:styleId="719">
    <w:name w:val="Heading 1"/>
    <w:basedOn w:val="718"/>
    <w:next w:val="718"/>
    <w:link w:val="820"/>
    <w:uiPriority w:val="9"/>
    <w:qFormat/>
    <w:pPr>
      <w:jc w:val="center"/>
      <w:keepLines/>
      <w:keepNext/>
      <w:spacing w:line="360" w:lineRule="auto"/>
      <w:outlineLvl w:val="0"/>
    </w:pPr>
    <w:rPr>
      <w:rFonts w:ascii="Arial" w:hAnsi="Arial" w:cs="Arial"/>
      <w:b/>
      <w:sz w:val="30"/>
      <w:szCs w:val="40"/>
    </w:rPr>
  </w:style>
  <w:style w:type="paragraph" w:styleId="720">
    <w:name w:val="Heading 2"/>
    <w:basedOn w:val="718"/>
    <w:next w:val="718"/>
    <w:link w:val="821"/>
    <w:uiPriority w:val="9"/>
    <w:unhideWhenUsed/>
    <w:qFormat/>
    <w:pPr>
      <w:keepLines/>
      <w:keepNext/>
      <w:spacing w:before="360" w:after="200"/>
      <w:outlineLvl w:val="1"/>
    </w:pPr>
    <w:rPr>
      <w:rFonts w:ascii="Arial" w:hAnsi="Arial" w:eastAsia="Arial" w:cs="Arial"/>
      <w:sz w:val="34"/>
    </w:rPr>
  </w:style>
  <w:style w:type="paragraph" w:styleId="721">
    <w:name w:val="Heading 3"/>
    <w:basedOn w:val="718"/>
    <w:next w:val="718"/>
    <w:link w:val="822"/>
    <w:uiPriority w:val="9"/>
    <w:unhideWhenUsed/>
    <w:qFormat/>
    <w:pPr>
      <w:keepLines/>
      <w:keepNext/>
      <w:spacing w:before="320" w:after="200"/>
      <w:outlineLvl w:val="2"/>
    </w:pPr>
    <w:rPr>
      <w:rFonts w:ascii="Arial" w:hAnsi="Arial" w:eastAsia="Arial" w:cs="Arial"/>
      <w:sz w:val="30"/>
      <w:szCs w:val="30"/>
    </w:rPr>
  </w:style>
  <w:style w:type="paragraph" w:styleId="722">
    <w:name w:val="Heading 4"/>
    <w:basedOn w:val="718"/>
    <w:next w:val="718"/>
    <w:link w:val="823"/>
    <w:uiPriority w:val="9"/>
    <w:unhideWhenUsed/>
    <w:qFormat/>
    <w:pPr>
      <w:keepLines/>
      <w:keepNext/>
      <w:spacing w:before="320" w:after="200"/>
      <w:outlineLvl w:val="3"/>
    </w:pPr>
    <w:rPr>
      <w:rFonts w:ascii="Arial" w:hAnsi="Arial" w:eastAsia="Arial" w:cs="Arial"/>
      <w:b/>
      <w:bCs/>
      <w:sz w:val="26"/>
      <w:szCs w:val="26"/>
    </w:rPr>
  </w:style>
  <w:style w:type="paragraph" w:styleId="723">
    <w:name w:val="Heading 5"/>
    <w:basedOn w:val="718"/>
    <w:next w:val="718"/>
    <w:link w:val="824"/>
    <w:uiPriority w:val="9"/>
    <w:unhideWhenUsed/>
    <w:qFormat/>
    <w:pPr>
      <w:keepLines/>
      <w:keepNext/>
      <w:spacing w:before="320" w:after="200"/>
      <w:outlineLvl w:val="4"/>
    </w:pPr>
    <w:rPr>
      <w:rFonts w:ascii="Arial" w:hAnsi="Arial" w:eastAsia="Arial" w:cs="Arial"/>
      <w:b/>
      <w:bCs/>
      <w:sz w:val="24"/>
      <w:szCs w:val="24"/>
    </w:rPr>
  </w:style>
  <w:style w:type="paragraph" w:styleId="724">
    <w:name w:val="Heading 6"/>
    <w:basedOn w:val="718"/>
    <w:next w:val="718"/>
    <w:link w:val="825"/>
    <w:uiPriority w:val="9"/>
    <w:unhideWhenUsed/>
    <w:qFormat/>
    <w:pPr>
      <w:keepLines/>
      <w:keepNext/>
      <w:spacing w:before="320" w:after="200"/>
      <w:outlineLvl w:val="5"/>
    </w:pPr>
    <w:rPr>
      <w:rFonts w:ascii="Arial" w:hAnsi="Arial" w:eastAsia="Arial" w:cs="Arial"/>
      <w:b/>
      <w:bCs/>
      <w:sz w:val="22"/>
    </w:rPr>
  </w:style>
  <w:style w:type="paragraph" w:styleId="725">
    <w:name w:val="Heading 7"/>
    <w:basedOn w:val="718"/>
    <w:next w:val="718"/>
    <w:link w:val="826"/>
    <w:uiPriority w:val="9"/>
    <w:unhideWhenUsed/>
    <w:qFormat/>
    <w:pPr>
      <w:keepLines/>
      <w:keepNext/>
      <w:spacing w:before="320" w:after="200"/>
      <w:outlineLvl w:val="6"/>
    </w:pPr>
    <w:rPr>
      <w:rFonts w:ascii="Arial" w:hAnsi="Arial" w:eastAsia="Arial" w:cs="Arial"/>
      <w:b/>
      <w:bCs/>
      <w:i/>
      <w:iCs/>
      <w:sz w:val="22"/>
    </w:rPr>
  </w:style>
  <w:style w:type="paragraph" w:styleId="726">
    <w:name w:val="Heading 8"/>
    <w:basedOn w:val="718"/>
    <w:next w:val="718"/>
    <w:link w:val="827"/>
    <w:uiPriority w:val="9"/>
    <w:unhideWhenUsed/>
    <w:qFormat/>
    <w:pPr>
      <w:keepLines/>
      <w:keepNext/>
      <w:spacing w:before="320" w:after="200"/>
      <w:outlineLvl w:val="7"/>
    </w:pPr>
    <w:rPr>
      <w:rFonts w:ascii="Arial" w:hAnsi="Arial" w:eastAsia="Arial" w:cs="Arial"/>
      <w:i/>
      <w:iCs/>
      <w:sz w:val="22"/>
    </w:rPr>
  </w:style>
  <w:style w:type="paragraph" w:styleId="727">
    <w:name w:val="Heading 9"/>
    <w:basedOn w:val="718"/>
    <w:next w:val="718"/>
    <w:link w:val="828"/>
    <w:uiPriority w:val="9"/>
    <w:unhideWhenUsed/>
    <w:qFormat/>
    <w:pPr>
      <w:keepLines/>
      <w:keepNext/>
      <w:spacing w:before="320" w:after="200"/>
      <w:outlineLvl w:val="8"/>
    </w:pPr>
    <w:rPr>
      <w:rFonts w:ascii="Arial" w:hAnsi="Arial" w:eastAsia="Arial" w:cs="Arial"/>
      <w:i/>
      <w:iCs/>
      <w:szCs w:val="21"/>
    </w:rPr>
  </w:style>
  <w:style w:type="character" w:styleId="728" w:default="1">
    <w:name w:val="Default Paragraph Font"/>
    <w:uiPriority w:val="1"/>
    <w:semiHidden/>
    <w:unhideWhenUsed/>
    <w:qFormat/>
  </w:style>
  <w:style w:type="table" w:styleId="729" w:default="1">
    <w:name w:val="Normal Table"/>
    <w:uiPriority w:val="99"/>
    <w:semiHidden/>
    <w:unhideWhenUsed/>
    <w:qFormat/>
    <w:tblPr>
      <w:tblCellMar>
        <w:left w:w="108" w:type="dxa"/>
        <w:top w:w="0" w:type="dxa"/>
        <w:right w:w="108" w:type="dxa"/>
        <w:bottom w:w="0" w:type="dxa"/>
      </w:tblCellMar>
    </w:tblPr>
  </w:style>
  <w:style w:type="paragraph" w:styleId="730">
    <w:name w:val="table of authorities"/>
    <w:basedOn w:val="718"/>
    <w:next w:val="718"/>
    <w:uiPriority w:val="0"/>
    <w:qFormat/>
    <w:pPr>
      <w:ind w:left="420"/>
    </w:pPr>
    <w:rPr>
      <w:rFonts w:ascii="Times New Roman" w:hAnsi="Times New Roman"/>
    </w:rPr>
  </w:style>
  <w:style w:type="paragraph" w:styleId="731">
    <w:name w:val="toc 7"/>
    <w:basedOn w:val="718"/>
    <w:next w:val="718"/>
    <w:uiPriority w:val="39"/>
    <w:unhideWhenUsed/>
    <w:qFormat/>
    <w:pPr>
      <w:ind w:left="1701"/>
      <w:spacing w:after="57"/>
    </w:pPr>
  </w:style>
  <w:style w:type="paragraph" w:styleId="732">
    <w:name w:val="Caption"/>
    <w:basedOn w:val="718"/>
    <w:next w:val="71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3">
    <w:name w:val="annotation text"/>
    <w:basedOn w:val="718"/>
    <w:uiPriority w:val="99"/>
    <w:semiHidden/>
    <w:unhideWhenUsed/>
    <w:qFormat/>
    <w:pPr>
      <w:jc w:val="left"/>
    </w:pPr>
  </w:style>
  <w:style w:type="paragraph" w:styleId="734">
    <w:name w:val="Body Text"/>
    <w:basedOn w:val="718"/>
    <w:uiPriority w:val="0"/>
    <w:qFormat/>
    <w:pPr>
      <w:spacing w:after="120"/>
    </w:pPr>
    <w:rPr>
      <w:szCs w:val="24"/>
    </w:rPr>
  </w:style>
  <w:style w:type="paragraph" w:styleId="735">
    <w:name w:val="Body Text Indent"/>
    <w:basedOn w:val="718"/>
    <w:next w:val="718"/>
    <w:uiPriority w:val="0"/>
    <w:qFormat/>
    <w:pPr>
      <w:ind w:left="420"/>
      <w:spacing w:after="120"/>
    </w:pPr>
    <w:rPr>
      <w:rFonts w:ascii="等线" w:hAnsi="等线" w:eastAsia="等线"/>
    </w:rPr>
  </w:style>
  <w:style w:type="paragraph" w:styleId="736">
    <w:name w:val="Block Text"/>
    <w:basedOn w:val="718"/>
    <w:uiPriority w:val="99"/>
    <w:unhideWhenUsed/>
    <w:qFormat/>
    <w:pPr>
      <w:ind w:left="1440" w:right="1440"/>
      <w:spacing w:after="120"/>
    </w:pPr>
  </w:style>
  <w:style w:type="paragraph" w:styleId="737">
    <w:name w:val="List Bullet 2"/>
    <w:basedOn w:val="718"/>
    <w:uiPriority w:val="99"/>
    <w:semiHidden/>
    <w:unhideWhenUsed/>
    <w:qFormat/>
    <w:pPr>
      <w:numPr>
        <w:ilvl w:val="0"/>
        <w:numId w:val="1"/>
      </w:numPr>
    </w:pPr>
  </w:style>
  <w:style w:type="paragraph" w:styleId="738">
    <w:name w:val="toc 5"/>
    <w:basedOn w:val="718"/>
    <w:next w:val="718"/>
    <w:uiPriority w:val="39"/>
    <w:unhideWhenUsed/>
    <w:qFormat/>
    <w:pPr>
      <w:ind w:left="1134"/>
      <w:spacing w:after="57"/>
    </w:pPr>
  </w:style>
  <w:style w:type="paragraph" w:styleId="739">
    <w:name w:val="toc 3"/>
    <w:basedOn w:val="718"/>
    <w:next w:val="718"/>
    <w:uiPriority w:val="39"/>
    <w:unhideWhenUsed/>
    <w:qFormat/>
    <w:pPr>
      <w:ind w:left="567"/>
      <w:spacing w:after="57"/>
    </w:pPr>
  </w:style>
  <w:style w:type="paragraph" w:styleId="740">
    <w:name w:val="Plain Text"/>
    <w:basedOn w:val="718"/>
    <w:uiPriority w:val="0"/>
    <w:qFormat/>
    <w:rPr>
      <w:rFonts w:ascii="宋体" w:hAnsi="Courier New"/>
      <w:sz w:val="20"/>
      <w:szCs w:val="21"/>
    </w:rPr>
  </w:style>
  <w:style w:type="paragraph" w:styleId="741">
    <w:name w:val="toc 8"/>
    <w:basedOn w:val="718"/>
    <w:next w:val="718"/>
    <w:uiPriority w:val="39"/>
    <w:unhideWhenUsed/>
    <w:qFormat/>
    <w:pPr>
      <w:ind w:left="1984"/>
      <w:spacing w:after="57"/>
    </w:pPr>
  </w:style>
  <w:style w:type="paragraph" w:styleId="742">
    <w:name w:val="Body Text Indent 2"/>
    <w:basedOn w:val="718"/>
    <w:uiPriority w:val="0"/>
    <w:qFormat/>
    <w:pPr>
      <w:ind w:left="640"/>
      <w:spacing w:after="120" w:line="480" w:lineRule="auto"/>
    </w:pPr>
    <w:rPr>
      <w:rFonts w:eastAsia="仿宋_GB2312"/>
      <w:sz w:val="32"/>
      <w:szCs w:val="28"/>
    </w:rPr>
  </w:style>
  <w:style w:type="paragraph" w:styleId="743">
    <w:name w:val="endnote text"/>
    <w:basedOn w:val="718"/>
    <w:link w:val="966"/>
    <w:uiPriority w:val="99"/>
    <w:semiHidden/>
    <w:unhideWhenUsed/>
    <w:qFormat/>
    <w:rPr>
      <w:sz w:val="20"/>
    </w:rPr>
  </w:style>
  <w:style w:type="paragraph" w:styleId="744">
    <w:name w:val="Footer"/>
    <w:basedOn w:val="718"/>
    <w:link w:val="839"/>
    <w:uiPriority w:val="99"/>
    <w:unhideWhenUsed/>
    <w:qFormat/>
    <w:pPr>
      <w:tabs>
        <w:tab w:val="center" w:pos="7143" w:leader="none"/>
        <w:tab w:val="right" w:pos="14287" w:leader="none"/>
      </w:tabs>
    </w:pPr>
  </w:style>
  <w:style w:type="paragraph" w:styleId="745">
    <w:name w:val="envelope return"/>
    <w:basedOn w:val="718"/>
    <w:uiPriority w:val="0"/>
    <w:qFormat/>
    <w:rPr>
      <w:rFonts w:ascii="Arial" w:hAnsi="Arial"/>
    </w:rPr>
  </w:style>
  <w:style w:type="paragraph" w:styleId="746">
    <w:name w:val="Header"/>
    <w:basedOn w:val="718"/>
    <w:link w:val="837"/>
    <w:uiPriority w:val="99"/>
    <w:unhideWhenUsed/>
    <w:qFormat/>
    <w:pPr>
      <w:tabs>
        <w:tab w:val="center" w:pos="7143" w:leader="none"/>
        <w:tab w:val="right" w:pos="14287" w:leader="none"/>
      </w:tabs>
    </w:pPr>
  </w:style>
  <w:style w:type="paragraph" w:styleId="747">
    <w:name w:val="toc 1"/>
    <w:basedOn w:val="718"/>
    <w:next w:val="718"/>
    <w:uiPriority w:val="39"/>
    <w:unhideWhenUsed/>
    <w:qFormat/>
    <w:pPr>
      <w:spacing w:after="57"/>
    </w:pPr>
  </w:style>
  <w:style w:type="paragraph" w:styleId="748">
    <w:name w:val="toc 4"/>
    <w:basedOn w:val="718"/>
    <w:next w:val="718"/>
    <w:uiPriority w:val="39"/>
    <w:unhideWhenUsed/>
    <w:qFormat/>
    <w:pPr>
      <w:ind w:left="850"/>
      <w:spacing w:after="57"/>
    </w:pPr>
  </w:style>
  <w:style w:type="paragraph" w:styleId="749">
    <w:name w:val="Subtitle"/>
    <w:basedOn w:val="718"/>
    <w:next w:val="718"/>
    <w:link w:val="832"/>
    <w:uiPriority w:val="11"/>
    <w:qFormat/>
    <w:pPr>
      <w:spacing w:before="200" w:after="200"/>
    </w:pPr>
    <w:rPr>
      <w:sz w:val="24"/>
      <w:szCs w:val="24"/>
    </w:rPr>
  </w:style>
  <w:style w:type="paragraph" w:styleId="750">
    <w:name w:val="footnote text"/>
    <w:basedOn w:val="718"/>
    <w:link w:val="965"/>
    <w:uiPriority w:val="99"/>
    <w:semiHidden/>
    <w:unhideWhenUsed/>
    <w:qFormat/>
    <w:pPr>
      <w:spacing w:after="40"/>
    </w:pPr>
    <w:rPr>
      <w:sz w:val="18"/>
    </w:rPr>
  </w:style>
  <w:style w:type="paragraph" w:styleId="751">
    <w:name w:val="toc 6"/>
    <w:basedOn w:val="718"/>
    <w:next w:val="718"/>
    <w:uiPriority w:val="39"/>
    <w:unhideWhenUsed/>
    <w:qFormat/>
    <w:pPr>
      <w:ind w:left="1417"/>
      <w:spacing w:after="57"/>
    </w:pPr>
  </w:style>
  <w:style w:type="paragraph" w:styleId="752">
    <w:name w:val="table of figures"/>
    <w:basedOn w:val="718"/>
    <w:next w:val="718"/>
    <w:uiPriority w:val="99"/>
    <w:unhideWhenUsed/>
    <w:qFormat/>
  </w:style>
  <w:style w:type="paragraph" w:styleId="753">
    <w:name w:val="toc 2"/>
    <w:basedOn w:val="718"/>
    <w:next w:val="718"/>
    <w:uiPriority w:val="39"/>
    <w:unhideWhenUsed/>
    <w:qFormat/>
    <w:pPr>
      <w:ind w:left="283"/>
      <w:spacing w:after="57"/>
    </w:pPr>
  </w:style>
  <w:style w:type="paragraph" w:styleId="754">
    <w:name w:val="toc 9"/>
    <w:basedOn w:val="718"/>
    <w:next w:val="718"/>
    <w:uiPriority w:val="39"/>
    <w:unhideWhenUsed/>
    <w:qFormat/>
    <w:pPr>
      <w:ind w:left="2268"/>
      <w:spacing w:after="57"/>
    </w:pPr>
  </w:style>
  <w:style w:type="paragraph" w:styleId="755">
    <w:name w:val="Normal (Web)"/>
    <w:basedOn w:val="718"/>
    <w:uiPriority w:val="99"/>
    <w:semiHidden/>
    <w:unhideWhenUsed/>
    <w:qFormat/>
    <w:pPr>
      <w:jc w:val="left"/>
      <w:spacing w:beforeAutospacing="1" w:afterAutospacing="1"/>
    </w:pPr>
    <w:rPr>
      <w:sz w:val="24"/>
    </w:rPr>
  </w:style>
  <w:style w:type="paragraph" w:styleId="756">
    <w:name w:val="index 1"/>
    <w:basedOn w:val="718"/>
    <w:next w:val="718"/>
    <w:uiPriority w:val="0"/>
    <w:qFormat/>
    <w:rPr>
      <w:rFonts w:ascii="仿宋_GB2312" w:hAnsi="宋体" w:eastAsia="仿宋_GB2312" w:cs="宋体"/>
      <w:sz w:val="30"/>
      <w:szCs w:val="24"/>
      <w:lang w:val="zh-CN"/>
    </w:rPr>
  </w:style>
  <w:style w:type="paragraph" w:styleId="757">
    <w:name w:val="Title"/>
    <w:basedOn w:val="718"/>
    <w:next w:val="718"/>
    <w:link w:val="831"/>
    <w:uiPriority w:val="10"/>
    <w:qFormat/>
    <w:pPr>
      <w:contextualSpacing/>
      <w:spacing w:before="300" w:after="200"/>
    </w:pPr>
    <w:rPr>
      <w:sz w:val="48"/>
      <w:szCs w:val="48"/>
    </w:rPr>
  </w:style>
  <w:style w:type="paragraph" w:styleId="758">
    <w:name w:val="Body Text First Indent"/>
    <w:basedOn w:val="734"/>
    <w:uiPriority w:val="99"/>
    <w:unhideWhenUsed/>
    <w:qFormat/>
    <w:pPr>
      <w:ind w:firstLine="426"/>
      <w:spacing w:line="400" w:lineRule="atLeast"/>
    </w:pPr>
    <w:rPr>
      <w:sz w:val="24"/>
      <w:szCs w:val="20"/>
    </w:rPr>
  </w:style>
  <w:style w:type="table" w:styleId="75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0">
    <w:name w:val="Strong"/>
    <w:basedOn w:val="728"/>
    <w:uiPriority w:val="0"/>
    <w:qFormat/>
    <w:rPr>
      <w:b/>
    </w:rPr>
  </w:style>
  <w:style w:type="character" w:styleId="761">
    <w:name w:val="endnote reference"/>
    <w:uiPriority w:val="99"/>
    <w:semiHidden/>
    <w:unhideWhenUsed/>
    <w:qFormat/>
    <w:rPr>
      <w:vertAlign w:val="superscript"/>
    </w:rPr>
  </w:style>
  <w:style w:type="character" w:styleId="762">
    <w:name w:val="Emphasis"/>
    <w:basedOn w:val="728"/>
    <w:uiPriority w:val="20"/>
    <w:qFormat/>
    <w:rPr>
      <w:i/>
    </w:rPr>
  </w:style>
  <w:style w:type="character" w:styleId="763">
    <w:name w:val="Hyperlink"/>
    <w:uiPriority w:val="99"/>
    <w:unhideWhenUsed/>
    <w:qFormat/>
    <w:rPr>
      <w:color w:val="0000ff" w:themeColor="hyperlink"/>
      <w:u w:val="single"/>
      <w14:textFill>
        <w14:solidFill>
          <w14:schemeClr w14:val="hlink"/>
        </w14:solidFill>
      </w14:textFill>
    </w:rPr>
  </w:style>
  <w:style w:type="character" w:styleId="764">
    <w:name w:val="footnote reference"/>
    <w:uiPriority w:val="99"/>
    <w:unhideWhenUsed/>
    <w:qFormat/>
    <w:rPr>
      <w:vertAlign w:val="superscript"/>
    </w:rPr>
  </w:style>
  <w:style w:type="paragraph" w:styleId="765" w:customStyle="1">
    <w:name w:val="正文（文本）"/>
    <w:uiPriority w:val="0"/>
    <w:qFormat/>
    <w:pPr>
      <w:jc w:val="center"/>
      <w:spacing w:line="360" w:lineRule="auto"/>
      <w:widowControl w:val="off"/>
    </w:pPr>
    <w:rPr>
      <w:rFonts w:hint="default" w:ascii="Times New Roman" w:hAnsi="宋体" w:eastAsia="宋体" w:cs="Times New Roman"/>
      <w:sz w:val="28"/>
      <w:szCs w:val="28"/>
      <w:lang w:val="en-US" w:eastAsia="zh-CN" w:bidi="ar-SA"/>
    </w:rPr>
  </w:style>
  <w:style w:type="paragraph" w:styleId="766" w:customStyle="1">
    <w:name w:val="正文（缩进）"/>
    <w:basedOn w:val="718"/>
    <w:next w:val="767"/>
    <w:uiPriority w:val="0"/>
    <w:qFormat/>
    <w:pPr>
      <w:ind w:firstLine="480"/>
      <w:spacing w:before="156" w:after="156"/>
    </w:pPr>
  </w:style>
  <w:style w:type="paragraph" w:styleId="767" w:customStyle="1">
    <w:name w:val="Char Char Char Char Char Char Char Char Char"/>
    <w:basedOn w:val="718"/>
    <w:next w:val="768"/>
    <w:uiPriority w:val="99"/>
    <w:qFormat/>
    <w:pPr>
      <w:ind w:left="360" w:firstLine="5784"/>
    </w:pPr>
  </w:style>
  <w:style w:type="paragraph" w:styleId="768" w:customStyle="1">
    <w:name w:val="正文文本 21"/>
    <w:basedOn w:val="718"/>
    <w:next w:val="769"/>
    <w:uiPriority w:val="0"/>
    <w:qFormat/>
    <w:pPr>
      <w:spacing w:after="120" w:line="480" w:lineRule="auto"/>
    </w:pPr>
  </w:style>
  <w:style w:type="paragraph" w:styleId="769" w:customStyle="1">
    <w:name w:val="默认段落字体 Para Char Char Char Char Char Char Char"/>
    <w:basedOn w:val="718"/>
    <w:next w:val="770"/>
    <w:uiPriority w:val="99"/>
    <w:qFormat/>
    <w:pPr>
      <w:ind w:firstLine="200"/>
    </w:pPr>
    <w:rPr>
      <w:rFonts w:cs="Arial"/>
    </w:rPr>
  </w:style>
  <w:style w:type="paragraph" w:styleId="770" w:customStyle="1">
    <w:name w:val="样式 首行缩进:  2 字符"/>
    <w:basedOn w:val="718"/>
    <w:next w:val="771"/>
    <w:uiPriority w:val="99"/>
    <w:qFormat/>
    <w:pPr>
      <w:ind w:left="480" w:firstLine="5856"/>
      <w:spacing w:line="360" w:lineRule="auto"/>
    </w:pPr>
  </w:style>
  <w:style w:type="paragraph" w:styleId="771" w:customStyle="1">
    <w:name w:val="样式 段后: 0.25 行"/>
    <w:basedOn w:val="718"/>
    <w:next w:val="772"/>
    <w:uiPriority w:val="99"/>
    <w:qFormat/>
    <w:pPr>
      <w:ind w:left="420" w:firstLine="5796"/>
      <w:spacing w:line="300" w:lineRule="auto"/>
      <w:widowControl/>
    </w:pPr>
  </w:style>
  <w:style w:type="paragraph" w:styleId="772" w:customStyle="1">
    <w:name w:val="正文 New New New New New New New New New New New New New New"/>
    <w:next w:val="754"/>
    <w:uiPriority w:val="99"/>
    <w:qFormat/>
    <w:pPr>
      <w:ind w:firstLine="2048"/>
      <w:jc w:val="both"/>
      <w:widowControl w:val="off"/>
    </w:pPr>
    <w:rPr>
      <w:rFonts w:hint="default" w:ascii="Times New Roman" w:hAnsi="Times New Roman" w:eastAsia="宋体" w:cs="Times New Roman"/>
      <w:lang w:val="en-US" w:eastAsia="zh-CN" w:bidi="ar-SA"/>
    </w:rPr>
  </w:style>
  <w:style w:type="paragraph" w:styleId="773" w:customStyle="1">
    <w:name w:val="正文1"/>
    <w:basedOn w:val="718"/>
    <w:next w:val="774"/>
    <w:uiPriority w:val="0"/>
    <w:qFormat/>
    <w:pPr>
      <w:jc w:val="left"/>
      <w:spacing w:line="360" w:lineRule="atLeast"/>
    </w:pPr>
    <w:rPr>
      <w:rFonts w:ascii="宋体" w:cs="Arial"/>
      <w:sz w:val="24"/>
      <w:szCs w:val="20"/>
    </w:rPr>
  </w:style>
  <w:style w:type="paragraph" w:styleId="774" w:customStyle="1">
    <w:name w:val="正文文本1"/>
    <w:basedOn w:val="773"/>
    <w:next w:val="775"/>
    <w:uiPriority w:val="0"/>
    <w:qFormat/>
    <w:pPr>
      <w:spacing w:after="120"/>
    </w:pPr>
    <w:rPr>
      <w:lang w:eastAsia="en-US"/>
    </w:rPr>
  </w:style>
  <w:style w:type="paragraph" w:styleId="775" w:customStyle="1">
    <w:name w:val="一级条标题"/>
    <w:basedOn w:val="776"/>
    <w:next w:val="77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76" w:customStyle="1">
    <w:name w:val="章标题"/>
    <w:next w:val="71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77" w:customStyle="1">
    <w:name w:val="段"/>
    <w:basedOn w:val="773"/>
    <w:next w:val="718"/>
    <w:uiPriority w:val="0"/>
    <w:qFormat/>
    <w:pPr>
      <w:ind w:firstLine="200"/>
      <w:widowControl/>
    </w:pPr>
    <w:rPr>
      <w:sz w:val="20"/>
    </w:rPr>
  </w:style>
  <w:style w:type="paragraph" w:styleId="778" w:customStyle="1">
    <w:name w:val="远大正文"/>
    <w:basedOn w:val="718"/>
    <w:uiPriority w:val="0"/>
    <w:qFormat/>
    <w:pPr>
      <w:ind w:firstLine="0"/>
      <w:jc w:val="center"/>
      <w:spacing w:line="360" w:lineRule="auto"/>
    </w:pPr>
    <w:rPr>
      <w:rFonts w:ascii="宋体" w:hAnsi="宋体" w:cs="Times New Roman"/>
    </w:rPr>
  </w:style>
  <w:style w:type="paragraph" w:styleId="779" w:customStyle="1">
    <w:name w:val="普通正文"/>
    <w:basedOn w:val="718"/>
    <w:uiPriority w:val="0"/>
    <w:qFormat/>
    <w:pPr>
      <w:ind w:firstLine="480"/>
      <w:jc w:val="left"/>
      <w:spacing w:before="120" w:after="120" w:line="360" w:lineRule="auto"/>
    </w:pPr>
    <w:rPr>
      <w:rFonts w:ascii="Arial" w:hAnsi="Arial"/>
      <w:sz w:val="24"/>
      <w:szCs w:val="24"/>
    </w:rPr>
  </w:style>
  <w:style w:type="paragraph" w:styleId="780" w:customStyle="1">
    <w:name w:val="标题1"/>
    <w:basedOn w:val="718"/>
    <w:next w:val="718"/>
    <w:uiPriority w:val="0"/>
    <w:qFormat/>
    <w:pPr>
      <w:jc w:val="center"/>
      <w:spacing w:before="240" w:after="60" w:line="360" w:lineRule="auto"/>
      <w:outlineLvl w:val="0"/>
    </w:pPr>
    <w:rPr>
      <w:rFonts w:ascii="宋体" w:hAnsi="宋体"/>
      <w:b/>
      <w:bCs/>
      <w:sz w:val="32"/>
      <w:szCs w:val="32"/>
    </w:rPr>
  </w:style>
  <w:style w:type="character" w:styleId="781" w:customStyle="1">
    <w:name w:val="Heading 1 Char"/>
    <w:basedOn w:val="728"/>
    <w:uiPriority w:val="9"/>
    <w:qFormat/>
    <w:rPr>
      <w:rFonts w:ascii="Arial" w:hAnsi="Arial" w:eastAsia="Arial" w:cs="Arial"/>
      <w:sz w:val="40"/>
      <w:szCs w:val="40"/>
    </w:rPr>
  </w:style>
  <w:style w:type="character" w:styleId="782" w:customStyle="1">
    <w:name w:val="Heading 2 Char"/>
    <w:basedOn w:val="728"/>
    <w:uiPriority w:val="9"/>
    <w:qFormat/>
    <w:rPr>
      <w:rFonts w:ascii="Arial" w:hAnsi="Arial" w:eastAsia="Arial" w:cs="Arial"/>
      <w:sz w:val="34"/>
    </w:rPr>
  </w:style>
  <w:style w:type="character" w:styleId="783" w:customStyle="1">
    <w:name w:val="Heading 3 Char"/>
    <w:basedOn w:val="728"/>
    <w:uiPriority w:val="9"/>
    <w:qFormat/>
    <w:rPr>
      <w:rFonts w:ascii="Arial" w:hAnsi="Arial" w:eastAsia="Arial" w:cs="Arial"/>
      <w:sz w:val="30"/>
      <w:szCs w:val="30"/>
    </w:rPr>
  </w:style>
  <w:style w:type="character" w:styleId="784" w:customStyle="1">
    <w:name w:val="Heading 4 Char"/>
    <w:basedOn w:val="728"/>
    <w:uiPriority w:val="9"/>
    <w:qFormat/>
    <w:rPr>
      <w:rFonts w:ascii="Arial" w:hAnsi="Arial" w:eastAsia="Arial" w:cs="Arial"/>
      <w:b/>
      <w:bCs/>
      <w:sz w:val="26"/>
      <w:szCs w:val="26"/>
    </w:rPr>
  </w:style>
  <w:style w:type="character" w:styleId="785" w:customStyle="1">
    <w:name w:val="Heading 5 Char"/>
    <w:basedOn w:val="728"/>
    <w:uiPriority w:val="9"/>
    <w:qFormat/>
    <w:rPr>
      <w:rFonts w:ascii="Arial" w:hAnsi="Arial" w:eastAsia="Arial" w:cs="Arial"/>
      <w:b/>
      <w:bCs/>
      <w:sz w:val="24"/>
      <w:szCs w:val="24"/>
    </w:rPr>
  </w:style>
  <w:style w:type="character" w:styleId="786" w:customStyle="1">
    <w:name w:val="Heading 6 Char"/>
    <w:basedOn w:val="728"/>
    <w:uiPriority w:val="9"/>
    <w:qFormat/>
    <w:rPr>
      <w:rFonts w:ascii="Arial" w:hAnsi="Arial" w:eastAsia="Arial" w:cs="Arial"/>
      <w:b/>
      <w:bCs/>
      <w:sz w:val="22"/>
      <w:szCs w:val="22"/>
    </w:rPr>
  </w:style>
  <w:style w:type="character" w:styleId="787" w:customStyle="1">
    <w:name w:val="Heading 7 Char"/>
    <w:basedOn w:val="728"/>
    <w:uiPriority w:val="9"/>
    <w:qFormat/>
    <w:rPr>
      <w:rFonts w:ascii="Arial" w:hAnsi="Arial" w:eastAsia="Arial" w:cs="Arial"/>
      <w:b/>
      <w:bCs/>
      <w:i/>
      <w:iCs/>
      <w:sz w:val="22"/>
      <w:szCs w:val="22"/>
    </w:rPr>
  </w:style>
  <w:style w:type="character" w:styleId="788" w:customStyle="1">
    <w:name w:val="Heading 8 Char"/>
    <w:basedOn w:val="728"/>
    <w:uiPriority w:val="9"/>
    <w:qFormat/>
    <w:rPr>
      <w:rFonts w:ascii="Arial" w:hAnsi="Arial" w:eastAsia="Arial" w:cs="Arial"/>
      <w:i/>
      <w:iCs/>
      <w:sz w:val="22"/>
      <w:szCs w:val="22"/>
    </w:rPr>
  </w:style>
  <w:style w:type="character" w:styleId="789" w:customStyle="1">
    <w:name w:val="Heading 9 Char"/>
    <w:basedOn w:val="728"/>
    <w:uiPriority w:val="9"/>
    <w:qFormat/>
    <w:rPr>
      <w:rFonts w:ascii="Arial" w:hAnsi="Arial" w:eastAsia="Arial" w:cs="Arial"/>
      <w:i/>
      <w:iCs/>
      <w:sz w:val="21"/>
      <w:szCs w:val="21"/>
    </w:rPr>
  </w:style>
  <w:style w:type="character" w:styleId="790" w:customStyle="1">
    <w:name w:val="Title Char"/>
    <w:basedOn w:val="728"/>
    <w:uiPriority w:val="10"/>
    <w:qFormat/>
    <w:rPr>
      <w:sz w:val="48"/>
      <w:szCs w:val="48"/>
    </w:rPr>
  </w:style>
  <w:style w:type="character" w:styleId="791" w:customStyle="1">
    <w:name w:val="Subtitle Char"/>
    <w:basedOn w:val="728"/>
    <w:uiPriority w:val="11"/>
    <w:qFormat/>
    <w:rPr>
      <w:sz w:val="24"/>
      <w:szCs w:val="24"/>
    </w:rPr>
  </w:style>
  <w:style w:type="character" w:styleId="792" w:customStyle="1">
    <w:name w:val="Quote Char"/>
    <w:uiPriority w:val="29"/>
    <w:qFormat/>
    <w:rPr>
      <w:i/>
    </w:rPr>
  </w:style>
  <w:style w:type="character" w:styleId="793" w:customStyle="1">
    <w:name w:val="Intense Quote Char"/>
    <w:uiPriority w:val="30"/>
    <w:qFormat/>
    <w:rPr>
      <w:i/>
    </w:rPr>
  </w:style>
  <w:style w:type="character" w:styleId="794" w:customStyle="1">
    <w:name w:val="Header Char"/>
    <w:basedOn w:val="728"/>
    <w:uiPriority w:val="99"/>
    <w:qFormat/>
  </w:style>
  <w:style w:type="character" w:styleId="795" w:customStyle="1">
    <w:name w:val="Caption Char"/>
    <w:uiPriority w:val="99"/>
    <w:qFormat/>
  </w:style>
  <w:style w:type="table" w:styleId="796" w:customStyle="1">
    <w:name w:val="Plain Table 1"/>
    <w:basedOn w:val="72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Plain Table 2"/>
    <w:basedOn w:val="72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Plain Table 3"/>
    <w:basedOn w:val="7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customStyle="1">
    <w:name w:val="Plain Table 4"/>
    <w:basedOn w:val="7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customStyle="1">
    <w:name w:val="Plain Table 5"/>
    <w:basedOn w:val="7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1" w:customStyle="1">
    <w:name w:val="Grid Table 1 Light"/>
    <w:basedOn w:val="72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2" w:customStyle="1">
    <w:name w:val="Grid Table 2"/>
    <w:basedOn w:val="7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3" w:customStyle="1">
    <w:name w:val="Grid Table 3"/>
    <w:basedOn w:val="7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4"/>
    <w:basedOn w:val="72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customStyle="1">
    <w:name w:val="Grid Table 5 Dark"/>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6" w:customStyle="1">
    <w:name w:val="Grid Table 6 Colorful"/>
    <w:basedOn w:val="72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7" w:customStyle="1">
    <w:name w:val="Grid Table 7 Colorful"/>
    <w:basedOn w:val="72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8" w:customStyle="1">
    <w:name w:val="List Table 1 Light"/>
    <w:basedOn w:val="72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customStyle="1">
    <w:name w:val="List Table 2"/>
    <w:basedOn w:val="72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0" w:customStyle="1">
    <w:name w:val="List Table 3"/>
    <w:basedOn w:val="7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List Table 4"/>
    <w:basedOn w:val="7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List Table 5 Dark"/>
    <w:basedOn w:val="72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6 Colorful"/>
    <w:basedOn w:val="72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4" w:customStyle="1">
    <w:name w:val="List Table 7 Colorful"/>
    <w:basedOn w:val="72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5" w:customStyle="1">
    <w:name w:val="Footnote Text Char"/>
    <w:uiPriority w:val="99"/>
    <w:qFormat/>
    <w:rPr>
      <w:sz w:val="18"/>
    </w:rPr>
  </w:style>
  <w:style w:type="character" w:styleId="816" w:customStyle="1">
    <w:name w:val="Endnote Text Char"/>
    <w:uiPriority w:val="99"/>
    <w:qFormat/>
    <w:rPr>
      <w:sz w:val="20"/>
    </w:rPr>
  </w:style>
  <w:style w:type="paragraph" w:styleId="817" w:customStyle="1">
    <w:name w:val="TOC Heading"/>
    <w:uiPriority w:val="39"/>
    <w:unhideWhenUsed/>
    <w:qFormat/>
    <w:rPr>
      <w:rFonts w:hint="default" w:ascii="Times New Roman" w:hAnsi="Times New Roman" w:eastAsia="宋体" w:cs="Times New Roman"/>
    </w:rPr>
  </w:style>
  <w:style w:type="paragraph" w:styleId="818" w:customStyle="1">
    <w:name w:val="Default"/>
    <w:next w:val="718"/>
    <w:uiPriority w:val="0"/>
    <w:qFormat/>
    <w:pPr>
      <w:widowControl w:val="off"/>
    </w:pPr>
    <w:rPr>
      <w:rFonts w:hint="default" w:ascii="黑体" w:hAnsi="Times New Roman" w:eastAsia="黑体" w:cs="Times New Roman"/>
      <w:lang w:val="en-US" w:eastAsia="zh-CN" w:bidi="ar-SA"/>
    </w:rPr>
  </w:style>
  <w:style w:type="paragraph" w:styleId="819" w:customStyle="1">
    <w:name w:val="首行缩进"/>
    <w:basedOn w:val="718"/>
    <w:uiPriority w:val="0"/>
    <w:qFormat/>
    <w:pPr>
      <w:ind w:firstLine="420"/>
      <w:spacing w:line="360" w:lineRule="auto"/>
    </w:pPr>
  </w:style>
  <w:style w:type="character" w:styleId="820" w:customStyle="1">
    <w:name w:val="标题 1 字符"/>
    <w:link w:val="719"/>
    <w:uiPriority w:val="9"/>
    <w:qFormat/>
    <w:rPr>
      <w:rFonts w:ascii="Arial" w:hAnsi="Arial" w:eastAsia="宋体" w:cs="Arial"/>
      <w:b/>
      <w:sz w:val="30"/>
      <w:szCs w:val="40"/>
    </w:rPr>
  </w:style>
  <w:style w:type="character" w:styleId="821" w:customStyle="1">
    <w:name w:val="标题 2 字符"/>
    <w:link w:val="720"/>
    <w:uiPriority w:val="9"/>
    <w:qFormat/>
    <w:rPr>
      <w:rFonts w:ascii="Arial" w:hAnsi="Arial" w:eastAsia="Arial" w:cs="Arial"/>
      <w:sz w:val="34"/>
    </w:rPr>
  </w:style>
  <w:style w:type="character" w:styleId="822" w:customStyle="1">
    <w:name w:val="标题 3 字符"/>
    <w:link w:val="721"/>
    <w:uiPriority w:val="9"/>
    <w:qFormat/>
    <w:rPr>
      <w:rFonts w:ascii="Arial" w:hAnsi="Arial" w:eastAsia="Arial" w:cs="Arial"/>
      <w:sz w:val="30"/>
      <w:szCs w:val="30"/>
    </w:rPr>
  </w:style>
  <w:style w:type="character" w:styleId="823" w:customStyle="1">
    <w:name w:val="标题 4 字符"/>
    <w:link w:val="722"/>
    <w:uiPriority w:val="9"/>
    <w:qFormat/>
    <w:rPr>
      <w:rFonts w:ascii="Arial" w:hAnsi="Arial" w:eastAsia="Arial" w:cs="Arial"/>
      <w:b/>
      <w:bCs/>
      <w:sz w:val="26"/>
      <w:szCs w:val="26"/>
    </w:rPr>
  </w:style>
  <w:style w:type="character" w:styleId="824" w:customStyle="1">
    <w:name w:val="标题 5 字符"/>
    <w:link w:val="723"/>
    <w:uiPriority w:val="9"/>
    <w:qFormat/>
    <w:rPr>
      <w:rFonts w:ascii="Arial" w:hAnsi="Arial" w:eastAsia="Arial" w:cs="Arial"/>
      <w:b/>
      <w:bCs/>
      <w:sz w:val="24"/>
      <w:szCs w:val="24"/>
    </w:rPr>
  </w:style>
  <w:style w:type="character" w:styleId="825" w:customStyle="1">
    <w:name w:val="标题 6 字符"/>
    <w:link w:val="724"/>
    <w:uiPriority w:val="9"/>
    <w:qFormat/>
    <w:rPr>
      <w:rFonts w:ascii="Arial" w:hAnsi="Arial" w:eastAsia="Arial" w:cs="Arial"/>
      <w:b/>
      <w:bCs/>
      <w:sz w:val="22"/>
      <w:szCs w:val="22"/>
    </w:rPr>
  </w:style>
  <w:style w:type="character" w:styleId="826" w:customStyle="1">
    <w:name w:val="标题 7 字符"/>
    <w:link w:val="725"/>
    <w:uiPriority w:val="9"/>
    <w:qFormat/>
    <w:rPr>
      <w:rFonts w:ascii="Arial" w:hAnsi="Arial" w:eastAsia="Arial" w:cs="Arial"/>
      <w:b/>
      <w:bCs/>
      <w:i/>
      <w:iCs/>
      <w:sz w:val="22"/>
      <w:szCs w:val="22"/>
    </w:rPr>
  </w:style>
  <w:style w:type="character" w:styleId="827" w:customStyle="1">
    <w:name w:val="标题 8 字符"/>
    <w:link w:val="726"/>
    <w:uiPriority w:val="9"/>
    <w:qFormat/>
    <w:rPr>
      <w:rFonts w:ascii="Arial" w:hAnsi="Arial" w:eastAsia="Arial" w:cs="Arial"/>
      <w:i/>
      <w:iCs/>
      <w:sz w:val="22"/>
      <w:szCs w:val="22"/>
    </w:rPr>
  </w:style>
  <w:style w:type="character" w:styleId="828" w:customStyle="1">
    <w:name w:val="标题 9 字符"/>
    <w:link w:val="727"/>
    <w:uiPriority w:val="9"/>
    <w:qFormat/>
    <w:rPr>
      <w:rFonts w:ascii="Arial" w:hAnsi="Arial" w:eastAsia="Arial" w:cs="Arial"/>
      <w:i/>
      <w:iCs/>
      <w:sz w:val="21"/>
      <w:szCs w:val="21"/>
    </w:rPr>
  </w:style>
  <w:style w:type="paragraph" w:styleId="829">
    <w:name w:val="List Paragraph"/>
    <w:basedOn w:val="718"/>
    <w:uiPriority w:val="34"/>
    <w:qFormat/>
    <w:pPr>
      <w:contextualSpacing/>
      <w:ind w:left="720"/>
    </w:pPr>
  </w:style>
  <w:style w:type="paragraph" w:styleId="830">
    <w:name w:val="No Spacing"/>
    <w:uiPriority w:val="1"/>
    <w:qFormat/>
    <w:rPr>
      <w:rFonts w:hint="default" w:ascii="Times New Roman" w:hAnsi="Times New Roman" w:eastAsia="宋体" w:cs="Times New Roman"/>
      <w:lang w:val="en-US" w:eastAsia="zh-CN" w:bidi="ar-SA"/>
    </w:rPr>
  </w:style>
  <w:style w:type="character" w:styleId="831" w:customStyle="1">
    <w:name w:val="标题 字符"/>
    <w:link w:val="757"/>
    <w:uiPriority w:val="10"/>
    <w:qFormat/>
    <w:rPr>
      <w:sz w:val="48"/>
      <w:szCs w:val="48"/>
    </w:rPr>
  </w:style>
  <w:style w:type="character" w:styleId="832" w:customStyle="1">
    <w:name w:val="副标题 字符"/>
    <w:link w:val="749"/>
    <w:uiPriority w:val="11"/>
    <w:qFormat/>
    <w:rPr>
      <w:sz w:val="24"/>
      <w:szCs w:val="24"/>
    </w:rPr>
  </w:style>
  <w:style w:type="paragraph" w:styleId="833">
    <w:name w:val="Quote"/>
    <w:basedOn w:val="718"/>
    <w:next w:val="718"/>
    <w:link w:val="834"/>
    <w:uiPriority w:val="29"/>
    <w:qFormat/>
    <w:pPr>
      <w:ind w:left="720" w:right="720"/>
    </w:pPr>
    <w:rPr>
      <w:i/>
    </w:rPr>
  </w:style>
  <w:style w:type="character" w:styleId="834" w:customStyle="1">
    <w:name w:val="引用 字符"/>
    <w:link w:val="833"/>
    <w:uiPriority w:val="29"/>
    <w:qFormat/>
    <w:rPr>
      <w:i/>
    </w:rPr>
  </w:style>
  <w:style w:type="paragraph" w:styleId="835">
    <w:name w:val="Intense Quote"/>
    <w:basedOn w:val="718"/>
    <w:next w:val="718"/>
    <w:link w:val="8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6" w:customStyle="1">
    <w:name w:val="明显引用 字符"/>
    <w:link w:val="835"/>
    <w:uiPriority w:val="30"/>
    <w:qFormat/>
    <w:rPr>
      <w:i/>
    </w:rPr>
  </w:style>
  <w:style w:type="character" w:styleId="837" w:customStyle="1">
    <w:name w:val="页眉 字符"/>
    <w:link w:val="746"/>
    <w:uiPriority w:val="99"/>
    <w:qFormat/>
  </w:style>
  <w:style w:type="character" w:styleId="838" w:customStyle="1">
    <w:name w:val="Footer Char"/>
    <w:uiPriority w:val="99"/>
    <w:qFormat/>
  </w:style>
  <w:style w:type="character" w:styleId="839" w:customStyle="1">
    <w:name w:val="页脚 字符"/>
    <w:link w:val="744"/>
    <w:uiPriority w:val="99"/>
    <w:qFormat/>
  </w:style>
  <w:style w:type="table" w:styleId="84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5" w:customStyle="1">
    <w:name w:val="脚注文本 字符"/>
    <w:link w:val="750"/>
    <w:uiPriority w:val="99"/>
    <w:qFormat/>
    <w:rPr>
      <w:sz w:val="18"/>
    </w:rPr>
  </w:style>
  <w:style w:type="character" w:styleId="966" w:customStyle="1">
    <w:name w:val="尾注文本 字符"/>
    <w:link w:val="743"/>
    <w:uiPriority w:val="99"/>
    <w:qFormat/>
    <w:rPr>
      <w:sz w:val="20"/>
    </w:rPr>
  </w:style>
  <w:style w:type="paragraph" w:styleId="967" w:customStyle="1">
    <w:name w:val="TOC 标题1"/>
    <w:uiPriority w:val="39"/>
    <w:unhideWhenUsed/>
    <w:qFormat/>
    <w:rPr>
      <w:rFonts w:hint="default" w:ascii="Times New Roman" w:hAnsi="Times New Roman" w:eastAsia="宋体" w:cs="Times New Roman"/>
      <w:lang w:val="en-US" w:eastAsia="zh-CN" w:bidi="ar-SA"/>
    </w:rPr>
  </w:style>
  <w:style w:type="paragraph" w:styleId="968" w:customStyle="1">
    <w:name w:val="标题 11"/>
    <w:basedOn w:val="718"/>
    <w:next w:val="718"/>
    <w:uiPriority w:val="9"/>
    <w:qFormat/>
    <w:pPr>
      <w:keepLines/>
      <w:keepNext/>
      <w:spacing w:before="340" w:after="330" w:line="578" w:lineRule="auto"/>
      <w:outlineLvl w:val="0"/>
    </w:pPr>
    <w:rPr>
      <w:b/>
      <w:bCs/>
      <w:sz w:val="44"/>
      <w:szCs w:val="44"/>
    </w:rPr>
  </w:style>
  <w:style w:type="paragraph" w:styleId="969" w:customStyle="1">
    <w:name w:val="标题 21"/>
    <w:basedOn w:val="718"/>
    <w:next w:val="71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70" w:customStyle="1">
    <w:name w:val="标题 31"/>
    <w:basedOn w:val="971"/>
    <w:next w:val="718"/>
    <w:uiPriority w:val="0"/>
    <w:qFormat/>
    <w:pPr>
      <w:keepLines/>
      <w:keepNext/>
      <w:spacing w:before="260" w:after="260" w:line="416" w:lineRule="auto"/>
      <w:outlineLvl w:val="2"/>
    </w:pPr>
    <w:rPr>
      <w:b/>
      <w:bCs/>
      <w:sz w:val="32"/>
      <w:szCs w:val="32"/>
    </w:rPr>
  </w:style>
  <w:style w:type="paragraph" w:styleId="971" w:customStyle="1">
    <w:name w:val="正文11"/>
    <w:next w:val="773"/>
    <w:uiPriority w:val="0"/>
    <w:qFormat/>
    <w:pPr>
      <w:jc w:val="both"/>
      <w:widowControl w:val="off"/>
    </w:pPr>
    <w:rPr>
      <w:rFonts w:ascii="Times New Roman" w:hAnsi="Times New Roman" w:eastAsia="宋体" w:cs="Times New Roman"/>
      <w:sz w:val="21"/>
      <w:szCs w:val="22"/>
      <w:lang w:val="en-US" w:eastAsia="zh-CN" w:bidi="ar-SA"/>
    </w:rPr>
  </w:style>
  <w:style w:type="character" w:styleId="972" w:customStyle="1">
    <w:name w:val="默认段落字体1"/>
    <w:uiPriority w:val="1"/>
    <w:unhideWhenUsed/>
    <w:qFormat/>
  </w:style>
  <w:style w:type="table" w:styleId="973" w:customStyle="1">
    <w:name w:val="普通表格1"/>
    <w:uiPriority w:val="99"/>
    <w:unhideWhenUsed/>
    <w:qFormat/>
    <w:tblPr>
      <w:tblCellMar>
        <w:left w:w="0" w:type="dxa"/>
        <w:top w:w="0" w:type="dxa"/>
        <w:right w:w="0" w:type="dxa"/>
        <w:bottom w:w="0" w:type="dxa"/>
      </w:tblCellMar>
    </w:tblPr>
  </w:style>
  <w:style w:type="paragraph" w:styleId="974" w:customStyle="1">
    <w:name w:val="正文文本缩进1"/>
    <w:basedOn w:val="718"/>
    <w:next w:val="975"/>
    <w:uiPriority w:val="0"/>
    <w:qFormat/>
    <w:pPr>
      <w:ind w:left="420"/>
      <w:spacing w:after="120"/>
    </w:pPr>
    <w:rPr>
      <w:rFonts w:ascii="等线" w:hAnsi="等线" w:eastAsia="等线"/>
    </w:rPr>
  </w:style>
  <w:style w:type="paragraph" w:styleId="975" w:customStyle="1">
    <w:name w:val="寄信人地址1"/>
    <w:basedOn w:val="718"/>
    <w:uiPriority w:val="99"/>
    <w:unhideWhenUsed/>
    <w:qFormat/>
    <w:rPr>
      <w:rFonts w:ascii="Arial" w:hAnsi="Arial"/>
    </w:rPr>
  </w:style>
  <w:style w:type="paragraph" w:styleId="976" w:customStyle="1">
    <w:name w:val="正文缩进1"/>
    <w:basedOn w:val="718"/>
    <w:uiPriority w:val="0"/>
    <w:unhideWhenUsed/>
    <w:qFormat/>
    <w:pPr>
      <w:ind w:firstLine="420"/>
    </w:pPr>
  </w:style>
  <w:style w:type="paragraph" w:styleId="977" w:customStyle="1">
    <w:name w:val="批注文字1"/>
    <w:basedOn w:val="718"/>
    <w:link w:val="978"/>
    <w:uiPriority w:val="0"/>
    <w:qFormat/>
    <w:pPr>
      <w:jc w:val="left"/>
    </w:pPr>
  </w:style>
  <w:style w:type="character" w:styleId="978" w:customStyle="1">
    <w:name w:val="批注文字 Char"/>
    <w:link w:val="977"/>
    <w:uiPriority w:val="0"/>
    <w:qFormat/>
    <w:rPr>
      <w:rFonts w:ascii="Calibri" w:hAnsi="Calibri"/>
      <w:sz w:val="21"/>
      <w:szCs w:val="22"/>
    </w:rPr>
  </w:style>
  <w:style w:type="paragraph" w:styleId="979" w:customStyle="1">
    <w:name w:val="正文文本11"/>
    <w:basedOn w:val="718"/>
    <w:next w:val="780"/>
    <w:uiPriority w:val="0"/>
    <w:qFormat/>
    <w:rPr>
      <w:rFonts w:ascii="楷体_GB2312" w:hAnsi="Arial" w:eastAsia="楷体_GB2312"/>
      <w:sz w:val="28"/>
      <w:szCs w:val="28"/>
    </w:rPr>
  </w:style>
  <w:style w:type="paragraph" w:styleId="980" w:customStyle="1">
    <w:name w:val="纯文本1"/>
    <w:basedOn w:val="718"/>
    <w:uiPriority w:val="99"/>
    <w:qFormat/>
    <w:rPr>
      <w:rFonts w:ascii="宋体" w:hAnsi="Courier New"/>
      <w:sz w:val="20"/>
      <w:szCs w:val="21"/>
    </w:rPr>
  </w:style>
  <w:style w:type="paragraph" w:styleId="981" w:customStyle="1">
    <w:name w:val="正文文本缩进 21"/>
    <w:basedOn w:val="718"/>
    <w:uiPriority w:val="0"/>
    <w:qFormat/>
    <w:pPr>
      <w:ind w:left="640"/>
      <w:spacing w:after="120" w:line="480" w:lineRule="auto"/>
    </w:pPr>
    <w:rPr>
      <w:rFonts w:eastAsia="仿宋_GB2312"/>
      <w:sz w:val="32"/>
      <w:szCs w:val="28"/>
    </w:rPr>
  </w:style>
  <w:style w:type="paragraph" w:styleId="982" w:customStyle="1">
    <w:name w:val="批注框文本1"/>
    <w:basedOn w:val="718"/>
    <w:link w:val="983"/>
    <w:uiPriority w:val="0"/>
    <w:qFormat/>
    <w:rPr>
      <w:sz w:val="18"/>
      <w:szCs w:val="18"/>
    </w:rPr>
  </w:style>
  <w:style w:type="character" w:styleId="983" w:customStyle="1">
    <w:name w:val="批注框文本 Char"/>
    <w:link w:val="982"/>
    <w:uiPriority w:val="0"/>
    <w:qFormat/>
    <w:rPr>
      <w:sz w:val="18"/>
      <w:szCs w:val="18"/>
    </w:rPr>
  </w:style>
  <w:style w:type="paragraph" w:styleId="984" w:customStyle="1">
    <w:name w:val="页脚1"/>
    <w:basedOn w:val="718"/>
    <w:uiPriority w:val="99"/>
    <w:unhideWhenUsed/>
    <w:qFormat/>
    <w:pPr>
      <w:jc w:val="left"/>
      <w:tabs>
        <w:tab w:val="center" w:pos="4153" w:leader="none"/>
        <w:tab w:val="right" w:pos="8306" w:leader="none"/>
      </w:tabs>
    </w:pPr>
    <w:rPr>
      <w:sz w:val="18"/>
      <w:szCs w:val="18"/>
    </w:rPr>
  </w:style>
  <w:style w:type="paragraph" w:styleId="985" w:customStyle="1">
    <w:name w:val="页眉1"/>
    <w:basedOn w:val="718"/>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86" w:customStyle="1">
    <w:name w:val="目录 11"/>
    <w:basedOn w:val="718"/>
    <w:next w:val="718"/>
    <w:uiPriority w:val="39"/>
    <w:unhideWhenUsed/>
    <w:qFormat/>
  </w:style>
  <w:style w:type="paragraph" w:styleId="987" w:customStyle="1">
    <w:name w:val="目录 21"/>
    <w:basedOn w:val="718"/>
    <w:next w:val="718"/>
    <w:uiPriority w:val="0"/>
    <w:qFormat/>
    <w:pPr>
      <w:ind w:left="420"/>
    </w:pPr>
  </w:style>
  <w:style w:type="paragraph" w:styleId="988" w:customStyle="1">
    <w:name w:val="信息标题1"/>
    <w:basedOn w:val="718"/>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89" w:customStyle="1">
    <w:name w:val="普通(网站)1"/>
    <w:basedOn w:val="718"/>
    <w:uiPriority w:val="0"/>
    <w:qFormat/>
    <w:rPr>
      <w:rFonts w:ascii="Times New Roman" w:hAnsi="Times New Roman"/>
      <w:sz w:val="24"/>
    </w:rPr>
  </w:style>
  <w:style w:type="paragraph" w:styleId="990" w:customStyle="1">
    <w:name w:val="批注主题1"/>
    <w:basedOn w:val="977"/>
    <w:next w:val="977"/>
    <w:link w:val="991"/>
    <w:uiPriority w:val="0"/>
    <w:qFormat/>
    <w:rPr>
      <w:b/>
      <w:bCs/>
    </w:rPr>
  </w:style>
  <w:style w:type="character" w:styleId="991" w:customStyle="1">
    <w:name w:val="批注主题 Char"/>
    <w:link w:val="990"/>
    <w:uiPriority w:val="0"/>
    <w:qFormat/>
    <w:rPr>
      <w:rFonts w:ascii="Calibri" w:hAnsi="Calibri"/>
      <w:b/>
      <w:bCs/>
      <w:sz w:val="21"/>
      <w:szCs w:val="22"/>
    </w:rPr>
  </w:style>
  <w:style w:type="paragraph" w:styleId="992" w:customStyle="1">
    <w:name w:val="正文首行缩进 21"/>
    <w:basedOn w:val="974"/>
    <w:next w:val="718"/>
    <w:uiPriority w:val="0"/>
    <w:qFormat/>
    <w:pPr>
      <w:ind w:firstLine="420"/>
      <w:spacing w:before="100" w:beforeAutospacing="1"/>
    </w:pPr>
    <w:rPr>
      <w:rFonts w:ascii="Times New Roman" w:hAnsi="Times New Roman" w:eastAsia="宋体"/>
      <w:sz w:val="20"/>
      <w:szCs w:val="21"/>
    </w:rPr>
  </w:style>
  <w:style w:type="table" w:styleId="993" w:customStyle="1">
    <w:name w:val="网格型1"/>
    <w:basedOn w:val="973"/>
    <w:uiPriority w:val="0"/>
    <w:qFormat/>
    <w:pPr>
      <w:jc w:val="both"/>
      <w:widowControl w:val="off"/>
    </w:pPr>
    <w:tblPr>
      <w:tblCellMar>
        <w:left w:w="0" w:type="dxa"/>
        <w:top w:w="0" w:type="dxa"/>
        <w:right w:w="0" w:type="dxa"/>
        <w:bottom w:w="0" w:type="dxa"/>
      </w:tblCellMar>
    </w:tblPr>
  </w:style>
  <w:style w:type="character" w:styleId="994" w:customStyle="1">
    <w:name w:val="要点1"/>
    <w:uiPriority w:val="0"/>
    <w:qFormat/>
    <w:rPr>
      <w:b/>
    </w:rPr>
  </w:style>
  <w:style w:type="character" w:styleId="995" w:customStyle="1">
    <w:name w:val="强调1"/>
    <w:uiPriority w:val="0"/>
    <w:qFormat/>
    <w:rPr>
      <w:i/>
    </w:rPr>
  </w:style>
  <w:style w:type="character" w:styleId="996" w:customStyle="1">
    <w:name w:val="超链接1"/>
    <w:uiPriority w:val="0"/>
    <w:qFormat/>
    <w:rPr>
      <w:color w:val="0000ff"/>
      <w:u w:val="single"/>
    </w:rPr>
  </w:style>
  <w:style w:type="character" w:styleId="997" w:customStyle="1">
    <w:name w:val="批注引用1"/>
    <w:uiPriority w:val="0"/>
    <w:qFormat/>
    <w:rPr>
      <w:sz w:val="21"/>
      <w:szCs w:val="21"/>
    </w:rPr>
  </w:style>
  <w:style w:type="paragraph" w:styleId="998" w:customStyle="1">
    <w:name w:val="Char"/>
    <w:basedOn w:val="718"/>
    <w:uiPriority w:val="0"/>
    <w:qFormat/>
    <w:pPr>
      <w:ind w:firstLine="200"/>
      <w:tabs>
        <w:tab w:val="left" w:pos="360" w:leader="none"/>
      </w:tabs>
    </w:pPr>
    <w:rPr>
      <w:rFonts w:ascii="Times New Roman" w:hAnsi="Times New Roman"/>
      <w:sz w:val="28"/>
      <w:szCs w:val="30"/>
    </w:rPr>
  </w:style>
  <w:style w:type="paragraph" w:styleId="999" w:customStyle="1">
    <w:name w:val="Table Paragraph"/>
    <w:basedOn w:val="718"/>
    <w:uiPriority w:val="1"/>
    <w:qFormat/>
    <w:rPr>
      <w:rFonts w:ascii="Noto Sans CJK JP Regular" w:hAnsi="Noto Sans CJK JP Regular" w:eastAsia="Noto Sans CJK JP Regular" w:cs="Noto Sans CJK JP Regular"/>
    </w:rPr>
  </w:style>
  <w:style w:type="paragraph" w:styleId="1000" w:customStyle="1">
    <w:name w:val="正文（1）"/>
    <w:basedOn w:val="718"/>
    <w:uiPriority w:val="0"/>
    <w:qFormat/>
    <w:pPr>
      <w:numPr>
        <w:ilvl w:val="0"/>
        <w:numId w:val="2"/>
      </w:numPr>
      <w:ind w:firstLine="200"/>
    </w:pPr>
    <w:rPr>
      <w:szCs w:val="24"/>
    </w:rPr>
  </w:style>
  <w:style w:type="paragraph" w:styleId="1001" w:customStyle="1">
    <w:name w:val="朱-正文"/>
    <w:basedOn w:val="718"/>
    <w:uiPriority w:val="0"/>
    <w:qFormat/>
    <w:pPr>
      <w:ind w:firstLine="200"/>
    </w:pPr>
    <w:rPr>
      <w:rFonts w:ascii="Times New Roman"/>
      <w:color w:val="000000"/>
      <w:szCs w:val="24"/>
      <w:lang w:val="en-GB"/>
    </w:rPr>
  </w:style>
  <w:style w:type="paragraph" w:styleId="1002" w:customStyle="1">
    <w:name w:val="GP正文(首行缩进)"/>
    <w:basedOn w:val="718"/>
    <w:uiPriority w:val="0"/>
    <w:qFormat/>
    <w:pPr>
      <w:ind w:firstLine="480"/>
      <w:jc w:val="left"/>
    </w:pPr>
    <w:rPr>
      <w:rFonts w:ascii="Times New Roman" w:hAnsi="宋体"/>
      <w:sz w:val="24"/>
      <w:szCs w:val="24"/>
    </w:rPr>
  </w:style>
  <w:style w:type="character" w:styleId="1003" w:customStyle="1">
    <w:name w:val="font71"/>
    <w:basedOn w:val="728"/>
    <w:uiPriority w:val="0"/>
    <w:qFormat/>
    <w:rPr>
      <w:rFonts w:hint="eastAsia" w:ascii="宋体" w:hAnsi="宋体" w:eastAsia="宋体" w:cs="宋体"/>
      <w:color w:val="ff0000"/>
      <w:sz w:val="21"/>
      <w:szCs w:val="21"/>
      <w:u w:val="none"/>
    </w:rPr>
  </w:style>
  <w:style w:type="character" w:styleId="1004" w:customStyle="1">
    <w:name w:val="font41"/>
    <w:uiPriority w:val="0"/>
    <w:qFormat/>
    <w:rPr>
      <w:rFonts w:hint="eastAsia" w:ascii="宋体" w:hAnsi="宋体" w:eastAsia="宋体" w:cs="宋体"/>
      <w:color w:val="000000"/>
      <w:sz w:val="21"/>
      <w:szCs w:val="21"/>
      <w:u w:val="none"/>
    </w:rPr>
  </w:style>
  <w:style w:type="paragraph" w:styleId="1005" w:customStyle="1">
    <w:name w:val="列出段落"/>
    <w:basedOn w:val="718"/>
    <w:uiPriority w:val="0"/>
    <w:qFormat/>
    <w:pPr>
      <w:ind w:firstLine="420"/>
    </w:pPr>
  </w:style>
  <w:style w:type="paragraph" w:styleId="1006" w:customStyle="1">
    <w:name w:val="列出段落2"/>
    <w:basedOn w:val="718"/>
    <w:uiPriority w:val="34"/>
    <w:qFormat/>
    <w:pPr>
      <w:ind w:firstLine="420"/>
    </w:pPr>
    <w:rPr>
      <w:rFonts w:ascii="宋体"/>
      <w:color w:val="404040"/>
    </w:rPr>
  </w:style>
  <w:style w:type="paragraph" w:styleId="1007" w:customStyle="1">
    <w:name w:val="列表段落1"/>
    <w:basedOn w:val="718"/>
    <w:uiPriority w:val="0"/>
    <w:qFormat/>
    <w:pPr>
      <w:ind w:firstLine="200"/>
    </w:pPr>
    <w:rPr>
      <w:rFonts w:cs="宋体"/>
    </w:rPr>
  </w:style>
  <w:style w:type="character" w:styleId="1008" w:customStyle="1">
    <w:name w:val="font51"/>
    <w:uiPriority w:val="0"/>
    <w:qFormat/>
    <w:rPr>
      <w:rFonts w:hint="eastAsia" w:ascii="宋体" w:hAnsi="宋体" w:eastAsia="宋体" w:cs="宋体"/>
      <w:color w:val="000000"/>
      <w:sz w:val="24"/>
      <w:szCs w:val="24"/>
      <w:u w:val="none"/>
      <w:vertAlign w:val="subscript"/>
    </w:rPr>
  </w:style>
  <w:style w:type="character" w:styleId="1009" w:customStyle="1">
    <w:name w:val="font61"/>
    <w:basedOn w:val="728"/>
    <w:uiPriority w:val="0"/>
    <w:qFormat/>
    <w:rPr>
      <w:rFonts w:hint="eastAsia" w:ascii="宋体" w:hAnsi="宋体" w:eastAsia="宋体" w:cs="宋体"/>
      <w:color w:val="000000"/>
      <w:sz w:val="24"/>
      <w:szCs w:val="24"/>
      <w:u w:val="none"/>
    </w:rPr>
  </w:style>
  <w:style w:type="character" w:styleId="1010" w:customStyle="1">
    <w:name w:val="font01"/>
    <w:uiPriority w:val="0"/>
    <w:qFormat/>
    <w:rPr>
      <w:rFonts w:hint="eastAsia" w:ascii="宋体" w:hAnsi="宋体" w:eastAsia="宋体" w:cs="宋体"/>
      <w:color w:val="000000"/>
      <w:sz w:val="24"/>
      <w:szCs w:val="24"/>
      <w:u w:val="none"/>
    </w:rPr>
  </w:style>
  <w:style w:type="character" w:styleId="1011" w:customStyle="1">
    <w:name w:val="font81"/>
    <w:uiPriority w:val="0"/>
    <w:qFormat/>
    <w:rPr>
      <w:rFonts w:ascii="微软雅黑" w:hAnsi="微软雅黑" w:eastAsia="微软雅黑" w:cs="微软雅黑"/>
      <w:color w:val="000000"/>
      <w:sz w:val="24"/>
      <w:szCs w:val="24"/>
      <w:u w:val="none"/>
    </w:rPr>
  </w:style>
  <w:style w:type="character" w:styleId="1012" w:customStyle="1">
    <w:name w:val="font91"/>
    <w:basedOn w:val="728"/>
    <w:uiPriority w:val="0"/>
    <w:qFormat/>
    <w:rPr>
      <w:rFonts w:ascii="Segoe UI Symbol" w:hAnsi="Segoe UI Symbol" w:eastAsia="Segoe UI Symbol" w:cs="Segoe UI Symbol"/>
      <w:color w:val="000000"/>
      <w:sz w:val="24"/>
      <w:szCs w:val="24"/>
      <w:u w:val="none"/>
    </w:rPr>
  </w:style>
  <w:style w:type="character" w:styleId="1013" w:customStyle="1">
    <w:name w:val="font101"/>
    <w:uiPriority w:val="0"/>
    <w:qFormat/>
    <w:rPr>
      <w:rFonts w:ascii="Calibri" w:hAnsi="Calibri" w:cs="Calibri"/>
      <w:color w:val="000000"/>
      <w:sz w:val="24"/>
      <w:szCs w:val="24"/>
      <w:u w:val="none"/>
    </w:rPr>
  </w:style>
  <w:style w:type="paragraph" w:styleId="1014" w:customStyle="1">
    <w:name w:val="TableItem"/>
    <w:uiPriority w:val="0"/>
    <w:qFormat/>
    <w:rPr>
      <w:rFonts w:hint="default" w:ascii="Verdana" w:hAnsi="Verdana" w:eastAsia="宋体" w:cs="Verdana"/>
      <w:b/>
      <w:bCs/>
      <w:color w:val="538135"/>
      <w:spacing w:val="-10"/>
      <w:sz w:val="16"/>
      <w:szCs w:val="28"/>
      <w:lang w:val="en-US" w:eastAsia="zh-CN" w:bidi="ar-SA"/>
    </w:rPr>
  </w:style>
  <w:style w:type="paragraph" w:styleId="1015" w:customStyle="1">
    <w:name w:val="TableEmphasis"/>
    <w:basedOn w:val="718"/>
    <w:uiPriority w:val="0"/>
    <w:qFormat/>
    <w:rPr>
      <w:rFonts w:ascii="Times New Roman" w:hAnsi="Times New Roman" w:eastAsia="Times New Roman"/>
      <w:b/>
      <w:bCs/>
      <w:color w:val="3333ff"/>
      <w:sz w:val="16"/>
      <w:szCs w:val="18"/>
    </w:rPr>
  </w:style>
  <w:style w:type="paragraph" w:styleId="1016" w:customStyle="1">
    <w:name w:val="修订1"/>
    <w:uiPriority w:val="99"/>
    <w:unhideWhenUsed/>
    <w:qFormat/>
    <w:rPr>
      <w:rFonts w:hint="default" w:ascii="Calibri" w:hAnsi="Calibri" w:eastAsia="宋体" w:cs="Times New Roman"/>
      <w:sz w:val="21"/>
      <w:szCs w:val="22"/>
      <w:lang w:val="en-US" w:eastAsia="zh-CN" w:bidi="ar-SA"/>
    </w:rPr>
  </w:style>
  <w:style w:type="paragraph" w:styleId="1017" w:customStyle="1">
    <w:name w:val="修订2"/>
    <w:uiPriority w:val="99"/>
    <w:semiHidden/>
    <w:qFormat/>
    <w:rPr>
      <w:rFonts w:hint="default" w:ascii="Calibri" w:hAnsi="Calibri" w:eastAsia="宋体" w:cs="Times New Roman"/>
      <w:sz w:val="21"/>
      <w:szCs w:val="22"/>
      <w:lang w:val="en-US" w:eastAsia="zh-CN" w:bidi="ar-SA"/>
    </w:rPr>
  </w:style>
  <w:style w:type="character" w:styleId="1018" w:customStyle="1">
    <w:name w:val="font11"/>
    <w:uiPriority w:val="0"/>
    <w:qFormat/>
    <w:rPr>
      <w:rFonts w:hint="eastAsia" w:ascii="宋体" w:hAnsi="宋体" w:eastAsia="宋体" w:cs="宋体"/>
      <w:color w:val="000000"/>
      <w:sz w:val="24"/>
      <w:szCs w:val="24"/>
      <w:u w:val="none"/>
    </w:rPr>
  </w:style>
  <w:style w:type="character" w:styleId="1019" w:customStyle="1">
    <w:name w:val="font21"/>
    <w:basedOn w:val="728"/>
    <w:uiPriority w:val="0"/>
    <w:qFormat/>
    <w:rPr>
      <w:rFonts w:ascii="Segoe UI Symbol" w:hAnsi="Segoe UI Symbol" w:eastAsia="Segoe UI Symbol" w:cs="Segoe UI Symbol"/>
      <w:color w:val="000000"/>
      <w:sz w:val="24"/>
      <w:szCs w:val="24"/>
      <w:u w:val="none"/>
    </w:rPr>
  </w:style>
  <w:style w:type="character" w:styleId="1020" w:customStyle="1">
    <w:name w:val="NormalCharacter1"/>
    <w:uiPriority w:val="0"/>
    <w:semiHidden/>
    <w:qFormat/>
  </w:style>
  <w:style w:type="character" w:styleId="1021" w:customStyle="1">
    <w:name w:val="font31"/>
    <w:uiPriority w:val="0"/>
    <w:qFormat/>
    <w:rPr>
      <w:rFonts w:hint="eastAsia" w:ascii="宋体" w:hAnsi="宋体" w:eastAsia="宋体" w:cs="宋体"/>
      <w:color w:val="000000"/>
      <w:sz w:val="21"/>
      <w:szCs w:val="21"/>
      <w:u w:val="none"/>
    </w:rPr>
  </w:style>
  <w:style w:type="paragraph" w:styleId="1022" w:customStyle="1">
    <w:name w:val="无间隔1"/>
    <w:uiPriority w:val="1"/>
    <w:qFormat/>
    <w:rPr>
      <w:rFonts w:hint="default" w:ascii="Times New Roman" w:hAnsi="Times New Roman" w:eastAsia="宋体" w:cs="Times New Roman"/>
      <w:lang w:val="en-US" w:eastAsia="zh-CN" w:bidi="ar-SA"/>
    </w:rPr>
  </w:style>
  <w:style w:type="paragraph" w:styleId="1023" w:customStyle="1">
    <w:name w:val="索引 41"/>
    <w:basedOn w:val="718"/>
    <w:next w:val="718"/>
    <w:uiPriority w:val="99"/>
    <w:unhideWhenUsed/>
    <w:qFormat/>
    <w:pPr>
      <w:ind w:left="600"/>
    </w:pPr>
    <w:rPr>
      <w:rFonts w:ascii="Verdana" w:hAnsi="Verdana" w:eastAsia="微软雅黑"/>
      <w:szCs w:val="20"/>
    </w:rPr>
  </w:style>
  <w:style w:type="paragraph" w:styleId="1024" w:customStyle="1">
    <w:name w:val="样式 宋体 加粗 居中"/>
    <w:basedOn w:val="718"/>
    <w:uiPriority w:val="0"/>
    <w:qFormat/>
    <w:pPr>
      <w:jc w:val="center"/>
    </w:pPr>
    <w:rPr>
      <w:rFonts w:ascii="宋体" w:hAnsi="宋体" w:cs="宋体"/>
      <w:b/>
      <w:bCs/>
      <w:sz w:val="32"/>
      <w:szCs w:val="20"/>
    </w:rPr>
  </w:style>
  <w:style w:type="character" w:styleId="1025" w:customStyle="1">
    <w:name w:val="font151"/>
    <w:basedOn w:val="728"/>
    <w:uiPriority w:val="0"/>
    <w:qFormat/>
    <w:rPr>
      <w:rFonts w:hint="eastAsia" w:ascii="宋体" w:hAnsi="宋体" w:eastAsia="宋体" w:cs="宋体"/>
      <w:color w:val="000000"/>
      <w:sz w:val="24"/>
      <w:szCs w:val="24"/>
      <w:u w:val="none"/>
    </w:rPr>
  </w:style>
  <w:style w:type="character" w:styleId="1026" w:customStyle="1">
    <w:name w:val="font161"/>
    <w:basedOn w:val="728"/>
    <w:uiPriority w:val="0"/>
    <w:qFormat/>
    <w:rPr>
      <w:rFonts w:hint="eastAsia" w:ascii="宋体" w:hAnsi="宋体" w:eastAsia="宋体" w:cs="宋体"/>
      <w:color w:val="000000"/>
      <w:sz w:val="24"/>
      <w:szCs w:val="24"/>
      <w:u w:val="none"/>
    </w:rPr>
  </w:style>
  <w:style w:type="character" w:styleId="1027" w:customStyle="1">
    <w:name w:val="font171"/>
    <w:basedOn w:val="728"/>
    <w:uiPriority w:val="0"/>
    <w:qFormat/>
    <w:rPr>
      <w:rFonts w:hint="eastAsia" w:ascii="宋体" w:hAnsi="宋体" w:eastAsia="宋体" w:cs="宋体"/>
      <w:color w:val="000000"/>
      <w:sz w:val="24"/>
      <w:szCs w:val="24"/>
      <w:u w:val="none"/>
    </w:rPr>
  </w:style>
  <w:style w:type="table" w:styleId="1028" w:customStyle="1">
    <w:name w:val="Table Normal"/>
    <w:uiPriority w:val="2"/>
    <w:semiHidden/>
    <w:unhideWhenUsed/>
    <w:qFormat/>
    <w:tblPr>
      <w:tblCellMar>
        <w:left w:w="0" w:type="dxa"/>
        <w:top w:w="0" w:type="dxa"/>
        <w:right w:w="0" w:type="dxa"/>
        <w:bottom w:w="0" w:type="dxa"/>
      </w:tblCellMar>
    </w:tblPr>
  </w:style>
  <w:style w:type="character" w:styleId="1029" w:customStyle="1">
    <w:name w:val="NormalCharacter"/>
    <w:uiPriority w:val="0"/>
    <w:semiHidden/>
    <w:qFormat/>
    <w:rPr>
      <w:rFonts w:ascii="Calibri" w:hAnsi="Calibri" w:eastAsia="宋体" w:cs="Times New Roman"/>
      <w:sz w:val="21"/>
      <w:szCs w:val="22"/>
      <w:lang w:val="en-US" w:eastAsia="zh-CN" w:bidi="ar-SA"/>
    </w:rPr>
  </w:style>
  <w:style w:type="paragraph" w:styleId="1030" w:customStyle="1">
    <w:name w:val="正文(其它)"/>
    <w:basedOn w:val="718"/>
    <w:uiPriority w:val="99"/>
    <w:qFormat/>
    <w:pPr>
      <w:ind w:firstLine="0"/>
      <w:jc w:val="center"/>
    </w:pPr>
    <w:rPr>
      <w:rFonts w:ascii="黑体" w:eastAsia="黑体"/>
      <w:sz w:val="32"/>
      <w:szCs w:val="32"/>
    </w:rPr>
  </w:style>
  <w:style w:type="numbering" w:styleId="10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jpg"/><Relationship Id="rId15" Type="http://schemas.openxmlformats.org/officeDocument/2006/relationships/image" Target="media/image2.png"/><Relationship Id="rId16" Type="http://schemas.onlyoffice.com/commentsDocument" Target="commentsDocument.xml" /><Relationship Id="rId17" Type="http://schemas.onlyoffice.com/commentsExtendedDocument" Target="commentsExtendedDocument.xml" /><Relationship Id="rId18" Type="http://schemas.onlyoffice.com/commentsIdsDocument" Target="commentsIdsDocument.xml" /><Relationship Id="rId19" Type="http://schemas.onlyoffice.com/peopleDocument" Target="peopleDocument.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刘洋</cp:lastModifiedBy>
  <cp:revision>21</cp:revision>
  <dcterms:created xsi:type="dcterms:W3CDTF">2024-08-07T07:47:00Z</dcterms:created>
  <dcterms:modified xsi:type="dcterms:W3CDTF">2026-09-14T08:24:10Z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50861CB8059F475DAE14289DC9862274_13</vt:lpwstr>
  </property>
  <property fmtid="{D5CDD505-2E9C-101B-9397-08002B2CF9AE}" pid="4" name="KSOTemplateDocerSaveRecord">
    <vt:lpwstr>eyJoZGlkIjoiOGNhMmY2MTcwYzE2ZDNkYjhjMjlkYmYwM2MzNmE0MWYiLCJ1c2VySWQiOiIyMzUzNzM0NTYifQ==</vt:lpwstr>
  </property>
</Properties>
</file>