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48"/>
          <w:szCs w:val="48"/>
          <w:highlight w:val="none"/>
        </w:rPr>
      </w:pPr>
      <w:r>
        <w:rPr>
          <w:rFonts w:ascii="Arial" w:hAnsi="Arial" w:eastAsia="黑体"/>
          <w:b/>
          <w:bCs/>
          <w:color w:val="auto"/>
          <w:sz w:val="48"/>
          <w:szCs w:val="48"/>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项目名称：海安市实验中学外迁工程家具采购项目</w:t>
      </w:r>
      <w:r/>
    </w:p>
    <w:p>
      <w:pPr>
        <w:ind w:firstLine="640"/>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项目编号：JSZC-320685-NTHL-G2026-0008</w:t>
      </w:r>
      <w:r/>
    </w:p>
    <w:p>
      <w:pPr>
        <w:rPr>
          <w:b/>
          <w:color w:val="auto"/>
          <w:sz w:val="24"/>
          <w:szCs w:val="24"/>
          <w:highlight w:val="none"/>
        </w:rPr>
      </w:pPr>
      <w:r>
        <w:rPr>
          <w:b/>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海安市实验中学</w:t>
      </w:r>
      <w:r/>
    </w:p>
    <w:p>
      <w:pPr>
        <w:jc w:val="center"/>
        <w:spacing w:before="120" w:after="120" w:line="360" w:lineRule="auto"/>
        <w:rPr>
          <w:rFonts w:ascii="Arial" w:hAnsi="Arial"/>
          <w:color w:val="auto"/>
          <w:sz w:val="24"/>
          <w:szCs w:val="24"/>
          <w:highlight w:val="none"/>
          <w:u w:val="single"/>
        </w:rPr>
      </w:pPr>
      <w:r>
        <w:rPr>
          <w:rFonts w:hint="eastAsia" w:ascii="Arial" w:hAnsi="Arial"/>
          <w:b/>
          <w:bCs/>
          <w:color w:val="auto"/>
          <w:sz w:val="32"/>
          <w:szCs w:val="24"/>
          <w:highlight w:val="none"/>
        </w:rPr>
        <w:t xml:space="preserve">2026年9月24日</w:t>
      </w:r>
      <w:r/>
    </w:p>
    <w:p>
      <w:pPr>
        <w:jc w:val="center"/>
        <w:spacing w:line="480" w:lineRule="auto"/>
        <w:rPr>
          <w:color w:val="auto"/>
          <w:szCs w:val="21"/>
          <w:highlight w:val="none"/>
        </w:rPr>
        <w:outlineLvl w:val="0"/>
      </w:pPr>
      <w:r>
        <w:rPr>
          <w:color w:val="auto"/>
          <w:szCs w:val="21"/>
          <w:highlight w:val="none"/>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ascii="黑体" w:eastAsia="黑体"/>
          <w:color w:val="auto"/>
          <w:sz w:val="32"/>
          <w:szCs w:val="32"/>
          <w:highlight w:val="none"/>
        </w:rPr>
        <w:outlineLvl w:val="0"/>
      </w:pPr>
      <w:r>
        <w:rPr>
          <w:rFonts w:ascii="黑体" w:eastAsia="黑体"/>
          <w:color w:val="auto"/>
          <w:sz w:val="32"/>
          <w:szCs w:val="32"/>
          <w:highlight w:val="none"/>
        </w:rPr>
      </w:r>
      <w:r/>
    </w:p>
    <w:p>
      <w:pPr>
        <w:jc w:val="center"/>
        <w:keepNext/>
        <w:rPr>
          <w:rFonts w:ascii="黑体" w:eastAsia="黑体"/>
          <w:color w:val="auto"/>
          <w:sz w:val="32"/>
          <w:szCs w:val="32"/>
          <w:highlight w:val="none"/>
        </w:rPr>
        <w:outlineLvl w:val="0"/>
      </w:pPr>
      <w:r>
        <w:rPr>
          <w:rFonts w:hint="eastAsia" w:ascii="黑体" w:eastAsia="黑体"/>
          <w:color w:val="auto"/>
          <w:sz w:val="32"/>
          <w:szCs w:val="32"/>
          <w:highlight w:val="none"/>
        </w:rPr>
        <w:t xml:space="preserve">第一章  </w:t>
      </w:r>
      <w:bookmarkEnd w:id="0"/>
      <w:r>
        <w:rPr>
          <w:rFonts w:hint="eastAsia" w:ascii="黑体" w:eastAsia="黑体"/>
          <w:color w:val="auto"/>
          <w:sz w:val="32"/>
          <w:szCs w:val="32"/>
          <w:highlight w:val="none"/>
        </w:rPr>
        <w:t xml:space="preserve">投标邀请</w:t>
      </w:r>
      <w:r/>
    </w:p>
    <w:p>
      <w:pPr>
        <w:ind w:firstLine="480"/>
        <w:keepNext/>
        <w:spacing w:line="440" w:lineRule="exact"/>
        <w:rPr>
          <w:rFonts w:ascii="宋体" w:hAnsi="宋体"/>
          <w:color w:val="auto"/>
          <w:sz w:val="24"/>
          <w:szCs w:val="24"/>
          <w:highlight w:val="none"/>
        </w:rPr>
        <w:outlineLvl w:val="0"/>
      </w:pPr>
      <w:r>
        <w:rPr>
          <w:rFonts w:hint="eastAsia" w:ascii="宋体" w:hAnsi="宋体"/>
          <w:color w:val="auto"/>
          <w:sz w:val="24"/>
          <w:szCs w:val="24"/>
          <w:highlight w:val="none"/>
        </w:rPr>
        <w:t xml:space="preserve">受海安市实验中学的委托，南通海陵工程项目管理有限公司就海安市实验中学外迁工程家具采购项目（</w:t>
      </w:r>
      <w:r>
        <w:rPr>
          <w:rFonts w:hint="eastAsia" w:ascii="宋体" w:hAnsi="宋体"/>
          <w:color w:val="auto"/>
          <w:sz w:val="24"/>
          <w:szCs w:val="24"/>
          <w:highlight w:val="none"/>
        </w:rPr>
        <w:t xml:space="preserve">项目编号：JSZC-320685-NTHL-G2026-0008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项目进行公开招标采购，欢迎符合条件的供应商投标。</w:t>
      </w:r>
      <w:r/>
    </w:p>
    <w:p>
      <w:pPr>
        <w:ind w:firstLine="480"/>
        <w:spacing w:line="44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4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海安市实验中学外迁工程家具采购项目</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年10月15日09点00分（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6"/>
        <w:keepLines/>
        <w:keepNext/>
        <w:spacing w:before="156" w:after="156" w:line="440" w:lineRule="exact"/>
        <w:rPr>
          <w:rFonts w:ascii="宋体" w:hAnsi="宋体"/>
          <w:b/>
          <w:bCs/>
          <w:color w:val="auto"/>
          <w:sz w:val="24"/>
          <w:szCs w:val="24"/>
          <w:highlight w:val="none"/>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宋体" w:hAnsi="宋体"/>
          <w:b/>
          <w:bCs/>
          <w:color w:val="auto"/>
          <w:sz w:val="24"/>
          <w:szCs w:val="24"/>
          <w:highlight w:val="none"/>
        </w:rPr>
        <w:t xml:space="preserve">一、项目基本情况</w:t>
      </w:r>
      <w:bookmarkEnd w:id="6"/>
      <w:r/>
      <w:bookmarkEnd w:id="7"/>
      <w:r/>
      <w:bookmarkEnd w:id="8"/>
      <w:r/>
      <w:bookmarkEnd w:id="9"/>
      <w:r/>
      <w:bookmarkEnd w:id="10"/>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1.项目编号：JSZC-320685-NTHL-G2026-0008</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2.项目名称：海安市实验中学外迁工程家具采购项目</w:t>
      </w:r>
      <w:bookmarkEnd w:id="11"/>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5.预算金额：419.00万元</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6.最高</w:t>
      </w:r>
      <w:r>
        <w:rPr>
          <w:rFonts w:ascii="宋体" w:hAnsi="宋体"/>
          <w:color w:val="auto"/>
          <w:sz w:val="24"/>
          <w:szCs w:val="24"/>
          <w:highlight w:val="none"/>
        </w:rPr>
        <w:t xml:space="preserve">限价</w:t>
      </w:r>
      <w:r>
        <w:rPr>
          <w:rFonts w:hint="eastAsia" w:ascii="宋体" w:hAnsi="宋体"/>
          <w:color w:val="auto"/>
          <w:sz w:val="24"/>
          <w:szCs w:val="24"/>
          <w:highlight w:val="none"/>
        </w:rPr>
        <w:t xml:space="preserve">：419.00万元，投标报价超过最高限价的投标将作为无效投标处理。</w:t>
      </w:r>
      <w:r/>
    </w:p>
    <w:p>
      <w:pPr>
        <w:ind w:firstLine="480"/>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7.采购需求：详细内容见本招标文件第三章，请仔细研究。</w:t>
      </w:r>
      <w:r/>
    </w:p>
    <w:p>
      <w:pPr>
        <w:ind w:firstLine="480"/>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w:t>
      </w:r>
      <w:r>
        <w:rPr>
          <w:rFonts w:hint="eastAsia" w:ascii="宋体" w:hAnsi="宋体"/>
          <w:bCs/>
          <w:color w:val="auto"/>
          <w:sz w:val="24"/>
          <w:szCs w:val="24"/>
          <w:highlight w:val="none"/>
        </w:rPr>
        <w:t xml:space="preserve">60日历天。</w:t>
      </w:r>
      <w:r/>
    </w:p>
    <w:p>
      <w:pPr>
        <w:ind w:firstLine="496"/>
        <w:keepLines/>
        <w:keepNext/>
        <w:spacing w:before="156" w:after="156" w:line="440" w:lineRule="exact"/>
        <w:rPr>
          <w:rFonts w:ascii="宋体" w:hAnsi="宋体"/>
          <w:b/>
          <w:bCs/>
          <w:color w:val="auto"/>
          <w:sz w:val="24"/>
          <w:szCs w:val="24"/>
          <w:highlight w:val="none"/>
        </w:rPr>
        <w:outlineLvl w:val="2"/>
      </w:pPr>
      <w:r/>
      <w:bookmarkStart w:id="12" w:name="_Toc35393622"/>
      <w:r/>
      <w:bookmarkStart w:id="13" w:name="_Toc28359003"/>
      <w:r/>
      <w:bookmarkStart w:id="14" w:name="_Toc35393791"/>
      <w:r/>
      <w:bookmarkStart w:id="15" w:name="_Toc28359080"/>
      <w:r/>
      <w:bookmarkStart w:id="16" w:name="_Toc38985264"/>
      <w:r>
        <w:rPr>
          <w:rFonts w:hint="eastAsia" w:ascii="宋体" w:hAnsi="宋体"/>
          <w:b/>
          <w:bCs/>
          <w:color w:val="auto"/>
          <w:sz w:val="24"/>
          <w:szCs w:val="24"/>
          <w:highlight w:val="none"/>
        </w:rPr>
        <w:t xml:space="preserve">二、申请人的资格要求</w:t>
      </w:r>
      <w:bookmarkEnd w:id="12"/>
      <w:r/>
      <w:bookmarkEnd w:id="13"/>
      <w:r/>
      <w:bookmarkEnd w:id="14"/>
      <w:r/>
      <w:bookmarkEnd w:id="15"/>
      <w:r/>
      <w:bookmarkEnd w:id="16"/>
      <w:r/>
      <w:r/>
    </w:p>
    <w:p>
      <w:pPr>
        <w:ind w:firstLine="560"/>
        <w:spacing w:line="440" w:lineRule="exact"/>
        <w:rPr>
          <w:rFonts w:ascii="宋体" w:hAnsi="宋体"/>
          <w:color w:val="auto"/>
          <w:sz w:val="24"/>
          <w:szCs w:val="24"/>
          <w:highlight w:val="none"/>
        </w:rPr>
      </w:pPr>
      <w:r/>
      <w:bookmarkStart w:id="17" w:name="_Toc35393792"/>
      <w:r/>
      <w:bookmarkStart w:id="18" w:name="_Toc28359004"/>
      <w:r/>
      <w:bookmarkStart w:id="19" w:name="_Toc28359081"/>
      <w:r/>
      <w:bookmarkStart w:id="20" w:name="_Toc35393623"/>
      <w:r/>
      <w:bookmarkStart w:id="21"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1.满足《中华人民共和国政府采购法》第二十二条规定。（按附件1格式进行声明并提供营业执照，投标文件中无需提供其他证明材料）</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p>
    <w:p>
      <w:pPr>
        <w:ind w:firstLine="480"/>
        <w:spacing w:line="440" w:lineRule="exact"/>
        <w:rPr>
          <w:rFonts w:ascii="宋体" w:hAnsi="宋体" w:cs="宋体"/>
          <w:color w:val="auto"/>
          <w:sz w:val="24"/>
          <w:szCs w:val="24"/>
          <w:highlight w:val="none"/>
          <w:u w:val="single"/>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u w:val="single"/>
        </w:rPr>
        <w:t xml:space="preserve">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9、附件10、附件11。</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5.本项目不</w:t>
      </w:r>
      <w:r>
        <w:rPr>
          <w:rFonts w:hint="eastAsia" w:ascii="宋体" w:hAnsi="宋体"/>
          <w:color w:val="auto"/>
          <w:sz w:val="24"/>
          <w:szCs w:val="24"/>
          <w:highlight w:val="none"/>
        </w:rPr>
        <w:t xml:space="preserve">接受分包。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6"/>
        <w:keepLines/>
        <w:keepNext/>
        <w:spacing w:before="156" w:after="156" w:line="440" w:lineRule="exact"/>
        <w:rPr>
          <w:rFonts w:ascii="宋体" w:hAnsi="宋体"/>
          <w:b/>
          <w:bCs/>
          <w:color w:val="auto"/>
          <w:sz w:val="24"/>
          <w:szCs w:val="24"/>
          <w:highlight w:val="none"/>
        </w:rPr>
        <w:outlineLvl w:val="2"/>
      </w:pPr>
      <w:r>
        <w:rPr>
          <w:rFonts w:hint="eastAsia" w:ascii="宋体" w:hAnsi="宋体"/>
          <w:b/>
          <w:bCs/>
          <w:color w:val="auto"/>
          <w:sz w:val="24"/>
          <w:szCs w:val="24"/>
          <w:highlight w:val="none"/>
        </w:rPr>
        <w:t xml:space="preserve">三、获取招标文件</w:t>
      </w:r>
      <w:r/>
    </w:p>
    <w:p>
      <w:pPr>
        <w:ind w:firstLine="5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rPr>
        <w:t xml:space="preserve">2026年09月24日至2026年10月15日（提供期限自本公告发布之日起不得少于5个工作日）。</w:t>
      </w:r>
      <w:r/>
    </w:p>
    <w:p>
      <w:pPr>
        <w:ind w:firstLine="54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40" w:lineRule="exact"/>
        <w:rPr>
          <w:rFonts w:ascii="宋体" w:hAnsi="宋体"/>
          <w:b/>
          <w:bCs/>
          <w:color w:val="auto"/>
          <w:sz w:val="24"/>
          <w:szCs w:val="24"/>
          <w:highlight w:val="none"/>
        </w:rPr>
        <w:outlineLvl w:val="2"/>
      </w:pPr>
      <w:r/>
      <w:bookmarkStart w:id="22" w:name="_Toc28359005"/>
      <w:r/>
      <w:bookmarkStart w:id="23" w:name="_Toc28359082"/>
      <w:r/>
      <w:bookmarkStart w:id="24" w:name="_Toc35393624"/>
      <w:r/>
      <w:bookmarkStart w:id="25" w:name="_Toc38985266"/>
      <w:r/>
      <w:bookmarkStart w:id="26" w:name="_Toc35393793"/>
      <w:r>
        <w:rPr>
          <w:rFonts w:hint="eastAsia" w:ascii="宋体" w:hAnsi="宋体"/>
          <w:b/>
          <w:bCs/>
          <w:color w:val="auto"/>
          <w:sz w:val="24"/>
          <w:szCs w:val="24"/>
          <w:highlight w:val="none"/>
        </w:rPr>
        <w:t xml:space="preserve">四、提交投标文件</w:t>
      </w:r>
      <w:bookmarkEnd w:id="22"/>
      <w:r/>
      <w:bookmarkEnd w:id="23"/>
      <w:r>
        <w:rPr>
          <w:rFonts w:hint="eastAsia" w:ascii="宋体" w:hAnsi="宋体"/>
          <w:b/>
          <w:bCs/>
          <w:color w:val="auto"/>
          <w:sz w:val="24"/>
          <w:szCs w:val="24"/>
          <w:highlight w:val="none"/>
        </w:rPr>
        <w:t xml:space="preserve">截止时间、开标时间和地点</w:t>
      </w:r>
      <w:bookmarkEnd w:id="24"/>
      <w:r/>
      <w:bookmarkEnd w:id="25"/>
      <w:r/>
      <w:bookmarkEnd w:id="26"/>
      <w:r/>
      <w:r/>
    </w:p>
    <w:p>
      <w:pPr>
        <w:ind w:firstLine="480"/>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10</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15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u w:val="single"/>
        </w:rPr>
        <w:t xml:space="preserve">9</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u w:val="single"/>
        </w:rPr>
        <w:t xml:space="preserve">00</w:t>
      </w:r>
      <w:r>
        <w:rPr>
          <w:rFonts w:hint="eastAsia" w:ascii="宋体" w:hAnsi="宋体"/>
          <w:bCs/>
          <w:color w:val="auto"/>
          <w:sz w:val="24"/>
          <w:szCs w:val="24"/>
          <w:highlight w:val="none"/>
        </w:rPr>
        <w:t xml:space="preserve">分（北京时间）。</w:t>
      </w:r>
      <w:r>
        <w:rPr>
          <w:rFonts w:hint="eastAsia" w:ascii="宋体" w:hAnsi="宋体" w:cs="宋体"/>
          <w:color w:val="auto"/>
          <w:sz w:val="24"/>
          <w:szCs w:val="24"/>
          <w:highlight w:val="none"/>
        </w:rPr>
        <w:t xml:space="preserve">（自招标文件开始发出之日起至投标人提交投标文件截止之日止，不得少于20日）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w:t>
      </w:r>
      <w:r>
        <w:rPr>
          <w:rFonts w:hint="eastAsia" w:ascii="宋体" w:hAnsi="宋体"/>
          <w:b/>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6"/>
        <w:keepLines/>
        <w:keepNext/>
        <w:spacing w:before="156" w:after="156" w:line="440" w:lineRule="exact"/>
        <w:rPr>
          <w:rFonts w:ascii="宋体" w:hAnsi="宋体"/>
          <w:b/>
          <w:bCs/>
          <w:color w:val="auto"/>
          <w:sz w:val="24"/>
          <w:szCs w:val="24"/>
          <w:highlight w:val="none"/>
        </w:rPr>
        <w:outlineLvl w:val="2"/>
      </w:pPr>
      <w:r/>
      <w:bookmarkStart w:id="27" w:name="_Toc38985267"/>
      <w:r/>
      <w:bookmarkStart w:id="28" w:name="_Toc35393625"/>
      <w:r/>
      <w:bookmarkStart w:id="29" w:name="_Toc28359084"/>
      <w:r/>
      <w:bookmarkStart w:id="30" w:name="_Toc28359007"/>
      <w:r/>
      <w:bookmarkStart w:id="31" w:name="_Toc35393794"/>
      <w:r>
        <w:rPr>
          <w:rFonts w:hint="eastAsia" w:ascii="宋体" w:hAnsi="宋体"/>
          <w:b/>
          <w:bCs/>
          <w:color w:val="auto"/>
          <w:sz w:val="24"/>
          <w:szCs w:val="24"/>
          <w:highlight w:val="none"/>
        </w:rPr>
        <w:t xml:space="preserve">五、公告期限</w:t>
      </w:r>
      <w:bookmarkEnd w:id="27"/>
      <w:r/>
      <w:bookmarkEnd w:id="28"/>
      <w:r/>
      <w:bookmarkEnd w:id="29"/>
      <w:r/>
      <w:bookmarkEnd w:id="30"/>
      <w:r/>
      <w:bookmarkEnd w:id="31"/>
      <w:r/>
      <w:bookmarkStart w:id="184" w:name="_GoBack"/>
      <w:r/>
      <w:bookmarkEnd w:id="18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招标公告及招标文件公告期限为自本公告发布之日起5个工作日。</w:t>
      </w:r>
      <w:r/>
    </w:p>
    <w:p>
      <w:pPr>
        <w:ind w:firstLine="496"/>
        <w:keepLines/>
        <w:keepNext/>
        <w:spacing w:before="156" w:after="156" w:line="440" w:lineRule="exact"/>
        <w:rPr>
          <w:rFonts w:ascii="宋体" w:hAnsi="宋体"/>
          <w:b/>
          <w:bCs/>
          <w:color w:val="auto"/>
          <w:sz w:val="24"/>
          <w:szCs w:val="24"/>
          <w:highlight w:val="none"/>
        </w:rPr>
        <w:outlineLvl w:val="2"/>
      </w:pPr>
      <w:r/>
      <w:bookmarkStart w:id="32" w:name="_Toc38985268"/>
      <w:r/>
      <w:bookmarkStart w:id="33" w:name="_Toc35393626"/>
      <w:r/>
      <w:bookmarkStart w:id="34" w:name="_Toc35393795"/>
      <w:r>
        <w:rPr>
          <w:rFonts w:hint="eastAsia" w:ascii="宋体" w:hAnsi="宋体"/>
          <w:b/>
          <w:bCs/>
          <w:color w:val="auto"/>
          <w:sz w:val="24"/>
          <w:szCs w:val="24"/>
          <w:highlight w:val="none"/>
        </w:rPr>
        <w:t xml:space="preserve">六、其他补充事宜</w:t>
      </w:r>
      <w:bookmarkEnd w:id="32"/>
      <w:r/>
      <w:bookmarkEnd w:id="33"/>
      <w:r/>
      <w:bookmarkEnd w:id="34"/>
      <w:r/>
      <w:r/>
    </w:p>
    <w:p>
      <w:pPr>
        <w:ind w:firstLine="480"/>
        <w:jc w:val="left"/>
        <w:spacing w:line="440" w:lineRule="exact"/>
        <w:rPr>
          <w:rFonts w:ascii="宋体" w:hAnsi="宋体" w:cs="宋体"/>
          <w:color w:val="auto"/>
          <w:sz w:val="24"/>
          <w:szCs w:val="24"/>
          <w:highlight w:val="none"/>
        </w:rPr>
      </w:pPr>
      <w:r/>
      <w:bookmarkStart w:id="35" w:name="_Toc28359008"/>
      <w:r/>
      <w:bookmarkStart w:id="36" w:name="_Toc35393796"/>
      <w:r/>
      <w:bookmarkStart w:id="37" w:name="_Toc28359085"/>
      <w:r/>
      <w:bookmarkStart w:id="38" w:name="_Toc35393627"/>
      <w:r/>
      <w:bookmarkStart w:id="39" w:name="_Toc38985269"/>
      <w:r>
        <w:rPr>
          <w:rFonts w:hint="eastAsia" w:ascii="宋体" w:hAnsi="宋体" w:cs="宋体"/>
          <w:color w:val="auto"/>
          <w:sz w:val="24"/>
          <w:szCs w:val="24"/>
          <w:highlight w:val="none"/>
        </w:rPr>
        <w:t xml:space="preserve">1.投标保证金：免收</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2.项目开标活动模式：不见面远程开标模式，投标人在各自地点通过“苏采云”政府采购交易系统参加开标会。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3.项目演示、样品、答辩等（如有请描述）：无</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7.有关本次招标的事项若存在变动或修改，敬请及时关注</w:t>
      </w:r>
      <w:r>
        <w:rPr>
          <w:rFonts w:hint="eastAsia" w:ascii="宋体" w:hAnsi="宋体"/>
          <w:bCs/>
          <w:color w:val="auto"/>
          <w:sz w:val="24"/>
          <w:szCs w:val="24"/>
          <w:highlight w:val="none"/>
        </w:rPr>
        <w:t xml:space="preserve">南通海陵工程项目管理有限公司在“江苏政府采购网”发布的更正公告</w:t>
      </w:r>
      <w:r>
        <w:rPr>
          <w:rFonts w:hint="eastAsia" w:ascii="宋体" w:hAnsi="宋体" w:cs="宋体"/>
          <w:color w:val="auto"/>
          <w:sz w:val="24"/>
          <w:szCs w:val="24"/>
          <w:highlight w:val="none"/>
        </w:rPr>
        <w:t xml:space="preserve">。</w:t>
      </w:r>
      <w:r/>
    </w:p>
    <w:p>
      <w:pPr>
        <w:ind w:firstLine="496"/>
        <w:keepLines/>
        <w:keepNext/>
        <w:spacing w:before="156" w:after="156" w:line="440" w:lineRule="exact"/>
        <w:rPr>
          <w:rFonts w:ascii="宋体" w:hAnsi="宋体"/>
          <w:b/>
          <w:bCs/>
          <w:color w:val="auto"/>
          <w:sz w:val="24"/>
          <w:szCs w:val="24"/>
          <w:highlight w:val="none"/>
        </w:rPr>
        <w:outlineLvl w:val="2"/>
      </w:pPr>
      <w:r>
        <w:rPr>
          <w:rFonts w:hint="eastAsia" w:ascii="宋体" w:hAnsi="宋体"/>
          <w:b/>
          <w:bCs/>
          <w:color w:val="auto"/>
          <w:sz w:val="24"/>
          <w:szCs w:val="24"/>
          <w:highlight w:val="none"/>
        </w:rPr>
        <w:t xml:space="preserve">七、本次招标联系方式</w:t>
      </w:r>
      <w:bookmarkEnd w:id="35"/>
      <w:r/>
      <w:bookmarkEnd w:id="36"/>
      <w:r/>
      <w:bookmarkEnd w:id="37"/>
      <w:r/>
      <w:bookmarkEnd w:id="38"/>
      <w:r/>
      <w:bookmarkEnd w:id="39"/>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1.采购人信息</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名 称：海安市实验中学</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地址：海安市草坝支路8号</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联系人：黄跃</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联系方式：13862702290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2. 采购代理机构信息</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名 称：南通海陵工程项目管理有限公司</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地址：海安市安平中路59号翠竹园26幢301室</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联系人：郁文娟</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联系方式：0513-88962600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3.项目联系方式</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磋商文件制作人: 0513-88962600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项目磋商经办人：</w:t>
      </w:r>
      <w:r>
        <w:rPr>
          <w:rFonts w:ascii="宋体" w:hAnsi="宋体" w:cs="宋体"/>
          <w:color w:val="auto"/>
          <w:sz w:val="24"/>
          <w:szCs w:val="24"/>
          <w:highlight w:val="none"/>
        </w:rPr>
        <w:t xml:space="preserve">13862702290</w:t>
      </w:r>
      <w:r/>
    </w:p>
    <w:p>
      <w:pPr>
        <w:jc w:val="left"/>
        <w:spacing w:line="44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     交易系统软件维护人员：0519-86722801、0513-59001950</w:t>
      </w:r>
      <w:r/>
    </w:p>
    <w:p>
      <w:pPr>
        <w:ind w:firstLine="2420"/>
        <w:keepLines/>
        <w:keepNext/>
        <w:spacing w:before="260" w:after="260" w:line="416" w:lineRule="auto"/>
        <w:rPr>
          <w:rFonts w:ascii="黑体" w:hAnsi="Arial" w:eastAsia="黑体" w:cs="Arial"/>
          <w:color w:val="auto"/>
          <w:sz w:val="32"/>
          <w:szCs w:val="32"/>
          <w:highlight w:val="none"/>
        </w:rPr>
        <w:outlineLvl w:val="1"/>
      </w:pPr>
      <w:r/>
      <w:bookmarkStart w:id="40" w:name="_Toc120614211"/>
      <w:r>
        <w:rPr>
          <w:rFonts w:hint="eastAsia" w:ascii="黑体" w:hAnsi="Arial" w:eastAsia="黑体" w:cs="Arial"/>
          <w:b/>
          <w:bCs/>
          <w:color w:val="auto"/>
          <w:sz w:val="44"/>
          <w:szCs w:val="44"/>
          <w:highlight w:val="none"/>
        </w:rPr>
        <w:br w:type="page" w:clear="all"/>
      </w:r>
      <w:r>
        <w:rPr>
          <w:rFonts w:hint="eastAsia" w:ascii="黑体" w:hAnsi="Arial" w:eastAsia="黑体" w:cs="Arial"/>
          <w:b/>
          <w:bCs/>
          <w:color w:val="auto"/>
          <w:sz w:val="32"/>
          <w:szCs w:val="32"/>
          <w:highlight w:val="none"/>
        </w:rPr>
        <w:t xml:space="preserve">第二章  </w:t>
      </w:r>
      <w:bookmarkEnd w:id="1"/>
      <w:r/>
      <w:bookmarkEnd w:id="2"/>
      <w:r/>
      <w:bookmarkEnd w:id="3"/>
      <w:r/>
      <w:bookmarkEnd w:id="4"/>
      <w:r/>
      <w:bookmarkEnd w:id="5"/>
      <w:r/>
      <w:bookmarkEnd w:id="40"/>
      <w:r/>
      <w:bookmarkStart w:id="41" w:name="_Toc20823274"/>
      <w:r/>
      <w:bookmarkStart w:id="42" w:name="_Toc16938518"/>
      <w:r/>
      <w:bookmarkStart w:id="43" w:name="_Toc513029202"/>
      <w:r/>
      <w:bookmarkStart w:id="44" w:name="_Toc120614213"/>
      <w:r>
        <w:rPr>
          <w:rFonts w:hint="eastAsia" w:ascii="黑体" w:hAnsi="Arial" w:eastAsia="黑体" w:cs="Arial"/>
          <w:b/>
          <w:bCs/>
          <w:color w:val="auto"/>
          <w:sz w:val="32"/>
          <w:szCs w:val="32"/>
          <w:highlight w:val="none"/>
        </w:rPr>
        <w:t xml:space="preserve">投标人须知</w:t>
      </w:r>
      <w:bookmarkEnd w:id="41"/>
      <w:r/>
      <w:bookmarkEnd w:id="42"/>
      <w:r/>
      <w:bookmarkEnd w:id="43"/>
      <w:r/>
      <w:bookmarkEnd w:id="44"/>
      <w:r/>
      <w:r/>
    </w:p>
    <w:p>
      <w:pPr>
        <w:ind w:firstLine="482"/>
        <w:keepLines/>
        <w:keepNext/>
        <w:spacing w:line="440" w:lineRule="exact"/>
        <w:rPr>
          <w:rFonts w:ascii="宋体" w:hAnsi="宋体"/>
          <w:b/>
          <w:bCs/>
          <w:color w:val="auto"/>
          <w:sz w:val="24"/>
          <w:szCs w:val="24"/>
          <w:highlight w:val="none"/>
        </w:rPr>
      </w:pPr>
      <w:r/>
      <w:bookmarkStart w:id="45" w:name="_Toc120614214"/>
      <w:r/>
      <w:bookmarkStart w:id="46" w:name="_Toc513029203"/>
      <w:r/>
      <w:bookmarkStart w:id="47" w:name="_Toc16938519"/>
      <w:r/>
      <w:bookmarkStart w:id="48" w:name="_Toc20823275"/>
      <w:r>
        <w:rPr>
          <w:rFonts w:hint="eastAsia" w:ascii="宋体" w:hAnsi="宋体"/>
          <w:b/>
          <w:bCs/>
          <w:color w:val="auto"/>
          <w:sz w:val="24"/>
          <w:szCs w:val="24"/>
          <w:highlight w:val="none"/>
        </w:rPr>
        <w:t xml:space="preserve">一、总则</w:t>
      </w:r>
      <w:bookmarkEnd w:id="45"/>
      <w:r/>
      <w:bookmarkEnd w:id="46"/>
      <w:r/>
      <w:bookmarkEnd w:id="47"/>
      <w:r/>
      <w:bookmarkEnd w:id="48"/>
      <w:r/>
      <w:r/>
    </w:p>
    <w:p>
      <w:pPr>
        <w:ind w:firstLine="482"/>
        <w:keepLines/>
        <w:keepNext/>
        <w:spacing w:line="440" w:lineRule="exact"/>
        <w:rPr>
          <w:rFonts w:ascii="宋体" w:hAnsi="宋体" w:cs="Arial"/>
          <w:b/>
          <w:color w:val="auto"/>
          <w:sz w:val="24"/>
          <w:szCs w:val="24"/>
          <w:highlight w:val="none"/>
        </w:rPr>
      </w:pPr>
      <w:r/>
      <w:bookmarkStart w:id="49" w:name="_Hlt16619475"/>
      <w:r/>
      <w:bookmarkEnd w:id="49"/>
      <w:r/>
      <w:bookmarkStart w:id="50" w:name="_Toc458694821"/>
      <w:r/>
      <w:bookmarkStart w:id="51" w:name="_Toc20823276"/>
      <w:r/>
      <w:bookmarkStart w:id="52" w:name="_Toc513029204"/>
      <w:r/>
      <w:bookmarkStart w:id="53" w:name="_Toc16938520"/>
      <w:r>
        <w:rPr>
          <w:rFonts w:hint="eastAsia" w:ascii="宋体" w:hAnsi="宋体" w:cs="Arial"/>
          <w:b/>
          <w:color w:val="auto"/>
          <w:sz w:val="24"/>
          <w:szCs w:val="24"/>
          <w:highlight w:val="none"/>
        </w:rPr>
        <w:t xml:space="preserve">1</w:t>
      </w:r>
      <w:bookmarkEnd w:id="50"/>
      <w:r>
        <w:rPr>
          <w:rFonts w:hint="eastAsia" w:ascii="宋体" w:hAnsi="宋体" w:cs="Arial"/>
          <w:b/>
          <w:color w:val="auto"/>
          <w:sz w:val="24"/>
          <w:szCs w:val="24"/>
          <w:highlight w:val="none"/>
        </w:rPr>
        <w:t xml:space="preserve">、招标方式</w:t>
      </w:r>
      <w:bookmarkEnd w:id="51"/>
      <w:r/>
      <w:bookmarkEnd w:id="52"/>
      <w:r/>
      <w:bookmarkEnd w:id="53"/>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ascii="宋体" w:hAnsi="宋体" w:cs="Arial"/>
          <w:b/>
          <w:color w:val="auto"/>
          <w:sz w:val="24"/>
          <w:szCs w:val="24"/>
          <w:highlight w:val="none"/>
        </w:rPr>
      </w:pPr>
      <w:r/>
      <w:bookmarkStart w:id="54" w:name="_Toc513029205"/>
      <w:r/>
      <w:bookmarkStart w:id="55" w:name="_Toc16938521"/>
      <w:r/>
      <w:bookmarkStart w:id="56" w:name="_Toc20823277"/>
      <w:r>
        <w:rPr>
          <w:rFonts w:hint="eastAsia" w:ascii="宋体" w:hAnsi="宋体" w:cs="Arial"/>
          <w:b/>
          <w:color w:val="auto"/>
          <w:sz w:val="24"/>
          <w:szCs w:val="24"/>
          <w:highlight w:val="none"/>
        </w:rPr>
        <w:t xml:space="preserve">2、合格的投标人</w:t>
      </w:r>
      <w:bookmarkEnd w:id="54"/>
      <w:r/>
      <w:bookmarkEnd w:id="55"/>
      <w:r/>
      <w:bookmarkEnd w:id="5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p>
    <w:p>
      <w:pPr>
        <w:ind w:firstLine="482"/>
        <w:keepLines/>
        <w:keepNext/>
        <w:spacing w:line="440" w:lineRule="exact"/>
        <w:rPr>
          <w:rFonts w:ascii="宋体" w:hAnsi="宋体" w:cs="方正魏碑_GBK"/>
          <w:b/>
          <w:color w:val="auto"/>
          <w:sz w:val="24"/>
          <w:szCs w:val="24"/>
          <w:highlight w:val="none"/>
        </w:rPr>
      </w:pPr>
      <w:r/>
      <w:bookmarkStart w:id="57" w:name="_Toc20823278"/>
      <w:r/>
      <w:bookmarkStart w:id="58" w:name="_Toc16938522"/>
      <w:r/>
      <w:bookmarkStart w:id="59" w:name="_Toc513029206"/>
      <w:r>
        <w:rPr>
          <w:rFonts w:hint="eastAsia" w:ascii="宋体" w:hAnsi="宋体" w:cs="方正魏碑_GBK"/>
          <w:b/>
          <w:color w:val="auto"/>
          <w:sz w:val="24"/>
          <w:szCs w:val="24"/>
          <w:highlight w:val="none"/>
        </w:rPr>
        <w:t xml:space="preserve">3、适用法律</w:t>
      </w:r>
      <w:bookmarkEnd w:id="57"/>
      <w:r/>
      <w:bookmarkEnd w:id="58"/>
      <w:r/>
      <w:bookmarkEnd w:id="59"/>
      <w:r>
        <w:rPr>
          <w:rFonts w:hint="eastAsia" w:ascii="宋体" w:hAnsi="宋体" w:cs="方正魏碑_GBK"/>
          <w:b/>
          <w:color w:val="auto"/>
          <w:sz w:val="24"/>
          <w:szCs w:val="24"/>
          <w:highlight w:val="none"/>
        </w:rPr>
        <w:t xml:space="preserve">和标准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80"/>
        <w:spacing w:line="440" w:lineRule="exact"/>
        <w:rPr>
          <w:rFonts w:ascii="宋体" w:hAnsi="宋体" w:cs="方正魏碑_GBK"/>
          <w:color w:val="auto"/>
          <w:sz w:val="24"/>
          <w:szCs w:val="24"/>
          <w:highlight w:val="none"/>
        </w:rPr>
      </w:pPr>
      <w:r>
        <w:rPr>
          <w:rFonts w:hint="eastAsia" w:ascii="宋体" w:hAnsi="宋体" w:cs="方正魏碑_GBK"/>
          <w:color w:val="auto"/>
          <w:sz w:val="24"/>
          <w:szCs w:val="24"/>
          <w:highlight w:val="none"/>
        </w:rPr>
        <w:t xml:space="preserve">3.2 在本项目政府采购活动过程中，如果所执行的标准有更新的，按照最新标准执行。</w:t>
      </w:r>
      <w:r/>
    </w:p>
    <w:p>
      <w:pPr>
        <w:ind w:firstLine="482"/>
        <w:keepLines/>
        <w:keepNext/>
        <w:spacing w:line="440" w:lineRule="exact"/>
        <w:rPr>
          <w:rFonts w:ascii="宋体" w:hAnsi="宋体" w:cs="Arial"/>
          <w:b/>
          <w:color w:val="auto"/>
          <w:sz w:val="24"/>
          <w:szCs w:val="24"/>
          <w:highlight w:val="none"/>
        </w:rPr>
      </w:pPr>
      <w:r/>
      <w:bookmarkStart w:id="60" w:name="_Toc513029207"/>
      <w:r/>
      <w:bookmarkStart w:id="61" w:name="_Toc16938523"/>
      <w:r/>
      <w:bookmarkStart w:id="62" w:name="_Toc20823279"/>
      <w:r/>
      <w:bookmarkStart w:id="63" w:name="_Toc462564067"/>
      <w:r>
        <w:rPr>
          <w:rFonts w:hint="eastAsia" w:ascii="宋体" w:hAnsi="宋体" w:cs="Arial"/>
          <w:b/>
          <w:color w:val="auto"/>
          <w:sz w:val="24"/>
          <w:szCs w:val="24"/>
          <w:highlight w:val="none"/>
        </w:rPr>
        <w:t xml:space="preserve">4、投标费用</w:t>
      </w:r>
      <w:bookmarkEnd w:id="60"/>
      <w:r/>
      <w:bookmarkEnd w:id="61"/>
      <w:r/>
      <w:bookmarkEnd w:id="62"/>
      <w:r/>
      <w:bookmarkEnd w:id="63"/>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投标人应自行承担所有与参加投标有关的费用，无论投标过程中的做法和结果如何，采购人和采购代理机构在任何情况下均无义务和责任承担这些费用。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4.2本次招标不收取标书工本费。</w:t>
      </w:r>
      <w:r/>
    </w:p>
    <w:p>
      <w:pPr>
        <w:ind w:firstLine="482"/>
        <w:keepLines/>
        <w:keepNext/>
        <w:spacing w:line="440" w:lineRule="exact"/>
        <w:rPr>
          <w:rFonts w:ascii="宋体" w:hAnsi="宋体" w:cs="Arial"/>
          <w:color w:val="auto"/>
          <w:sz w:val="24"/>
          <w:szCs w:val="24"/>
          <w:highlight w:val="none"/>
        </w:rPr>
      </w:pPr>
      <w:r>
        <w:rPr>
          <w:rFonts w:hint="eastAsia" w:ascii="宋体" w:hAnsi="宋体" w:cs="Arial"/>
          <w:b/>
          <w:bCs/>
          <w:color w:val="auto"/>
          <w:sz w:val="24"/>
          <w:szCs w:val="24"/>
          <w:highlight w:val="none"/>
        </w:rPr>
        <w:t xml:space="preserve">5、</w:t>
      </w:r>
      <w:r>
        <w:rPr>
          <w:rFonts w:hint="eastAsia" w:ascii="宋体" w:hAnsi="宋体" w:cs="Arial"/>
          <w:b/>
          <w:color w:val="auto"/>
          <w:sz w:val="24"/>
          <w:szCs w:val="24"/>
          <w:highlight w:val="none"/>
        </w:rPr>
        <w:t xml:space="preserve">招标文件的约束力</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482"/>
        <w:keepLines/>
        <w:keepNext/>
        <w:spacing w:line="440" w:lineRule="exact"/>
        <w:rPr>
          <w:rFonts w:ascii="宋体" w:hAnsi="宋体"/>
          <w:b/>
          <w:bCs/>
          <w:color w:val="auto"/>
          <w:sz w:val="24"/>
          <w:szCs w:val="24"/>
          <w:highlight w:val="none"/>
        </w:rPr>
      </w:pPr>
      <w:r/>
      <w:bookmarkStart w:id="64" w:name="_Toc513029209"/>
      <w:r/>
      <w:bookmarkStart w:id="65" w:name="_Toc20823281"/>
      <w:r/>
      <w:bookmarkStart w:id="66" w:name="_Toc120614215"/>
      <w:r/>
      <w:bookmarkStart w:id="67" w:name="_Toc16938525"/>
      <w:r>
        <w:rPr>
          <w:rFonts w:hint="eastAsia" w:ascii="宋体" w:hAnsi="宋体"/>
          <w:b/>
          <w:bCs/>
          <w:color w:val="auto"/>
          <w:sz w:val="24"/>
          <w:szCs w:val="24"/>
          <w:highlight w:val="none"/>
        </w:rPr>
        <w:t xml:space="preserve">二、招标文件</w:t>
      </w:r>
      <w:bookmarkEnd w:id="64"/>
      <w:r/>
      <w:bookmarkEnd w:id="65"/>
      <w:r/>
      <w:bookmarkEnd w:id="66"/>
      <w:r/>
      <w:bookmarkEnd w:id="67"/>
      <w:r/>
      <w:r/>
    </w:p>
    <w:p>
      <w:pPr>
        <w:ind w:firstLine="482"/>
        <w:keepLines/>
        <w:keepNext/>
        <w:spacing w:line="440" w:lineRule="exact"/>
        <w:rPr>
          <w:rFonts w:ascii="宋体" w:hAnsi="宋体" w:cs="Arial"/>
          <w:b/>
          <w:color w:val="auto"/>
          <w:sz w:val="24"/>
          <w:szCs w:val="24"/>
          <w:highlight w:val="none"/>
        </w:rPr>
      </w:pPr>
      <w:r/>
      <w:bookmarkStart w:id="68" w:name="_Toc513029210"/>
      <w:r/>
      <w:bookmarkStart w:id="69" w:name="_Toc20823282"/>
      <w:r/>
      <w:bookmarkStart w:id="70" w:name="_Toc16938526"/>
      <w:r>
        <w:rPr>
          <w:rFonts w:hint="eastAsia" w:ascii="宋体" w:hAnsi="宋体" w:cs="Arial"/>
          <w:b/>
          <w:color w:val="auto"/>
          <w:sz w:val="24"/>
          <w:szCs w:val="24"/>
          <w:highlight w:val="none"/>
        </w:rPr>
        <w:t xml:space="preserve">6、招标文件构成</w:t>
      </w:r>
      <w:bookmarkEnd w:id="68"/>
      <w:r/>
      <w:bookmarkEnd w:id="69"/>
      <w:r/>
      <w:bookmarkEnd w:id="70"/>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招标文件由以下部分组成：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（4）评标方法与评标标准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（5）投标文件格式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请仔细检查招标文件是否齐全，如有缺漏请立即与采购人或采购代理机构联系解决。</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Arial"/>
          <w:b/>
          <w:color w:val="auto"/>
          <w:sz w:val="24"/>
          <w:szCs w:val="24"/>
          <w:highlight w:val="none"/>
        </w:rPr>
      </w:pPr>
      <w:r/>
      <w:bookmarkStart w:id="71" w:name="_Toc16938528"/>
      <w:r/>
      <w:bookmarkStart w:id="72" w:name="_Toc513029212"/>
      <w:r/>
      <w:bookmarkStart w:id="73" w:name="_Toc20823284"/>
      <w:r/>
      <w:bookmarkStart w:id="74" w:name="_Toc462564071"/>
      <w:r>
        <w:rPr>
          <w:rFonts w:ascii="宋体" w:hAnsi="宋体" w:cs="Arial"/>
          <w:b/>
          <w:color w:val="auto"/>
          <w:sz w:val="24"/>
          <w:szCs w:val="24"/>
          <w:highlight w:val="none"/>
        </w:rPr>
        <w:t xml:space="preserve">7</w:t>
      </w:r>
      <w:r>
        <w:rPr>
          <w:rFonts w:hint="eastAsia" w:ascii="宋体" w:hAnsi="宋体" w:cs="Arial"/>
          <w:b/>
          <w:color w:val="auto"/>
          <w:sz w:val="24"/>
          <w:szCs w:val="24"/>
          <w:highlight w:val="none"/>
        </w:rPr>
        <w:t xml:space="preserve">、招标文件的修改</w:t>
      </w:r>
      <w:bookmarkEnd w:id="71"/>
      <w:r/>
      <w:bookmarkEnd w:id="72"/>
      <w:r/>
      <w:bookmarkEnd w:id="73"/>
      <w:r/>
      <w:bookmarkEnd w:id="74"/>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在投标截止时间前，采购人或采购代理机构可以对招标文件进行修改。</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 </w:t>
      </w:r>
      <w:r>
        <w:rPr>
          <w:rFonts w:hint="eastAsia" w:ascii="宋体" w:hAnsi="宋体"/>
          <w:color w:val="auto"/>
          <w:sz w:val="24"/>
          <w:szCs w:val="24"/>
          <w:highlight w:val="none"/>
        </w:rPr>
        <w:t xml:space="preserve">采购人或采购代理机构有权按照法定的要求推迟投标截止日期和开标日期。</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招标文件的修改将在江苏政府采购网公布，补充文件将作为招标文件的组成部分，并对投标人具有约束力。</w:t>
      </w:r>
      <w:r/>
    </w:p>
    <w:p>
      <w:pPr>
        <w:ind w:firstLine="482"/>
        <w:keepLines/>
        <w:keepNext/>
        <w:spacing w:line="440" w:lineRule="exact"/>
        <w:rPr>
          <w:rFonts w:ascii="宋体" w:hAnsi="宋体"/>
          <w:b/>
          <w:bCs/>
          <w:color w:val="auto"/>
          <w:sz w:val="24"/>
          <w:szCs w:val="24"/>
          <w:highlight w:val="none"/>
        </w:rPr>
      </w:pPr>
      <w:r/>
      <w:bookmarkStart w:id="75" w:name="_Toc120614216"/>
      <w:r/>
      <w:bookmarkStart w:id="76" w:name="_Toc513029213"/>
      <w:r/>
      <w:bookmarkStart w:id="77" w:name="_Toc20823285"/>
      <w:r/>
      <w:bookmarkStart w:id="78" w:name="_Toc16938529"/>
      <w:r/>
      <w:bookmarkStart w:id="79" w:name="_Toc462564072"/>
      <w:r>
        <w:rPr>
          <w:rFonts w:hint="eastAsia" w:ascii="宋体" w:hAnsi="宋体"/>
          <w:b/>
          <w:bCs/>
          <w:color w:val="auto"/>
          <w:sz w:val="24"/>
          <w:szCs w:val="24"/>
          <w:highlight w:val="none"/>
        </w:rPr>
        <w:t xml:space="preserve">三、投标文件的编制</w:t>
      </w:r>
      <w:bookmarkEnd w:id="75"/>
      <w:r/>
      <w:bookmarkEnd w:id="76"/>
      <w:r/>
      <w:bookmarkEnd w:id="77"/>
      <w:r/>
      <w:bookmarkEnd w:id="78"/>
      <w:r/>
      <w:bookmarkEnd w:id="79"/>
      <w:r/>
      <w:r/>
    </w:p>
    <w:p>
      <w:pPr>
        <w:ind w:firstLine="482"/>
        <w:keepLines/>
        <w:keepNext/>
        <w:spacing w:line="440" w:lineRule="exact"/>
        <w:rPr>
          <w:rFonts w:ascii="宋体" w:hAnsi="宋体" w:cs="Arial"/>
          <w:b/>
          <w:color w:val="auto"/>
          <w:sz w:val="24"/>
          <w:szCs w:val="24"/>
          <w:highlight w:val="none"/>
        </w:rPr>
      </w:pPr>
      <w:r/>
      <w:bookmarkStart w:id="80" w:name="_Toc462564073"/>
      <w:r/>
      <w:bookmarkStart w:id="81" w:name="_Toc513029214"/>
      <w:r/>
      <w:bookmarkStart w:id="82" w:name="_Toc20823286"/>
      <w:r/>
      <w:bookmarkStart w:id="83" w:name="_Toc16938530"/>
      <w:r>
        <w:rPr>
          <w:rFonts w:ascii="宋体" w:hAnsi="宋体" w:cs="Arial"/>
          <w:b/>
          <w:color w:val="auto"/>
          <w:sz w:val="24"/>
          <w:szCs w:val="24"/>
          <w:highlight w:val="none"/>
        </w:rPr>
        <w:t xml:space="preserve">8</w:t>
      </w:r>
      <w:r>
        <w:rPr>
          <w:rFonts w:hint="eastAsia" w:ascii="宋体" w:hAnsi="宋体" w:cs="Arial"/>
          <w:b/>
          <w:color w:val="auto"/>
          <w:sz w:val="24"/>
          <w:szCs w:val="24"/>
          <w:highlight w:val="none"/>
        </w:rPr>
        <w:t xml:space="preserve">、投标文件的语言及度量衡单位</w:t>
      </w:r>
      <w:bookmarkEnd w:id="80"/>
      <w:r/>
      <w:bookmarkEnd w:id="81"/>
      <w:r/>
      <w:bookmarkEnd w:id="82"/>
      <w:r/>
      <w:bookmarkEnd w:id="83"/>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投标人提交的投标文件以及投标人与采购人就有关投标的所有来往通知、函件和文件均应使用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ascii="宋体" w:hAnsi="宋体" w:cs="Arial"/>
          <w:b/>
          <w:color w:val="auto"/>
          <w:sz w:val="24"/>
          <w:szCs w:val="24"/>
          <w:highlight w:val="none"/>
        </w:rPr>
      </w:pPr>
      <w:r/>
      <w:bookmarkStart w:id="84" w:name="_Toc16938531"/>
      <w:r/>
      <w:bookmarkStart w:id="85" w:name="_Toc20823287"/>
      <w:r/>
      <w:bookmarkStart w:id="86" w:name="_Toc513029215"/>
      <w:r/>
      <w:bookmarkStart w:id="87" w:name="_Toc462564074"/>
      <w:r>
        <w:rPr>
          <w:rFonts w:ascii="宋体" w:hAnsi="宋体" w:cs="Arial"/>
          <w:b/>
          <w:color w:val="auto"/>
          <w:sz w:val="24"/>
          <w:szCs w:val="24"/>
          <w:highlight w:val="none"/>
        </w:rPr>
        <w:t xml:space="preserve">9</w:t>
      </w:r>
      <w:r>
        <w:rPr>
          <w:rFonts w:hint="eastAsia" w:ascii="宋体" w:hAnsi="宋体" w:cs="Arial"/>
          <w:b/>
          <w:color w:val="auto"/>
          <w:sz w:val="24"/>
          <w:szCs w:val="24"/>
          <w:highlight w:val="none"/>
        </w:rPr>
        <w:t xml:space="preserve">、投标文件构成</w:t>
      </w:r>
      <w:bookmarkEnd w:id="84"/>
      <w:r/>
      <w:bookmarkEnd w:id="85"/>
      <w:r/>
      <w:bookmarkEnd w:id="86"/>
      <w:r/>
      <w:bookmarkEnd w:id="87"/>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投标人编写的投标文件应包括资格证明文件、符合性证明文件、</w:t>
      </w:r>
      <w:r>
        <w:rPr>
          <w:rFonts w:hint="eastAsia" w:ascii="宋体" w:hAnsi="宋体"/>
          <w:color w:val="auto"/>
          <w:sz w:val="24"/>
          <w:szCs w:val="21"/>
          <w:highlight w:val="none"/>
        </w:rPr>
        <w:t xml:space="preserve">投标分项报价表、技术要求响应及偏离表、商务要求响应及偏离表、其他证明文件、投标函、开标一览表等部分。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.2 如标书制作工具中格式和内容与“江苏政府采购网”发布的招标文件不一致，请以“江苏政府采购网”发布的招标文件为准。</w:t>
      </w:r>
      <w:r/>
    </w:p>
    <w:p>
      <w:pPr>
        <w:ind w:firstLine="482"/>
        <w:keepLines/>
        <w:keepNext/>
        <w:spacing w:line="440" w:lineRule="exact"/>
        <w:rPr>
          <w:rFonts w:ascii="宋体" w:hAnsi="宋体" w:cs="Arial"/>
          <w:b/>
          <w:color w:val="auto"/>
          <w:sz w:val="24"/>
          <w:szCs w:val="24"/>
          <w:highlight w:val="none"/>
        </w:rPr>
      </w:pPr>
      <w:r/>
      <w:bookmarkStart w:id="88" w:name="_Hlt26668975"/>
      <w:r/>
      <w:bookmarkEnd w:id="88"/>
      <w:r/>
      <w:bookmarkStart w:id="89" w:name="_Hlt26954838"/>
      <w:r/>
      <w:bookmarkEnd w:id="89"/>
      <w:r/>
      <w:bookmarkStart w:id="90" w:name="_Hlt26670360"/>
      <w:r/>
      <w:bookmarkEnd w:id="90"/>
      <w:r/>
      <w:bookmarkStart w:id="91" w:name="_Toc513029219"/>
      <w:r/>
      <w:bookmarkStart w:id="92" w:name="_Toc49090509"/>
      <w:r/>
      <w:bookmarkStart w:id="93" w:name="_Toc14577354"/>
      <w:r/>
      <w:bookmarkStart w:id="94" w:name="_Toc14577357"/>
      <w:r/>
      <w:bookmarkStart w:id="95" w:name="_Toc49090507"/>
      <w:r/>
      <w:bookmarkStart w:id="96" w:name="_Toc513029216"/>
      <w:r/>
      <w:bookmarkStart w:id="97" w:name="_Toc14577355"/>
      <w:r/>
      <w:bookmarkStart w:id="98" w:name="_Toc49090508"/>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0</w:t>
      </w:r>
      <w:r>
        <w:rPr>
          <w:rFonts w:hint="eastAsia" w:ascii="宋体" w:hAnsi="宋体" w:cs="Arial"/>
          <w:b/>
          <w:color w:val="auto"/>
          <w:sz w:val="24"/>
          <w:szCs w:val="24"/>
          <w:highlight w:val="none"/>
        </w:rPr>
        <w:t xml:space="preserve">、证明投标人及投标标的符合招标文件规定的文件</w:t>
      </w:r>
      <w:bookmarkEnd w:id="91"/>
      <w:r/>
      <w:bookmarkEnd w:id="92"/>
      <w:r/>
      <w:bookmarkEnd w:id="93"/>
      <w:r/>
      <w:bookmarkEnd w:id="94"/>
      <w:r/>
      <w:bookmarkEnd w:id="95"/>
      <w:r/>
      <w:bookmarkEnd w:id="9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投标人应按照招标文件要求提交证明文件，证明其及投标标的符合招标文件规定。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.2招标文件对证明文件无明确形式要求的，证明文件可以以文字资料、图纸和数据等形式提交。</w:t>
      </w:r>
      <w:bookmarkEnd w:id="97"/>
      <w:r/>
      <w:bookmarkEnd w:id="98"/>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1</w:t>
      </w:r>
      <w:r>
        <w:rPr>
          <w:rFonts w:hint="eastAsia" w:ascii="宋体" w:hAnsi="宋体" w:cs="Arial"/>
          <w:b/>
          <w:color w:val="auto"/>
          <w:sz w:val="24"/>
          <w:szCs w:val="24"/>
          <w:highlight w:val="none"/>
        </w:rPr>
        <w:t xml:space="preserve">、投标分项报价表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w:t>
      </w:r>
      <w:bookmarkStart w:id="99" w:name="_Hlt26954840"/>
      <w:r/>
      <w:bookmarkEnd w:id="99"/>
      <w:r>
        <w:rPr>
          <w:rFonts w:hint="eastAsia" w:ascii="宋体" w:hAnsi="宋体"/>
          <w:color w:val="auto"/>
          <w:sz w:val="24"/>
          <w:szCs w:val="24"/>
          <w:highlight w:val="none"/>
        </w:rPr>
        <w:t xml:space="preserve">标人按照招标文件规定格式填报投标分项报价表</w:t>
      </w:r>
      <w:bookmarkStart w:id="100" w:name="_Hlt26670399"/>
      <w:r/>
      <w:bookmarkEnd w:id="100"/>
      <w:r>
        <w:rPr>
          <w:rFonts w:hint="eastAsia" w:ascii="宋体" w:hAnsi="宋体"/>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ind w:firstLine="482"/>
        <w:keepLines/>
        <w:keepNext/>
        <w:spacing w:line="440" w:lineRule="exact"/>
        <w:rPr>
          <w:rFonts w:ascii="宋体" w:hAnsi="宋体" w:cs="Arial"/>
          <w:b/>
          <w:color w:val="auto"/>
          <w:sz w:val="24"/>
          <w:szCs w:val="24"/>
          <w:highlight w:val="none"/>
        </w:rPr>
      </w:pPr>
      <w:r/>
      <w:bookmarkStart w:id="101" w:name="_Hlt26670482"/>
      <w:r/>
      <w:bookmarkEnd w:id="101"/>
      <w:r/>
      <w:bookmarkStart w:id="102" w:name="_Hlt26954846"/>
      <w:r/>
      <w:bookmarkEnd w:id="102"/>
      <w:r/>
      <w:bookmarkStart w:id="103" w:name="_Hlt26954731"/>
      <w:r/>
      <w:bookmarkEnd w:id="103"/>
      <w:r/>
      <w:bookmarkStart w:id="104" w:name="_Hlt26954848"/>
      <w:r/>
      <w:bookmarkEnd w:id="104"/>
      <w:r/>
      <w:bookmarkStart w:id="105" w:name="_Hlt26670486"/>
      <w:r/>
      <w:bookmarkEnd w:id="105"/>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2</w:t>
      </w:r>
      <w:r>
        <w:rPr>
          <w:rFonts w:hint="eastAsia" w:ascii="宋体" w:hAnsi="宋体" w:cs="Arial"/>
          <w:b/>
          <w:color w:val="auto"/>
          <w:sz w:val="24"/>
          <w:szCs w:val="24"/>
          <w:highlight w:val="none"/>
        </w:rPr>
        <w:t xml:space="preserve">、技术要求响应及偏离表、商务要求响应及偏离表</w:t>
      </w:r>
      <w:r/>
    </w:p>
    <w:p>
      <w:pPr>
        <w:ind w:firstLine="480"/>
        <w:spacing w:line="440" w:lineRule="exact"/>
        <w:rPr>
          <w:rFonts w:ascii="宋体" w:hAnsi="宋体" w:cs="宋体"/>
          <w:color w:val="auto"/>
          <w:sz w:val="24"/>
          <w:szCs w:val="24"/>
          <w:highlight w:val="none"/>
          <w:lang w:val="zh-CN"/>
        </w:rPr>
      </w:pPr>
      <w:r>
        <w:rPr>
          <w:rFonts w:ascii="宋体" w:hAnsi="宋体" w:cs="宋体"/>
          <w:bCs/>
          <w:color w:val="auto"/>
          <w:sz w:val="24"/>
          <w:szCs w:val="24"/>
          <w:highlight w:val="none"/>
          <w:lang w:val="zh-CN"/>
        </w:rPr>
        <w:t xml:space="preserve">12.1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4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2</w:t>
      </w:r>
      <w:r>
        <w:rPr>
          <w:rFonts w:hint="eastAsia" w:ascii="宋体" w:hAnsi="宋体" w:cs="宋体"/>
          <w:color w:val="auto"/>
          <w:sz w:val="24"/>
          <w:szCs w:val="24"/>
          <w:highlight w:val="none"/>
          <w:lang w:val="zh-CN"/>
        </w:rPr>
        <w:t xml:space="preserve">.2</w:t>
      </w:r>
      <w:r>
        <w:rPr>
          <w:rFonts w:hint="eastAsia" w:ascii="宋体" w:hAnsi="Arial" w:cs="宋体"/>
          <w:color w:val="auto"/>
          <w:sz w:val="24"/>
          <w:szCs w:val="21"/>
          <w:highlight w:val="none"/>
          <w:lang w:val="zh-CN"/>
        </w:rPr>
        <w:t xml:space="preserve">投标人可在投标文件中提供认为需要的其他技术文件或说明。</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3</w:t>
      </w:r>
      <w:r>
        <w:rPr>
          <w:rFonts w:hint="eastAsia" w:ascii="宋体" w:hAnsi="宋体" w:cs="Arial"/>
          <w:b/>
          <w:color w:val="auto"/>
          <w:sz w:val="24"/>
          <w:szCs w:val="24"/>
          <w:highlight w:val="none"/>
        </w:rPr>
        <w:t xml:space="preserve">、服务承诺、培训计划、人员安排及其他</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投标人需根据招标文件要求提供培训计划。</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 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keepLines/>
        <w:keepNext/>
        <w:spacing w:line="440" w:lineRule="exact"/>
        <w:rPr>
          <w:rFonts w:ascii="宋体" w:hAnsi="宋体" w:cs="Arial"/>
          <w:b/>
          <w:color w:val="auto"/>
          <w:sz w:val="24"/>
          <w:szCs w:val="24"/>
          <w:highlight w:val="none"/>
        </w:rPr>
      </w:pPr>
      <w:r/>
      <w:bookmarkStart w:id="106" w:name="_Toc14577359"/>
      <w:r/>
      <w:bookmarkStart w:id="107" w:name="_Toc49090510"/>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4</w:t>
      </w:r>
      <w:r>
        <w:rPr>
          <w:rFonts w:hint="eastAsia" w:ascii="宋体" w:hAnsi="宋体" w:cs="Arial"/>
          <w:b/>
          <w:color w:val="auto"/>
          <w:sz w:val="24"/>
          <w:szCs w:val="24"/>
          <w:highlight w:val="none"/>
        </w:rPr>
        <w:t xml:space="preserve">、投标函和开标一览表</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投标人应按照招标文件中提供的格式完整、正确填写投标函、开标一览表。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bookmarkEnd w:id="106"/>
      <w:r/>
      <w:bookmarkEnd w:id="107"/>
      <w:r/>
      <w:r/>
    </w:p>
    <w:p>
      <w:pPr>
        <w:ind w:firstLine="482"/>
        <w:keepLines/>
        <w:keepNext/>
        <w:spacing w:line="440" w:lineRule="exact"/>
        <w:rPr>
          <w:rFonts w:ascii="宋体" w:hAnsi="宋体" w:cs="Arial"/>
          <w:b/>
          <w:color w:val="auto"/>
          <w:sz w:val="24"/>
          <w:szCs w:val="24"/>
          <w:highlight w:val="none"/>
        </w:rPr>
      </w:pPr>
      <w:r/>
      <w:bookmarkStart w:id="108" w:name="_Toc14577360"/>
      <w:r/>
      <w:bookmarkStart w:id="109" w:name="_Toc49090511"/>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5</w:t>
      </w:r>
      <w:r>
        <w:rPr>
          <w:rFonts w:hint="eastAsia" w:ascii="宋体" w:hAnsi="宋体" w:cs="Arial"/>
          <w:b/>
          <w:color w:val="auto"/>
          <w:sz w:val="24"/>
          <w:szCs w:val="24"/>
          <w:highlight w:val="none"/>
        </w:rPr>
        <w:t xml:space="preserve">、投标有效期</w:t>
      </w:r>
      <w:bookmarkEnd w:id="108"/>
      <w:r/>
      <w:bookmarkEnd w:id="10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.1投标有效期为采购人规定的开标之日后</w:t>
      </w:r>
      <w:r>
        <w:rPr>
          <w:rFonts w:hint="eastAsia" w:ascii="宋体" w:hAnsi="宋体"/>
          <w:b/>
          <w:color w:val="auto"/>
          <w:sz w:val="24"/>
          <w:szCs w:val="24"/>
          <w:highlight w:val="none"/>
          <w:u w:val="single"/>
        </w:rPr>
        <w:t xml:space="preserve">六十（60）天</w:t>
      </w:r>
      <w:r>
        <w:rPr>
          <w:rFonts w:hint="eastAsia" w:ascii="宋体" w:hAnsi="宋体"/>
          <w:bCs/>
          <w:color w:val="auto"/>
          <w:sz w:val="24"/>
          <w:szCs w:val="24"/>
          <w:highlight w:val="none"/>
        </w:rPr>
        <w:t xml:space="preserve">。投标有效期比规定短的将被视为未实质性响应招标文件而予以拒绝。</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6</w:t>
      </w:r>
      <w:r>
        <w:rPr>
          <w:rFonts w:hint="eastAsia" w:ascii="宋体" w:hAnsi="宋体" w:cs="Arial"/>
          <w:b/>
          <w:color w:val="auto"/>
          <w:sz w:val="24"/>
          <w:szCs w:val="24"/>
          <w:highlight w:val="none"/>
        </w:rPr>
        <w:t xml:space="preserve">、投标有效期的延长</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4"/>
          <w:highlight w:val="none"/>
        </w:rPr>
        <w:t xml:space="preserve">。</w:t>
      </w:r>
      <w:r/>
    </w:p>
    <w:p>
      <w:pPr>
        <w:ind w:firstLine="482"/>
        <w:keepLines/>
        <w:keepNext/>
        <w:spacing w:line="440" w:lineRule="exact"/>
        <w:rPr>
          <w:rFonts w:ascii="宋体" w:hAnsi="宋体"/>
          <w:b/>
          <w:bCs/>
          <w:color w:val="auto"/>
          <w:sz w:val="24"/>
          <w:szCs w:val="24"/>
          <w:highlight w:val="none"/>
        </w:rPr>
      </w:pPr>
      <w:r/>
      <w:bookmarkStart w:id="110" w:name="_Hlt26954852"/>
      <w:r/>
      <w:bookmarkEnd w:id="110"/>
      <w:r/>
      <w:bookmarkStart w:id="111" w:name="_Hlt26954739"/>
      <w:r/>
      <w:bookmarkEnd w:id="111"/>
      <w:r/>
      <w:bookmarkStart w:id="112" w:name="_Toc16938540"/>
      <w:r/>
      <w:bookmarkStart w:id="113" w:name="_Toc120614217"/>
      <w:r/>
      <w:bookmarkStart w:id="114" w:name="_Toc513029224"/>
      <w:r/>
      <w:bookmarkStart w:id="115" w:name="_Toc20823296"/>
      <w:r>
        <w:rPr>
          <w:rFonts w:hint="eastAsia" w:ascii="宋体" w:hAnsi="宋体"/>
          <w:b/>
          <w:bCs/>
          <w:color w:val="auto"/>
          <w:sz w:val="24"/>
          <w:szCs w:val="24"/>
          <w:highlight w:val="none"/>
        </w:rPr>
        <w:t xml:space="preserve">四、投标文件的递交</w:t>
      </w:r>
      <w:bookmarkEnd w:id="112"/>
      <w:r/>
      <w:bookmarkEnd w:id="113"/>
      <w:r/>
      <w:bookmarkEnd w:id="114"/>
      <w:r/>
      <w:bookmarkEnd w:id="115"/>
      <w:r/>
      <w:r/>
    </w:p>
    <w:p>
      <w:pPr>
        <w:ind w:firstLine="482"/>
        <w:keepLines/>
        <w:keepNext/>
        <w:spacing w:line="440" w:lineRule="exact"/>
        <w:rPr>
          <w:rFonts w:ascii="宋体" w:hAnsi="宋体" w:cs="Arial"/>
          <w:b/>
          <w:color w:val="auto"/>
          <w:sz w:val="24"/>
          <w:szCs w:val="24"/>
          <w:highlight w:val="none"/>
        </w:rPr>
      </w:pPr>
      <w:r/>
      <w:bookmarkStart w:id="116" w:name="_Toc16938541"/>
      <w:r/>
      <w:bookmarkStart w:id="117" w:name="_Toc513029225"/>
      <w:r/>
      <w:bookmarkStart w:id="118" w:name="_Toc462564084"/>
      <w:r/>
      <w:bookmarkStart w:id="119" w:name="_Toc20823297"/>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7</w:t>
      </w:r>
      <w:r>
        <w:rPr>
          <w:rFonts w:hint="eastAsia" w:ascii="宋体" w:hAnsi="宋体" w:cs="Arial"/>
          <w:b/>
          <w:color w:val="auto"/>
          <w:sz w:val="24"/>
          <w:szCs w:val="24"/>
          <w:highlight w:val="none"/>
        </w:rPr>
        <w:t xml:space="preserve">、电子投标文件</w:t>
      </w:r>
      <w:bookmarkEnd w:id="116"/>
      <w:r/>
      <w:bookmarkEnd w:id="117"/>
      <w:r/>
      <w:bookmarkEnd w:id="118"/>
      <w:r/>
      <w:bookmarkEnd w:id="119"/>
      <w:r>
        <w:rPr>
          <w:rFonts w:hint="eastAsia" w:ascii="宋体" w:hAnsi="宋体" w:cs="Arial"/>
          <w:b/>
          <w:color w:val="auto"/>
          <w:sz w:val="24"/>
          <w:szCs w:val="24"/>
          <w:highlight w:val="none"/>
        </w:rPr>
        <w:t xml:space="preserve">的递交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子投标文件。</w:t>
      </w:r>
      <w:bookmarkStart w:id="120" w:name="_Toc20823298"/>
      <w:r/>
      <w:bookmarkStart w:id="121" w:name="_Toc16938542"/>
      <w:r/>
      <w:bookmarkStart w:id="122" w:name="_Toc513029226"/>
      <w:r/>
      <w:r/>
    </w:p>
    <w:p>
      <w:pPr>
        <w:ind w:firstLine="482"/>
        <w:keepLines/>
        <w:keepNext/>
        <w:spacing w:line="440" w:lineRule="exact"/>
        <w:rPr>
          <w:rFonts w:ascii="宋体" w:hAnsi="宋体" w:cs="Arial"/>
          <w:b/>
          <w:bCs/>
          <w:color w:val="auto"/>
          <w:sz w:val="24"/>
          <w:szCs w:val="24"/>
          <w:highlight w:val="none"/>
        </w:rPr>
      </w:pPr>
      <w:r>
        <w:rPr>
          <w:rFonts w:ascii="宋体" w:hAnsi="宋体" w:cs="Arial"/>
          <w:b/>
          <w:bCs/>
          <w:color w:val="auto"/>
          <w:sz w:val="24"/>
          <w:szCs w:val="24"/>
          <w:highlight w:val="none"/>
        </w:rPr>
        <w:t xml:space="preserve">18</w:t>
      </w:r>
      <w:r>
        <w:rPr>
          <w:rFonts w:hint="eastAsia" w:ascii="宋体" w:hAnsi="宋体" w:cs="Arial"/>
          <w:b/>
          <w:bCs/>
          <w:color w:val="auto"/>
          <w:sz w:val="24"/>
          <w:szCs w:val="24"/>
          <w:highlight w:val="none"/>
        </w:rPr>
        <w:t xml:space="preserve">、投标截止日期</w:t>
      </w:r>
      <w:bookmarkEnd w:id="120"/>
      <w:r/>
      <w:bookmarkEnd w:id="121"/>
      <w:r/>
      <w:bookmarkEnd w:id="122"/>
      <w:r/>
      <w:r/>
    </w:p>
    <w:p>
      <w:pPr>
        <w:ind w:firstLine="480"/>
        <w:spacing w:line="440" w:lineRule="exact"/>
        <w:rPr>
          <w:rFonts w:ascii="宋体" w:hAnsi="宋体"/>
          <w:bCs/>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 投标人上传电子投标文件的时间不得迟于招标公告中规定的投标截止时间。</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.1.2条规定作无效投标处理。</w:t>
      </w:r>
      <w:r/>
    </w:p>
    <w:p>
      <w:pPr>
        <w:ind w:firstLine="480"/>
        <w:spacing w:line="440" w:lineRule="exact"/>
        <w:rPr>
          <w:rFonts w:ascii="宋体" w:hAnsi="宋体"/>
          <w:bCs/>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采购人可以按照规定，通过修改招标文件酌情延长投标截止日期，在此情况下，投标人的所有权利和义务以及投标人受制的截止日期均应以延长后新的截止日期为准。</w:t>
      </w:r>
      <w:r/>
    </w:p>
    <w:p>
      <w:pPr>
        <w:ind w:firstLine="482"/>
        <w:keepLines/>
        <w:keepNext/>
        <w:spacing w:line="440" w:lineRule="exact"/>
        <w:rPr>
          <w:rFonts w:ascii="宋体" w:hAnsi="宋体" w:cs="Arial"/>
          <w:b/>
          <w:color w:val="auto"/>
          <w:sz w:val="24"/>
          <w:szCs w:val="24"/>
          <w:highlight w:val="none"/>
        </w:rPr>
      </w:pPr>
      <w:r/>
      <w:bookmarkStart w:id="123" w:name="_Toc16938543"/>
      <w:r/>
      <w:bookmarkStart w:id="124" w:name="_Toc513029227"/>
      <w:r/>
      <w:bookmarkStart w:id="125" w:name="_Toc20823299"/>
      <w:r>
        <w:rPr>
          <w:rFonts w:ascii="宋体" w:hAnsi="宋体" w:cs="Arial"/>
          <w:b/>
          <w:color w:val="auto"/>
          <w:sz w:val="24"/>
          <w:szCs w:val="24"/>
          <w:highlight w:val="none"/>
        </w:rPr>
        <w:t xml:space="preserve">19</w:t>
      </w:r>
      <w:r>
        <w:rPr>
          <w:rFonts w:hint="eastAsia" w:ascii="宋体" w:hAnsi="宋体" w:cs="Arial"/>
          <w:b/>
          <w:color w:val="auto"/>
          <w:sz w:val="24"/>
          <w:szCs w:val="24"/>
          <w:highlight w:val="none"/>
        </w:rPr>
        <w:t xml:space="preserve">、投标文件</w:t>
      </w:r>
      <w:bookmarkEnd w:id="123"/>
      <w:r/>
      <w:bookmarkEnd w:id="124"/>
      <w:r/>
      <w:bookmarkEnd w:id="125"/>
      <w:r>
        <w:rPr>
          <w:rFonts w:hint="eastAsia" w:ascii="宋体" w:hAnsi="宋体" w:cs="Arial"/>
          <w:b/>
          <w:color w:val="auto"/>
          <w:sz w:val="24"/>
          <w:szCs w:val="24"/>
          <w:highlight w:val="none"/>
        </w:rPr>
        <w:t xml:space="preserve">的拒收</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19</w:t>
      </w:r>
      <w:r>
        <w:rPr>
          <w:rFonts w:hint="eastAsia" w:ascii="宋体" w:hAnsi="宋体"/>
          <w:bCs/>
          <w:color w:val="auto"/>
          <w:sz w:val="24"/>
          <w:szCs w:val="24"/>
          <w:highlight w:val="none"/>
        </w:rPr>
        <w:t xml:space="preserve">.1 采购人拒绝接收在其规定的投标截止时间后上传的任何投标文件。</w:t>
      </w:r>
      <w:r/>
    </w:p>
    <w:p>
      <w:pPr>
        <w:ind w:firstLine="482"/>
        <w:keepLines/>
        <w:keepNext/>
        <w:spacing w:line="440" w:lineRule="exact"/>
        <w:rPr>
          <w:rFonts w:ascii="宋体" w:hAnsi="宋体" w:cs="Arial"/>
          <w:b/>
          <w:color w:val="auto"/>
          <w:sz w:val="24"/>
          <w:szCs w:val="24"/>
          <w:highlight w:val="none"/>
        </w:rPr>
      </w:pPr>
      <w:r/>
      <w:bookmarkStart w:id="126" w:name="_Toc513029228"/>
      <w:r/>
      <w:bookmarkStart w:id="127" w:name="_Toc16938544"/>
      <w:r/>
      <w:bookmarkStart w:id="128" w:name="_Toc20823300"/>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0</w:t>
      </w:r>
      <w:r>
        <w:rPr>
          <w:rFonts w:hint="eastAsia" w:ascii="宋体" w:hAnsi="宋体" w:cs="Arial"/>
          <w:b/>
          <w:color w:val="auto"/>
          <w:sz w:val="24"/>
          <w:szCs w:val="24"/>
          <w:highlight w:val="none"/>
        </w:rPr>
        <w:t xml:space="preserve">、投标文件的撤回和修改</w:t>
      </w:r>
      <w:bookmarkEnd w:id="126"/>
      <w:r/>
      <w:bookmarkEnd w:id="127"/>
      <w:r/>
      <w:bookmarkEnd w:id="128"/>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投标文件的撤回</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.1.1 电子投标文件的撤回</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 投标文件的修改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.2.1投标人可在投标截止时间前，对其电子投标文件进行修改，具体操作方法见《操作手册》。</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w:t>
      </w:r>
      <w:r>
        <w:rPr>
          <w:rFonts w:ascii="宋体" w:hAnsi="宋体"/>
          <w:color w:val="auto"/>
          <w:sz w:val="24"/>
          <w:szCs w:val="24"/>
          <w:highlight w:val="none"/>
        </w:rPr>
        <w:t xml:space="preserve">2.2</w:t>
      </w:r>
      <w:r>
        <w:rPr>
          <w:rFonts w:hint="eastAsia" w:ascii="宋体" w:hAnsi="宋体"/>
          <w:bCs/>
          <w:color w:val="auto"/>
          <w:sz w:val="24"/>
          <w:szCs w:val="24"/>
          <w:highlight w:val="none"/>
        </w:rPr>
        <w:t xml:space="preserve"> 在投标截止时间之后，投标人不得对其电子投标文件作任何修改。</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 在投标截止时间至招标文件中规定的投标有效期满之间的这段时间内，投标人不得撤回其投标。</w:t>
      </w:r>
      <w:r/>
    </w:p>
    <w:p>
      <w:pPr>
        <w:ind w:firstLine="482"/>
        <w:keepLines/>
        <w:keepNext/>
        <w:spacing w:line="440" w:lineRule="exact"/>
        <w:rPr>
          <w:rFonts w:ascii="宋体" w:hAnsi="宋体"/>
          <w:b/>
          <w:bCs/>
          <w:color w:val="auto"/>
          <w:sz w:val="24"/>
          <w:szCs w:val="24"/>
          <w:highlight w:val="none"/>
        </w:rPr>
      </w:pPr>
      <w:r/>
      <w:bookmarkStart w:id="129" w:name="_Toc120614218"/>
      <w:r/>
      <w:bookmarkStart w:id="130" w:name="_Toc20823301"/>
      <w:r/>
      <w:bookmarkStart w:id="131" w:name="_Toc16938545"/>
      <w:r/>
      <w:bookmarkStart w:id="132" w:name="_Toc513029229"/>
      <w:r>
        <w:rPr>
          <w:rFonts w:hint="eastAsia" w:ascii="宋体" w:hAnsi="宋体"/>
          <w:b/>
          <w:bCs/>
          <w:color w:val="auto"/>
          <w:sz w:val="24"/>
          <w:szCs w:val="24"/>
          <w:highlight w:val="none"/>
        </w:rPr>
        <w:t xml:space="preserve">五、开标与评标</w:t>
      </w:r>
      <w:bookmarkEnd w:id="129"/>
      <w:r/>
      <w:bookmarkEnd w:id="130"/>
      <w:r/>
      <w:bookmarkEnd w:id="131"/>
      <w:r/>
      <w:bookmarkEnd w:id="132"/>
      <w:r/>
      <w:r/>
    </w:p>
    <w:p>
      <w:pPr>
        <w:ind w:firstLine="482"/>
        <w:keepLines/>
        <w:keepNext/>
        <w:spacing w:line="440" w:lineRule="exact"/>
        <w:rPr>
          <w:rFonts w:ascii="宋体" w:hAnsi="宋体" w:cs="Arial"/>
          <w:b/>
          <w:color w:val="auto"/>
          <w:sz w:val="24"/>
          <w:szCs w:val="24"/>
          <w:highlight w:val="none"/>
        </w:rPr>
      </w:pPr>
      <w:r/>
      <w:bookmarkStart w:id="133" w:name="_Toc513029230"/>
      <w:r/>
      <w:bookmarkStart w:id="134" w:name="_Toc16938546"/>
      <w:r/>
      <w:bookmarkStart w:id="135" w:name="_Toc20823302"/>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1</w:t>
      </w:r>
      <w:r>
        <w:rPr>
          <w:rFonts w:hint="eastAsia" w:ascii="宋体" w:hAnsi="宋体" w:cs="Arial"/>
          <w:b/>
          <w:color w:val="auto"/>
          <w:sz w:val="24"/>
          <w:szCs w:val="24"/>
          <w:highlight w:val="none"/>
        </w:rPr>
        <w:t xml:space="preserve">、开标</w:t>
      </w:r>
      <w:bookmarkEnd w:id="133"/>
      <w:r/>
      <w:bookmarkEnd w:id="134"/>
      <w:r/>
      <w:bookmarkEnd w:id="135"/>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.3投标人在开标过程中涉及到的投标文件解密、开标结果确认等工作，应按照《操作手册》规定执行。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82"/>
        <w:keepLines/>
        <w:keepNext/>
        <w:spacing w:line="440" w:lineRule="exact"/>
        <w:rPr>
          <w:rFonts w:ascii="宋体" w:hAnsi="宋体" w:cs="Arial"/>
          <w:b/>
          <w:color w:val="auto"/>
          <w:sz w:val="24"/>
          <w:szCs w:val="24"/>
          <w:highlight w:val="none"/>
        </w:rPr>
      </w:pPr>
      <w:r/>
      <w:bookmarkStart w:id="136" w:name="_Toc513029231"/>
      <w:r/>
      <w:bookmarkStart w:id="137" w:name="_Toc16938547"/>
      <w:r/>
      <w:bookmarkStart w:id="138" w:name="_Toc20823303"/>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2</w:t>
      </w:r>
      <w:r>
        <w:rPr>
          <w:rFonts w:hint="eastAsia" w:ascii="宋体" w:hAnsi="宋体" w:cs="Arial"/>
          <w:b/>
          <w:color w:val="auto"/>
          <w:sz w:val="24"/>
          <w:szCs w:val="24"/>
          <w:highlight w:val="none"/>
        </w:rPr>
        <w:t xml:space="preserve">、评标委员会</w:t>
      </w:r>
      <w:r/>
    </w:p>
    <w:p>
      <w:pPr>
        <w:ind w:firstLine="480"/>
        <w:spacing w:line="440" w:lineRule="exact"/>
        <w:rPr>
          <w:rFonts w:ascii="宋体" w:hAnsi="宋体"/>
          <w:b/>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.1开标后，采购人将立即组织评标委员会（以下简称评委会）进行评标。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.3评委会独立工作，负责评审所有投标文件并确定中标侯选人。</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3</w:t>
      </w:r>
      <w:r>
        <w:rPr>
          <w:rFonts w:hint="eastAsia" w:ascii="宋体" w:hAnsi="宋体" w:cs="Arial"/>
          <w:b/>
          <w:color w:val="auto"/>
          <w:sz w:val="24"/>
          <w:szCs w:val="24"/>
          <w:highlight w:val="none"/>
        </w:rPr>
        <w:t xml:space="preserve">、评标过程的保密与公正</w:t>
      </w:r>
      <w:bookmarkEnd w:id="136"/>
      <w:r/>
      <w:bookmarkEnd w:id="137"/>
      <w:r/>
      <w:bookmarkEnd w:id="138"/>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.2在评标过程中，投标人不得以任何行为影响评标过程，否则其投标文件将被作为无效投标文件。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采购人和评标委员会不向未中标的投标人解释未中标原因，也不公布评标过程中的相关细节。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82"/>
        <w:keepLines/>
        <w:keepNext/>
        <w:spacing w:line="440" w:lineRule="exact"/>
        <w:rPr>
          <w:rFonts w:ascii="宋体" w:hAnsi="宋体" w:cs="Arial"/>
          <w:b/>
          <w:color w:val="auto"/>
          <w:sz w:val="24"/>
          <w:szCs w:val="24"/>
          <w:highlight w:val="none"/>
        </w:rPr>
      </w:pPr>
      <w:r/>
      <w:bookmarkStart w:id="139" w:name="_Toc16938548"/>
      <w:r/>
      <w:bookmarkStart w:id="140" w:name="_Toc20823304"/>
      <w:r/>
      <w:bookmarkStart w:id="141" w:name="_Toc513029232"/>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4</w:t>
      </w:r>
      <w:r>
        <w:rPr>
          <w:rFonts w:hint="eastAsia" w:ascii="宋体" w:hAnsi="宋体" w:cs="Arial"/>
          <w:b/>
          <w:color w:val="auto"/>
          <w:sz w:val="24"/>
          <w:szCs w:val="24"/>
          <w:highlight w:val="none"/>
        </w:rPr>
        <w:t xml:space="preserve">、投标文件的澄清</w:t>
      </w:r>
      <w:bookmarkEnd w:id="139"/>
      <w:r/>
      <w:bookmarkEnd w:id="140"/>
      <w:r/>
      <w:bookmarkEnd w:id="141"/>
      <w:r/>
      <w:r/>
    </w:p>
    <w:p>
      <w:pPr>
        <w:ind w:firstLine="480"/>
        <w:spacing w:line="440" w:lineRule="exact"/>
        <w:rPr>
          <w:rFonts w:ascii="宋体" w:hAnsi="宋体"/>
          <w:color w:val="auto"/>
          <w:sz w:val="24"/>
          <w:szCs w:val="24"/>
          <w:highlight w:val="none"/>
        </w:rPr>
      </w:pPr>
      <w:r/>
      <w:bookmarkStart w:id="142" w:name="_Toc513029233"/>
      <w:r/>
      <w:bookmarkStart w:id="143" w:name="_Toc20823305"/>
      <w:r/>
      <w:bookmarkStart w:id="144" w:name="_Toc16938549"/>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5</w:t>
      </w:r>
      <w:r>
        <w:rPr>
          <w:rFonts w:hint="eastAsia" w:ascii="宋体" w:hAnsi="宋体" w:cs="Arial"/>
          <w:b/>
          <w:color w:val="auto"/>
          <w:sz w:val="24"/>
          <w:szCs w:val="24"/>
          <w:highlight w:val="none"/>
        </w:rPr>
        <w:t xml:space="preserve">、对投标文件的初审</w:t>
      </w:r>
      <w:bookmarkEnd w:id="142"/>
      <w:r/>
      <w:bookmarkEnd w:id="143"/>
      <w:r/>
      <w:bookmarkEnd w:id="144"/>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采购人在进行资格性审查的同时，将在“信用中国”网站查询投标人的信用记录，以确定投标人是否具备投标资格,查询结果留存并归档。</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.1.3 未通过资格审查或符合性审查的投标人，采购代理机构将在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中告知未通过资格审查或符合性审查的原因，评审结束后，采购代理机构将不再告知未通过资格审查或符合性审查的原因。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4"/>
          <w:highlight w:val="none"/>
        </w:rPr>
        <w:t xml:space="preserve">评委决定投标文件的响应性只根据投标文件本身的内容，而不寻求外部的证据。</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.5</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调整后的价格应对投标人具有约束力。如果投标人不接受修正后的价格，则其投标将被拒绝。</w:t>
      </w:r>
      <w:r/>
    </w:p>
    <w:p>
      <w:pPr>
        <w:ind w:firstLine="480"/>
        <w:spacing w:line="440" w:lineRule="exact"/>
        <w:rPr>
          <w:rFonts w:ascii="宋体" w:hAnsi="宋体"/>
          <w:color w:val="auto"/>
          <w:sz w:val="24"/>
          <w:szCs w:val="24"/>
          <w:highlight w:val="none"/>
        </w:rPr>
      </w:pPr>
      <w:r/>
      <w:bookmarkStart w:id="145" w:name="_Toc513029234"/>
      <w:r/>
      <w:bookmarkStart w:id="146" w:name="_Toc20823306"/>
      <w:r/>
      <w:bookmarkStart w:id="147" w:name="_Toc16938550"/>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4"/>
          <w:highlight w:val="none"/>
        </w:rPr>
        <w:t xml:space="preserve">按照招标文件规定的方式（招标文件未规定的通过</w:t>
      </w:r>
      <w:r>
        <w:rPr>
          <w:rFonts w:ascii="宋体" w:hAnsi="宋体"/>
          <w:color w:val="auto"/>
          <w:sz w:val="24"/>
          <w:szCs w:val="24"/>
          <w:highlight w:val="none"/>
        </w:rPr>
        <w:t xml:space="preserve">随机抽取</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方式</w:t>
      </w:r>
      <w:r>
        <w:rPr>
          <w:rFonts w:hint="eastAsia" w:ascii="宋体" w:hAnsi="宋体"/>
          <w:color w:val="auto"/>
          <w:sz w:val="24"/>
          <w:szCs w:val="24"/>
          <w:highlight w:val="none"/>
        </w:rPr>
        <w:t xml:space="preserve">）</w:t>
      </w:r>
      <w:r>
        <w:rPr>
          <w:rFonts w:ascii="宋体" w:hAnsi="宋体"/>
          <w:color w:val="auto"/>
          <w:sz w:val="24"/>
          <w:szCs w:val="24"/>
          <w:highlight w:val="none"/>
        </w:rPr>
        <w:t xml:space="preserve">确定一个参加评标的投标人，其他投标无效。</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b/>
          <w:color w:val="auto"/>
          <w:sz w:val="24"/>
          <w:szCs w:val="24"/>
          <w:highlight w:val="none"/>
        </w:rPr>
        <w:t xml:space="preserve">根据招标文件规定的方式（招标文件未规定的采取随机抽取的方式）</w:t>
      </w:r>
      <w:r>
        <w:rPr>
          <w:rFonts w:ascii="宋体" w:hAnsi="宋体"/>
          <w:b/>
          <w:color w:val="auto"/>
          <w:sz w:val="24"/>
          <w:szCs w:val="24"/>
          <w:highlight w:val="none"/>
        </w:rPr>
        <w:t xml:space="preserve">确定</w:t>
      </w:r>
      <w:r>
        <w:rPr>
          <w:rFonts w:hint="eastAsia" w:ascii="宋体" w:hAnsi="宋体"/>
          <w:b/>
          <w:color w:val="auto"/>
          <w:sz w:val="24"/>
          <w:szCs w:val="24"/>
          <w:highlight w:val="none"/>
        </w:rPr>
        <w:t xml:space="preserve">一个中标候选人</w:t>
      </w:r>
      <w:r>
        <w:rPr>
          <w:rFonts w:ascii="宋体" w:hAnsi="宋体"/>
          <w:b/>
          <w:color w:val="auto"/>
          <w:sz w:val="24"/>
          <w:szCs w:val="24"/>
          <w:highlight w:val="none"/>
        </w:rPr>
        <w:t xml:space="preserve">，其他同品牌投标人不作为中标候选人。</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非单一产品采购项目，招标文件中</w:t>
      </w:r>
      <w:r>
        <w:rPr>
          <w:rFonts w:hint="eastAsia" w:ascii="宋体" w:hAnsi="宋体"/>
          <w:b/>
          <w:color w:val="auto"/>
          <w:sz w:val="24"/>
          <w:szCs w:val="24"/>
          <w:highlight w:val="none"/>
        </w:rPr>
        <w:t xml:space="preserve">将载明其中的核心产品</w:t>
      </w:r>
      <w:r>
        <w:rPr>
          <w:rFonts w:ascii="宋体" w:hAnsi="宋体"/>
          <w:b/>
          <w:color w:val="auto"/>
          <w:sz w:val="24"/>
          <w:szCs w:val="24"/>
          <w:highlight w:val="none"/>
        </w:rPr>
        <w:t xml:space="preserve">。多家投标人提供的核心产品品牌相同的，按前两款规定处理。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.7投标人在开、评标全过程中应保持通讯畅通，及时登录苏采云系统查阅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并安排专人与采购人或采购代理机构及评标委员会联系。</w:t>
      </w:r>
      <w:r/>
    </w:p>
    <w:p>
      <w:pPr>
        <w:ind w:firstLine="48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25.8 异常低价投标审查</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25.8.1 评标过程中出现下列情形之一的，评标委员会应当启动异常低价投标审查程序：</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（3）投标（响应）报价低于采购项目最高限价45%的，即投标（响应）报价&lt;采购项目最高限价×45%；</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（4）评标委员会基于专业判断，认为供应商报价过低，有可能影响产品质量或者不能诚信履约的其他情形。</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25.8.2启动异常低价投标审查后，评标委员会将通过苏采云系统要求相关供应商在合理的时间内（一般不少于30分钟），提供项目具体成本测算等与报价合理性相关的书面说明及相关证明材料，对投标价格作出解释，由</w:t>
      </w:r>
      <w:r>
        <w:rPr>
          <w:rFonts w:hint="eastAsia" w:ascii="宋体" w:hAnsi="宋体"/>
          <w:bCs/>
          <w:color w:val="auto"/>
          <w:sz w:val="24"/>
          <w:szCs w:val="21"/>
          <w:highlight w:val="none"/>
        </w:rPr>
        <w:t xml:space="preserve">评标委员会</w:t>
      </w:r>
      <w:r>
        <w:rPr>
          <w:rFonts w:hint="eastAsia" w:ascii="宋体" w:hAnsi="宋体"/>
          <w:bCs/>
          <w:color w:val="auto"/>
          <w:sz w:val="24"/>
          <w:szCs w:val="24"/>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bCs/>
          <w:color w:val="auto"/>
          <w:sz w:val="24"/>
          <w:szCs w:val="21"/>
          <w:highlight w:val="none"/>
        </w:rPr>
        <w:t xml:space="preserve">评标委员会</w:t>
      </w:r>
      <w:r>
        <w:rPr>
          <w:rFonts w:hint="eastAsia" w:ascii="宋体" w:hAnsi="宋体"/>
          <w:bCs/>
          <w:color w:val="auto"/>
          <w:sz w:val="24"/>
          <w:szCs w:val="24"/>
          <w:highlight w:val="none"/>
        </w:rPr>
        <w:t xml:space="preserve">应当将其作为无效投标处理。审查相关情况应当在评审报告中进行记录。</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6</w:t>
      </w:r>
      <w:r>
        <w:rPr>
          <w:rFonts w:hint="eastAsia" w:ascii="宋体" w:hAnsi="宋体" w:cs="Arial"/>
          <w:b/>
          <w:color w:val="auto"/>
          <w:sz w:val="24"/>
          <w:szCs w:val="24"/>
          <w:highlight w:val="none"/>
        </w:rPr>
        <w:t xml:space="preserve">、</w:t>
      </w:r>
      <w:bookmarkEnd w:id="145"/>
      <w:r/>
      <w:bookmarkEnd w:id="146"/>
      <w:r/>
      <w:bookmarkEnd w:id="147"/>
      <w:r>
        <w:rPr>
          <w:rFonts w:hint="eastAsia" w:ascii="宋体" w:hAnsi="宋体" w:cs="Arial"/>
          <w:b/>
          <w:color w:val="auto"/>
          <w:sz w:val="24"/>
          <w:szCs w:val="24"/>
          <w:highlight w:val="none"/>
        </w:rPr>
        <w:t xml:space="preserve">无效投标条款和废标条款</w:t>
      </w:r>
      <w:r/>
    </w:p>
    <w:p>
      <w:pPr>
        <w:ind w:firstLine="480"/>
        <w:spacing w:line="440" w:lineRule="exact"/>
        <w:rPr>
          <w:rFonts w:ascii="宋体" w:hAnsi="宋体"/>
          <w:bCs/>
          <w:color w:val="auto"/>
          <w:sz w:val="24"/>
          <w:szCs w:val="24"/>
          <w:highlight w:val="none"/>
        </w:rPr>
      </w:pPr>
      <w:r/>
      <w:bookmarkStart w:id="148" w:name="_Toc513029235"/>
      <w:r/>
      <w:bookmarkStart w:id="149" w:name="_Toc20823307"/>
      <w:r/>
      <w:bookmarkStart w:id="150" w:name="_Toc16938551"/>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.1无效投标条款</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投标人未按照招标文件要求上传电子投标文件的。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投标人同一</w:t>
      </w:r>
      <w:r>
        <w:rPr>
          <w:rFonts w:ascii="宋体" w:hAnsi="宋体"/>
          <w:bCs/>
          <w:color w:val="auto"/>
          <w:sz w:val="24"/>
          <w:szCs w:val="24"/>
          <w:highlight w:val="none"/>
        </w:rPr>
        <w:t xml:space="preserve">采购包</w:t>
      </w:r>
      <w:r>
        <w:rPr>
          <w:rFonts w:hint="eastAsia" w:ascii="宋体" w:hAnsi="宋体"/>
          <w:bCs/>
          <w:color w:val="auto"/>
          <w:sz w:val="24"/>
          <w:szCs w:val="24"/>
          <w:highlight w:val="none"/>
        </w:rPr>
        <w:t xml:space="preserve">提交两个</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含</w:t>
      </w:r>
      <w:r>
        <w:rPr>
          <w:rFonts w:ascii="宋体" w:hAnsi="宋体"/>
          <w:bCs/>
          <w:color w:val="auto"/>
          <w:sz w:val="24"/>
          <w:szCs w:val="24"/>
          <w:highlight w:val="none"/>
        </w:rPr>
        <w:t xml:space="preserve">两个）</w:t>
      </w:r>
      <w:r>
        <w:rPr>
          <w:rFonts w:hint="eastAsia" w:ascii="宋体" w:hAnsi="宋体"/>
          <w:bCs/>
          <w:color w:val="auto"/>
          <w:sz w:val="24"/>
          <w:szCs w:val="24"/>
          <w:highlight w:val="none"/>
        </w:rPr>
        <w:t xml:space="preserve">以上不同的</w:t>
      </w:r>
      <w:r>
        <w:rPr>
          <w:rFonts w:ascii="宋体" w:hAnsi="宋体"/>
          <w:bCs/>
          <w:color w:val="auto"/>
          <w:sz w:val="24"/>
          <w:szCs w:val="24"/>
          <w:highlight w:val="none"/>
        </w:rPr>
        <w:t xml:space="preserve">投标报价的。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投标人不具备招标文件中规定资格要求的。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投标人的报价超过了采购预算或最高限价的。</w:t>
      </w:r>
      <w:r/>
    </w:p>
    <w:p>
      <w:pPr>
        <w:ind w:firstLine="480"/>
        <w:spacing w:line="440" w:lineRule="exact"/>
        <w:rPr>
          <w:rFonts w:ascii="宋体" w:hAnsi="宋体"/>
          <w:bCs/>
          <w:i/>
          <w:color w:val="auto"/>
          <w:sz w:val="24"/>
          <w:szCs w:val="24"/>
          <w:highlight w:val="none"/>
          <w:u w:val="singl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未通过符合性审查的。</w:t>
      </w:r>
      <w:r/>
    </w:p>
    <w:p>
      <w:pPr>
        <w:ind w:firstLine="480"/>
        <w:spacing w:line="440" w:lineRule="exact"/>
        <w:rPr>
          <w:rFonts w:ascii="宋体" w:hAnsi="宋体"/>
          <w:bCs/>
          <w:i/>
          <w:color w:val="auto"/>
          <w:sz w:val="24"/>
          <w:szCs w:val="24"/>
          <w:highlight w:val="none"/>
          <w:u w:val="singl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rPr>
          <w:rFonts w:hint="eastAsia" w:ascii="宋体" w:hAnsi="宋体"/>
          <w:bCs/>
          <w:color w:val="auto"/>
          <w:sz w:val="24"/>
          <w:szCs w:val="21"/>
          <w:highlight w:val="none"/>
        </w:rPr>
        <w:t xml:space="preserve">不符合招标文件中规定的实质</w:t>
      </w:r>
      <w:r>
        <w:rPr>
          <w:rFonts w:hint="eastAsia" w:ascii="宋体" w:hAnsi="宋体"/>
          <w:bCs/>
          <w:color w:val="auto"/>
          <w:sz w:val="24"/>
          <w:szCs w:val="21"/>
          <w:highlight w:val="none"/>
        </w:rPr>
        <w:t xml:space="preserve">性要求和条件的。</w:t>
      </w:r>
      <w:r>
        <w:rPr>
          <w:rFonts w:hint="eastAsia" w:ascii="宋体" w:hAnsi="宋体"/>
          <w:b/>
          <w:bCs/>
          <w:color w:val="auto"/>
          <w:sz w:val="24"/>
          <w:szCs w:val="21"/>
          <w:highlight w:val="none"/>
        </w:rPr>
        <w:t xml:space="preserve">（本招标文件中加</w:t>
      </w:r>
      <w:r>
        <w:rPr>
          <w:rFonts w:hint="eastAsia" w:ascii="宋体" w:hAnsi="宋体"/>
          <w:bCs/>
          <w:color w:val="auto"/>
          <w:sz w:val="24"/>
          <w:szCs w:val="24"/>
          <w:highlight w:val="none"/>
        </w:rPr>
        <w:t xml:space="preserve">★</w:t>
      </w:r>
      <w:r>
        <w:rPr>
          <w:rFonts w:hint="eastAsia" w:ascii="宋体" w:hAnsi="宋体"/>
          <w:b/>
          <w:bCs/>
          <w:color w:val="auto"/>
          <w:sz w:val="24"/>
          <w:szCs w:val="21"/>
          <w:highlight w:val="none"/>
        </w:rPr>
        <w:t xml:space="preserve">号条款为实质性要求）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 投标文件含有采购人不能接受的附加条件的。</w:t>
      </w:r>
      <w:r/>
    </w:p>
    <w:p>
      <w:pPr>
        <w:ind w:firstLine="482"/>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26.1.10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26.1.11</w:t>
      </w:r>
      <w:r>
        <w:rPr>
          <w:rFonts w:hint="eastAsia" w:ascii="宋体" w:hAnsi="宋体"/>
          <w:b/>
          <w:bCs/>
          <w:color w:val="auto"/>
          <w:sz w:val="24"/>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26.1.12 投标文件未按照招标文件要求加盖CA电子公章的。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26.1.13 投标人所投标产品不符合招标文件中所列国家强制性标准的。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.1.14其他法律、法规及本招标文件规定的属无效投标的情形。</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.2废标条款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.2.1符合专业条件的供应商或者对招标文件作实质响应的供应商不足三</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.2.2出现影响采购公正的违法、违规行为的。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.2.3因重大变故，采购任务取消的。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.2.4评标委员会认定招标文件存在歧义、重大缺陷导致评审工作无法进</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行。</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4"/>
          <w:highlight w:val="none"/>
        </w:rPr>
        <w:t xml:space="preserve">系统故障原因造成开标不成功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.3 投标截止时间结束后参加投标的供应商不足三家的处理：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440" w:lineRule="exact"/>
        <w:rPr>
          <w:rFonts w:ascii="宋体" w:hAnsi="宋体"/>
          <w:b/>
          <w:bCs/>
          <w:color w:val="auto"/>
          <w:sz w:val="24"/>
          <w:szCs w:val="24"/>
          <w:highlight w:val="none"/>
        </w:rPr>
      </w:pPr>
      <w:r/>
      <w:bookmarkStart w:id="151" w:name="_Toc120614219"/>
      <w:r>
        <w:rPr>
          <w:rFonts w:hint="eastAsia" w:ascii="宋体" w:hAnsi="宋体"/>
          <w:b/>
          <w:bCs/>
          <w:color w:val="auto"/>
          <w:sz w:val="24"/>
          <w:szCs w:val="24"/>
          <w:highlight w:val="none"/>
        </w:rPr>
        <w:t xml:space="preserve">六、</w:t>
      </w:r>
      <w:bookmarkEnd w:id="148"/>
      <w:r/>
      <w:bookmarkEnd w:id="149"/>
      <w:r/>
      <w:bookmarkEnd w:id="150"/>
      <w:r>
        <w:rPr>
          <w:rFonts w:hint="eastAsia" w:ascii="宋体" w:hAnsi="宋体"/>
          <w:b/>
          <w:bCs/>
          <w:color w:val="auto"/>
          <w:sz w:val="24"/>
          <w:szCs w:val="24"/>
          <w:highlight w:val="none"/>
        </w:rPr>
        <w:t xml:space="preserve">定标</w:t>
      </w:r>
      <w:bookmarkEnd w:id="151"/>
      <w:r/>
      <w:r/>
    </w:p>
    <w:p>
      <w:pPr>
        <w:ind w:firstLine="482"/>
        <w:keepLines/>
        <w:keepNext/>
        <w:spacing w:line="440" w:lineRule="exact"/>
        <w:rPr>
          <w:rFonts w:ascii="宋体" w:hAnsi="宋体"/>
          <w:b/>
          <w:bCs/>
          <w:color w:val="auto"/>
          <w:sz w:val="24"/>
          <w:szCs w:val="24"/>
          <w:highlight w:val="none"/>
        </w:rPr>
      </w:pPr>
      <w:r/>
      <w:bookmarkStart w:id="152" w:name="_Toc513029238"/>
      <w:r/>
      <w:bookmarkStart w:id="153" w:name="_Toc16938554"/>
      <w:r/>
      <w:bookmarkStart w:id="154" w:name="_Toc20823310"/>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7</w:t>
      </w:r>
      <w:r>
        <w:rPr>
          <w:rFonts w:hint="eastAsia" w:ascii="宋体" w:hAnsi="宋体"/>
          <w:b/>
          <w:bCs/>
          <w:color w:val="auto"/>
          <w:sz w:val="24"/>
          <w:szCs w:val="24"/>
          <w:highlight w:val="none"/>
        </w:rPr>
        <w:t xml:space="preserve">、</w:t>
      </w:r>
      <w:bookmarkEnd w:id="152"/>
      <w:r>
        <w:rPr>
          <w:rFonts w:hint="eastAsia" w:ascii="宋体" w:hAnsi="宋体"/>
          <w:b/>
          <w:bCs/>
          <w:color w:val="auto"/>
          <w:sz w:val="24"/>
          <w:szCs w:val="24"/>
          <w:highlight w:val="none"/>
        </w:rPr>
        <w:t xml:space="preserve">确定</w:t>
      </w:r>
      <w:bookmarkEnd w:id="153"/>
      <w:r/>
      <w:bookmarkEnd w:id="154"/>
      <w:r>
        <w:rPr>
          <w:rFonts w:hint="eastAsia" w:ascii="宋体" w:hAnsi="宋体"/>
          <w:b/>
          <w:bCs/>
          <w:color w:val="auto"/>
          <w:sz w:val="24"/>
          <w:szCs w:val="24"/>
          <w:highlight w:val="none"/>
        </w:rPr>
        <w:t xml:space="preserve">中标单位</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27.1中标候选人的选取原则和数量见招标文件第四章规定。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27.2采购人应根据评委会推荐的中标候选人确定中标供应商。</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 若有充分证据证明，中标供应商出现下列情况之一的，一经查实，将被取消中标资格：</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40" w:lineRule="exact"/>
        <w:rPr>
          <w:rFonts w:ascii="宋体" w:hAnsi="宋体"/>
          <w:color w:val="auto"/>
          <w:sz w:val="24"/>
          <w:szCs w:val="24"/>
          <w:highlight w:val="none"/>
        </w:rPr>
      </w:pPr>
      <w:r/>
      <w:bookmarkStart w:id="155" w:name="_Toc200451960"/>
      <w:r>
        <w:rPr>
          <w:rFonts w:hint="eastAsia" w:ascii="宋体" w:hAnsi="宋体"/>
          <w:color w:val="auto"/>
          <w:sz w:val="24"/>
          <w:szCs w:val="24"/>
          <w:highlight w:val="none"/>
        </w:rPr>
        <w:t xml:space="preserve">27.5 </w:t>
      </w:r>
      <w:r>
        <w:rPr>
          <w:rFonts w:ascii="宋体" w:hAnsi="宋体" w:cs="宋体"/>
          <w:color w:val="auto"/>
          <w:sz w:val="24"/>
          <w:szCs w:val="24"/>
          <w:highlight w:val="none"/>
        </w:rPr>
        <w:t xml:space="preserve">有下列情形之一的，</w:t>
      </w:r>
      <w:r>
        <w:rPr>
          <w:rFonts w:hint="eastAsia" w:ascii="宋体" w:hAnsi="宋体" w:cs="宋体"/>
          <w:color w:val="auto"/>
          <w:sz w:val="24"/>
          <w:szCs w:val="24"/>
          <w:highlight w:val="none"/>
        </w:rPr>
        <w:t xml:space="preserve">视为投标人</w:t>
      </w:r>
      <w:r>
        <w:rPr>
          <w:rFonts w:ascii="宋体" w:hAnsi="宋体" w:cs="宋体"/>
          <w:color w:val="auto"/>
          <w:sz w:val="24"/>
          <w:szCs w:val="24"/>
          <w:highlight w:val="none"/>
        </w:rPr>
        <w:t xml:space="preserve">串通</w:t>
      </w:r>
      <w:r>
        <w:rPr>
          <w:rFonts w:hint="eastAsia" w:ascii="宋体" w:hAnsi="宋体" w:cs="宋体"/>
          <w:color w:val="auto"/>
          <w:sz w:val="24"/>
          <w:szCs w:val="24"/>
          <w:highlight w:val="none"/>
        </w:rPr>
        <w:t xml:space="preserve">投标，投标无效：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28.5.5不同投标人的投标文件相互混装。</w:t>
      </w:r>
      <w:r/>
    </w:p>
    <w:p>
      <w:pPr>
        <w:ind w:firstLine="482"/>
        <w:keepLines/>
        <w:keepNext/>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28</w:t>
      </w:r>
      <w:r>
        <w:rPr>
          <w:rFonts w:hint="eastAsia" w:ascii="宋体" w:hAnsi="宋体"/>
          <w:b/>
          <w:bCs/>
          <w:color w:val="auto"/>
          <w:sz w:val="24"/>
          <w:szCs w:val="24"/>
          <w:highlight w:val="none"/>
        </w:rPr>
        <w:t xml:space="preserve">、质疑处理</w:t>
      </w:r>
      <w:bookmarkEnd w:id="155"/>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jc w:val="left"/>
        <w:spacing w:line="440" w:lineRule="exact"/>
        <w:rPr>
          <w:rFonts w:ascii="宋体" w:hAnsi="宋体" w:cs="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对中标或者成交结果提出质疑的，为中标或者成交结果公告期限届满之日。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将只对供应商第一次质疑作出答复。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4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标委员会协助答复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采购人及采购代理机构质疑接收人及联系方式见本招标文件第一章。</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 以下情形的质疑不予受理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5.2 超出政府采购法定期限的质疑。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keepLines/>
        <w:keepNext/>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29</w:t>
      </w:r>
      <w:r>
        <w:rPr>
          <w:rFonts w:hint="eastAsia" w:ascii="宋体" w:hAnsi="宋体"/>
          <w:b/>
          <w:bCs/>
          <w:color w:val="auto"/>
          <w:sz w:val="24"/>
          <w:szCs w:val="24"/>
          <w:highlight w:val="none"/>
        </w:rPr>
        <w:t xml:space="preserve">、中标通知书</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40" w:lineRule="exact"/>
        <w:rPr>
          <w:rFonts w:ascii="宋体" w:hAnsi="宋体"/>
          <w:b/>
          <w:bCs/>
          <w:color w:val="auto"/>
          <w:sz w:val="24"/>
          <w:szCs w:val="24"/>
          <w:highlight w:val="none"/>
        </w:rPr>
      </w:pPr>
      <w:r/>
      <w:bookmarkStart w:id="156" w:name="_Toc16938552"/>
      <w:r/>
      <w:bookmarkStart w:id="157" w:name="_Toc20823308"/>
      <w:r/>
      <w:bookmarkStart w:id="158" w:name="_Toc513029236"/>
      <w:r/>
      <w:bookmarkStart w:id="159" w:name="_Toc120614220"/>
      <w:r>
        <w:rPr>
          <w:rFonts w:hint="eastAsia" w:ascii="宋体" w:hAnsi="宋体"/>
          <w:b/>
          <w:bCs/>
          <w:color w:val="auto"/>
          <w:sz w:val="24"/>
          <w:szCs w:val="24"/>
          <w:highlight w:val="none"/>
        </w:rPr>
        <w:t xml:space="preserve">七、授予合同</w:t>
      </w:r>
      <w:bookmarkEnd w:id="156"/>
      <w:r/>
      <w:bookmarkEnd w:id="157"/>
      <w:r/>
      <w:bookmarkEnd w:id="158"/>
      <w:r/>
      <w:bookmarkEnd w:id="159"/>
      <w:r/>
      <w:r/>
    </w:p>
    <w:p>
      <w:pPr>
        <w:ind w:firstLine="482"/>
        <w:keepLines/>
        <w:keepNext/>
        <w:spacing w:line="440" w:lineRule="exact"/>
        <w:rPr>
          <w:rFonts w:ascii="宋体" w:hAnsi="宋体"/>
          <w:b/>
          <w:bCs/>
          <w:color w:val="auto"/>
          <w:sz w:val="24"/>
          <w:szCs w:val="24"/>
          <w:highlight w:val="none"/>
        </w:rPr>
      </w:pPr>
      <w:r/>
      <w:bookmarkStart w:id="160" w:name="_Toc16938553"/>
      <w:r/>
      <w:bookmarkStart w:id="161" w:name="_Toc513029237"/>
      <w:r/>
      <w:bookmarkStart w:id="162" w:name="_Toc20823309"/>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、签订合同</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l中标供应商应当在中标通知书发出之日起三十日内，按照招标文件确定的事项与采购人签订政府采购合同。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30.2招标文件、中标供应商的投标文件及招标过程中有关澄清、承诺文件均应作为合同附件。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2"/>
        <w:keepLines/>
        <w:keepNex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、货物（包含与货物相关的服务）的追加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0"/>
      <w:r/>
      <w:bookmarkEnd w:id="161"/>
      <w:r/>
      <w:bookmarkEnd w:id="162"/>
      <w:r/>
      <w:r/>
    </w:p>
    <w:p>
      <w:pPr>
        <w:ind w:firstLine="482"/>
        <w:keepLines/>
        <w:keepNext/>
        <w:spacing w:line="440" w:lineRule="exact"/>
        <w:rPr>
          <w:rFonts w:ascii="宋体" w:hAnsi="宋体"/>
          <w:b/>
          <w:bCs/>
          <w:color w:val="auto"/>
          <w:sz w:val="24"/>
          <w:szCs w:val="24"/>
          <w:highlight w:val="none"/>
        </w:rPr>
      </w:pPr>
      <w:r/>
      <w:bookmarkStart w:id="163" w:name="_Toc513029242"/>
      <w:r/>
      <w:bookmarkStart w:id="164" w:name="_Toc479757207"/>
      <w:r/>
      <w:bookmarkStart w:id="165" w:name="_Toc16938558"/>
      <w:r/>
      <w:bookmarkStart w:id="166" w:name="_Toc120614221"/>
      <w:r/>
      <w:bookmarkStart w:id="167" w:name="_Toc20823314"/>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、政府采购履约资金扶持政策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420"/>
        <w:spacing w:line="400" w:lineRule="exact"/>
        <w:rPr>
          <w:color w:val="auto"/>
          <w:szCs w:val="21"/>
          <w:highlight w:val="none"/>
        </w:rPr>
      </w:pPr>
      <w:r>
        <w:rPr>
          <w:color w:val="auto"/>
          <w:szCs w:val="21"/>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spacing w:before="120" w:after="120" w:line="0" w:lineRule="atLeast"/>
        <w:rPr>
          <w:rFonts w:ascii="宋体" w:hAnsi="宋体" w:cs="Courier New"/>
          <w:color w:val="auto"/>
          <w:sz w:val="32"/>
          <w:szCs w:val="32"/>
          <w:highlight w:val="none"/>
        </w:rPr>
      </w:pPr>
      <w:r>
        <w:rPr>
          <w:rFonts w:hint="eastAsia" w:ascii="黑体" w:eastAsia="黑体"/>
          <w:bCs/>
          <w:color w:val="auto"/>
          <w:sz w:val="44"/>
          <w:szCs w:val="28"/>
          <w:highlight w:val="none"/>
        </w:rPr>
        <w:br w:type="page" w:clear="all"/>
      </w:r>
      <w:bookmarkEnd w:id="163"/>
      <w:r/>
      <w:bookmarkEnd w:id="164"/>
      <w:r/>
      <w:bookmarkEnd w:id="165"/>
      <w:r/>
      <w:bookmarkEnd w:id="166"/>
      <w:r/>
      <w:bookmarkEnd w:id="167"/>
      <w:r/>
      <w:bookmarkStart w:id="168" w:name="_Hlt16619350"/>
      <w:r/>
      <w:bookmarkStart w:id="169" w:name="_Toc16938590"/>
      <w:r/>
      <w:bookmarkStart w:id="170" w:name="_Toc120614244"/>
      <w:r/>
      <w:bookmarkStart w:id="171" w:name="_Toc20823346"/>
      <w:r/>
      <w:bookmarkStart w:id="172" w:name="_Toc479757211"/>
      <w:r/>
      <w:bookmarkStart w:id="173" w:name="_Toc462564139"/>
      <w:r>
        <w:rPr>
          <w:rFonts w:hint="eastAsia" w:ascii="黑体" w:hAnsi="Courier New" w:eastAsia="黑体" w:cs="Courier New"/>
          <w:bCs/>
          <w:color w:val="auto"/>
          <w:sz w:val="32"/>
          <w:szCs w:val="32"/>
          <w:highlight w:val="none"/>
        </w:rPr>
        <w:t xml:space="preserve">第</w:t>
      </w:r>
      <w:bookmarkEnd w:id="168"/>
      <w:r>
        <w:rPr>
          <w:rFonts w:hint="eastAsia" w:ascii="黑体" w:hAnsi="Courier New" w:eastAsia="黑体" w:cs="Courier New"/>
          <w:bCs/>
          <w:color w:val="auto"/>
          <w:sz w:val="32"/>
          <w:szCs w:val="32"/>
          <w:highlight w:val="none"/>
        </w:rPr>
        <w:t xml:space="preserve">三章 采购需求</w:t>
      </w:r>
      <w:bookmarkEnd w:id="169"/>
      <w:r/>
      <w:bookmarkEnd w:id="170"/>
      <w:r/>
      <w:bookmarkEnd w:id="171"/>
      <w:r/>
      <w:r/>
    </w:p>
    <w:p>
      <w:pPr>
        <w:ind w:firstLine="472"/>
        <w:spacing w:line="440" w:lineRule="exact"/>
        <w:rPr>
          <w:rFonts w:ascii="宋体" w:hAnsi="宋体"/>
          <w:b/>
          <w:color w:val="auto"/>
          <w:sz w:val="24"/>
          <w:szCs w:val="24"/>
          <w:highlight w:val="none"/>
        </w:rPr>
      </w:pPr>
      <w:r/>
      <w:bookmarkStart w:id="174" w:name="_Toc26554093"/>
      <w:r/>
      <w:bookmarkStart w:id="175" w:name="_Toc49090575"/>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w:t>
      </w:r>
      <w:r>
        <w:rPr>
          <w:rFonts w:ascii="宋体" w:hAnsi="宋体"/>
          <w:b/>
          <w:color w:val="auto"/>
          <w:sz w:val="24"/>
          <w:szCs w:val="24"/>
          <w:highlight w:val="none"/>
        </w:rPr>
        <w:t xml:space="preserve">标的清单</w:t>
      </w:r>
      <w:r/>
    </w:p>
    <w:tbl>
      <w:tblPr>
        <w:tblStyle w:val="699"/>
        <w:tblW w:w="101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7"/>
        <w:gridCol w:w="2268"/>
        <w:gridCol w:w="3308"/>
      </w:tblGrid>
      <w:tr>
        <w:trPr>
          <w:cantSplit/>
          <w:jc w:val="center"/>
        </w:trPr>
        <w:tc>
          <w:tcPr>
            <w:tcW w:w="4607"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采购包</w:t>
            </w:r>
            <w:r/>
          </w:p>
        </w:tc>
        <w:tc>
          <w:tcPr>
            <w:tcW w:w="226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330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286"/>
        </w:trPr>
        <w:tc>
          <w:tcPr>
            <w:tcW w:w="4607" w:type="dxa"/>
            <w:textDirection w:val="lrTb"/>
            <w:noWrap/>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海安市实验中学外迁工程家具采购项目</w:t>
            </w:r>
            <w:r/>
          </w:p>
        </w:tc>
        <w:tc>
          <w:tcPr>
            <w:tcW w:w="2268" w:type="dxa"/>
            <w:vAlign w:val="center"/>
            <w:textDirection w:val="lrTb"/>
            <w:noWrap/>
          </w:tcPr>
          <w:p>
            <w:pPr>
              <w:jc w:val="center"/>
              <w:spacing w:line="440" w:lineRule="exact"/>
              <w:tabs>
                <w:tab w:val="left" w:pos="2020" w:leader="none"/>
              </w:tabs>
              <w:rPr>
                <w:rFonts w:ascii="宋体" w:hAnsi="宋体"/>
                <w:color w:val="auto"/>
                <w:sz w:val="24"/>
                <w:szCs w:val="24"/>
                <w:highlight w:val="none"/>
              </w:rPr>
            </w:pPr>
            <w:r>
              <w:rPr>
                <w:rFonts w:hint="eastAsia" w:ascii="宋体" w:hAnsi="宋体"/>
                <w:color w:val="auto"/>
                <w:sz w:val="24"/>
                <w:szCs w:val="24"/>
                <w:highlight w:val="none"/>
              </w:rPr>
              <w:t xml:space="preserve">清单全部货物</w:t>
            </w:r>
            <w:r/>
          </w:p>
        </w:tc>
        <w:tc>
          <w:tcPr>
            <w:tcW w:w="330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工业</w:t>
            </w:r>
            <w:r/>
          </w:p>
        </w:tc>
      </w:tr>
    </w:tbl>
    <w:p>
      <w:pPr>
        <w:ind w:firstLine="47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技术要求</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技术要求是指对采购标的功能和质量要求，包括性能、材料、结构、外观、安全，或者服务内容和标准等。</w:t>
      </w:r>
      <w:r>
        <w:rPr>
          <w:rFonts w:hint="eastAsia" w:ascii="宋体" w:hAnsi="宋体"/>
          <w:b/>
          <w:color w:val="auto"/>
          <w:sz w:val="24"/>
          <w:szCs w:val="24"/>
          <w:highlight w:val="none"/>
        </w:rPr>
        <w:t xml:space="preserve">其中加★号条款为实质性要求。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采购清单如下：</w:t>
      </w:r>
      <w:r/>
    </w:p>
    <w:tbl>
      <w:tblPr>
        <w:tblStyle w:val="699"/>
        <w:tblW w:w="10207" w:type="dxa"/>
        <w:tblInd w:w="-885" w:type="dxa"/>
        <w:tblLayout w:type="autofit"/>
        <w:tblCellMar>
          <w:left w:w="108" w:type="dxa"/>
          <w:top w:w="0" w:type="dxa"/>
          <w:right w:w="108" w:type="dxa"/>
          <w:bottom w:w="0" w:type="dxa"/>
        </w:tblCellMar>
        <w:tblLook w:val="04A0" w:firstRow="1" w:lastRow="0" w:firstColumn="1" w:lastColumn="0" w:noHBand="0" w:noVBand="1"/>
      </w:tblPr>
      <w:tblGrid>
        <w:gridCol w:w="2078"/>
        <w:gridCol w:w="4507"/>
        <w:gridCol w:w="595"/>
        <w:gridCol w:w="680"/>
        <w:gridCol w:w="2347"/>
      </w:tblGrid>
      <w:tr>
        <w:trPr>
          <w:trHeight w:val="420"/>
        </w:trPr>
        <w:tc>
          <w:tcPr>
            <w:shd w:val="clear" w:color="000000" w:fill="92d050"/>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项目名称</w:t>
            </w:r>
            <w:r>
              <w:rPr>
                <w:highlight w:val="none"/>
              </w:rPr>
            </w:r>
            <w:r/>
          </w:p>
        </w:tc>
        <w:tc>
          <w:tcPr>
            <w:shd w:val="clear" w:color="000000" w:fill="92d050"/>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shd w:val="nil" w:color="auto"/>
              <w:rPr>
                <w:rFonts w:ascii="宋体" w:hAnsi="宋体" w:cs="宋体"/>
                <w:color w:val="auto"/>
                <w:sz w:val="18"/>
                <w:szCs w:val="18"/>
                <w:highlight w:val="none"/>
              </w:rPr>
            </w:pPr>
            <w:r>
              <w:rPr>
                <w:highlight w:val="none"/>
              </w:rPr>
              <w:t xml:space="preserve">项目特征描述</w:t>
            </w:r>
            <w:r>
              <w:rPr>
                <w:highlight w:val="none"/>
              </w:rPr>
            </w:r>
            <w:r/>
          </w:p>
        </w:tc>
        <w:tc>
          <w:tcPr>
            <w:shd w:val="clear" w:color="000000" w:fill="92d050"/>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数量</w:t>
            </w:r>
            <w:r>
              <w:rPr>
                <w:highlight w:val="none"/>
              </w:rPr>
            </w:r>
            <w:r/>
          </w:p>
        </w:tc>
        <w:tc>
          <w:tcPr>
            <w:shd w:val="clear" w:color="000000" w:fill="92d050"/>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单位</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参考图</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主席台1</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1、规格：≥2100*600*750mm。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179070</wp:posOffset>
                      </wp:positionV>
                      <wp:extent cx="1171575" cy="732790"/>
                      <wp:effectExtent l="19050" t="0" r="9525" b="0"/>
                      <wp:wrapNone/>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
                              <pic:cNvPicPr>
                                <a:picLocks noChangeAspect="1"/>
                              </pic:cNvPicPr>
                              <pic:nvPr/>
                            </pic:nvPicPr>
                            <pic:blipFill>
                              <a:blip r:embed="rId13"/>
                              <a:stretch/>
                            </pic:blipFill>
                            <pic:spPr bwMode="auto">
                              <a:xfrm>
                                <a:off x="0" y="0"/>
                                <a:ext cx="1171575" cy="732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2pt;mso-position-horizontal:absolute;mso-position-vertical-relative:text;margin-top:14.1pt;mso-position-vertical:absolute;width:92.2pt;height:57.7pt;mso-wrap-distance-left:9.0pt;mso-wrap-distance-top:0.0pt;mso-wrap-distance-right:9.0pt;mso-wrap-distance-bottom:0.0pt;" stroked="false">
                      <v:path textboxrect="0,0,0,0"/>
                      <v:imagedata r:id="rId13" o:title=""/>
                    </v:shape>
                  </w:pict>
                </mc:Fallback>
              </mc:AlternateContent>
            </w:r>
            <w:r/>
          </w:p>
        </w:tc>
      </w:tr>
      <w:tr>
        <w:trPr>
          <w:trHeight w:val="220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1、规格：常规 （座高450±10mm，座深≥450mm，高≥890mm）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2、皮革：优质西皮，符合GB/T 16799-2018标准；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3、木板：采用符合GB/T 39600-2021 E0 级环保曲木板，贴合人体曲线的尺寸；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4、海绵：采用高密度弹力海绵，密度≥35kg/m³，符合GB/T 10802-2006标准，回弹率≥42%，75%压缩永久变形≤5%；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5、椅架：采用橡胶木实木，含水率符合8%~12%；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6、油漆：采用水性漆，经过3道底漆2道面漆抛光处理，水性底漆、面漆均符合GB/T23999-2009标准；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28575</wp:posOffset>
                      </wp:positionV>
                      <wp:extent cx="1047750" cy="1323975"/>
                      <wp:effectExtent l="0" t="0" r="0" b="0"/>
                      <wp:wrapNone/>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6"/>
                              <pic:cNvPicPr>
                                <a:picLocks noChangeAspect="1"/>
                              </pic:cNvPicPr>
                              <pic:nvPr/>
                            </pic:nvPicPr>
                            <pic:blipFill>
                              <a:blip r:embed="rId14"/>
                              <a:stretch/>
                            </pic:blipFill>
                            <pic:spPr bwMode="auto">
                              <a:xfrm>
                                <a:off x="0" y="0"/>
                                <a:ext cx="1038225" cy="1311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7.5pt;mso-position-horizontal:absolute;mso-position-vertical-relative:text;margin-top:2.2pt;mso-position-vertical:absolute;width:82.5pt;height:104.2pt;mso-wrap-distance-left:9.0pt;mso-wrap-distance-top:0.0pt;mso-wrap-distance-right:9.0pt;mso-wrap-distance-bottom:0.0pt;" stroked="f">
                      <v:path textboxrect="0,0,0,0"/>
                      <v:imagedata r:id="rId14" o:title=""/>
                    </v:shape>
                  </w:pict>
                </mc:Fallback>
              </mc:AlternateContent>
            </w:r>
            <w:r/>
          </w:p>
        </w:tc>
      </w:tr>
      <w:tr>
        <w:trPr>
          <w:trHeight w:val="62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礼堂椅</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1、规格：椅高≥1060mm ，中心距：580±5 mm（连排、中间扶手共用），座高 450±10mm ，排距≥950 mm。座椅外形尺寸及倾斜角度根据人体形态工程学曲线原理设计，座高和座深合理，坐感舒适，座垫可自动回复。</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2、座、背海棉：采用聚氨酯原料经模具发泡成型，高密度、高回弹、永不变形。</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3、面料：采用面料内加垫丝光绵，纺织面料符合GB18401-2010《国家纺织产品基本安全技礼堂椅术规范》B类标准;</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4、座、背外板：采用优质单板热压加工成多层胶合板后面饰（贴）木皮，厚度不小于15mm， 经多次打磨后喷环保清漆，表面光滑，木纹清晰，无异味。座板开有规则的吸音孔，能有效增强座椅吸声效果。</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5、回位功能：采用阻尼加弹簧回位设计，座包可自动复位，复位功能方便观众进出，保持过道畅通，并减少灰尘积累。座包回复碰撞部位增加橡胶垫防撞降噪，使座包打开无噪音， 回复自然无冲击性撞击。 </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6、扶手面：扶手面采用优质橡胶木经脱水、脱脂及精加工处理，表面喷环保清漆，表面光滑， 木纹清晰，无异味。扶手表面采取带弧面设计。</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站脚：优质铝合金压铸工艺扶手框、站脚与写字板机构旋转座一体成型，站脚立柱与靠背成统一线条弧形。扶手框前端弧形线条流畅，扶手面带横向加强筋≥3条，纵向加强筋≥1条，扶手框内侧带有一圈加强宽≥10mm*2mm；表层经打磨、防氧化、静电喷涂、高温锔炉等处理；椅脚高度630（±5）mm,宽度54（±5）mm;扶手框上端宽度为503（±5）mm,扶手框高度420（±5）mm,扶手框下端距离地面高度为：210（±5）mm；扶手框前端共有三个不同形状镂空工艺；站脚立柱</w:t>
            </w:r>
            <w:r>
              <w:rPr>
                <w:rFonts w:hint="eastAsia" w:ascii="宋体" w:hAnsi="宋体" w:cs="宋体"/>
                <w:color w:val="auto"/>
                <w:sz w:val="18"/>
                <w:szCs w:val="18"/>
                <w:highlight w:val="none"/>
              </w:rPr>
              <w:t xml:space="preserve">侧面宽80（±5）mm左右两侧各有两条≥10mm宽加强筋；脚板长度330（±5）mm,脚板前后厚度≥20mm,中间厚≥30mm；镶嵌式侧板用优质PP材质包覆同色面料，侧板最大宽度430（±5）mm最小宽度215（±5）mm,高度375（±5）mm,侧板为镶嵌式内侧带固定胶柱与对应椅脚固定孔位，方便稳固，侧板有≥7个固定胶柱,连接写字板机构孔位直径为≥29mm；扶手后侧顶端即扶手盖后可配备USB功能端口（USB槽位≥长59*宽38mm），便捷手机电脑使用。隐藏式固定螺丝，外带地胶盖。（尺寸不得偏差超过2mm）</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写字板：旋转头、支撑架采用优质铝合金模具压铸成型，旋转头经抛光工艺表面处理；支撑架采用加长型250（±5）mm，支撑力度更大书写更稳定；写字板面板为ABS复合材料热压定型后直接穿透式安装，最大宽度：365（±5）mm,深度255（±5）mm,厚度≥10mm;带笔槽（规格≥170*15mm）、带杯槽(φ75mm),便于放置书写笔、水杯，整体旋转顺畅自如</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9、侧板：采用中密度纤维板经喷环保胶粘剂后面覆阻燃面料，面料材质颜色与座、背一致， 并采用活动式扣钉，易于拆装。</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10、地面固定 ：根据地面材质配备优质地脚固定螺丝，不生锈、耐腐蚀。</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inline xmlns:wp="http://schemas.openxmlformats.org/drawingml/2006/wordprocessingDrawing" distT="0" distB="0" distL="0" distR="0">
                      <wp:extent cx="1334135" cy="1828800"/>
                      <wp:effectExtent l="1905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r/>
                            </pic:nvPicPr>
                            <pic:blipFill>
                              <a:blip r:embed="rId15"/>
                              <a:stretch/>
                            </pic:blipFill>
                            <pic:spPr bwMode="auto">
                              <a:xfrm>
                                <a:off x="0" y="0"/>
                                <a:ext cx="1336455" cy="183191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5.0pt;height:144.0pt;mso-wrap-distance-left:0.0pt;mso-wrap-distance-top:0.0pt;mso-wrap-distance-right:0.0pt;mso-wrap-distance-bottom:0.0pt;" stroked="f" strokeweight="0.75pt">
                      <v:path textboxrect="0,0,0,0"/>
                      <v:imagedata r:id="rId15" o:title=""/>
                    </v:shape>
                  </w:pict>
                </mc:Fallback>
              </mc:AlternateContent>
            </w:r>
            <w:r/>
          </w:p>
        </w:tc>
      </w:tr>
      <w:tr>
        <w:trPr>
          <w:trHeight w:val="2719"/>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演讲台</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1、规格：≥600*450*1150mm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200025</wp:posOffset>
                      </wp:positionH>
                      <wp:positionV relativeFrom="paragraph">
                        <wp:posOffset>76200</wp:posOffset>
                      </wp:positionV>
                      <wp:extent cx="1104900" cy="1485900"/>
                      <wp:effectExtent l="0" t="0" r="635" b="0"/>
                      <wp:wrapNone/>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
                              <pic:cNvPicPr>
                                <a:picLocks noChangeAspect="1"/>
                              </pic:cNvPicPr>
                              <pic:nvPr/>
                            </pic:nvPicPr>
                            <pic:blipFill>
                              <a:blip r:embed="rId16"/>
                              <a:srcRect l="17158" t="26404" r="8983" b="14046"/>
                              <a:stretch/>
                            </pic:blipFill>
                            <pic:spPr bwMode="auto">
                              <a:xfrm>
                                <a:off x="0" y="0"/>
                                <a:ext cx="1095375" cy="1471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15.8pt;mso-position-horizontal:absolute;mso-position-vertical-relative:text;margin-top:6.0pt;mso-position-vertical:absolute;width:87.0pt;height:117.0pt;mso-wrap-distance-left:9.0pt;mso-wrap-distance-top:0.0pt;mso-wrap-distance-right:9.0pt;mso-wrap-distance-bottom:0.0pt;" stroked="false">
                      <v:path textboxrect="0,0,0,0"/>
                      <v:imagedata r:id="rId16" o:title=""/>
                    </v:shape>
                  </w:pict>
                </mc:Fallback>
              </mc:AlternateContent>
            </w:r>
            <w:r/>
          </w:p>
        </w:tc>
      </w:tr>
      <w:tr>
        <w:trPr>
          <w:trHeight w:val="3251"/>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化妆台</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桌子整体规格：12000*400*800mm（可依据现场复核尺寸作±5%调整，采用分段拼接工艺，拼缝≤1mm，整体水平度≤2mm）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1、基材：选用E0级刨花板，符合GB/T 39600-2021的E0级刨花板。                                                                                                                   2、封边：选用1.2mm厚PVC封边条，符合QB/T 4463-2025标准；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3、钢架采用25*25*1.0mm厚钢管，</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16*1.0mm圆管；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3、五金：选用国产优质品牌五金，阻尼导轨符合QB/T 2454-2013标准。                                                                                                                                     4、镜面： 采用5mm镀银防爆镜面，背板厚度≥3mm，防碎膜层≥2层，影像清晰（透光率≥85%）。</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19050</wp:posOffset>
                      </wp:positionH>
                      <wp:positionV relativeFrom="paragraph">
                        <wp:posOffset>-108585</wp:posOffset>
                      </wp:positionV>
                      <wp:extent cx="1295400" cy="1257300"/>
                      <wp:effectExtent l="19050" t="0" r="0" b="0"/>
                      <wp:wrapNone/>
                      <wp:docPr id="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5"/>
                              <pic:cNvPicPr>
                                <a:picLocks noChangeAspect="1"/>
                              </pic:cNvPicPr>
                              <pic:nvPr/>
                            </pic:nvPicPr>
                            <pic:blipFill>
                              <a:blip r:embed="rId17"/>
                              <a:stretch/>
                            </pic:blipFill>
                            <pic:spPr bwMode="auto">
                              <a:xfrm>
                                <a:off x="0" y="0"/>
                                <a:ext cx="1295400" cy="12573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5648;o:allowoverlap:true;o:allowincell:true;mso-position-horizontal-relative:text;margin-left:1.5pt;mso-position-horizontal:absolute;mso-position-vertical-relative:text;margin-top:-8.5pt;mso-position-vertical:absolute;width:102.0pt;height:99.0pt;mso-wrap-distance-left:9.0pt;mso-wrap-distance-top:0.0pt;mso-wrap-distance-right:9.0pt;mso-wrap-distance-bottom:0.0pt;" stroked="f" strokeweight="0.75pt">
                      <v:path textboxrect="0,0,0,0"/>
                      <v:imagedata r:id="rId17"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1695"/>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化妆椅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规格：≥470*560*820mm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1、基材：纯新工程PP +25%玻纤增强。                                                                                                        2、颜色：4种颜色可选，抗紫外线UV级，防掉色。</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16*1.5mm圆管制作，表面经环氧聚酯粉末静电喷涂处理，涂层附着力≥1级。                            </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-47625</wp:posOffset>
                      </wp:positionH>
                      <wp:positionV relativeFrom="paragraph">
                        <wp:posOffset>-218440</wp:posOffset>
                      </wp:positionV>
                      <wp:extent cx="1390650" cy="581025"/>
                      <wp:effectExtent l="19050" t="0" r="0" b="0"/>
                      <wp:wrapNone/>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
                              <pic:cNvPicPr>
                                <a:picLocks noChangeAspect="1"/>
                              </pic:cNvPicPr>
                              <pic:nvPr/>
                            </pic:nvPicPr>
                            <pic:blipFill>
                              <a:blip r:embed="rId18"/>
                              <a:stretch/>
                            </pic:blipFill>
                            <pic:spPr bwMode="auto">
                              <a:xfrm>
                                <a:off x="0" y="0"/>
                                <a:ext cx="1390650" cy="581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3.8pt;mso-position-horizontal:absolute;mso-position-vertical-relative:text;margin-top:-17.2pt;mso-position-vertical:absolute;width:109.5pt;height:45.8pt;mso-wrap-distance-left:9.0pt;mso-wrap-distance-top:0.0pt;mso-wrap-distance-right:9.0pt;mso-wrap-distance-bottom:0.0pt;" stroked="f" strokeweight="0.75pt">
                      <v:path textboxrect="0,0,0,0"/>
                      <v:imagedata r:id="rId18"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2541"/>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主席台2</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1、规格：1400*600*750mm。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9525</wp:posOffset>
                      </wp:positionH>
                      <wp:positionV relativeFrom="paragraph">
                        <wp:posOffset>-31115</wp:posOffset>
                      </wp:positionV>
                      <wp:extent cx="1228725" cy="771525"/>
                      <wp:effectExtent l="19050" t="0" r="9525" b="0"/>
                      <wp:wrapNone/>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2"/>
                              <pic:cNvPicPr>
                                <a:picLocks noChangeAspect="1"/>
                              </pic:cNvPicPr>
                              <pic:nvPr/>
                            </pic:nvPicPr>
                            <pic:blipFill>
                              <a:blip r:embed="rId19"/>
                              <a:stretch/>
                            </pic:blipFill>
                            <pic:spPr bwMode="auto">
                              <a:xfrm>
                                <a:off x="0" y="0"/>
                                <a:ext cx="1228725" cy="771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7696;o:allowoverlap:true;o:allowincell:true;mso-position-horizontal-relative:text;margin-left:0.8pt;mso-position-horizontal:absolute;mso-position-vertical-relative:text;margin-top:-2.4pt;mso-position-vertical:absolute;width:96.8pt;height:60.8pt;mso-wrap-distance-left:9.0pt;mso-wrap-distance-top:0.0pt;mso-wrap-distance-right:9.0pt;mso-wrap-distance-bottom:0.0pt;" stroked="false">
                      <v:path textboxrect="0,0,0,0"/>
                      <v:imagedata r:id="rId19"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2393"/>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会议桌</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1.规格：≥1200*400*760mm，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hint="eastAsia" w:ascii="宋体" w:hAnsi="宋体" w:cs="宋体"/>
                <w:color w:val="auto"/>
                <w:sz w:val="22"/>
                <w:highlight w:val="none"/>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-26035</wp:posOffset>
                      </wp:positionH>
                      <wp:positionV relativeFrom="paragraph">
                        <wp:posOffset>-222885</wp:posOffset>
                      </wp:positionV>
                      <wp:extent cx="1333500" cy="1143000"/>
                      <wp:effectExtent l="19050" t="0" r="0" b="0"/>
                      <wp:wrapNone/>
                      <wp:docPr id="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2"/>
                              <pic:cNvPicPr>
                                <a:picLocks noChangeAspect="1"/>
                              </pic:cNvPicPr>
                              <pic:nvPr/>
                            </pic:nvPicPr>
                            <pic:blipFill>
                              <a:blip r:embed="rId20"/>
                              <a:stretch/>
                            </pic:blipFill>
                            <pic:spPr bwMode="auto">
                              <a:xfrm>
                                <a:off x="0" y="0"/>
                                <a:ext cx="1333500" cy="1143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8720;o:allowoverlap:true;o:allowincell:true;mso-position-horizontal-relative:text;margin-left:-2.0pt;mso-position-horizontal:absolute;mso-position-vertical-relative:text;margin-top:-17.6pt;mso-position-vertical:absolute;width:105.0pt;height:90.0pt;mso-wrap-distance-left:9.0pt;mso-wrap-distance-top:0.0pt;mso-wrap-distance-right:9.0pt;mso-wrap-distance-bottom:0.0pt;" stroked="f" strokeweight="0.75pt">
                      <v:path textboxrect="0,0,0,0"/>
                      <v:imagedata r:id="rId20" o:title=""/>
                    </v:shape>
                  </w:pict>
                </mc:Fallback>
              </mc:AlternateContent>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680"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tcPr>
          <w:p>
            <w:pPr>
              <w:jc w:val="left"/>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会议椅</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1、规格：常规 （座高450±10mm，座深≥450mm，背高≥890mm）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2、皮革：优质西皮，符合GB/T 16799-2018标准；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3、木板：采用符合GB/T 39600-2021 E0 级环保曲木板，贴合人体曲线的尺寸；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4、海绵：采用高密度弹力海绵，密度≥35kg/m³，符合GB/T 10802-2006标准，回弹率≥42%，75%压缩永久变形≤5%；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5、椅架：采用橡胶木实木，含水率符合8%~12%；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6、油漆：采用水性漆，经过3道底漆2道面漆抛光处理，水性底漆、面漆均符合GB/T23999-2009标准；</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161925</wp:posOffset>
                      </wp:positionH>
                      <wp:positionV relativeFrom="paragraph">
                        <wp:posOffset>-111760</wp:posOffset>
                      </wp:positionV>
                      <wp:extent cx="1076325" cy="1428750"/>
                      <wp:effectExtent l="19050" t="0" r="9525" b="0"/>
                      <wp:wrapNone/>
                      <wp:docPr id="9" name="图片 7"/>
                      <wp:cNvGraphicFramePr/>
                      <a:graphic xmlns:a="http://schemas.openxmlformats.org/drawingml/2006/main">
                        <a:graphicData uri="http://schemas.openxmlformats.org/drawingml/2006/picture">
                          <pic:pic xmlns:pic="http://schemas.openxmlformats.org/drawingml/2006/picture">
                            <pic:nvPicPr>
                              <pic:cNvPr id="37" name="图片 7"/>
                              <pic:cNvPicPr/>
                              <pic:nvPr/>
                            </pic:nvPicPr>
                            <pic:blipFill>
                              <a:blip r:embed="rId21"/>
                              <a:srcRect l="0" t="25221" r="1983" b="0"/>
                              <a:stretch/>
                            </pic:blipFill>
                            <pic:spPr bwMode="auto">
                              <a:xfrm>
                                <a:off x="0" y="0"/>
                                <a:ext cx="1076325" cy="142875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2.8pt;mso-position-horizontal:absolute;mso-position-vertical-relative:text;margin-top:-8.8pt;mso-position-vertical:absolute;width:84.8pt;height:112.5pt;mso-wrap-distance-left:9.0pt;mso-wrap-distance-top:0.0pt;mso-wrap-distance-right:9.0pt;mso-wrap-distance-bottom:0.0pt;" stroked="f">
                      <v:path textboxrect="0,0,0,0"/>
                      <v:imagedata r:id="rId21" o:title=""/>
                    </v:shape>
                  </w:pict>
                </mc:Fallback>
              </mc:AlternateContent>
            </w:r>
            <w:r>
              <w:rPr>
                <w:rFonts w:hint="eastAsia" w:ascii="宋体" w:hAnsi="宋体" w:cs="宋体"/>
                <w:color w:val="auto"/>
                <w:sz w:val="18"/>
                <w:szCs w:val="18"/>
                <w:highlight w:val="none"/>
              </w:rPr>
              <w:t xml:space="preserve">　</w:t>
            </w:r>
            <w:r/>
          </w:p>
        </w:tc>
      </w:tr>
      <w:tr>
        <w:trPr>
          <w:trHeight w:val="3676"/>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教师办公桌椅</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单人规格：桌子≥1200*600*760mm，书柜：≥1400*300*1100mm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1、基材：采用18mm厚E0级多层实木板免漆板，基材材质为11层，由一层杨木一层桉木交错压制成型，表面胶合强度≥0.7MPa，表面耐磨磨耗值≤80mg/100r，表面无裂纹，鼓泡、变色、起皱等现象。。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2、封边：采用优质ABS同色封边，厚度≥1.2mm。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3、热熔胶：总挥发性有机物≤100g/L。</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4、五金配件：选用符合QB/T 2189-2013标准阻尼铰链。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5、桌子与柜子连接采用不锈钢角码连接固定，确保稳定结实牢固；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▲6.多层实</w:t>
            </w:r>
            <w:r>
              <w:rPr>
                <w:rFonts w:hint="eastAsia" w:ascii="宋体" w:hAnsi="宋体" w:cs="宋体"/>
                <w:color w:val="auto"/>
                <w:sz w:val="18"/>
                <w:szCs w:val="18"/>
                <w:highlight w:val="none"/>
              </w:rPr>
              <w:t xml:space="preserve">木板：投标时由投标人或所投产品生产厂家提供具备CMA或CNAS标识的第三方检测机构出具的抽样检验报告原件扫描件，单份</w:t>
            </w:r>
            <w:r>
              <w:rPr>
                <w:rFonts w:hint="eastAsia" w:ascii="宋体" w:hAnsi="宋体" w:cs="宋体"/>
                <w:color w:val="auto"/>
                <w:sz w:val="18"/>
                <w:szCs w:val="18"/>
                <w:highlight w:val="none"/>
              </w:rPr>
              <w:t xml:space="preserve">报告包含但不限于GB/T 39600-2021《人造板及其制品甲醛释放量分级》检测内容包含但不限于：</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①GB/T 39600-2021-甲醛释放量（气候箱法）E0级≤0.050mg/m³；</w:t>
            </w:r>
            <w:r>
              <w:rPr>
                <w:rFonts w:hint="eastAsia" w:ascii="宋体" w:hAnsi="宋体" w:cs="宋体"/>
                <w:color w:val="auto"/>
                <w:sz w:val="18"/>
                <w:szCs w:val="18"/>
                <w:highlight w:val="none"/>
              </w:rPr>
              <w:br w:type="page" w:clear="all"/>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300</w:t>
            </w:r>
            <w:r/>
          </w:p>
        </w:tc>
        <w:tc>
          <w:tcPr>
            <w:shd w:val="clear" w:color="auto" w:fill="auto"/>
            <w:tcBorders>
              <w:top w:val="single" w:color="auto" w:sz="4" w:space="0"/>
              <w:left w:val="none" w:color="000000" w:sz="4" w:space="0"/>
              <w:right w:val="single" w:color="auto" w:sz="4" w:space="0"/>
            </w:tcBorders>
            <w:tcW w:w="680" w:type="dxa"/>
            <w:vAlign w:val="center"/>
            <w:vMerge w:val="restart"/>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66675</wp:posOffset>
                      </wp:positionH>
                      <wp:positionV relativeFrom="paragraph">
                        <wp:posOffset>-701675</wp:posOffset>
                      </wp:positionV>
                      <wp:extent cx="1237615" cy="1209675"/>
                      <wp:effectExtent l="19050" t="0" r="635" b="0"/>
                      <wp:wrapNone/>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9"/>
                              <pic:cNvPicPr>
                                <a:picLocks noChangeAspect="1"/>
                              </pic:cNvPicPr>
                              <pic:nvPr/>
                            </pic:nvPicPr>
                            <pic:blipFill>
                              <a:blip r:embed="rId22"/>
                              <a:stretch/>
                            </pic:blipFill>
                            <pic:spPr bwMode="auto">
                              <a:xfrm>
                                <a:off x="0" y="0"/>
                                <a:ext cx="1237615" cy="12096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9744;o:allowoverlap:true;o:allowincell:true;mso-position-horizontal-relative:text;margin-left:5.2pt;mso-position-horizontal:absolute;mso-position-vertical-relative:text;margin-top:-55.2pt;mso-position-vertical:absolute;width:97.4pt;height:95.2pt;mso-wrap-distance-left:9.0pt;mso-wrap-distance-top:0.0pt;mso-wrap-distance-right:9.0pt;mso-wrap-distance-bottom:0.0pt;" stroked="f" strokeweight="0.75pt">
                      <v:path textboxrect="0,0,0,0"/>
                      <v:imagedata r:id="rId22"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680" w:type="dxa"/>
            <w:vAlign w:val="center"/>
            <w:vMerge w:val="continue"/>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tc>
      </w:tr>
      <w:tr>
        <w:trPr>
          <w:trHeight w:val="6300"/>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办公椅子</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1.规格：凳面采用双面A级橡胶木板，双面无结疤，凳面板： ≥455mm×430mm×20mm；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2.椅架采用全实木橡胶木，前腿：≥48mm×48mm×420mm；后腿：≥48mm×35mm×955mm；前牙板 ：≥20mm×75mm×310mm；侧牙板：≥20mm×75mm×355mm；后牙板：≥30mm×48mm×305mm；后背条（第一根）：≥25mm×96mm×390mm；后背条（第二根）：≥25mm×84mm×320mm；竖背条：≥70mm×16mm×345mm。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2.橡胶木实木含水率符合8%~12%标准；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3.油漆：采用水性漆，经过3道底漆2道面漆抛光处理，水性油漆符合GB/T23999-2009标准；</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▲4.水性底漆：</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具有检测GB/T23999-2009标准及检测内容具有不挥发物≥30%、VOC含量≤250g/L、甲醛≤100mg/kg、总铅含量≤90mg/kg、可溶性镉≤75mg/kg、可溶性铬≤60mg/kg、可溶性汞≤60mg/kg、烷基酚聚氧乙烯醚总和≤1000mg/kg；</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▲5.水性面漆：</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，单份报告包含但不限于具有检测GB/T23999-2009标准及检测内容具有耐冻融性、涂膜外观、抗粘连性500g (50±2)℃/4h、耐划伤性（100g）未划伤、耐碱性（50g/L NaHCO3,1h）无异常、VOC含量≤250g/L、甲醛≤100mg/kg、总铅含量≤90mg/kg、可溶性镉≤75mg/kg、可溶性铬≤60mg/kg、可溶性汞≤60mg/kg、乙二醇醚及醚酯总和含量≤300mg/kg、苯系物总和含量（限苯、甲苯、二甲苯（含乙苯）≤10%；</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114300</wp:posOffset>
                      </wp:positionH>
                      <wp:positionV relativeFrom="paragraph">
                        <wp:posOffset>186055</wp:posOffset>
                      </wp:positionV>
                      <wp:extent cx="1085215" cy="1714500"/>
                      <wp:effectExtent l="19050" t="0" r="635" b="0"/>
                      <wp:wrapNone/>
                      <wp:docPr id="1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pic:cNvPicPr>
                                <a:picLocks noChangeAspect="1"/>
                              </pic:cNvPicPr>
                              <pic:nvPr/>
                            </pic:nvPicPr>
                            <pic:blipFill>
                              <a:blip r:embed="rId23"/>
                              <a:stretch/>
                            </pic:blipFill>
                            <pic:spPr bwMode="auto">
                              <a:xfrm>
                                <a:off x="0" y="0"/>
                                <a:ext cx="1085215" cy="1714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9.0pt;mso-position-horizontal:absolute;mso-position-vertical-relative:text;margin-top:14.6pt;mso-position-vertical:absolute;width:85.5pt;height:135.0pt;mso-wrap-distance-left:9.0pt;mso-wrap-distance-top:0.0pt;mso-wrap-distance-right:9.0pt;mso-wrap-distance-bottom:0.0pt;" stroked="f" strokeweight="0.75pt">
                      <v:path textboxrect="0,0,0,0"/>
                      <v:imagedata r:id="rId23" o:title=""/>
                    </v:shape>
                  </w:pict>
                </mc:Fallback>
              </mc:AlternateContent>
            </w:r>
            <w:r/>
          </w:p>
        </w:tc>
      </w:tr>
      <w:tr>
        <w:trPr>
          <w:trHeight w:val="5520"/>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柜子</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规格：800*400*2000mm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1、基材：采用18mm厚E0级实木多层板免漆板，基材材质为11层，由一层杨木一层桉木交错压制成型，表面胶合强度≥0.7MPa，表面耐磨磨耗值≤80mg/100r，表面无裂纹，鼓泡、变色、起皱等现象。。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2、封边：采用优质ABS同色封边，厚度≥1.2mm。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3、热熔胶：总挥发性有机物≤100g/L。</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4、五金配件：选用符合QB/T 2189-2013标准阻尼铰链。</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w:t>
            </w:r>
            <w:r>
              <w:rPr>
                <w:rFonts w:hint="eastAsia" w:ascii="宋体" w:hAnsi="宋体" w:cs="宋体"/>
                <w:b/>
                <w:bCs/>
                <w:color w:val="auto"/>
                <w:sz w:val="18"/>
                <w:szCs w:val="18"/>
                <w:highlight w:val="none"/>
              </w:rPr>
              <w:t xml:space="preserve">阻尼铰链：</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，单份报告包含但不限于具有检测QB/T 2454-2013、</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QB/T 3826-1999、QB/T 3827-1999标准，检测内容包含但不限于：</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①耐久性 10 万次符合要求；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②中性盐雾试验(NSS 试验)≥100h（连续喷雾）：涂（镀）层本身的耐腐蚀等级 10 级，涂（镀）层对基体的保护等级10级；</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③乙酸盐雾试验 (ASS 试验)≥100h（连续喷雾）：涂（镀）层本身的耐腐蚀等级 10 级，涂（镀）层对基体的保护等级10级；</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333375</wp:posOffset>
                      </wp:positionH>
                      <wp:positionV relativeFrom="paragraph">
                        <wp:posOffset>1133475</wp:posOffset>
                      </wp:positionV>
                      <wp:extent cx="742950" cy="1504950"/>
                      <wp:effectExtent l="0" t="0" r="635" b="635"/>
                      <wp:wrapNone/>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7"/>
                              <pic:cNvPicPr>
                                <a:picLocks noChangeAspect="1"/>
                              </pic:cNvPicPr>
                              <pic:nvPr/>
                            </pic:nvPicPr>
                            <pic:blipFill>
                              <a:blip r:embed="rId24"/>
                              <a:stretch/>
                            </pic:blipFill>
                            <pic:spPr bwMode="auto">
                              <a:xfrm>
                                <a:off x="0" y="0"/>
                                <a:ext cx="732155" cy="14928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6.2pt;mso-position-horizontal:absolute;mso-position-vertical-relative:text;margin-top:89.2pt;mso-position-vertical:absolute;width:58.5pt;height:118.5pt;mso-wrap-distance-left:9.0pt;mso-wrap-distance-top:0.0pt;mso-wrap-distance-right:9.0pt;mso-wrap-distance-bottom:0.0pt;" stroked="f" strokeweight="0.75pt">
                      <v:path textboxrect="0,0,0,0"/>
                      <v:imagedata r:id="rId24" o:title=""/>
                    </v:shape>
                  </w:pict>
                </mc:Fallback>
              </mc:AlternateContent>
            </w:r>
            <w:r/>
          </w:p>
        </w:tc>
      </w:tr>
      <w:tr>
        <w:trPr>
          <w:trHeight w:val="50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行政办公桌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单人规格：</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桌子1400*700*760mm，衣柜：1800*400*1670（高）mm，三抽柜宽度为450*深度480*630mm；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桌面采用25mm厚E0级多层实木免漆板，其余部分采用18mm厚E0级多层实木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2、热熔胶：总挥发性有机物≤100g/L。</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3、导轨：采用选用符合 QB/T 2454-2013标准导轨，壁厚≥1.2mm；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4、铰链：选用符合QB/T 2189-2013标准阻尼铰链。</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5、桌子与柜子连接采用不锈钢角码连接固定，确保稳定结实牢固；</w:t>
            </w:r>
            <w:r>
              <w:rPr>
                <w:rFonts w:hint="eastAsia" w:ascii="宋体" w:hAnsi="宋体" w:cs="宋体"/>
                <w:color w:val="auto"/>
                <w:sz w:val="18"/>
                <w:szCs w:val="18"/>
                <w:highlight w:val="none"/>
              </w:rPr>
              <w:br/>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▲6.阻尼导轨：</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，单份报告包含但不限于具有检测QB/T 2454-2013、QB/T 3826-1999、QB/T 3827-1999标准，检测内容至少包含：</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①耐久性 10 万次符合要求；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②中性盐雾试验(NSS 试验)≥100h（连续喷雾）：涂（镀）层本身的耐腐蚀等级 10 级，涂（镀）层对基体的保护等级10级；</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③乙酸盐雾试验 (ASS 试验)≥100h（连续喷雾）：涂（镀）层本身的耐腐蚀等级 10 级，涂（镀）层对基体的保护等级10级；</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76200</wp:posOffset>
                      </wp:positionH>
                      <wp:positionV relativeFrom="paragraph">
                        <wp:posOffset>1428750</wp:posOffset>
                      </wp:positionV>
                      <wp:extent cx="1171575" cy="1037590"/>
                      <wp:effectExtent l="19050" t="0" r="9525" b="0"/>
                      <wp:wrapNone/>
                      <wp:docPr id="13" name="ID_ACCFF40464CA46D5A07E5E27066273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D_ACCFF40464CA46D5A07E5E270662739D"/>
                              <pic:cNvPicPr>
                                <a:picLocks noChangeAspect="1"/>
                              </pic:cNvPicPr>
                              <pic:nvPr/>
                            </pic:nvPicPr>
                            <pic:blipFill>
                              <a:blip r:embed="rId25"/>
                              <a:stretch/>
                            </pic:blipFill>
                            <pic:spPr bwMode="auto">
                              <a:xfrm>
                                <a:off x="0" y="0"/>
                                <a:ext cx="1171575" cy="10375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6.0pt;mso-position-horizontal:absolute;mso-position-vertical-relative:text;margin-top:112.5pt;mso-position-vertical:absolute;width:92.2pt;height:81.7pt;mso-wrap-distance-left:9.0pt;mso-wrap-distance-top:0.0pt;mso-wrap-distance-right:9.0pt;mso-wrap-distance-bottom:0.0pt;" stroked="false">
                      <v:path textboxrect="0,0,0,0"/>
                      <v:imagedata r:id="rId25" o:title=""/>
                    </v:shape>
                  </w:pict>
                </mc:Fallback>
              </mc:AlternateContent>
            </w:r>
            <w:r/>
          </w:p>
        </w:tc>
      </w:tr>
      <w:tr>
        <w:trPr>
          <w:trHeight w:val="3393"/>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行政办公椅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1.规格：凳面采用双面A级橡胶木板，双面无结疤，凳面板： ≥455mm×430mm×20mm；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2.椅架采用全实木橡胶木，前腿：≥48mm×48mm×420mm；后腿：≥48mm×35mm×955mm；前牙板 ：≥20mm×75mm×310mm；侧牙板：≥20mm×75mm×355mm；后牙板：≥30mm×48mm×305mm；后背条（第一根）：≥25mm×96mm×390mm；后背条（第二根）：≥25mm×84mm×320mm；竖背条：≥70mm×16mm×345mm。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2.橡胶木实木含水率符合8%~12%标准；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3.油漆：采用水性漆，经过3道底漆2道面漆抛光处理，水性油漆符合GB/T23999-2009标准；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228600</wp:posOffset>
                      </wp:positionH>
                      <wp:positionV relativeFrom="paragraph">
                        <wp:posOffset>561975</wp:posOffset>
                      </wp:positionV>
                      <wp:extent cx="733425" cy="1152525"/>
                      <wp:effectExtent l="0" t="635" r="635" b="0"/>
                      <wp:wrapNone/>
                      <wp:docPr id="1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4"/>
                              <pic:cNvPicPr>
                                <a:picLocks noChangeAspect="1"/>
                              </pic:cNvPicPr>
                              <pic:nvPr/>
                            </pic:nvPicPr>
                            <pic:blipFill>
                              <a:blip r:embed="rId26"/>
                              <a:stretch/>
                            </pic:blipFill>
                            <pic:spPr bwMode="auto">
                              <a:xfrm>
                                <a:off x="0" y="0"/>
                                <a:ext cx="720214" cy="1141926"/>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8480;o:allowoverlap:true;o:allowincell:true;mso-position-horizontal-relative:text;margin-left:18.0pt;mso-position-horizontal:absolute;mso-position-vertical-relative:text;margin-top:44.2pt;mso-position-vertical:absolute;width:57.8pt;height:90.8pt;mso-wrap-distance-left:9.0pt;mso-wrap-distance-top:0.0pt;mso-wrap-distance-right:9.0pt;mso-wrap-distance-bottom:0.0pt;" stroked="f" strokeweight="0.75pt">
                      <v:path textboxrect="0,0,0,0"/>
                      <v:imagedata r:id="rId26" o:title=""/>
                    </v:shape>
                  </w:pict>
                </mc:Fallback>
              </mc:AlternateContent>
            </w:r>
            <w:r/>
          </w:p>
        </w:tc>
      </w:tr>
      <w:tr>
        <w:trPr>
          <w:trHeight w:val="8179"/>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学生课桌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一、课桌技术参数：</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1、规格：长600mm×宽400mm×高760mm（调节高度为30mm一档）。</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2、桌面：规格长600mm±5mm*宽400mm±5mm，桌面材质采用18mm厚米色平行条纹抗划痕饰面板饰面高密度纤维板（HDF）；桌面设有一个笔槽，桌面四周边缘封边及笔槽采用PP塑料一次性无接头注塑封边一次成型；</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3、升降片：采用1.1mm厚优质冷轧板冲压成型，不允许焊接和拼接而成。总高380mm，上高180mm，上宽360mm，下宽203mm.升降片上必须具有两列调节圆孔，每列必须具有9个调节孔，列与列的中心距为100mm，孔与孔的中心距为30mm。升降片左右各有R18\R23的内凹弧度，R18\R23内凹弧度的距离为230mm，误差＜5mm，升降片要机械冲压成形。</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4、桌斗采用0.8mm冷轧钢板，冲压成型，</w:t>
            </w:r>
            <w:r>
              <w:rPr>
                <w:rFonts w:hint="eastAsia" w:ascii="宋体" w:hAnsi="宋体" w:cs="宋体"/>
                <w:color w:val="auto"/>
                <w:sz w:val="18"/>
                <w:szCs w:val="18"/>
                <w:highlight w:val="none"/>
              </w:rPr>
              <w:t xml:space="preserve">桌斗容积≥500×360×190mm；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5、桌腿架采用一对双柱优质冷轧椭圆形封闭式钢管, 尺寸规格为50 mm×20 mm的冷轧椭圆形封闭式钢管，壁厚1.1mm；拉杆50 mm×20mm的冷轧椭圆形封闭式钢管，两根落地脚均采用尺寸规格为50 mm×20 mm的冷轧椭圆形封闭式钢管，壁厚1.1mm。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6、钢架经过防锈处理，热固性粉末涂料喷涂，表面无明显刺手；</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7.脚套：优质塑料脚套带防滑静音功能。</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▲8.</w:t>
            </w:r>
            <w:r>
              <w:rPr>
                <w:rFonts w:hint="eastAsia" w:ascii="宋体" w:hAnsi="宋体" w:cs="宋体"/>
                <w:b/>
                <w:bCs/>
                <w:color w:val="auto"/>
                <w:sz w:val="18"/>
                <w:szCs w:val="18"/>
                <w:highlight w:val="none"/>
              </w:rPr>
              <w:t xml:space="preserve">钢管：</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，单份报告包含但不限于具有检测QB/T 3826-1999、QB/T 3827-1999标准，检测内容包含：</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①产品外观：管材应无裂缝、叠缝，外露管口端面应封闭；</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②中性盐雾试验连续喷雾≥100h：金属表面（涂）镀层本身耐腐蚀等级：10 级；金属表面（涂）镀层对基体的保护等级：10 级；</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③乙酸盐雾试验连续喷雾≥100h：金属表面（涂）镀层本身耐腐蚀等级：10 级；金属表面（涂）镀层对基体的保护等级：10 级；</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▲9.</w:t>
            </w:r>
            <w:r>
              <w:rPr>
                <w:rFonts w:hint="eastAsia" w:ascii="宋体" w:hAnsi="宋体" w:cs="宋体"/>
                <w:b/>
                <w:bCs/>
                <w:color w:val="auto"/>
                <w:sz w:val="18"/>
                <w:szCs w:val="18"/>
                <w:highlight w:val="none"/>
              </w:rPr>
              <w:t xml:space="preserve">热固性粉末涂料:</w:t>
            </w:r>
            <w:r>
              <w:rPr>
                <w:rFonts w:hint="eastAsia" w:ascii="宋体" w:hAnsi="宋体" w:cs="宋体"/>
                <w:color w:val="auto"/>
                <w:sz w:val="18"/>
                <w:szCs w:val="18"/>
                <w:highlight w:val="none"/>
              </w:rPr>
              <w:t xml:space="preserve"> 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，单份报告包含但不限于检测HG/T 2006-2022标准：附着力-干附着力≤1级，铅笔硬度（内聚破坏中擦伤）≥H,耐冲击性（正向冲击）-钢铁基材用：50cm，耐磨性（750g/500r）≤50mg，耐沸水性（2h）：无异常，耐盐雾性-中性盐雾≥240h：合格，耐盐雾性-酸性盐雾≥240h：划痕处单向腐蚀蔓延宽度≤4.0mm，未划痕区无起泡，生锈、开裂、剥落等异常现象，耐湿性-室内用：≥240h无异常；</w:t>
            </w:r>
            <w:r>
              <w:rPr>
                <w:rFonts w:hint="eastAsia" w:ascii="宋体" w:hAnsi="宋体" w:cs="宋体"/>
                <w:color w:val="auto"/>
                <w:sz w:val="18"/>
                <w:szCs w:val="18"/>
                <w:highlight w:val="none"/>
              </w:rPr>
              <w:br w:type="page" w:clear="all"/>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142875</wp:posOffset>
                      </wp:positionH>
                      <wp:positionV relativeFrom="paragraph">
                        <wp:posOffset>548005</wp:posOffset>
                      </wp:positionV>
                      <wp:extent cx="1171575" cy="1466850"/>
                      <wp:effectExtent l="19050" t="0" r="9525" b="0"/>
                      <wp:wrapNone/>
                      <wp:docPr id="1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6"/>
                              <pic:cNvPicPr>
                                <a:picLocks noChangeAspect="1"/>
                              </pic:cNvPicPr>
                              <pic:nvPr/>
                            </pic:nvPicPr>
                            <pic:blipFill>
                              <a:blip r:embed="rId27"/>
                              <a:stretch/>
                            </pic:blipFill>
                            <pic:spPr bwMode="auto">
                              <a:xfrm>
                                <a:off x="0" y="0"/>
                                <a:ext cx="1171575" cy="146684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9504;o:allowoverlap:true;o:allowincell:true;mso-position-horizontal-relative:text;margin-left:11.2pt;mso-position-horizontal:absolute;mso-position-vertical-relative:text;margin-top:43.1pt;mso-position-vertical:absolute;width:92.2pt;height:115.5pt;mso-wrap-distance-left:9.0pt;mso-wrap-distance-top:0.0pt;mso-wrap-distance-right:9.0pt;mso-wrap-distance-bottom:0.0pt;" stroked="f" strokeweight="0.75pt">
                      <v:path textboxrect="0,0,0,0"/>
                      <v:imagedata r:id="rId27" o:title=""/>
                    </v:shape>
                  </w:pict>
                </mc:Fallback>
              </mc:AlternateContent>
            </w:r>
            <w:r/>
          </w:p>
        </w:tc>
      </w:tr>
      <w:tr>
        <w:trPr>
          <w:trHeight w:val="366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学生课凳</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整体规格：400*280*440mm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1.凳腿采 20*40*1.2mm 的方管。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2.拉管采用 20*20*1.2mm 的方管。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3.钢架经过防锈处理，热固性粉末涂料喷涂，表面无明显刺手；</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4.凳面采用 400*280*20mm 环保A级橡胶木板，采用专用连接件连接固定；</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5.凳子下加网斗，</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6.油漆为清水漆， 并保证三底二面的工艺要求，水性底、面漆符合GB/T23999-2009标准。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7.脚套：优质塑料脚套带防滑静音功能。</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▲8.连接件：</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，单份报告包含但不限于具有检测QB/T 3826-1999、QB/T 3832-1999标准，检测内容至少包含：</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①金属件外观要求：喷涂层符合要求；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②金属喷漆（塑）涂层理化性能要求：硬度≥3H，耐腐蚀符合要求；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③金属表面耐腐蚀；</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④耐人工气候老化：变色≤1级、失光≤1级、有无异常现象：无粉化、起泡、开裂、剥落等异常现象；</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609600</wp:posOffset>
                      </wp:positionV>
                      <wp:extent cx="1028700" cy="1257300"/>
                      <wp:effectExtent l="0" t="0" r="0" b="0"/>
                      <wp:wrapNone/>
                      <wp:docPr id="1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7"/>
                              <pic:cNvPicPr>
                                <a:picLocks noChangeAspect="1"/>
                              </pic:cNvPicPr>
                              <pic:nvPr/>
                            </pic:nvPicPr>
                            <pic:blipFill>
                              <a:blip r:embed="rId28"/>
                              <a:stretch/>
                            </pic:blipFill>
                            <pic:spPr bwMode="auto">
                              <a:xfrm>
                                <a:off x="0" y="0"/>
                                <a:ext cx="1014895" cy="12369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0528;o:allowoverlap:true;o:allowincell:true;mso-position-horizontal-relative:text;margin-left:10.5pt;mso-position-horizontal:absolute;mso-position-vertical-relative:text;margin-top:48.0pt;mso-position-vertical:absolute;width:81.0pt;height:99.0pt;mso-wrap-distance-left:9.0pt;mso-wrap-distance-top:0.0pt;mso-wrap-distance-right:9.0pt;mso-wrap-distance-bottom:0.0pt;" stroked="f" strokeweight="0.75pt">
                      <v:path textboxrect="0,0,0,0"/>
                      <v:imagedata r:id="rId28" o:title=""/>
                    </v:shape>
                  </w:pict>
                </mc:Fallback>
              </mc:AlternateContent>
            </w:r>
            <w:r/>
          </w:p>
        </w:tc>
      </w:tr>
      <w:tr>
        <w:trPr>
          <w:trHeight w:val="292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不锈钢四人餐桌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四人位餐桌不锈钢</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1200*1400*760mm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1.桌面:规格1200*600*50mm，采用0.8mm304不锈钢板。二脚架托之间一根距中加强筋50*25*1.2mm，桌面下支架全部采用304不锈钢焊接。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2.桌面及凳面：采用0.8mm304不锈钢板制作，内包边，采用不锈钢圆弧型，整体高度50mm。（用设备冲压一次成型弧形状）。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3.脚架：采用50*50*1.0mm不锈钢方型管。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4.桌下衬25mm整块刨花板E0级三聚氰胺双贴面刨花板，四周压25*25*1.2mm不锈钢钢管。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5.工艺：包角点焊打磨，圆润光滑无皱褶无毛刺无锐角。</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6.餐桌执行GB/T 3325-2024《金属家具通用技术条件》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83185</wp:posOffset>
                      </wp:positionH>
                      <wp:positionV relativeFrom="paragraph">
                        <wp:posOffset>332105</wp:posOffset>
                      </wp:positionV>
                      <wp:extent cx="1237615" cy="847090"/>
                      <wp:effectExtent l="19050" t="0" r="635" b="0"/>
                      <wp:wrapNone/>
                      <wp:docPr id="1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9"/>
                              <pic:cNvPicPr>
                                <a:picLocks noChangeAspect="1"/>
                              </pic:cNvPicPr>
                              <pic:nvPr/>
                            </pic:nvPicPr>
                            <pic:blipFill>
                              <a:blip r:embed="rId29"/>
                              <a:stretch/>
                            </pic:blipFill>
                            <pic:spPr bwMode="auto">
                              <a:xfrm>
                                <a:off x="0" y="0"/>
                                <a:ext cx="1237615" cy="8470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2576;o:allowoverlap:true;o:allowincell:true;mso-position-horizontal-relative:text;margin-left:6.5pt;mso-position-horizontal:absolute;mso-position-vertical-relative:text;margin-top:26.1pt;mso-position-vertical:absolute;width:97.4pt;height:66.7pt;mso-wrap-distance-left:9.0pt;mso-wrap-distance-top:0.0pt;mso-wrap-distance-right:9.0pt;mso-wrap-distance-bottom:0.0pt;" stroked="f" strokeweight="0.75pt">
                      <v:path textboxrect="0,0,0,0"/>
                      <v:imagedata r:id="rId29" o:title=""/>
                    </v:shape>
                  </w:pict>
                </mc:Fallback>
              </mc:AlternateContent>
            </w:r>
            <w:r/>
          </w:p>
        </w:tc>
      </w:tr>
      <w:tr>
        <w:trPr>
          <w:trHeight w:val="282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不锈钢八人餐桌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八人位餐桌不锈钢</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2400*1600*760mm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1.桌面:规格2400*600*50mm，采用0.8mm304不锈钢板。二脚架托之间一根距中加强筋50*25*1.2mm，桌面下支架全部采用304不锈钢焊接。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2.桌面及凳面：采用0.8mm304不锈钢板制作，内包边，采用不锈钢圆弧型，整体高度50mm。（用设备冲压一次成型弧形状）。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3.脚架：采用50*50*1.0mm不锈钢方型管。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4.桌下衬25mm整块刨花板E0级三聚氰胺双贴面刨花板，四周压25*25*1.2mm不锈钢钢管。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5.工艺：包角点焊打磨，圆润光滑无皱褶无毛刺无锐角。</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6.餐桌执行GB/T 3325-2024《金属家具通用技术条件》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95250</wp:posOffset>
                      </wp:positionH>
                      <wp:positionV relativeFrom="paragraph">
                        <wp:posOffset>581025</wp:posOffset>
                      </wp:positionV>
                      <wp:extent cx="1104900" cy="771525"/>
                      <wp:effectExtent l="0" t="635" r="0" b="0"/>
                      <wp:wrapNone/>
                      <wp:docPr id="1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8"/>
                              <pic:cNvPicPr>
                                <a:picLocks noChangeAspect="1"/>
                              </pic:cNvPicPr>
                              <pic:nvPr/>
                            </pic:nvPicPr>
                            <pic:blipFill>
                              <a:blip r:embed="rId30"/>
                              <a:stretch/>
                            </pic:blipFill>
                            <pic:spPr bwMode="auto">
                              <a:xfrm>
                                <a:off x="0" y="0"/>
                                <a:ext cx="1091242" cy="756871"/>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7.5pt;mso-position-horizontal:absolute;mso-position-vertical-relative:text;margin-top:45.8pt;mso-position-vertical:absolute;width:87.0pt;height:60.8pt;mso-wrap-distance-left:9.0pt;mso-wrap-distance-top:0.0pt;mso-wrap-distance-right:9.0pt;mso-wrap-distance-bottom:0.0pt;" stroked="f" strokeweight="0.75pt">
                      <v:path textboxrect="0,0,0,0"/>
                      <v:imagedata r:id="rId30" o:title=""/>
                    </v:shape>
                  </w:pict>
                </mc:Fallback>
              </mc:AlternateContent>
            </w:r>
            <w:r/>
          </w:p>
        </w:tc>
      </w:tr>
      <w:tr>
        <w:trPr>
          <w:trHeight w:val="2967"/>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四人餐桌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餐桌规格</w:t>
            </w:r>
            <w:r>
              <w:rPr>
                <w:rFonts w:hint="eastAsia" w:ascii="宋体" w:hAnsi="宋体" w:cs="宋体"/>
                <w:color w:val="auto"/>
                <w:sz w:val="18"/>
                <w:szCs w:val="18"/>
                <w:highlight w:val="none"/>
              </w:rPr>
              <w:t xml:space="preserve">：1400*800*750mm，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1.桌面采用25mm橡胶木实木齿接板制作，四脚采用橡胶木实木制作棱角弧度处理，材料经过防虫，防腐处理，木材含水率符合8%-12%标准；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2.采用环保水性漆，三底二面油漆工艺，水性油漆符合GB/T23999-2009标准；</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椅子规格：</w:t>
            </w:r>
            <w:r>
              <w:rPr>
                <w:rFonts w:hint="eastAsia" w:ascii="宋体" w:hAnsi="宋体" w:cs="宋体"/>
                <w:color w:val="auto"/>
                <w:sz w:val="18"/>
                <w:szCs w:val="18"/>
                <w:highlight w:val="none"/>
              </w:rPr>
              <w:t xml:space="preserve">常规,坐高440mm,采用橡胶木实木制作，四脚棱角弧度处理，材料经过防虫，防腐处理，含水率符合8%~12%标准。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3.采用环保水性漆，三底二面油漆工艺，水性油漆符合GB/T23999-2009标准；</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219075</wp:posOffset>
                      </wp:positionH>
                      <wp:positionV relativeFrom="paragraph">
                        <wp:posOffset>504825</wp:posOffset>
                      </wp:positionV>
                      <wp:extent cx="971550" cy="904875"/>
                      <wp:effectExtent l="0" t="0" r="635" b="0"/>
                      <wp:wrapNone/>
                      <wp:docPr id="1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1"/>
                              <pic:cNvPicPr>
                                <a:picLocks noChangeAspect="1"/>
                              </pic:cNvPicPr>
                              <pic:nvPr/>
                            </pic:nvPicPr>
                            <pic:blipFill>
                              <a:blip r:embed="rId31"/>
                              <a:stretch/>
                            </pic:blipFill>
                            <pic:spPr bwMode="auto">
                              <a:xfrm>
                                <a:off x="0" y="0"/>
                                <a:ext cx="953558" cy="887681"/>
                              </a:xfrm>
                              <a:prstGeom prst="rect">
                                <a:avLst/>
                              </a:prstGeom>
                              <a:noFill/>
                              <a:ln w="9525">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3600;o:allowoverlap:true;o:allowincell:true;mso-position-horizontal-relative:text;margin-left:17.2pt;mso-position-horizontal:absolute;mso-position-vertical-relative:text;margin-top:39.8pt;mso-position-vertical:absolute;width:76.5pt;height:71.2pt;mso-wrap-distance-left:9.0pt;mso-wrap-distance-top:0.0pt;mso-wrap-distance-right:9.0pt;mso-wrap-distance-bottom:0.0pt;" stroked="f" strokeweight="0.75pt">
                      <v:path textboxrect="0,0,0,0"/>
                      <v:imagedata r:id="rId31" o:title=""/>
                    </v:shape>
                  </w:pict>
                </mc:Fallback>
              </mc:AlternateContent>
            </w:r>
            <w:r/>
          </w:p>
        </w:tc>
      </w:tr>
      <w:tr>
        <w:trPr>
          <w:trHeight w:val="2838"/>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吧桌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pacing w:after="240"/>
              <w:shd w:val="clear" w:color="auto" w:fill="auto"/>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规格</w:t>
            </w:r>
            <w:r>
              <w:rPr>
                <w:rFonts w:hint="eastAsia" w:ascii="宋体" w:hAnsi="宋体" w:cs="宋体"/>
                <w:color w:val="auto"/>
                <w:sz w:val="18"/>
                <w:szCs w:val="18"/>
                <w:highlight w:val="none"/>
              </w:rPr>
              <w:t xml:space="preserve">：2000*400*1050mm，（一桌四凳为一套）</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1.桌面采用45mm厚板材制作，木材含水率符合8%-12%标准；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2.钢架采用40*40*1.2mm方管，底部横拉杆加固，表面塑粉喷涂；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3.钢架采用卡扣式连接；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高脚凳</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凳面直径340mm，高度750mm，凳面采用橡胶木实木制作，木材含水率符合8%-12%标准，钢架采用≥25*25*1.2mm方管，防锈处理，表面塑粉喷涂，甲醛释放量符合国家标准；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82550</wp:posOffset>
                      </wp:positionH>
                      <wp:positionV relativeFrom="paragraph">
                        <wp:posOffset>316865</wp:posOffset>
                      </wp:positionV>
                      <wp:extent cx="1113790" cy="1047115"/>
                      <wp:effectExtent l="19050" t="0" r="0" b="0"/>
                      <wp:wrapNone/>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spect="1"/>
                              </pic:cNvPicPr>
                              <pic:nvPr/>
                            </pic:nvPicPr>
                            <pic:blipFill>
                              <a:blip r:embed="rId32"/>
                              <a:stretch/>
                            </pic:blipFill>
                            <pic:spPr bwMode="auto">
                              <a:xfrm flipH="1">
                                <a:off x="0" y="0"/>
                                <a:ext cx="1113790" cy="10471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4624;o:allowoverlap:true;o:allowincell:true;mso-position-horizontal-relative:text;margin-left:6.5pt;mso-position-horizontal:absolute;mso-position-vertical-relative:text;margin-top:24.9pt;mso-position-vertical:absolute;width:87.7pt;height:82.5pt;mso-wrap-distance-left:9.0pt;mso-wrap-distance-top:0.0pt;mso-wrap-distance-right:9.0pt;mso-wrap-distance-bottom:0.0pt;flip:x;" stroked="f" strokeweight="0.75pt">
                      <v:path textboxrect="0,0,0,0"/>
                      <v:imagedata r:id="rId32" o:title=""/>
                    </v:shape>
                  </w:pict>
                </mc:Fallback>
              </mc:AlternateContent>
            </w:r>
            <w:r/>
          </w:p>
        </w:tc>
      </w:tr>
      <w:tr>
        <w:trPr>
          <w:trHeight w:val="3645"/>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单人桌椅</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1.桌子规格：桌面采用直径600mm，高度750mm，底盘直径300mm，钢架采用≥</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30*1.2mm圆管，钢架防锈处理，表面热固性粉末喷涂，甲醛释放量符合国家标准；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2.椅子规格：450*450*770mm，采用实木椅架，经防腐防霉处理，木材含水率符合8%-12%标准；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3.油漆：三底二面环保油漆，水性油漆符合GB/T23999-2009标准；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座、靠垫采用高回弹海绵，透气皮革，符合GB/T 16799-2018标准；</w:t>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shd w:val="clear" w:color="auto" w:fill="auto"/>
            <w:tcBorders>
              <w:top w:val="single" w:color="auto" w:sz="4" w:space="0"/>
              <w:left w:val="none" w:color="000000" w:sz="4" w:space="0"/>
              <w:right w:val="single" w:color="auto" w:sz="4" w:space="0"/>
            </w:tcBorders>
            <w:tcW w:w="680"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581025</wp:posOffset>
                      </wp:positionH>
                      <wp:positionV relativeFrom="paragraph">
                        <wp:posOffset>102870</wp:posOffset>
                      </wp:positionV>
                      <wp:extent cx="742950" cy="1076325"/>
                      <wp:effectExtent l="19050" t="0" r="0" b="0"/>
                      <wp:wrapNone/>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4"/>
                              <pic:cNvPicPr>
                                <a:picLocks noChangeAspect="1"/>
                              </pic:cNvPicPr>
                              <pic:nvPr/>
                            </pic:nvPicPr>
                            <pic:blipFill>
                              <a:blip r:embed="rId33"/>
                              <a:stretch/>
                            </pic:blipFill>
                            <pic:spPr bwMode="auto">
                              <a:xfrm>
                                <a:off x="0" y="0"/>
                                <a:ext cx="742950" cy="1076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0768;o:allowoverlap:true;o:allowincell:true;mso-position-horizontal-relative:text;margin-left:45.8pt;mso-position-horizontal:absolute;mso-position-vertical-relative:text;margin-top:8.1pt;mso-position-vertical:absolute;width:58.5pt;height:84.8pt;mso-wrap-distance-left:9.0pt;mso-wrap-distance-top:0.0pt;mso-wrap-distance-right:9.0pt;mso-wrap-distance-bottom:0.0pt;" stroked="f" strokeweight="0.75pt">
                      <v:path textboxrect="0,0,0,0"/>
                      <v:imagedata r:id="rId33" o:title=""/>
                    </v:shape>
                  </w:pict>
                </mc:Fallback>
              </mc:AlternateContent>
            </w: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-47625</wp:posOffset>
                      </wp:positionH>
                      <wp:positionV relativeFrom="paragraph">
                        <wp:posOffset>118745</wp:posOffset>
                      </wp:positionV>
                      <wp:extent cx="628650" cy="1057275"/>
                      <wp:effectExtent l="19050" t="0" r="0" b="0"/>
                      <wp:wrapNone/>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1"/>
                              <pic:cNvPicPr>
                                <a:picLocks noChangeAspect="1"/>
                              </pic:cNvPicPr>
                              <pic:nvPr/>
                            </pic:nvPicPr>
                            <pic:blipFill>
                              <a:blip r:embed="rId34"/>
                              <a:stretch/>
                            </pic:blipFill>
                            <pic:spPr bwMode="auto">
                              <a:xfrm>
                                <a:off x="0" y="0"/>
                                <a:ext cx="628650" cy="10572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1792;o:allowoverlap:true;o:allowincell:true;mso-position-horizontal-relative:text;margin-left:-3.8pt;mso-position-horizontal:absolute;mso-position-vertical-relative:text;margin-top:9.3pt;mso-position-vertical:absolute;width:49.5pt;height:83.2pt;mso-wrap-distance-left:9.0pt;mso-wrap-distance-top:0.0pt;mso-wrap-distance-right:9.0pt;mso-wrap-distance-bottom:0.0pt;" stroked="f" strokeweight="0.75pt">
                      <v:path textboxrect="0,0,0,0"/>
                      <v:imagedata r:id="rId34"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680"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none" w:color="000000"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11700"/>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公寓床</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rPr>
                <w:rFonts w:ascii="宋体" w:hAnsi="宋体" w:cs="宋体"/>
                <w:color w:val="auto"/>
                <w:sz w:val="18"/>
                <w:szCs w:val="18"/>
                <w:highlight w:val="none"/>
              </w:rPr>
            </w:pPr>
            <w:r>
              <w:rPr>
                <w:rFonts w:hint="eastAsia" w:ascii="宋体" w:hAnsi="宋体" w:cs="宋体"/>
                <w:color w:val="auto"/>
                <w:sz w:val="18"/>
                <w:szCs w:val="18"/>
                <w:highlight w:val="none"/>
              </w:rPr>
              <w:t xml:space="preserve">1、一组（两连体含中梯）规格：4630*990*2050mm,其中单人规格：2040*990*2050mm，中梯宽度550mm，含蚊帐架高度3000mm，蚊帐架插入立柱深度80mm。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 工艺要求：床两侧框架采用椭圆型带倒挂榫卯结构设计，榫卯处采用水基型胶粘剂胶粘粘合，稳固耐用；床立柱与长横梁及前护拦采用优质螺栓及螺帽连接固定；所有棱角处圆弧处理，防止磕碰受伤。</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1.2 材质要求：主体材质采用辐射松，木材外观无明显贯通裂缝、孔洞、虫蛀、腐朽材、树脂囊、死节；</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1.3 床立柱：采用60mm*80mm辐射松，为防潮，防霉，床脚外套pp材质一次注塑成型的塑料脚套，脚套高度200mm,脚套底部装有螺丝可调节高度，脚套厚度3mm；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1.4 长横梁：采用100mm*30mm辐射松；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1.5 侧短横梁：采用70mm*30mm辐射松；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1.6前护栏：横料采用≥80mm*30mm辐射松制作，竖料采用≥47mm*25mm辐射松制作；下层内镶入一块护栏板，采用PE聚乙烯材质中空吹塑成型，规格为1780mm±5mm*220mm±5mm*25±2mm（长*高*厚）；护栏板外侧中间带有一个内径直径128mm±2</w:t>
            </w:r>
            <w:r>
              <w:rPr>
                <w:rFonts w:hint="eastAsia" w:ascii="宋体" w:hAnsi="宋体" w:cs="宋体"/>
                <w:color w:val="auto"/>
                <w:sz w:val="18"/>
                <w:szCs w:val="18"/>
                <w:highlight w:val="none"/>
              </w:rPr>
              <w:t xml:space="preserve">mm的圆形凹槽可粘贴学生信息卡或校徽；护栏板靠人休息时头部方向带有一个推拉观察窗，规格：长450mm±5mm*高170mm±2mm（观察窗便于学生休息时不用起身观察外部情况，并且宿管查房时也可以推拉观察窗进行检查）；护栏板内侧两边均设有被褥高度警示线，并设有不低于2个储物盒，单个储物盒内径规格：长216mm±2mm*上端开口处宽16mm±2mm*底部宽12mm±2mm*高58mm±2mm，便于学生放置手机、钥匙及眼镜等物品。1.7 侧护栏：横料采用47mm*30mm辐射松，竖料采用47mm*25mm辐射松；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1.8 爬梯：宽度：550mm，楼梯要设置门，方便储物，楼梯踏步设计有375*85防滑夜光软垫，软垫材质为TPE75-1注塑成型。软垫背面具有10个固定点固定牢固稳定、正面设有不少于60个菱形防滑点,楼梯踏步板采用25mm厚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1.9 床板支撑：采用≥50mm*35mm实木木方制作，每个床位不低于5根。</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★1.10 床板：采用中空吹塑床板，规格为：≥1915*910*20mm，不少于51个透气孔；</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1.11 油漆工艺：采用环保水性油漆喷涂，三底两面，水性油漆符合GB/T23999-2009标准。</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1.12、床下书桌面：≥1152*910/596*25mm辐射松，桌面L型靠身前弯弧采用人体工程学小圆弧设计，最大化体前空间，四周及笔槽采用注塑封边成型，左侧面设计有笔槽，笔槽的规格：≥240*30mm，桌面下柜后面预留放置行李箱空间；</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1.13、床下衣柜：整体规格≥778*618（深度）*1650mm，高度为床下最高净空合理设计，采用17mm厚辐射松实木齿接板，内设一层搁板，下层配挂衣杆，门板采用17mm厚辐射松实木齿接板；</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1.14、蚊帐架：采用直径19mm*1.0mm圆钢管，三通塑料连接件形式连接；</w:t>
            </w:r>
            <w:r>
              <w:rPr>
                <w:rFonts w:hint="eastAsia" w:ascii="宋体" w:hAnsi="宋体" w:cs="宋体"/>
                <w:color w:val="auto"/>
                <w:sz w:val="18"/>
                <w:szCs w:val="18"/>
                <w:highlight w:val="none"/>
              </w:rPr>
              <w:br w:type="page" w:clear="all"/>
            </w:r>
            <w:r>
              <w:rPr>
                <w:rFonts w:hint="eastAsia" w:ascii="宋体" w:hAnsi="宋体" w:cs="宋体"/>
                <w:b/>
                <w:bCs/>
                <w:color w:val="auto"/>
                <w:sz w:val="18"/>
                <w:szCs w:val="18"/>
                <w:highlight w:val="none"/>
              </w:rPr>
              <w:t xml:space="preserve">▲1.15、辐射松：</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w:t>
            </w:r>
            <w:r>
              <w:rPr>
                <w:rFonts w:hint="eastAsia" w:ascii="宋体" w:hAnsi="宋体" w:cs="宋体"/>
                <w:color w:val="auto"/>
                <w:sz w:val="18"/>
                <w:szCs w:val="18"/>
                <w:highlight w:val="none"/>
              </w:rPr>
              <w:t xml:space="preserve">，单份报告包含但不限于检测内容具</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368</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4437"/>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rPr>
                <w:rFonts w:ascii="宋体" w:hAnsi="宋体" w:cs="宋体"/>
                <w:color w:val="auto"/>
                <w:sz w:val="18"/>
                <w:szCs w:val="18"/>
                <w:highlight w:val="none"/>
              </w:rPr>
            </w:pPr>
            <w:r>
              <w:rPr>
                <w:rFonts w:hint="eastAsia" w:ascii="宋体" w:hAnsi="宋体" w:cs="宋体"/>
                <w:color w:val="auto"/>
                <w:sz w:val="18"/>
                <w:szCs w:val="18"/>
                <w:highlight w:val="none"/>
              </w:rPr>
              <w:t xml:space="preserve">有：LY/T 1985-2011：五氯苯酚含量未检出；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甲醛释放量≤0.124mg/m3；</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SN/T 3361-2012：有机锡化合物：一丁基锡(MBT)、二丁基锡(DBT)、三丁基锡(TBT)、三苯基锡(TPhT) 均未检出；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GB/T 27653-2011：季铵盐的质量分数≤1%；</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LY/T 2152-2013：抗冲击压痕性能：径面≥12.0kJ/m2，弦面≥12.0kJ/m2；</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二、五金配件：</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2.1、衣柜大门拉手：底座采用铝合金一体压铸成型规格：≥190*40*5mm，内置锁具孔，拉手部分采用塑料一体注塑成型规格：≥173*25mm；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2.2、书桌柜门及抽屉拉手：采用暗拉手设计；</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2.3、阻尼导轨：采用选用符合 QB/T 2454-2013标准导轨，壁厚≥1.2mm；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2.4、阻尼铰链：选用符合QB/T 2189-2013标准阻尼铰链。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三、铝合金方凳</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★1、规格：380×280×440mm，方凳整体为铝塑结合，凳架采用国标铝合金经一次浇铸成型，外层采用塑粉静电喷塑处理。凳脚加装PP（聚丙烯）脚套；</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2、凳面板：凳面厚度不小于20mm，采用PP（或HDPE）材质一体发泡成型，凳面设置透气孔，凳面板嵌入式安装在铝合金衬托框中。</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-47625</wp:posOffset>
                      </wp:positionH>
                      <wp:positionV relativeFrom="paragraph">
                        <wp:posOffset>639445</wp:posOffset>
                      </wp:positionV>
                      <wp:extent cx="1428115" cy="1133475"/>
                      <wp:effectExtent l="19050" t="0" r="635" b="0"/>
                      <wp:wrapNone/>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
                              <pic:cNvPicPr>
                                <a:picLocks noChangeAspect="1"/>
                              </pic:cNvPicPr>
                              <pic:nvPr/>
                            </pic:nvPicPr>
                            <pic:blipFill>
                              <a:blip r:embed="rId35"/>
                              <a:stretch/>
                            </pic:blipFill>
                            <pic:spPr bwMode="auto">
                              <a:xfrm>
                                <a:off x="0" y="0"/>
                                <a:ext cx="1428115" cy="11334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2816;o:allowoverlap:true;o:allowincell:true;mso-position-horizontal-relative:text;margin-left:-3.8pt;mso-position-horizontal:absolute;mso-position-vertical-relative:text;margin-top:50.3pt;mso-position-vertical:absolute;width:112.4pt;height:89.2pt;mso-wrap-distance-left:9.0pt;mso-wrap-distance-top:0.0pt;mso-wrap-distance-right:9.0pt;mso-wrap-distance-bottom:0.0pt;" stroked="false">
                      <v:path textboxrect="0,0,0,0"/>
                      <v:imagedata r:id="rId35" o:title=""/>
                    </v:shape>
                  </w:pict>
                </mc:Fallback>
              </mc:AlternateContent>
            </w:r>
            <w:r/>
          </w:p>
        </w:tc>
      </w:tr>
      <w:tr>
        <w:trPr>
          <w:trHeight w:val="454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教师值班室床</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pacing w:after="240"/>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规格：2120*1200*960mm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1.基材:采用优质橡胶木实木，木材经干燥处理，含水率符合符合8%~12%标准。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2.靠背:立柱用材规格不小于42mm*80mm，上下横档不小于30mm*60mm，内嵌橡胶木实木齿接板；</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3.床尾：立柱和上下横梁用材规格不小于40mm*60mm，内嵌橡胶木实木齿接板；</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4.床沿规格不小于30mm*120mm，下沿距离地面约285mm。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5.托档:用材规格不小于37mm*55mm实木。</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6.铺板:铺板条用材厚度不小于14mm,铺板条间距不大于30mm。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7.油漆:采用水性木器漆,经三底两面油漆，水性油漆符合GB/T23999-2009标准。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8.五金件 :配件均使用优质五金配件。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9.成品要求:靠背高度960mm,靠背设计美观大方实用,靠背与床板夹角设计应符合人体工程学,床脚等处直角作钝化处理。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10.床尾板高度450mm。 </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180975</wp:posOffset>
                      </wp:positionH>
                      <wp:positionV relativeFrom="paragraph">
                        <wp:posOffset>923925</wp:posOffset>
                      </wp:positionV>
                      <wp:extent cx="981075" cy="771525"/>
                      <wp:effectExtent l="0" t="635" r="0" b="0"/>
                      <wp:wrapNone/>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r/>
                            </pic:nvPicPr>
                            <pic:blipFill>
                              <a:blip r:embed="rId36"/>
                              <a:stretch/>
                            </pic:blipFill>
                            <pic:spPr bwMode="auto">
                              <a:xfrm>
                                <a:off x="0" y="0"/>
                                <a:ext cx="978437" cy="762266"/>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14.2pt;mso-position-horizontal:absolute;mso-position-vertical-relative:text;margin-top:72.8pt;mso-position-vertical:absolute;width:77.2pt;height:60.8pt;mso-wrap-distance-left:9.0pt;mso-wrap-distance-top:0.0pt;mso-wrap-distance-right:9.0pt;mso-wrap-distance-bottom:0.0pt;" stroked="f">
                      <v:path textboxrect="0,0,0,0"/>
                      <v:imagedata r:id="rId36" o:title=""/>
                    </v:shape>
                  </w:pict>
                </mc:Fallback>
              </mc:AlternateContent>
            </w:r>
            <w:r/>
          </w:p>
        </w:tc>
      </w:tr>
      <w:tr>
        <w:trPr>
          <w:trHeight w:val="354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教师值班室床头柜</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规格：450*450*500mm；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1、采用≥17mm厚橡胶木全实木齿接板。木材经干燥含水率符合8%~12%标准。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2、加工工艺：采用连接螺杆加强固定，可使用水基胶粘剂，高精度细砂砂光，木材楞角多经过圆弧度处理，自然、圆润；</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4、导轨：采用选用符合 QB/T 2454-2013标准导轨，壁厚≥1.2mm；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5、拉手：隐藏式雕刻暗拉手；</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6、油漆：采用“三底二面”工艺，水性油漆涂装，水性底、面漆符合GB/T23999-2009标准。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76200</wp:posOffset>
                      </wp:positionH>
                      <wp:positionV relativeFrom="paragraph">
                        <wp:posOffset>647700</wp:posOffset>
                      </wp:positionV>
                      <wp:extent cx="1209675" cy="1162050"/>
                      <wp:effectExtent l="0" t="0" r="0" b="0"/>
                      <wp:wrapNone/>
                      <wp:docPr id="2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6"/>
                              <pic:cNvPicPr>
                                <a:picLocks noChangeAspect="1"/>
                              </pic:cNvPicPr>
                              <pic:nvPr/>
                            </pic:nvPicPr>
                            <pic:blipFill>
                              <a:blip r:embed="rId37"/>
                              <a:srcRect l="6415" t="0" r="0" b="17174"/>
                              <a:stretch/>
                            </pic:blipFill>
                            <pic:spPr bwMode="auto">
                              <a:xfrm>
                                <a:off x="0" y="0"/>
                                <a:ext cx="1186277" cy="11455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6672;o:allowoverlap:true;o:allowincell:true;mso-position-horizontal-relative:text;margin-left:6.0pt;mso-position-horizontal:absolute;mso-position-vertical-relative:text;margin-top:51.0pt;mso-position-vertical:absolute;width:95.2pt;height:91.5pt;mso-wrap-distance-left:9.0pt;mso-wrap-distance-top:0.0pt;mso-wrap-distance-right:9.0pt;mso-wrap-distance-bottom:0.0pt;" stroked="f" strokeweight="0.75pt">
                      <v:path textboxrect="0,0,0,0"/>
                      <v:imagedata r:id="rId37" o:title=""/>
                    </v:shape>
                  </w:pict>
                </mc:Fallback>
              </mc:AlternateContent>
            </w:r>
            <w:r/>
          </w:p>
        </w:tc>
      </w:tr>
    </w:tbl>
    <w:p>
      <w:pPr>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注：标“</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”技术参数为重要技术参数，不接受负偏离。</w:t>
      </w:r>
      <w:r/>
    </w:p>
    <w:p>
      <w:pPr>
        <w:ind w:firstLine="47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w:t>
      </w:r>
      <w:r>
        <w:rPr>
          <w:rFonts w:ascii="宋体" w:hAnsi="宋体"/>
          <w:b/>
          <w:bCs/>
          <w:color w:val="auto"/>
          <w:sz w:val="24"/>
          <w:szCs w:val="24"/>
          <w:highlight w:val="none"/>
        </w:rPr>
        <w:t xml:space="preserve">要求</w:t>
      </w:r>
      <w:r/>
    </w:p>
    <w:p>
      <w:pPr>
        <w:ind w:firstLine="480"/>
        <w:spacing w:line="440" w:lineRule="exact"/>
        <w:rPr>
          <w:rFonts w:ascii="宋体" w:hAnsi="宋体"/>
          <w:b/>
          <w:bCs/>
          <w:color w:val="auto"/>
          <w:sz w:val="24"/>
          <w:szCs w:val="24"/>
          <w:highlight w:val="none"/>
        </w:rPr>
      </w:pPr>
      <w:r>
        <w:rPr>
          <w:rFonts w:hint="eastAsia" w:ascii="宋体" w:hAnsi="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其内容包含但不限于以下内容：</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1.采购标的需实现的功能或者目标，以及为落实政府采购政策需满足的要求：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符合国家最新行业标准及采购人要求。</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2.采购标的需执行的国家相关标准、行业标准、地方标准或者其他标准、规范：</w:t>
      </w:r>
      <w:r/>
    </w:p>
    <w:p>
      <w:pPr>
        <w:ind w:firstLine="480"/>
        <w:spacing w:line="440" w:lineRule="exact"/>
        <w:rPr>
          <w:rFonts w:ascii="宋体" w:hAnsi="宋体"/>
          <w:b/>
          <w:bCs/>
          <w:color w:val="auto"/>
          <w:sz w:val="24"/>
          <w:szCs w:val="24"/>
          <w:highlight w:val="none"/>
        </w:rPr>
      </w:pPr>
      <w:r>
        <w:rPr>
          <w:rFonts w:hint="eastAsia" w:ascii="宋体" w:hAnsi="宋体"/>
          <w:color w:val="auto"/>
          <w:sz w:val="24"/>
          <w:szCs w:val="24"/>
          <w:highlight w:val="none"/>
        </w:rPr>
        <w:t xml:space="preserve">所提供货物质量必须符合国家相关标准及本次采购的要求，若所供货物经产品质量检测机构检测认定质量不合格，造成的损失和后果由该中标供应商负全责。</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3.采购标的需满足的质量、安全、技术规格、物理特性等要求：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满足验收标准及采购人要求。</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4.采购标的的数量、采购项目交付或者实施的时间和地点：</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采购数量、采购项目：详见采购内容；</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实施的时间：自签订合同之日起60日历天内完成现场安装验收交付，全部家具制作工序完整规范，工艺无缺失、做工规整达标，板材、辅料等环保指标合格，甲醛含量符合国家相关安全标准；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地点：海安市实验中学（高新区启慧路西侧、高庄路延伸段南侧、泓景路东侧）</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5.采购标的需满足的服务标准、期限、效率等要求：</w:t>
      </w:r>
      <w:r/>
    </w:p>
    <w:p>
      <w:pPr>
        <w:ind w:firstLine="480"/>
        <w:spacing w:line="440" w:lineRule="exact"/>
        <w:rPr>
          <w:rFonts w:ascii="宋体" w:hAnsi="宋体"/>
          <w:b/>
          <w:bCs/>
          <w:color w:val="auto"/>
          <w:sz w:val="24"/>
          <w:szCs w:val="24"/>
          <w:highlight w:val="none"/>
        </w:rPr>
      </w:pPr>
      <w:r>
        <w:rPr>
          <w:rFonts w:hint="eastAsia" w:ascii="宋体" w:hAnsi="宋体"/>
          <w:bCs/>
          <w:color w:val="auto"/>
          <w:sz w:val="24"/>
          <w:szCs w:val="24"/>
          <w:highlight w:val="none"/>
        </w:rPr>
        <w:t xml:space="preserve">交货期（服务时间）：</w:t>
      </w:r>
      <w:r>
        <w:rPr>
          <w:rFonts w:hint="eastAsia" w:ascii="宋体" w:hAnsi="宋体"/>
          <w:bCs/>
          <w:color w:val="auto"/>
          <w:sz w:val="24"/>
          <w:szCs w:val="24"/>
          <w:highlight w:val="none"/>
        </w:rPr>
        <w:t xml:space="preserve">自签订合同之日起60日历天内完成现场安装验收交付，全部家具制作工序完整规范，工艺无缺失、做工规整达标，板材、辅料等环保指标合格，甲醛含量符合国家相关安全标准；</w:t>
      </w:r>
      <w:r/>
    </w:p>
    <w:p>
      <w:pPr>
        <w:ind w:firstLine="480"/>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6.采购标的的验收标准：</w:t>
      </w:r>
      <w:r>
        <w:rPr>
          <w:rFonts w:hint="eastAsia" w:ascii="宋体" w:hAnsi="宋体"/>
          <w:bCs/>
          <w:color w:val="auto"/>
          <w:sz w:val="24"/>
          <w:szCs w:val="24"/>
          <w:highlight w:val="none"/>
        </w:rPr>
        <w:t xml:space="preserve">符合国家最新行业标准及采购人要求。</w:t>
      </w:r>
      <w:r/>
    </w:p>
    <w:p>
      <w:pPr>
        <w:ind w:firstLine="482"/>
        <w:spacing w:line="560" w:lineRule="exact"/>
        <w:rPr>
          <w:b/>
          <w:color w:val="auto"/>
          <w:sz w:val="24"/>
          <w:szCs w:val="24"/>
          <w:highlight w:val="none"/>
        </w:rPr>
      </w:pPr>
      <w:r>
        <w:rPr>
          <w:rFonts w:hint="eastAsia" w:ascii="宋体" w:hAnsi="宋体"/>
          <w:b/>
          <w:bCs/>
          <w:color w:val="auto"/>
          <w:sz w:val="24"/>
          <w:szCs w:val="24"/>
          <w:highlight w:val="none"/>
        </w:rPr>
        <w:t xml:space="preserve">7.</w:t>
      </w:r>
      <w:r>
        <w:rPr>
          <w:rFonts w:hint="eastAsia"/>
          <w:b/>
          <w:color w:val="auto"/>
          <w:sz w:val="24"/>
          <w:szCs w:val="24"/>
          <w:highlight w:val="none"/>
        </w:rPr>
        <w:t xml:space="preserve">采购标的的其他技术、服务等要求：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7.1整套家具质保不少于5年。</w:t>
      </w:r>
      <w:r/>
    </w:p>
    <w:p>
      <w:pPr>
        <w:ind w:firstLine="480"/>
        <w:spacing w:line="440" w:lineRule="exact"/>
        <w:rPr>
          <w:rFonts w:ascii="宋体" w:hAnsi="宋体"/>
          <w:bCs/>
          <w:color w:val="auto"/>
          <w:sz w:val="24"/>
          <w:szCs w:val="24"/>
          <w:highlight w:val="none"/>
        </w:rPr>
      </w:pPr>
      <w:r>
        <w:rPr>
          <w:rFonts w:hint="eastAsia"/>
          <w:color w:val="auto"/>
          <w:sz w:val="24"/>
          <w:szCs w:val="24"/>
          <w:highlight w:val="none"/>
        </w:rPr>
        <w:t xml:space="preserve">在采购产品生产过程中，采购人必要时可以进行驻厂监督。成交供应商交货后，安装前，由成交供应商委托具有相应资质的第三方检测单位（须经采购人同意）对主要采购产品进行检测或抽检，费用含在报价中，结算时不作调整。如不符合采购需求中技术参数要求的，采购人有权终止合同，给采购人造成的损失由成交供应商承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标供应商与校方签订正式合同，且完全满足校方各项要求后，方可组织供货、发货。供货安装完毕后，由学校进行初步验收。学校验收合格后，由中标供应商向采购单位提出书面验收申请，采购单位在收到中标供应商提交的书面项目验收申请后7个工作日内，将组织验收小组根据采购合同和供应商响应文件对供应商所供货物进行验收。验收中如有疑问，设</w:t>
      </w:r>
      <w:r>
        <w:rPr>
          <w:rFonts w:hint="eastAsia" w:ascii="宋体" w:hAnsi="宋体"/>
          <w:bCs/>
          <w:color w:val="auto"/>
          <w:sz w:val="24"/>
          <w:szCs w:val="24"/>
          <w:highlight w:val="none"/>
        </w:rPr>
        <w:t xml:space="preserve">备（产品）厂商技术工程师需当场予以解答。如验收时发现所供货物的数量、技术参数等与采购合同不一致，采购单位将向中标供应商签发整改通知书。中标供应商在收到整改通知书后七日内必须按要求整改，如再次不符合要求或逾期，采购人将视作项目整体验收不合格，并报相关部门进行处理。必要时，采购单位可邀请相关质量监督部门对中标供应商所供货物进行验收及检测，因检测发生的一切费用由中标供应商负责，如验收或检测发现所供货物不合格，将解除双方合同，并由相关质量监督部门进行处罚。因检测导致货物损坏的，由供应商免费补足，确保采购人正常使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货物的质量和规格与合同规定不符的，在质量保证期内证明货物是有缺陷的，包括潜在的缺陷或使用不符合要求材料的，采购人有权提请当地质检部门进行检查，并根据当地质检部门检验报告以书面形式向卖方提出索赔。</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如部分不能通过验收的，中标供应商承诺需采取一切补救措施，所有费用由中标供应商承担。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验收合格后，采购人出具验收报告，作为支付货款的依据。</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四、采购需求中必须满足的实质性要求：</w:t>
      </w:r>
      <w:r/>
    </w:p>
    <w:p>
      <w:pPr>
        <w:ind w:firstLine="480"/>
        <w:spacing w:line="440" w:lineRule="exact"/>
        <w:rPr>
          <w:rFonts w:ascii="宋体" w:hAnsi="宋体"/>
          <w:bCs/>
          <w:color w:val="auto"/>
          <w:sz w:val="24"/>
          <w:szCs w:val="24"/>
          <w:highlight w:val="none"/>
        </w:rPr>
      </w:pPr>
      <w:r/>
      <w:bookmarkStart w:id="176" w:name="_Toc120614281"/>
      <w:r>
        <w:rPr>
          <w:rFonts w:ascii="宋体" w:hAnsi="宋体"/>
          <w:bCs/>
          <w:color w:val="auto"/>
          <w:sz w:val="24"/>
          <w:szCs w:val="24"/>
          <w:highlight w:val="none"/>
        </w:rPr>
        <w:t xml:space="preserve">①参数要求中的标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参数不得负偏离，须在商务技术文件中针对参数提供技术偏离表，如未提供或出现负偏离的作无效标处理。</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②采购与实施过程中如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供应商存在弄虚作假行为，校方有权追究违约责任及其法律责任。由此造成的一切后果及费用由</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供应商承担。</w:t>
      </w:r>
      <w:r/>
    </w:p>
    <w:p>
      <w:pPr>
        <w:ind w:firstLine="47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五、其他要求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1.项目属性：货物类项目。</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2.核心产品：</w:t>
      </w:r>
      <w:r>
        <w:rPr>
          <w:rFonts w:hint="eastAsia" w:ascii="宋体" w:hAnsi="宋体"/>
          <w:bCs/>
          <w:color w:val="auto"/>
          <w:sz w:val="24"/>
          <w:szCs w:val="24"/>
          <w:highlight w:val="none"/>
        </w:rPr>
        <w:t xml:space="preserve">公寓床、教师办公桌椅、礼堂椅。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3.主要标的：</w:t>
      </w:r>
      <w:r>
        <w:rPr>
          <w:rFonts w:hint="eastAsia" w:ascii="宋体" w:hAnsi="宋体"/>
          <w:bCs/>
          <w:color w:val="auto"/>
          <w:sz w:val="24"/>
          <w:szCs w:val="24"/>
          <w:highlight w:val="none"/>
        </w:rPr>
        <w:t xml:space="preserve">公寓床、教师办公桌椅、礼堂椅。</w:t>
      </w:r>
      <w:r/>
    </w:p>
    <w:p>
      <w:pPr>
        <w:ind w:firstLine="480"/>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4.进口产品投标：</w:t>
      </w:r>
      <w:r>
        <w:rPr>
          <w:rFonts w:hint="eastAsia" w:ascii="宋体" w:hAnsi="宋体"/>
          <w:bCs/>
          <w:color w:val="auto"/>
          <w:sz w:val="24"/>
          <w:szCs w:val="24"/>
          <w:highlight w:val="none"/>
        </w:rPr>
        <w:t xml:space="preserve">本项目不接受进口产品投标。如供应商使用进口产品投标，作无效投标处理。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5.包装要求：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5.1商品包装环保要求：应当按《关于印发〈商品包装政府采购需求标准（试行）〉、〈快递包装政府采购需求标准（试行）〉的通知》（财办库〔2020〕123号）文件执行。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（1）商品包装层数不得超过 3 层，空隙率不大于 40%；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（2）商品包装尽可能使用单一材质的包装材料，如因功能需求必需使用不同材质，不同材质间应便于分离；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（3）商品包装中铅、汞、镉、六价铬的总含量应不大于100mg/kg；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（4）商品包装印刷使用的油墨中挥发性有机化合物(VOCs)含量应不大于 5%（以重量计）；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（5）塑料材质商品包装上呈现的印刷颜色不得超过6色；</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（6）纸质商品包装应使用75%以上的可再生纤维原料生产；</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（7）木质商品包装的原料应来源于可持续性森林。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5.2快递包装环保要求：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（1）快递包装中重金属（铅、汞、镉、六价铬）总量应不大于 100mg/kg；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（2）快递包装印刷使用的油墨中不应添加邻苯二甲酸酯，其挥发性有机化合物(VOCs)含量应不大于5%（以重量计）；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（3）快递包装中使用纸基材的包装材料，纸基材中的有机氯的含量应不大于 150 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（5）快递中使用的塑料包装袋不得使用聚氯乙烯作为原料，且原料应为单一材质制成，生物分解率大于60%；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（6）快递中使用的充气类填充物不得使用聚氯乙烯作为 原料，且原料为单一材质制成，生物分解率大于60%；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（7）快递中使用的集装袋应为单一材质制成，其重复使用次数应不小于 80 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（8）快递中应使用幅宽不大于45mm 的生物降解胶带；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（9）快递包装中不得使用溶剂型胶粘剂；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（10）快递应使用电子面单；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（11）直接使用商品包装作为快递包装的商品，其商品包装满足《商品包装政府采购需求标准（试行）》即可；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（12）快递包装产品质量和封装方式应符合相关国家或行业标准技术指标要求。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6.绿色数据中心</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8.节能环保产品：依据财政部、发展改革委发布的《节能产品政府采购品目清单》，本项目中有政府强制采购节能产品的（属于清单中打</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六、付款方式</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签订合同15日内，预付合同价的30%，待货物和服务到位验收合格后在30个工作日内一次性付清所有款项。</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七、履约保证金：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1.本项目免收履约保证金。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3.发生以下情况的，履约保证金不予退还或部分退还：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0"/>
        <w:spacing w:line="440" w:lineRule="exact"/>
        <w:rPr>
          <w:rFonts w:ascii="黑体" w:eastAsia="黑体"/>
          <w:bCs/>
          <w:color w:val="auto"/>
          <w:sz w:val="32"/>
          <w:szCs w:val="32"/>
          <w:highlight w:val="none"/>
        </w:rPr>
      </w:pPr>
      <w:r>
        <w:rPr>
          <w:rFonts w:hint="eastAsia" w:ascii="宋体" w:hAnsi="宋体"/>
          <w:b/>
          <w:color w:val="auto"/>
          <w:sz w:val="24"/>
          <w:szCs w:val="24"/>
          <w:highlight w:val="none"/>
        </w:rPr>
        <w:t xml:space="preserve">八、合同条款（详见附件）</w:t>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hint="eastAsia" w:ascii="黑体" w:eastAsia="黑体"/>
          <w:bCs/>
          <w:color w:val="auto"/>
          <w:sz w:val="32"/>
          <w:szCs w:val="32"/>
          <w:highlight w:val="none"/>
        </w:rPr>
        <w:t xml:space="preserve">第四章  </w:t>
      </w:r>
      <w:r>
        <w:rPr>
          <w:rFonts w:hint="eastAsia" w:ascii="黑体" w:eastAsia="黑体"/>
          <w:b/>
          <w:bCs/>
          <w:color w:val="auto"/>
          <w:sz w:val="32"/>
          <w:szCs w:val="32"/>
          <w:highlight w:val="none"/>
        </w:rPr>
        <w:t xml:space="preserve">评标方法与评标标准</w:t>
      </w:r>
      <w:r/>
    </w:p>
    <w:p>
      <w:pPr>
        <w:pStyle w:val="968"/>
        <w:ind w:firstLine="0"/>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asciiTheme="minorEastAsia" w:hAnsiTheme="minorEastAsia" w:eastAsiaTheme="minorEastAsia"/>
          <w:color w:val="auto"/>
          <w:highlight w:val="none"/>
        </w:rPr>
        <w:t xml:space="preserve">排名第一的中标候选人。</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评委在认真审阅投标文件的基础上，根据各投标文件的响应程度独立评判，不得统一打分。</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（一）采购人（代表）对投标人资格进行审查。</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投标人资格不合格的，其投标文件判定为无效投标文件。</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（二）评标委员会对符合资格投标人的投标文件进行符合性审查。</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未通过符合性审查的投标文件，将被判为不满足招标文件实质性要求。 </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（三）商务技术分：70分</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各投标人得分为评委会成员评分的算术平均分，分值保留小数点后两位。</w:t>
      </w:r>
      <w:r/>
    </w:p>
    <w:tbl>
      <w:tblPr>
        <w:tblStyle w:val="699"/>
        <w:tblW w:w="92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273"/>
        <w:gridCol w:w="720"/>
        <w:gridCol w:w="6492"/>
      </w:tblGrid>
      <w:tr>
        <w:trPr>
          <w:jc w:val="center"/>
          <w:trHeight w:val="90"/>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W w:w="1273" w:type="dxa"/>
            <w:vAlign w:val="center"/>
            <w:textDirection w:val="lrTb"/>
            <w:noWrap/>
          </w:tcPr>
          <w:p>
            <w:pPr>
              <w:jc w:val="lef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技术指标响应情况</w:t>
            </w:r>
            <w:r/>
          </w:p>
        </w:tc>
        <w:tc>
          <w:tcPr>
            <w:tcW w:w="720"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投标人提供的投标文件中《技术部分正负偏离表》，考察投标人对招标文件的货物参数响应情况，完全响应招标文件要求的得24分；投标人所投产品的技术参数未完全满足招标文件中技术参数要求的，其中加★项（如有）为实质性参数，如存在负偏离则视为未实质性响应；加▲项(如有)，有一项负偏离，扣2分；其他技术指标项出现负偏离，每项扣0.2分，扣完为止。</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注：技术参数中，如需提供确定的证明材料的，按技术参数要求提供；未提供有效证明材料或证明材料中内容与所填报指标不一致的，该指标按不满足处理。</w:t>
            </w:r>
            <w:r/>
          </w:p>
        </w:tc>
      </w:tr>
      <w:tr>
        <w:trPr>
          <w:jc w:val="center"/>
          <w:trHeight w:val="90"/>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W w:w="1273" w:type="dxa"/>
            <w:vAlign w:val="center"/>
            <w:textDirection w:val="lrTb"/>
            <w:noWrap/>
          </w:tcPr>
          <w:p>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企业综合实力</w:t>
            </w:r>
            <w:r/>
          </w:p>
        </w:tc>
        <w:tc>
          <w:tcPr>
            <w:tcW w:w="720" w:type="dxa"/>
            <w:vAlign w:val="center"/>
            <w:textDirection w:val="lrTb"/>
            <w:noWrap/>
          </w:tcPr>
          <w:p>
            <w:pPr>
              <w:jc w:val="center"/>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w:t>
            </w:r>
            <w:r/>
          </w:p>
        </w:tc>
        <w:tc>
          <w:tcPr>
            <w:tcW w:w="6492" w:type="dxa"/>
            <w:vAlign w:val="center"/>
            <w:textDirection w:val="lrTb"/>
            <w:noWrap/>
          </w:tcPr>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1.投标供应商或所投产品制造商具有有效的质量管理体系认证证书、环境管理体系认证证书、职业健康安全管理体系认证证书，每提供一个得1分，本项最高得3分。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2.投标人或产品制造商持有有效期内《家具中有害物质限量认证证书》，认证单元覆盖本项目实际采购的家具品类，每个对应单元得0.4分，本项最高得2分；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3.投标人或产品制造商持有有效期内家具产品质量安全认证证书，认证单元覆盖本项目实际采购的家具品类，每个对应单元得0.4分，本项最高得2分；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4.投标人或产品制造商具有有效期内中国绿色产品认证证书，认证单元覆盖本项目实际采购的家具品类，每个对应单元得0.4分，本项最高得2分；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5.投标人或产品制造商具有有效期内低VOCs家具产品认证证书，认证单元覆盖本项目实际采购的家具品类，每个对应单元得0.4分，本项最高得2分；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注：家具品类（如金属家具、钢木家具、实木家具、人造板家具、软体家具等覆盖本项目实际采购的家具品类）。</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上述1～5项提供证书原件扫描件及全国认证认可信息公共服务平台查询截图，未提供或提供不全的不得分。</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W w:w="1273"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成功案例</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2023年1月1日以来（以合同或协议签订时间为准），供应商具有类似家具项目成功案例的，有一个得1分，最高得2分。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注：提供合同（或协议）原件扫描件，未按要求提供或未提供证明材料的均不得分。</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项目实施方案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实施方案，包括①实施组织机构及管理制度、②实施进度计划及安排、③实施团队；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bookmarkStart w:id="177" w:name="OLE_LINK6"/>
            <w:r/>
            <w:bookmarkStart w:id="178" w:name="OLE_LINK5"/>
            <w:r>
              <w:rPr>
                <w:rFonts w:hint="eastAsia" w:cs="宋体" w:asciiTheme="minorEastAsia" w:hAnsiTheme="minorEastAsia" w:eastAsiaTheme="minorEastAsia"/>
                <w:color w:val="auto"/>
                <w:szCs w:val="21"/>
                <w:highlight w:val="none"/>
              </w:rPr>
              <w:t xml:space="preserve">注：内容不完整或有缺陷是指：</w:t>
            </w:r>
            <w:bookmarkEnd w:id="177"/>
            <w:r/>
            <w:bookmarkEnd w:id="178"/>
            <w:r>
              <w:rPr>
                <w:rFonts w:hint="eastAsia" w:cs="宋体" w:asciiTheme="minorEastAsia" w:hAnsiTheme="minorEastAsia" w:eastAsiaTheme="minorEastAsia"/>
                <w:color w:val="auto"/>
                <w:szCs w:val="21"/>
                <w:highlight w:val="none"/>
              </w:rPr>
              <w:t xml:space="preserve">未贴合本家具采购供货安装实际，方案与项目实施需求明显不符；表述不清、逻辑混乱；明显套用其他项目或网络模板；仅有纲要框架无实质性阐述；组织机构、进度排布、团队配置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生产加工方案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或投标产品生产厂家）针对本项目提供生产加工方案，包括①原材料采购及保障、②生产车间情况（提供佐证材料）、③生产设备情况（提供佐证材料）；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生产加工实际，方案与项目加工供货需求明显不符；表述不清、逻辑混乱；明显套用其他项目或网络模板；仅有纲要框架无实质性阐述；原材料保障、车间、设备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配送、安装与调试方案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配送、安装与调试方案，包括①配送方案、②产品安装与调试及技术支撑方案、③安全文明安装及环境保护措施；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配送安装现场实际，未兼顾现场运输进场、安装调试、安全环保落地要求；表述不清、逻辑混乱；明显套用其他项目或网络模板；仅有纲要框架无实质性阐述；配送、安装调试、安全环保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保障措施方案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保障措施方案，包括①质量控制的方法、工具及重点、②进度保障措施、③产品验收环节保障措施、④应急保障措施及应急服务响应时间、修复时间；每项得1分，共计4分，每有一项缺项的扣1分，每有一项内容不完整或有缺陷的扣0.5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项目供货实施实际，质量管控、进度、验收、应急处置与项目需求明显不符；表述不清、逻辑混乱；明显套用通用或网络模板；仅有纲要框架无实质性阐述；质量、进度、验收、应急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售后服务方案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售后服务方案，包括①售后服务内容、②服务保障体系、③售后服务人员的技术水平及现场服务措施、④日常维护保养、⑤备品备件清单及管理、⑥质保期满后的服务内容及收费标准；每项得1分，共计6分，每有一项缺项的扣1分，每有一项内容不完整或有缺陷的扣0.5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项目售后实际，服务保障、维保、备品备件、期满服务等内容与项目需求明显不符；表述不清、逻辑混乱；明显套用其他项目或网络模板；仅有纲要框架无实质性阐述；售后服务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质保期</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w:t>
            </w:r>
            <w:r/>
          </w:p>
        </w:tc>
        <w:tc>
          <w:tcPr>
            <w:tcW w:w="6492" w:type="dxa"/>
            <w:vAlign w:val="center"/>
            <w:textDirection w:val="lrTb"/>
            <w:noWrap/>
          </w:tcPr>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满足采购文件要求质保期（5年）不得分，每增加一年质保期得1分，最高得2分。</w:t>
            </w:r>
            <w:r/>
          </w:p>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注：提供承诺书原件（格式自拟，加盖公章）扫描件，未按要求提供或未提供证明材料的均不得分。</w:t>
            </w:r>
            <w:r/>
          </w:p>
        </w:tc>
      </w:tr>
      <w:tr>
        <w:trPr>
          <w:jc w:val="center"/>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W w:w="1273"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节能环保</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3</w:t>
            </w:r>
            <w:r/>
          </w:p>
        </w:tc>
        <w:tc>
          <w:tcPr>
            <w:tcW w:w="6492" w:type="dxa"/>
            <w:vAlign w:val="center"/>
            <w:textDirection w:val="lrTb"/>
            <w:noWrap/>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投标产品属于财政部、国家发改委公布的“节能产品品目清单”范围内的，投标供应商提供国家确定的认证机构出具的、处于有效期之内的该节能产品认证证书复印件的，有1个得0.5分，最多得1分。如投标产品均属于政府强制采购节能产品品目清单范围内，本项不得分。</w:t>
            </w:r>
            <w:r/>
          </w:p>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2、投标产品属于财政部、生态环境部公布的“环境标志产品品目清单”范围内的，投标供应商提供国家确定的认证机构出具的、处于有效期内的该环保产品认证证书复印件的，有1个得0.5分，最多得1分。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bl>
    <w:p>
      <w:pPr>
        <w:pStyle w:val="968"/>
        <w:ind w:firstLine="0"/>
        <w:spacing w:before="0" w:after="0" w:line="520" w:lineRule="exact"/>
        <w:rPr>
          <w:rFonts w:cs="Arial"/>
          <w:b/>
          <w:color w:val="auto"/>
          <w:highlight w:val="none"/>
        </w:rPr>
      </w:pPr>
      <w:r>
        <w:rPr>
          <w:rFonts w:cs="Arial"/>
          <w:b/>
          <w:color w:val="auto"/>
          <w:highlight w:val="none"/>
        </w:rPr>
      </w:r>
      <w:r/>
    </w:p>
    <w:p>
      <w:pPr>
        <w:pStyle w:val="968"/>
        <w:ind w:firstLine="439"/>
        <w:spacing w:before="0" w:after="0" w:line="520" w:lineRule="exact"/>
        <w:rPr>
          <w:rFonts w:cs="Arial"/>
          <w:b/>
          <w:color w:val="auto"/>
          <w:highlight w:val="none"/>
        </w:rPr>
      </w:pPr>
      <w:r>
        <w:rPr>
          <w:rFonts w:hint="eastAsia" w:cs="Arial"/>
          <w:b/>
          <w:color w:val="auto"/>
          <w:highlight w:val="none"/>
        </w:rPr>
        <w:t xml:space="preserve">（四）价格分：30分</w:t>
      </w:r>
      <w:r/>
    </w:p>
    <w:p>
      <w:pPr>
        <w:pStyle w:val="968"/>
        <w:ind w:firstLine="439"/>
        <w:spacing w:before="0" w:after="0" w:line="520" w:lineRule="exact"/>
        <w:rPr>
          <w:rFonts w:cs="Arial"/>
          <w:color w:val="auto"/>
          <w:highlight w:val="none"/>
        </w:rPr>
      </w:pPr>
      <w:r>
        <w:rPr>
          <w:rFonts w:hint="eastAsia" w:cs="Arial"/>
          <w:color w:val="auto"/>
          <w:highlight w:val="none"/>
        </w:rPr>
        <w:t xml:space="preserve">价格分统一采用低价优先法计算，即满足招标文件要求且投标价格最低的投标报价为评标基准价，其价格分为满分。其他投标人的价格分统一按照下列公式计算：</w:t>
      </w:r>
      <w:r/>
    </w:p>
    <w:p>
      <w:pPr>
        <w:pStyle w:val="968"/>
        <w:ind w:firstLine="439"/>
        <w:spacing w:before="0" w:after="0" w:line="520" w:lineRule="exact"/>
        <w:rPr>
          <w:rFonts w:cs="Arial"/>
          <w:color w:val="auto"/>
          <w:highlight w:val="none"/>
        </w:rPr>
      </w:pPr>
      <w:r>
        <w:rPr>
          <w:rFonts w:hint="eastAsia" w:cs="Arial"/>
          <w:color w:val="auto"/>
          <w:highlight w:val="none"/>
        </w:rPr>
        <w:t xml:space="preserve">投标报价得分=（评标基准价/投标报价）×价格权值×100</w:t>
      </w:r>
      <w:r/>
    </w:p>
    <w:p>
      <w:pPr>
        <w:pStyle w:val="968"/>
        <w:ind w:firstLine="437"/>
        <w:spacing w:line="440" w:lineRule="exact"/>
        <w:rPr>
          <w:rFonts w:cs="Arial"/>
          <w:b/>
          <w:bCs/>
          <w:color w:val="auto"/>
          <w:highlight w:val="none"/>
        </w:rPr>
      </w:pPr>
      <w:r>
        <w:rPr>
          <w:rFonts w:hint="eastAsia" w:cs="Arial"/>
          <w:b/>
          <w:bCs/>
          <w:color w:val="auto"/>
          <w:highlight w:val="none"/>
        </w:rPr>
        <w:t xml:space="preserve">出现下列情形之一的，评标委员会应当启动异常低价响应审查程序：</w:t>
      </w:r>
      <w:r/>
    </w:p>
    <w:p>
      <w:pPr>
        <w:pStyle w:val="968"/>
        <w:ind w:firstLine="437"/>
        <w:spacing w:line="440" w:lineRule="exact"/>
        <w:rPr>
          <w:rFonts w:cs="Arial"/>
          <w:b/>
          <w:bCs/>
          <w:color w:val="auto"/>
          <w:highlight w:val="none"/>
        </w:rPr>
      </w:pPr>
      <w:r>
        <w:rPr>
          <w:rFonts w:hint="eastAsia" w:cs="Arial"/>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968"/>
        <w:ind w:firstLine="437"/>
        <w:spacing w:line="440" w:lineRule="exact"/>
        <w:rPr>
          <w:rFonts w:cs="Arial"/>
          <w:b/>
          <w:bCs/>
          <w:color w:val="auto"/>
          <w:highlight w:val="none"/>
        </w:rPr>
      </w:pPr>
      <w:r>
        <w:rPr>
          <w:rFonts w:hint="eastAsia" w:cs="Arial"/>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968"/>
        <w:ind w:firstLine="437"/>
        <w:spacing w:line="440" w:lineRule="exact"/>
        <w:rPr>
          <w:rFonts w:cs="Arial"/>
          <w:b/>
          <w:bCs/>
          <w:color w:val="auto"/>
          <w:highlight w:val="none"/>
        </w:rPr>
      </w:pPr>
      <w:r>
        <w:rPr>
          <w:rFonts w:hint="eastAsia" w:cs="Arial"/>
          <w:b/>
          <w:bCs/>
          <w:color w:val="auto"/>
          <w:highlight w:val="none"/>
        </w:rPr>
        <w:t xml:space="preserve">3.投标（响应）报价低于采购项目最高限价45%的，即投标（响应）报价&lt;采购项目最高限价×45%；</w:t>
      </w:r>
      <w:r/>
    </w:p>
    <w:p>
      <w:pPr>
        <w:pStyle w:val="968"/>
        <w:ind w:firstLine="437"/>
        <w:spacing w:line="440" w:lineRule="exact"/>
        <w:rPr>
          <w:rFonts w:cs="Arial"/>
          <w:b/>
          <w:bCs/>
          <w:color w:val="auto"/>
          <w:highlight w:val="none"/>
        </w:rPr>
      </w:pPr>
      <w:r>
        <w:rPr>
          <w:rFonts w:hint="eastAsia" w:cs="Arial"/>
          <w:b/>
          <w:bCs/>
          <w:color w:val="auto"/>
          <w:highlight w:val="none"/>
        </w:rPr>
        <w:t xml:space="preserve">4.评标委员会基于专业判断，认为供应商报价过低，有可能影响产品质量或者不能诚信履约的其他情形。</w:t>
      </w:r>
      <w:r/>
    </w:p>
    <w:p>
      <w:pPr>
        <w:pStyle w:val="968"/>
        <w:ind w:firstLine="437"/>
        <w:spacing w:line="440" w:lineRule="exact"/>
        <w:rPr>
          <w:rFonts w:cs="Arial"/>
          <w:b/>
          <w:bCs/>
          <w:color w:val="auto"/>
          <w:highlight w:val="none"/>
        </w:rPr>
      </w:pPr>
      <w:r>
        <w:rPr>
          <w:rFonts w:hint="eastAsia" w:cs="Arial"/>
          <w:b/>
          <w:bCs/>
          <w:color w:val="auto"/>
          <w:highlight w:val="none"/>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68"/>
        <w:ind w:firstLine="437"/>
        <w:spacing w:before="0" w:after="0" w:line="440" w:lineRule="exact"/>
        <w:rPr>
          <w:rFonts w:hint="eastAsia" w:cs="Arial"/>
          <w:b/>
          <w:bCs/>
          <w:color w:val="auto"/>
          <w:highlight w:val="none"/>
        </w:rPr>
      </w:pPr>
      <w:r>
        <w:rPr>
          <w:rFonts w:hint="eastAsia" w:cs="Arial"/>
          <w:b/>
          <w:bCs/>
          <w:color w:val="auto"/>
          <w:highlight w:val="none"/>
        </w:rPr>
        <w:t xml:space="preserve">投标供应商不提供书面说明、证明材料，或者提供的书面说明、证明材料不能证明其报价合理性的，评标委员会应当将其作为无效投标处理。审查相关情况应当在评审报告中进行记录。</w:t>
      </w:r>
      <w:r/>
    </w:p>
    <w:p>
      <w:pPr>
        <w:pStyle w:val="968"/>
        <w:ind w:firstLine="437"/>
        <w:spacing w:before="0" w:after="0" w:line="440" w:lineRule="exact"/>
        <w:rPr>
          <w:rFonts w:cs="Arial"/>
          <w:b/>
          <w:bCs/>
          <w:color w:val="auto"/>
          <w:highlight w:val="none"/>
        </w:rPr>
      </w:pPr>
      <w:r>
        <w:rPr>
          <w:rFonts w:hint="eastAsia" w:cs="Arial"/>
          <w:b/>
          <w:bCs/>
          <w:color w:val="auto"/>
          <w:highlight w:val="none"/>
        </w:rPr>
        <w:t xml:space="preserve">本项目没有二次报价，请投标人如有说明材料请根据上述要求在标书中提供，未提供或未有明确的证明材料，本项目做无效标处理。</w:t>
      </w:r>
      <w:r/>
    </w:p>
    <w:p>
      <w:pPr>
        <w:ind w:firstLine="480"/>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（五）政府采购政策功能落实</w:t>
      </w:r>
      <w:r/>
    </w:p>
    <w:p>
      <w:pPr>
        <w:ind w:firstLine="480"/>
        <w:spacing w:line="560" w:lineRule="exact"/>
        <w:rPr>
          <w:rFonts w:ascii="宋体" w:hAnsi="宋体" w:cs="宋体"/>
          <w:b/>
          <w:color w:val="auto"/>
          <w:sz w:val="24"/>
          <w:szCs w:val="24"/>
          <w:highlight w:val="none"/>
          <w:u w:val="single"/>
        </w:rPr>
      </w:pPr>
      <w:r>
        <w:rPr>
          <w:rFonts w:hint="eastAsia" w:ascii="宋体" w:hAnsi="宋体"/>
          <w:b/>
          <w:color w:val="auto"/>
          <w:sz w:val="24"/>
          <w:szCs w:val="24"/>
          <w:highlight w:val="none"/>
          <w:u w:val="single"/>
        </w:rPr>
        <w:t xml:space="preserve">本项目为专门面向中小微企业采购项目。</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的扣除价格，用扣除后的价格参与评审。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（2）供应商需按照采购文件的要求提供相应的《中小企业声明函》。</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 xml:space="preserve">6%</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价格扣除，用扣除后的价格参与评审。</w:t>
      </w:r>
      <w:r/>
    </w:p>
    <w:p>
      <w:pPr>
        <w:ind w:firstLine="480"/>
        <w:jc w:val="left"/>
        <w:spacing w:line="5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7、专门面向中小企业采购的项目或者采购包，不再执行价格评审优惠的扶持政策。</w:t>
      </w:r>
      <w:r/>
    </w:p>
    <w:p>
      <w:pPr>
        <w:ind w:firstLine="480"/>
        <w:spacing w:line="560" w:lineRule="exact"/>
        <w:rPr>
          <w:rFonts w:ascii="宋体" w:hAnsi="宋体"/>
          <w:b/>
          <w:color w:val="auto"/>
          <w:sz w:val="24"/>
          <w:szCs w:val="24"/>
          <w:highlight w:val="none"/>
        </w:rPr>
      </w:pPr>
      <w:r>
        <w:rPr>
          <w:rFonts w:hint="eastAsia" w:ascii="Arial" w:hAnsi="Arial" w:cs="Arial"/>
          <w:b/>
          <w:color w:val="auto"/>
          <w:sz w:val="24"/>
          <w:szCs w:val="24"/>
          <w:highlight w:val="none"/>
        </w:rPr>
        <w:t xml:space="preserve">（六）</w:t>
      </w:r>
      <w:r>
        <w:rPr>
          <w:rFonts w:hint="eastAsia" w:ascii="宋体" w:hAnsi="宋体"/>
          <w:b/>
          <w:color w:val="auto"/>
          <w:sz w:val="24"/>
          <w:szCs w:val="24"/>
          <w:highlight w:val="none"/>
        </w:rPr>
        <w:t xml:space="preserve">采购本国产品的支持政策</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价格评审扣除优惠，均在供应商原始报价基础上计算，用扣除后的价格参与评审。</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jc w:val="left"/>
        <w:spacing w:line="560" w:lineRule="exact"/>
        <w:shd w:val="clear" w:color="auto" w:fill="ffffff"/>
        <w:widowControl/>
        <w:rPr>
          <w:rFonts w:ascii="宋体" w:hAnsi="宋体" w:cs="宋体"/>
          <w:b/>
          <w:color w:val="auto"/>
          <w:sz w:val="24"/>
          <w:szCs w:val="24"/>
          <w:highlight w:val="none"/>
        </w:rPr>
      </w:pPr>
      <w:r>
        <w:rPr>
          <w:rFonts w:hint="eastAsia" w:ascii="宋体" w:hAnsi="宋体" w:cs="宋体"/>
          <w:b/>
          <w:color w:val="auto"/>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jc w:val="left"/>
        <w:spacing w:line="560" w:lineRule="exact"/>
        <w:shd w:val="clear" w:color="auto" w:fill="ffffff"/>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5.对于仅有本国产品参与竞争的政府采购项目，本国产品不享受价格扣除评审优惠。</w:t>
      </w:r>
      <w:r/>
    </w:p>
    <w:p>
      <w:pPr>
        <w:ind w:firstLine="508"/>
        <w:jc w:val="center"/>
        <w:spacing w:line="560" w:lineRule="exact"/>
        <w:shd w:val="clear" w:color="auto" w:fill="ffffff"/>
        <w:widowControl/>
        <w:rPr>
          <w:rFonts w:ascii="黑体" w:eastAsia="黑体"/>
          <w:bCs/>
          <w:color w:val="auto"/>
          <w:sz w:val="44"/>
          <w:szCs w:val="28"/>
          <w:highlight w:val="none"/>
        </w:rPr>
      </w:pPr>
      <w:r>
        <w:rPr>
          <w:rFonts w:hint="eastAsia" w:ascii="宋体" w:hAnsi="宋体" w:cs="宋体"/>
          <w:b/>
          <w:color w:val="auto"/>
          <w:spacing w:val="7"/>
          <w:sz w:val="24"/>
          <w:szCs w:val="24"/>
          <w:highlight w:val="none"/>
        </w:rPr>
        <w:br w:type="page" w:clear="all"/>
      </w:r>
      <w:r>
        <w:rPr>
          <w:rFonts w:hint="eastAsia" w:ascii="黑体" w:eastAsia="黑体"/>
          <w:bCs/>
          <w:color w:val="auto"/>
          <w:sz w:val="44"/>
          <w:szCs w:val="28"/>
          <w:highlight w:val="none"/>
        </w:rPr>
        <w:t xml:space="preserve">第五章  投标</w:t>
      </w:r>
      <w:bookmarkEnd w:id="174"/>
      <w:r/>
      <w:bookmarkEnd w:id="175"/>
      <w:r/>
      <w:bookmarkEnd w:id="176"/>
      <w:r>
        <w:rPr>
          <w:rFonts w:hint="eastAsia" w:ascii="黑体" w:eastAsia="黑体"/>
          <w:bCs/>
          <w:color w:val="auto"/>
          <w:sz w:val="44"/>
          <w:szCs w:val="28"/>
          <w:highlight w:val="none"/>
        </w:rPr>
        <w:t xml:space="preserve">文件格式</w:t>
      </w:r>
      <w:r/>
    </w:p>
    <w:p>
      <w:pPr>
        <w:jc w:val="center"/>
        <w:rPr>
          <w:rFonts w:ascii="宋体" w:hAnsi="宋体"/>
          <w:b/>
          <w:color w:val="auto"/>
          <w:sz w:val="72"/>
          <w:szCs w:val="21"/>
          <w:highlight w:val="none"/>
        </w:rPr>
      </w:pPr>
      <w:r/>
      <w:bookmarkStart w:id="179" w:name="_Hlt26955039"/>
      <w:r/>
      <w:bookmarkEnd w:id="179"/>
      <w:r/>
      <w:bookmarkStart w:id="180" w:name="_Hlt26671244"/>
      <w:r/>
      <w:bookmarkEnd w:id="180"/>
      <w:r/>
      <w:bookmarkStart w:id="181" w:name="_Toc49090576"/>
      <w:r/>
      <w:bookmarkStart w:id="182" w:name="_Toc26554094"/>
      <w:r/>
      <w:bookmarkStart w:id="183" w:name="_Toc120614282"/>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0"/>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0"/>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960"/>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960"/>
        <w:spacing w:line="560" w:lineRule="exact"/>
        <w:tabs>
          <w:tab w:val="left" w:pos="5330" w:leader="none"/>
        </w:tabs>
        <w:rPr>
          <w:rFonts w:ascii="宋体" w:hAnsi="宋体" w:cs="宋体"/>
          <w:b/>
          <w:bCs/>
          <w:color w:val="auto"/>
          <w:sz w:val="32"/>
          <w:szCs w:val="32"/>
          <w:highlight w:val="none"/>
        </w:rPr>
      </w:pPr>
      <w:r>
        <w:rPr>
          <w:rFonts w:hint="eastAsia" w:ascii="宋体" w:hAnsi="宋体" w:cs="宋体"/>
          <w:b/>
          <w:bCs/>
          <w:color w:val="auto"/>
          <w:sz w:val="32"/>
          <w:szCs w:val="32"/>
          <w:highlight w:val="none"/>
        </w:rPr>
        <w:tab/>
      </w:r>
      <w:r/>
    </w:p>
    <w:p>
      <w:pPr>
        <w:ind w:firstLine="960"/>
        <w:spacing w:line="560" w:lineRule="exact"/>
        <w:tabs>
          <w:tab w:val="left" w:pos="533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960"/>
        <w:spacing w:line="560" w:lineRule="exact"/>
        <w:tabs>
          <w:tab w:val="left" w:pos="533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6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投标文件目录</w:t>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一、资格审查证明材料</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二、商务、技术标</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三、价格标</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四、其他资料（如有）</w:t>
      </w:r>
      <w:r/>
    </w:p>
    <w:p>
      <w:pPr>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1.投标人符合《政府采购法》第二十二条规定条件的承诺函（格式见附件1并提供营业执照）；</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2.法定代表人身份证明书（格式见附件2）；</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3.法人授权书（格式见附件3）；</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4.投标函（格式见附件4）</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4.招标公告中“二、申请人的资格要求”提供相应的佐证材料；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5.其它需要提交的资格审查证明材料。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1.商务部分正负偏离表；（格式见附件5）</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2.技术部分正负偏离表；（格式见附件6）</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3.投标方案、货物（服务）清单。具有项目、数量、品牌、型号、配置性能等；</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5.投标人认为需要提交的其他商务、技术材料。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1.开标一览表（格式见附件7）</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2.分项报价明细表（格式见附件8）</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3.中小企业声明函（如有）（格式见附件9）</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4.残疾人福利性单位声明函（如有）（格式见附件10）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5.监狱和戒毒企业证明材料（如有）（格式见附件11）</w:t>
      </w:r>
      <w:r/>
    </w:p>
    <w:p>
      <w:pPr>
        <w:ind w:firstLine="480"/>
        <w:spacing w:line="560" w:lineRule="exact"/>
        <w:rPr>
          <w:rFonts w:ascii="黑体" w:hAnsi="黑体" w:eastAsia="黑体"/>
          <w:color w:val="auto"/>
          <w:sz w:val="32"/>
          <w:szCs w:val="32"/>
          <w:highlight w:val="none"/>
          <w:u w:val="single"/>
        </w:rPr>
      </w:pPr>
      <w:r>
        <w:rPr>
          <w:rFonts w:hint="eastAsia" w:ascii="宋体" w:hAnsi="宋体"/>
          <w:color w:val="auto"/>
          <w:sz w:val="24"/>
          <w:szCs w:val="24"/>
          <w:highlight w:val="none"/>
        </w:rPr>
        <w:t xml:space="preserve">6.关于符合本国产品标准的声明函（格式见附件12）</w:t>
      </w:r>
      <w:r/>
    </w:p>
    <w:p>
      <w:pPr>
        <w:rPr>
          <w:rFonts w:ascii="宋体" w:hAnsi="宋体"/>
          <w:b/>
          <w:color w:val="auto"/>
          <w:sz w:val="24"/>
          <w:szCs w:val="21"/>
          <w:highlight w:val="none"/>
        </w:rPr>
      </w:pPr>
      <w:r>
        <w:rPr>
          <w:rFonts w:ascii="宋体" w:hAnsi="宋体"/>
          <w:b/>
          <w:color w:val="auto"/>
          <w:sz w:val="24"/>
          <w:szCs w:val="21"/>
          <w:highlight w:val="none"/>
        </w:rPr>
        <w:br w:type="page" w:clear="all"/>
      </w:r>
      <w:bookmarkEnd w:id="172"/>
      <w:r/>
      <w:bookmarkEnd w:id="173"/>
      <w:r/>
      <w:bookmarkEnd w:id="181"/>
      <w:r/>
      <w:bookmarkEnd w:id="182"/>
      <w:r/>
      <w:bookmarkEnd w:id="183"/>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附件1</w:t>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投标人符合《政府采购法》第二十二条规定条件的声明函</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0"/>
        <w:spacing w:line="520" w:lineRule="exact"/>
        <w:rPr>
          <w:rFonts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6.我单位满足法律、行政法规规定的其他条件。</w:t>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年月日</w:t>
      </w:r>
      <w:r/>
    </w:p>
    <w:p>
      <w:pPr>
        <w:rPr>
          <w:color w:val="auto"/>
          <w:szCs w:val="21"/>
          <w:highlight w:val="none"/>
        </w:rPr>
      </w:pPr>
      <w:r>
        <w:rPr>
          <w:color w:val="auto"/>
          <w:szCs w:val="21"/>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rPr>
        <w:br w:type="page" w:clear="all"/>
      </w:r>
      <w:r>
        <w:rPr>
          <w:rFonts w:eastAsia="方正黑体_GBK"/>
          <w:color w:val="auto"/>
          <w:sz w:val="32"/>
          <w:szCs w:val="32"/>
          <w:highlight w:val="none"/>
          <w:lang w:val="zh-CN"/>
        </w:rPr>
        <w:t xml:space="preserve">附件2</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先生/女士：现任我单位职务，为法定代表人，特此证明。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r/>
    </w:p>
    <w:p>
      <w:pPr>
        <w:ind w:firstLine="480"/>
        <w:spacing w:line="480" w:lineRule="exact"/>
        <w:rPr>
          <w:rFonts w:eastAsia="仿宋_GB2312"/>
          <w:color w:val="auto"/>
          <w:sz w:val="24"/>
          <w:szCs w:val="24"/>
          <w:highlight w:val="none"/>
        </w:rPr>
      </w:pPr>
      <w:r>
        <w:rPr>
          <w:rFonts w:eastAsia="仿宋_GB2312"/>
          <w:color w:val="auto"/>
          <w:sz w:val="24"/>
          <w:szCs w:val="24"/>
          <w:highlight w:val="none"/>
        </w:rPr>
      </w:r>
      <w:r/>
    </w:p>
    <w:p>
      <w:pPr>
        <w:rPr>
          <w:color w:val="auto"/>
          <w:szCs w:val="24"/>
          <w:highlight w:val="none"/>
        </w:rPr>
      </w:pPr>
      <w:r>
        <w:rPr>
          <w:color w:val="auto"/>
          <w:szCs w:val="24"/>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p>
    <w:p>
      <w:pPr>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p>
    <w:p>
      <w:pPr>
        <w:ind w:firstLine="1200"/>
        <w:spacing w:line="360" w:lineRule="auto"/>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单位地址：</w:t>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      日期：</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投标函</w:t>
      </w:r>
      <w:r/>
    </w:p>
    <w:p>
      <w:pPr>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致：海安市实验中学</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left="420" w:firstLine="480"/>
        <w:jc w:val="left"/>
        <w:spacing w:line="440" w:lineRule="exact"/>
        <w:rPr>
          <w:rFonts w:ascii="宋体" w:hAnsi="宋体"/>
          <w:color w:val="auto"/>
          <w:sz w:val="24"/>
          <w:szCs w:val="21"/>
          <w:highlight w:val="none"/>
        </w:rPr>
      </w:pPr>
      <w:r>
        <w:rPr>
          <w:rFonts w:ascii="宋体" w:hAnsi="宋体"/>
          <w:color w:val="auto"/>
          <w:sz w:val="24"/>
          <w:szCs w:val="21"/>
          <w:highlight w:val="none"/>
        </w:rPr>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投标供应商全称(盖公章)：</w:t>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contextualSpacing/>
        <w:spacing w:line="300" w:lineRule="auto"/>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附件5</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招标文件要求的商务条款</w:t>
            </w:r>
            <w:r/>
          </w:p>
        </w:tc>
        <w:tc>
          <w:tcPr>
            <w:tcW w:w="1413"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投标文件响应情况</w:t>
            </w:r>
            <w:r/>
          </w:p>
        </w:tc>
        <w:tc>
          <w:tcPr>
            <w:tcW w:w="778" w:type="dxa"/>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548"/>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00"/>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19"/>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bl>
    <w:p>
      <w:pPr>
        <w:contextualSpacing/>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1.投标人提交的投标文件中与招标文件第三部分“项目需求”中的商务部分的要求，应逐条填列在偏离表中。</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招标文件要求的技术要求</w:t>
            </w:r>
            <w:r/>
          </w:p>
        </w:tc>
        <w:tc>
          <w:tcPr>
            <w:tcW w:w="1413"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投标文件响应情况</w:t>
            </w:r>
            <w:r/>
          </w:p>
        </w:tc>
        <w:tc>
          <w:tcPr>
            <w:tcW w:w="778" w:type="dxa"/>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548"/>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00"/>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19"/>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bl>
    <w:p>
      <w:pPr>
        <w:contextualSpacing/>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1.投标人提交的投标文件中与招标文件第三部分“项目需求”中的技术部分的要求，应逐条填列在偏离表中。</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jc w:val="center"/>
        <w:spacing w:before="100" w:beforeAutospacing="1" w:after="100" w:afterAutospacing="1" w:line="520" w:lineRule="exact"/>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开  标 一 览  表</w:t>
      </w:r>
      <w:r/>
    </w:p>
    <w:p>
      <w:pPr>
        <w:spacing w:line="560" w:lineRule="exact"/>
        <w:rPr>
          <w:rFonts w:ascii="宋体" w:hAnsi="宋体" w:cs="宋体"/>
          <w:color w:val="auto"/>
          <w:sz w:val="28"/>
          <w:szCs w:val="28"/>
          <w:highlight w:val="none"/>
          <w:u w:val="single"/>
        </w:rPr>
      </w:pPr>
      <w:r>
        <w:rPr>
          <w:rFonts w:ascii="宋体" w:hAnsi="宋体" w:cs="宋体"/>
          <w:color w:val="auto"/>
          <w:sz w:val="28"/>
          <w:szCs w:val="28"/>
          <w:highlight w:val="none"/>
        </w:rPr>
        <w:t xml:space="preserve">投标人全称（加盖公章）：</w:t>
      </w:r>
      <w:r/>
    </w:p>
    <w:p>
      <w:pPr>
        <w:spacing w:line="560" w:lineRule="exact"/>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99"/>
        <w:tblW w:w="91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999"/>
      </w:tblGrid>
      <w:tr>
        <w:trPr/>
        <w:tc>
          <w:tcPr>
            <w:tcW w:w="4148" w:type="dxa"/>
            <w:textDirection w:val="lrTb"/>
            <w:noWrap/>
          </w:tcPr>
          <w:p>
            <w:pPr>
              <w:jc w:val="center"/>
              <w:spacing w:line="560" w:lineRule="exact"/>
              <w:rPr>
                <w:rFonts w:ascii="等线" w:hAnsi="等线" w:eastAsia="等线"/>
                <w:color w:val="auto"/>
                <w:highlight w:val="none"/>
              </w:rPr>
            </w:pPr>
            <w:r>
              <w:rPr>
                <w:rFonts w:ascii="宋体" w:hAnsi="宋体" w:cs="宋体"/>
                <w:color w:val="auto"/>
                <w:sz w:val="28"/>
                <w:szCs w:val="28"/>
                <w:highlight w:val="none"/>
              </w:rPr>
              <w:t xml:space="preserve">投标货物、服务名称</w:t>
            </w:r>
            <w:r/>
          </w:p>
        </w:tc>
        <w:tc>
          <w:tcPr>
            <w:tcW w:w="4999" w:type="dxa"/>
            <w:textDirection w:val="lrTb"/>
            <w:noWrap/>
          </w:tcPr>
          <w:p>
            <w:pPr>
              <w:jc w:val="center"/>
              <w:spacing w:line="560" w:lineRule="exact"/>
              <w:rPr>
                <w:rFonts w:ascii="等线" w:hAnsi="等线" w:eastAsia="等线"/>
                <w:color w:val="auto"/>
                <w:highlight w:val="none"/>
              </w:rPr>
            </w:pPr>
            <w:r>
              <w:rPr>
                <w:rFonts w:ascii="宋体" w:hAnsi="宋体" w:cs="宋体"/>
                <w:color w:val="auto"/>
                <w:sz w:val="28"/>
                <w:szCs w:val="28"/>
                <w:highlight w:val="none"/>
              </w:rPr>
              <w:t xml:space="preserve">投标总报价</w:t>
            </w:r>
            <w:r/>
          </w:p>
        </w:tc>
      </w:tr>
      <w:tr>
        <w:trPr>
          <w:trHeight w:val="1091"/>
        </w:trPr>
        <w:tc>
          <w:tcPr>
            <w:tcW w:w="4148"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c>
          <w:tcPr>
            <w:tcW w:w="4999" w:type="dxa"/>
            <w:textDirection w:val="lrTb"/>
            <w:noWrap/>
          </w:tcPr>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小写：元（人民币）</w:t>
            </w:r>
            <w:r/>
          </w:p>
        </w:tc>
      </w:tr>
      <w:tr>
        <w:trPr/>
        <w:tc>
          <w:tcPr>
            <w:tcW w:w="4148" w:type="dxa"/>
            <w:textDirection w:val="lrTb"/>
            <w:noWrap/>
          </w:tcPr>
          <w:p>
            <w:pPr>
              <w:spacing w:line="560" w:lineRule="exact"/>
              <w:rPr>
                <w:rFonts w:ascii="等线" w:hAnsi="等线" w:eastAsia="等线"/>
                <w:color w:val="auto"/>
                <w:highlight w:val="none"/>
              </w:rPr>
            </w:pPr>
            <w:r>
              <w:rPr>
                <w:rFonts w:ascii="宋体" w:hAnsi="宋体" w:cs="宋体"/>
                <w:color w:val="auto"/>
                <w:sz w:val="28"/>
                <w:szCs w:val="28"/>
                <w:highlight w:val="none"/>
              </w:rPr>
              <w:t xml:space="preserve">主要货物、服务制造商及产地</w:t>
            </w:r>
            <w:r/>
          </w:p>
        </w:tc>
        <w:tc>
          <w:tcPr>
            <w:tcW w:w="4999"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r>
      <w:tr>
        <w:trPr>
          <w:trHeight w:val="481"/>
        </w:trPr>
        <w:tc>
          <w:tcPr>
            <w:tcW w:w="4148" w:type="dxa"/>
            <w:textDirection w:val="lrTb"/>
            <w:noWrap/>
          </w:tcPr>
          <w:p>
            <w:pP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核心产品品牌（如有）</w:t>
            </w:r>
            <w:r/>
          </w:p>
        </w:tc>
        <w:tc>
          <w:tcPr>
            <w:tcW w:w="4999"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、开标一览表必须加盖投标单位公章（复印件无效）。</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、如有分包，投标人投任何一个包的标的，都需单独填写开标一览表。</w:t>
      </w:r>
      <w:r/>
    </w:p>
    <w:p>
      <w:pPr>
        <w:spacing w:line="520" w:lineRule="exact"/>
        <w:rPr>
          <w:rFonts w:eastAsia="方正黑体_GBK"/>
          <w:color w:val="auto"/>
          <w:sz w:val="32"/>
          <w:szCs w:val="32"/>
          <w:highlight w:val="none"/>
        </w:rPr>
      </w:pPr>
      <w:r>
        <w:rPr>
          <w:rFonts w:eastAsia="方正黑体_GBK"/>
          <w:color w:val="auto"/>
          <w:sz w:val="32"/>
          <w:szCs w:val="32"/>
          <w:highlight w:val="none"/>
        </w:rPr>
        <w:br w:type="page" w:clear="all"/>
      </w:r>
      <w:r>
        <w:rPr>
          <w:rFonts w:eastAsia="方正黑体_GBK"/>
          <w:color w:val="auto"/>
          <w:sz w:val="32"/>
          <w:szCs w:val="32"/>
          <w:highlight w:val="none"/>
        </w:rPr>
        <w:t xml:space="preserve">附件8</w:t>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分项报价明细表（货物类）</w:t>
      </w:r>
      <w:r/>
    </w:p>
    <w:p>
      <w:pPr>
        <w:spacing w:line="40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投标人（盖章）：</w:t>
      </w:r>
      <w:r/>
    </w:p>
    <w:tbl>
      <w:tblPr>
        <w:tblStyle w:val="699"/>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金额</w:t>
            </w:r>
            <w:r/>
          </w:p>
        </w:tc>
        <w:tc>
          <w:tcPr>
            <w:tcW w:w="1490" w:type="dxa"/>
            <w:vAlign w:val="center"/>
            <w:textDirection w:val="lrTb"/>
            <w:noWrap w:val="false"/>
          </w:tcPr>
          <w:p>
            <w:pPr>
              <w:ind w:firstLine="105"/>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02"/>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96"/>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41"/>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886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41"/>
        </w:trPr>
        <w:tc>
          <w:tcPr>
            <w:gridSpan w:val="9"/>
            <w:tcW w:w="9898" w:type="dxa"/>
            <w:vAlign w:val="center"/>
            <w:textDirection w:val="lrTb"/>
            <w:noWrap w:val="false"/>
          </w:tcPr>
          <w:p>
            <w:pPr>
              <w:spacing w:line="240" w:lineRule="atLeast"/>
              <w:rPr>
                <w:rFonts w:ascii="仿宋_GB2312" w:hAnsi="宋体" w:eastAsia="仿宋_GB2312"/>
                <w:b/>
                <w:color w:val="auto"/>
                <w:sz w:val="28"/>
                <w:szCs w:val="28"/>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本采购包中提供的符合本国产品标准的产品成本之和占该采购包提供的全部产品成本之和的比例为（供应商须填写具体比例）</w:t>
            </w:r>
            <w:r>
              <w:rPr>
                <w:rFonts w:hint="eastAsia" w:ascii="仿宋_GB2312" w:hAnsi="宋体" w:eastAsia="仿宋_GB2312"/>
                <w:color w:val="auto"/>
                <w:sz w:val="24"/>
                <w:szCs w:val="24"/>
                <w:highlight w:val="none"/>
                <w:u w:val="single"/>
              </w:rPr>
              <w:t xml:space="preserve">%</w:t>
            </w:r>
            <w:r>
              <w:rPr>
                <w:rFonts w:hint="eastAsia" w:ascii="仿宋_GB2312" w:hAnsi="宋体" w:eastAsia="仿宋_GB2312"/>
                <w:color w:val="auto"/>
                <w:sz w:val="24"/>
                <w:szCs w:val="24"/>
                <w:highlight w:val="none"/>
              </w:rPr>
              <w:t xml:space="preserve">。</w:t>
            </w:r>
            <w:r/>
          </w:p>
        </w:tc>
      </w:tr>
    </w:tbl>
    <w:p>
      <w:pPr>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备注：</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1.投标人必须详细、准确填写本报价表中各个子项的名称、品牌、规格型号、数量、单价、备注中的内容（是否为主要标的）等内容。</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2.本表各分项报价合计应当与“开标一览表”中“投标总报价”（或“投标优惠率”）数额一致。</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3.</w:t>
      </w:r>
      <w:r>
        <w:rPr>
          <w:rFonts w:hint="eastAsia" w:ascii="宋体" w:hAnsi="宋体" w:cs="宋体"/>
          <w:b/>
          <w:color w:val="auto"/>
          <w:sz w:val="24"/>
          <w:szCs w:val="24"/>
          <w:highlight w:val="none"/>
        </w:rPr>
        <w:t xml:space="preserve">供应商须详细备注主要标的信息，并</w:t>
      </w:r>
      <w:r>
        <w:rPr>
          <w:rFonts w:hint="eastAsia" w:ascii="宋体" w:hAnsi="宋体" w:cs="宋体"/>
          <w:b/>
          <w:color w:val="auto"/>
          <w:sz w:val="24"/>
          <w:szCs w:val="24"/>
          <w:highlight w:val="none"/>
          <w:lang w:val="zh-CN"/>
        </w:rPr>
        <w:t xml:space="preserve">将随中标公告进行公示。</w:t>
      </w:r>
      <w:r/>
    </w:p>
    <w:p>
      <w:pPr>
        <w:ind w:firstLine="482"/>
        <w:spacing w:line="520" w:lineRule="exact"/>
        <w:rPr>
          <w:rFonts w:ascii="宋体" w:hAnsi="宋体" w:cs="宋体"/>
          <w:b/>
          <w:bCs/>
          <w:color w:val="auto"/>
          <w:sz w:val="24"/>
          <w:szCs w:val="24"/>
          <w:highlight w:val="none"/>
          <w:lang w:val="zh-CN"/>
        </w:rPr>
        <w:outlineLvl w:val="0"/>
      </w:pPr>
      <w:r>
        <w:rPr>
          <w:rFonts w:hint="eastAsia" w:ascii="宋体" w:hAnsi="宋体" w:cs="宋体"/>
          <w:b/>
          <w:color w:val="auto"/>
          <w:sz w:val="24"/>
          <w:szCs w:val="24"/>
          <w:highlight w:val="none"/>
          <w:lang w:val="zh-CN"/>
        </w:rPr>
        <w:t xml:space="preserve">4.</w:t>
      </w:r>
      <w:r>
        <w:rPr>
          <w:rFonts w:hint="eastAsia" w:ascii="宋体" w:hAnsi="宋体" w:cs="宋体"/>
          <w:b/>
          <w:bCs/>
          <w:color w:val="auto"/>
          <w:spacing w:val="7"/>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附件9</w:t>
      </w:r>
      <w:r/>
    </w:p>
    <w:p>
      <w:pPr>
        <w:jc w:val="center"/>
        <w:spacing w:line="300" w:lineRule="auto"/>
        <w:rPr>
          <w:b/>
          <w:bCs/>
          <w:color w:val="auto"/>
          <w:sz w:val="28"/>
          <w:szCs w:val="28"/>
          <w:highlight w:val="none"/>
          <w:lang w:bidi="zh-CN"/>
        </w:rPr>
        <w:outlineLvl w:val="0"/>
      </w:pPr>
      <w:r>
        <w:rPr>
          <w:rFonts w:hint="eastAsia"/>
          <w:b/>
          <w:bCs/>
          <w:color w:val="auto"/>
          <w:sz w:val="28"/>
          <w:szCs w:val="28"/>
          <w:highlight w:val="none"/>
          <w:lang w:bidi="zh-CN"/>
        </w:rPr>
        <w:t xml:space="preserve">中小企业声明函（货物）</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本公司（联合体）郑重声明，根据《政府采购促进中小企业发展管理办法》（财库﹝</w:t>
      </w:r>
      <w:r>
        <w:rPr>
          <w:color w:val="auto"/>
          <w:sz w:val="24"/>
          <w:szCs w:val="24"/>
          <w:highlight w:val="none"/>
          <w:lang w:bidi="zh-CN"/>
        </w:rPr>
        <w:t xml:space="preserve">2020</w:t>
      </w:r>
      <w:r>
        <w:rPr>
          <w:rFonts w:hint="eastAsia"/>
          <w:color w:val="auto"/>
          <w:sz w:val="24"/>
          <w:szCs w:val="24"/>
          <w:highlight w:val="none"/>
          <w:lang w:bidi="zh-CN"/>
        </w:rPr>
        <w:t xml:space="preserve">﹞</w:t>
      </w:r>
      <w:r>
        <w:rPr>
          <w:color w:val="auto"/>
          <w:sz w:val="24"/>
          <w:szCs w:val="24"/>
          <w:highlight w:val="none"/>
          <w:lang w:bidi="zh-CN"/>
        </w:rPr>
        <w:t xml:space="preserve">46 </w:t>
      </w:r>
      <w:r>
        <w:rPr>
          <w:rFonts w:hint="eastAsia"/>
          <w:color w:val="auto"/>
          <w:sz w:val="24"/>
          <w:szCs w:val="24"/>
          <w:highlight w:val="none"/>
          <w:lang w:bidi="zh-CN"/>
        </w:rPr>
        <w:t xml:space="preserve">号）的规定，本公司（联合体）参加</w:t>
      </w:r>
      <w:r>
        <w:rPr>
          <w:rFonts w:hint="eastAsia"/>
          <w:color w:val="auto"/>
          <w:sz w:val="24"/>
          <w:szCs w:val="24"/>
          <w:highlight w:val="none"/>
          <w:u w:val="single"/>
          <w:lang w:bidi="zh-CN"/>
        </w:rPr>
        <w:t xml:space="preserve">（单位名称）</w:t>
      </w:r>
      <w:r>
        <w:rPr>
          <w:rFonts w:hint="eastAsia"/>
          <w:color w:val="auto"/>
          <w:sz w:val="24"/>
          <w:szCs w:val="24"/>
          <w:highlight w:val="none"/>
          <w:lang w:bidi="zh-CN"/>
        </w:rPr>
        <w:t xml:space="preserve">的</w:t>
      </w:r>
      <w:r>
        <w:rPr>
          <w:rFonts w:hint="eastAsia"/>
          <w:color w:val="auto"/>
          <w:sz w:val="24"/>
          <w:szCs w:val="24"/>
          <w:highlight w:val="none"/>
          <w:u w:val="single"/>
          <w:lang w:bidi="zh-CN"/>
        </w:rPr>
        <w:t xml:space="preserve">（项目名称）</w:t>
      </w:r>
      <w:r>
        <w:rPr>
          <w:rFonts w:hint="eastAsia"/>
          <w:color w:val="auto"/>
          <w:sz w:val="24"/>
          <w:szCs w:val="24"/>
          <w:highlight w:val="none"/>
          <w:lang w:bidi="zh-CN"/>
        </w:rPr>
        <w:t xml:space="preserve">采购活动，提供的货物全部由符合政策要求的中小企业制造。相关企业（含联合体中的中小企业、签订分包意向协议的中小企业）的具体情况如下：</w:t>
      </w:r>
      <w:r/>
    </w:p>
    <w:p>
      <w:pPr>
        <w:spacing w:line="360" w:lineRule="auto"/>
        <w:rPr>
          <w:color w:val="auto"/>
          <w:sz w:val="24"/>
          <w:szCs w:val="24"/>
          <w:highlight w:val="none"/>
          <w:lang w:bidi="zh-CN"/>
        </w:rPr>
        <w:outlineLvl w:val="0"/>
      </w:pPr>
      <w:r>
        <w:rPr>
          <w:color w:val="auto"/>
          <w:sz w:val="24"/>
          <w:szCs w:val="24"/>
          <w:highlight w:val="none"/>
          <w:lang w:bidi="zh-CN"/>
        </w:rPr>
        <w:t xml:space="preserve">1.</w:t>
      </w:r>
      <w:r>
        <w:rPr>
          <w:rFonts w:hint="eastAsia"/>
          <w:color w:val="auto"/>
          <w:sz w:val="24"/>
          <w:szCs w:val="24"/>
          <w:highlight w:val="none"/>
          <w:u w:val="single"/>
          <w:lang w:bidi="zh-CN"/>
        </w:rPr>
        <w:t xml:space="preserve">（标的名称）</w:t>
      </w:r>
      <w:r>
        <w:rPr>
          <w:rFonts w:hint="eastAsia"/>
          <w:color w:val="auto"/>
          <w:sz w:val="24"/>
          <w:szCs w:val="24"/>
          <w:highlight w:val="none"/>
          <w:lang w:bidi="zh-CN"/>
        </w:rPr>
        <w:t xml:space="preserve">，属于</w:t>
      </w:r>
      <w:r>
        <w:rPr>
          <w:rFonts w:hint="eastAsia"/>
          <w:color w:val="auto"/>
          <w:sz w:val="24"/>
          <w:szCs w:val="24"/>
          <w:highlight w:val="none"/>
          <w:u w:val="single"/>
          <w:lang w:bidi="zh-CN"/>
        </w:rPr>
        <w:t xml:space="preserve">（采购文件中明确的所属行业）</w:t>
      </w:r>
      <w:r>
        <w:rPr>
          <w:rFonts w:hint="eastAsia"/>
          <w:color w:val="auto"/>
          <w:sz w:val="24"/>
          <w:szCs w:val="24"/>
          <w:highlight w:val="none"/>
          <w:lang w:bidi="zh-CN"/>
        </w:rPr>
        <w:t xml:space="preserve">行业；制造商为</w:t>
      </w:r>
      <w:r>
        <w:rPr>
          <w:rFonts w:hint="eastAsia"/>
          <w:color w:val="auto"/>
          <w:sz w:val="24"/>
          <w:szCs w:val="24"/>
          <w:highlight w:val="none"/>
          <w:u w:val="single"/>
          <w:lang w:bidi="zh-CN"/>
        </w:rPr>
        <w:t xml:space="preserve">（企业名称）</w:t>
      </w:r>
      <w:r>
        <w:rPr>
          <w:rFonts w:hint="eastAsia"/>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lang w:bidi="zh-CN"/>
        </w:rPr>
        <w:t xml:space="preserve">万元，属于</w:t>
      </w:r>
      <w:r>
        <w:rPr>
          <w:rFonts w:hint="eastAsia"/>
          <w:color w:val="auto"/>
          <w:sz w:val="24"/>
          <w:szCs w:val="24"/>
          <w:highlight w:val="none"/>
          <w:u w:val="single"/>
          <w:lang w:bidi="zh-CN"/>
        </w:rPr>
        <w:t xml:space="preserve">（中型企业、小型企业、微型企业）</w:t>
      </w:r>
      <w:r>
        <w:rPr>
          <w:rFonts w:hint="eastAsia"/>
          <w:color w:val="auto"/>
          <w:sz w:val="24"/>
          <w:szCs w:val="24"/>
          <w:highlight w:val="none"/>
          <w:lang w:bidi="zh-CN"/>
        </w:rPr>
        <w:t xml:space="preserve">；</w:t>
      </w:r>
      <w:r/>
    </w:p>
    <w:p>
      <w:pPr>
        <w:spacing w:line="360" w:lineRule="auto"/>
        <w:rPr>
          <w:color w:val="auto"/>
          <w:sz w:val="24"/>
          <w:szCs w:val="24"/>
          <w:highlight w:val="none"/>
          <w:lang w:bidi="zh-CN"/>
        </w:rPr>
        <w:outlineLvl w:val="0"/>
      </w:pPr>
      <w:r>
        <w:rPr>
          <w:color w:val="auto"/>
          <w:sz w:val="24"/>
          <w:szCs w:val="24"/>
          <w:highlight w:val="none"/>
          <w:lang w:bidi="zh-CN"/>
        </w:rPr>
        <w:t xml:space="preserve">2.</w:t>
      </w:r>
      <w:r>
        <w:rPr>
          <w:rFonts w:hint="eastAsia"/>
          <w:color w:val="auto"/>
          <w:sz w:val="24"/>
          <w:szCs w:val="24"/>
          <w:highlight w:val="none"/>
          <w:u w:val="single"/>
          <w:lang w:bidi="zh-CN"/>
        </w:rPr>
        <w:t xml:space="preserve">（标的名称）</w:t>
      </w:r>
      <w:r>
        <w:rPr>
          <w:rFonts w:hint="eastAsia"/>
          <w:color w:val="auto"/>
          <w:sz w:val="24"/>
          <w:szCs w:val="24"/>
          <w:highlight w:val="none"/>
          <w:lang w:bidi="zh-CN"/>
        </w:rPr>
        <w:t xml:space="preserve">，属于</w:t>
      </w:r>
      <w:r>
        <w:rPr>
          <w:rFonts w:hint="eastAsia"/>
          <w:color w:val="auto"/>
          <w:sz w:val="24"/>
          <w:szCs w:val="24"/>
          <w:highlight w:val="none"/>
          <w:u w:val="single"/>
          <w:lang w:bidi="zh-CN"/>
        </w:rPr>
        <w:t xml:space="preserve">（采购文件中明确的所属行业）</w:t>
      </w:r>
      <w:r>
        <w:rPr>
          <w:rFonts w:hint="eastAsia"/>
          <w:color w:val="auto"/>
          <w:sz w:val="24"/>
          <w:szCs w:val="24"/>
          <w:highlight w:val="none"/>
          <w:lang w:bidi="zh-CN"/>
        </w:rPr>
        <w:t xml:space="preserve">行业；制造商为</w:t>
      </w:r>
      <w:r>
        <w:rPr>
          <w:rFonts w:hint="eastAsia"/>
          <w:color w:val="auto"/>
          <w:sz w:val="24"/>
          <w:szCs w:val="24"/>
          <w:highlight w:val="none"/>
          <w:u w:val="single"/>
          <w:lang w:bidi="zh-CN"/>
        </w:rPr>
        <w:t xml:space="preserve">（企业名称）</w:t>
      </w:r>
      <w:r>
        <w:rPr>
          <w:rFonts w:hint="eastAsia"/>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lang w:bidi="zh-CN"/>
        </w:rPr>
        <w:t xml:space="preserve">万元，属于</w:t>
      </w:r>
      <w:r>
        <w:rPr>
          <w:rFonts w:hint="eastAsia"/>
          <w:color w:val="auto"/>
          <w:sz w:val="24"/>
          <w:szCs w:val="24"/>
          <w:highlight w:val="none"/>
          <w:u w:val="single"/>
          <w:lang w:bidi="zh-CN"/>
        </w:rPr>
        <w:t xml:space="preserve">（中型企业、小型企业、微型企业）</w:t>
      </w:r>
      <w:r>
        <w:rPr>
          <w:rFonts w:hint="eastAsia"/>
          <w:color w:val="auto"/>
          <w:sz w:val="24"/>
          <w:szCs w:val="24"/>
          <w:highlight w:val="none"/>
          <w:lang w:bidi="zh-CN"/>
        </w:rPr>
        <w:t xml:space="preserve">；</w:t>
      </w:r>
      <w:r/>
    </w:p>
    <w:p>
      <w:pPr>
        <w:spacing w:line="360" w:lineRule="auto"/>
        <w:rPr>
          <w:color w:val="auto"/>
          <w:sz w:val="24"/>
          <w:szCs w:val="24"/>
          <w:highlight w:val="none"/>
          <w:lang w:bidi="zh-CN"/>
        </w:rPr>
        <w:outlineLvl w:val="0"/>
      </w:pPr>
      <w:r>
        <w:rPr>
          <w:color w:val="auto"/>
          <w:sz w:val="24"/>
          <w:szCs w:val="24"/>
          <w:highlight w:val="none"/>
          <w:lang w:bidi="zh-CN"/>
        </w:rPr>
        <w:t xml:space="preserve">……</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本企业对上述声明内容的真实性负责。如有虚假，将依法承担相应责任。</w:t>
      </w:r>
      <w:r/>
    </w:p>
    <w:p>
      <w:pPr>
        <w:ind w:firstLine="560"/>
        <w:spacing w:line="360" w:lineRule="auto"/>
        <w:rPr>
          <w:color w:val="auto"/>
          <w:sz w:val="28"/>
          <w:szCs w:val="28"/>
          <w:highlight w:val="none"/>
          <w:lang w:bidi="zh-CN"/>
        </w:rPr>
        <w:outlineLvl w:val="0"/>
      </w:pPr>
      <w:r>
        <w:rPr>
          <w:color w:val="auto"/>
          <w:sz w:val="28"/>
          <w:szCs w:val="28"/>
          <w:highlight w:val="none"/>
          <w:lang w:bidi="zh-CN"/>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w:t>
      </w:r>
      <w:r>
        <w:rPr>
          <w:rFonts w:ascii="宋体" w:hAnsi="宋体" w:cs="宋体"/>
          <w:color w:val="auto"/>
          <w:szCs w:val="21"/>
          <w:highlight w:val="none"/>
          <w:lang w:bidi="zh-CN"/>
        </w:rPr>
        <w:t xml:space="preserve">1.如项目属性为“货物”，请按本表填写。</w:t>
      </w:r>
      <w:r/>
    </w:p>
    <w:p>
      <w:pPr>
        <w:ind w:firstLine="420"/>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t xml:space="preserve">2.从业人员、营业收入、资产总额填报上一年度数据，无上</w:t>
      </w:r>
      <w:r>
        <w:rPr>
          <w:rFonts w:hint="eastAsia" w:ascii="宋体" w:hAnsi="宋体" w:cs="宋体"/>
          <w:color w:val="auto"/>
          <w:szCs w:val="21"/>
          <w:highlight w:val="none"/>
          <w:lang w:bidi="zh-CN"/>
        </w:rPr>
        <w:t xml:space="preserve">一年度数据的新成立企业可不填报。</w:t>
      </w:r>
      <w:r/>
    </w:p>
    <w:p>
      <w:pPr>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color w:val="auto"/>
          <w:sz w:val="28"/>
          <w:szCs w:val="28"/>
          <w:highlight w:val="none"/>
          <w:lang w:bidi="zh-CN"/>
        </w:rPr>
        <w:outlineLvl w:val="0"/>
      </w:pPr>
      <w:r>
        <w:rPr>
          <w:rFonts w:ascii="宋体" w:hAnsi="宋体" w:cs="宋体"/>
          <w:color w:val="auto"/>
          <w:szCs w:val="21"/>
          <w:highlight w:val="none"/>
          <w:lang w:bidi="zh-CN"/>
        </w:rPr>
        <w:t xml:space="preserve">4.中标供应商的《中小企业声明函》将随中标公告进行公示。供应</w:t>
      </w:r>
      <w:r>
        <w:rPr>
          <w:rFonts w:hint="eastAsia" w:ascii="宋体" w:hAnsi="宋体" w:cs="宋体"/>
          <w:color w:val="auto"/>
          <w:szCs w:val="21"/>
          <w:highlight w:val="none"/>
          <w:lang w:bidi="zh-CN"/>
        </w:rPr>
        <w:t xml:space="preserve">商按照本办法规定提供声明函内容不实的，属于提供虚假材料谋取中标、成交，依照《中华人民共和国政府采购法》等国家有关规定追究相应责任。</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企业名称（盖章）：</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日期：</w:t>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spacing w:line="300" w:lineRule="auto"/>
        <w:rPr>
          <w:rFonts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注：1、供应商如不提供此声明函，价格将不做相应扣除。</w:t>
      </w:r>
      <w:r/>
    </w:p>
    <w:p>
      <w:pPr>
        <w:ind w:firstLine="480"/>
        <w:spacing w:line="588" w:lineRule="exact"/>
        <w:rPr>
          <w:rFonts w:ascii="仿宋_GB2312" w:eastAsia="仿宋_GB2312"/>
          <w:color w:val="auto"/>
          <w:spacing w:val="6"/>
          <w:sz w:val="24"/>
          <w:szCs w:val="24"/>
          <w:highlight w:val="none"/>
        </w:rPr>
      </w:pPr>
      <w:r>
        <w:rPr>
          <w:rFonts w:hint="eastAsia" w:ascii="宋体" w:hAnsi="宋体" w:cs="宋体"/>
          <w:color w:val="auto"/>
          <w:sz w:val="24"/>
          <w:szCs w:val="24"/>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供应商全称（盖章）：</w:t>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日  期：</w:t>
      </w:r>
      <w:r/>
    </w:p>
    <w:p>
      <w:pPr>
        <w:spacing w:line="300" w:lineRule="auto"/>
        <w:rPr>
          <w:rFonts w:eastAsia="方正黑体_GBK"/>
          <w:color w:val="auto"/>
          <w:sz w:val="32"/>
          <w:szCs w:val="32"/>
          <w:highlight w:val="none"/>
        </w:rPr>
        <w:outlineLvl w:val="0"/>
      </w:pPr>
      <w:r>
        <w:rPr>
          <w:color w:val="auto"/>
          <w:sz w:val="28"/>
          <w:szCs w:val="28"/>
          <w:highlight w:val="none"/>
        </w:rPr>
        <w:br w:type="page" w:clear="all"/>
      </w:r>
      <w:r>
        <w:rPr>
          <w:rFonts w:eastAsia="方正黑体_GBK"/>
          <w:color w:val="auto"/>
          <w:sz w:val="32"/>
          <w:szCs w:val="32"/>
          <w:highlight w:val="none"/>
        </w:rPr>
        <w:t xml:space="preserve">附件11</w:t>
      </w:r>
      <w:r/>
    </w:p>
    <w:p>
      <w:pPr>
        <w:jc w:val="center"/>
        <w:spacing w:line="420" w:lineRule="exact"/>
        <w:rPr>
          <w:b/>
          <w:bCs/>
          <w:color w:val="auto"/>
          <w:sz w:val="32"/>
          <w:szCs w:val="32"/>
          <w:highlight w:val="none"/>
        </w:rPr>
        <w:outlineLvl w:val="3"/>
      </w:pPr>
      <w:r>
        <w:rPr>
          <w:rFonts w:hint="eastAsia"/>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26"/>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spacing w:line="42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566"/>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注：1、供应商如不提供此声明函，价格将不做相应扣除。</w:t>
      </w:r>
      <w:r/>
    </w:p>
    <w:p>
      <w:pPr>
        <w:ind w:firstLine="480"/>
        <w:spacing w:line="30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rPr>
          <w:rFonts w:eastAsia="方正黑体_GBK"/>
          <w:bCs/>
          <w:color w:val="auto"/>
          <w:sz w:val="32"/>
          <w:szCs w:val="32"/>
          <w:highlight w:val="none"/>
        </w:rPr>
      </w:pPr>
      <w:r>
        <w:rPr>
          <w:rFonts w:eastAsia="方正黑体_GBK"/>
          <w:bCs/>
          <w:color w:val="auto"/>
          <w:sz w:val="32"/>
          <w:szCs w:val="32"/>
          <w:highlight w:val="none"/>
        </w:rPr>
        <w:br w:type="page" w:clear="all"/>
      </w:r>
      <w:r>
        <w:rPr>
          <w:rFonts w:eastAsia="方正黑体_GBK"/>
          <w:bCs/>
          <w:color w:val="auto"/>
          <w:sz w:val="32"/>
          <w:szCs w:val="32"/>
          <w:highlight w:val="none"/>
        </w:rPr>
        <w:t xml:space="preserve">附件12</w:t>
      </w:r>
      <w:r/>
    </w:p>
    <w:p>
      <w:pPr>
        <w:jc w:val="center"/>
        <w:spacing w:line="440" w:lineRule="exact"/>
        <w:shd w:val="clear" w:color="auto" w:fill="ffffff"/>
        <w:widowControl/>
        <w:rPr>
          <w:rFonts w:ascii="黑体" w:hAnsi="黑体" w:eastAsia="黑体" w:cs="方正魏碑_GBK"/>
          <w:color w:val="auto"/>
          <w:sz w:val="32"/>
          <w:szCs w:val="32"/>
          <w:highlight w:val="none"/>
        </w:rPr>
      </w:pPr>
      <w:r>
        <w:rPr>
          <w:rFonts w:hint="eastAsia" w:ascii="黑体" w:hAnsi="黑体" w:eastAsia="黑体" w:cs="方正魏碑_GBK"/>
          <w:color w:val="auto"/>
          <w:sz w:val="32"/>
          <w:szCs w:val="32"/>
          <w:highlight w:val="none"/>
        </w:rPr>
        <w:t xml:space="preserve">关于符合本国产品标准的声明函</w:t>
      </w:r>
      <w:r/>
    </w:p>
    <w:p>
      <w:pPr>
        <w:ind w:firstLine="420"/>
        <w:jc w:val="left"/>
        <w:spacing w:line="440" w:lineRule="exact"/>
        <w:widowControl/>
        <w:rPr>
          <w:rFonts w:ascii="宋体" w:hAnsi="宋体" w:cs="方正魏碑_GBK"/>
          <w:color w:val="auto"/>
          <w:sz w:val="28"/>
          <w:szCs w:val="28"/>
          <w:highlight w:val="none"/>
        </w:rPr>
      </w:pPr>
      <w:r>
        <w:rPr>
          <w:rFonts w:ascii="宋体" w:hAnsi="宋体" w:cs="方正魏碑_GBK"/>
          <w:color w:val="auto"/>
          <w:sz w:val="28"/>
          <w:szCs w:val="28"/>
          <w:highlight w:val="none"/>
        </w:rPr>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1.</w:t>
      </w:r>
      <w:r>
        <w:rPr>
          <w:rFonts w:hint="eastAsia" w:ascii="宋体" w:hAnsi="宋体" w:cs="方正魏碑_GBK"/>
          <w:color w:val="auto"/>
          <w:sz w:val="28"/>
          <w:szCs w:val="28"/>
          <w:highlight w:val="none"/>
          <w:u w:val="single"/>
        </w:rPr>
        <w:t xml:space="preserve">（产品名称1）</w:t>
      </w:r>
      <w:r>
        <w:rPr>
          <w:rFonts w:hint="eastAsia" w:ascii="宋体" w:hAnsi="宋体" w:cs="方正魏碑_GBK"/>
          <w:color w:val="auto"/>
          <w:sz w:val="28"/>
          <w:szCs w:val="28"/>
          <w:highlight w:val="none"/>
          <w:vertAlign w:val="superscript"/>
        </w:rPr>
        <w:t xml:space="preserve">1</w:t>
      </w:r>
      <w:r>
        <w:rPr>
          <w:rFonts w:hint="eastAsia" w:ascii="宋体" w:hAnsi="宋体" w:cs="方正魏碑_GBK"/>
          <w:color w:val="auto"/>
          <w:sz w:val="28"/>
          <w:szCs w:val="28"/>
          <w:highlight w:val="none"/>
          <w:shd w:val="clear" w:color="auto" w:fill="ffffff"/>
        </w:rPr>
        <w:t xml:space="preserve">，生产厂为</w:t>
      </w:r>
      <w:r>
        <w:rPr>
          <w:rFonts w:hint="eastAsia" w:ascii="宋体" w:hAnsi="宋体" w:cs="方正魏碑_GBK"/>
          <w:color w:val="auto"/>
          <w:sz w:val="28"/>
          <w:szCs w:val="28"/>
          <w:highlight w:val="none"/>
          <w:u w:val="single"/>
        </w:rPr>
        <w:t xml:space="preserve">（厂名）</w:t>
      </w:r>
      <w:r>
        <w:rPr>
          <w:rFonts w:hint="eastAsia" w:ascii="宋体" w:hAnsi="宋体" w:cs="方正魏碑_GBK"/>
          <w:color w:val="auto"/>
          <w:sz w:val="28"/>
          <w:szCs w:val="28"/>
          <w:highlight w:val="none"/>
          <w:vertAlign w:val="superscript"/>
        </w:rPr>
        <w:t xml:space="preserve">2</w:t>
      </w:r>
      <w:r>
        <w:rPr>
          <w:rFonts w:hint="eastAsia" w:ascii="宋体" w:hAnsi="宋体" w:cs="方正魏碑_GBK"/>
          <w:color w:val="auto"/>
          <w:sz w:val="28"/>
          <w:szCs w:val="28"/>
          <w:highlight w:val="none"/>
          <w:shd w:val="clear" w:color="auto" w:fill="ffffff"/>
        </w:rPr>
        <w:t xml:space="preserve">，厂址为</w:t>
      </w:r>
      <w:r>
        <w:rPr>
          <w:rFonts w:hint="eastAsia" w:ascii="宋体" w:hAnsi="宋体" w:cs="方正魏碑_GBK"/>
          <w:color w:val="auto"/>
          <w:sz w:val="28"/>
          <w:szCs w:val="28"/>
          <w:highlight w:val="none"/>
          <w:u w:val="single"/>
        </w:rPr>
        <w:t xml:space="preserve">（生产厂址）</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的中国境内生产的组件成本占比≥</w:t>
      </w:r>
      <w:r>
        <w:rPr>
          <w:rFonts w:hint="eastAsia" w:ascii="宋体" w:hAnsi="宋体" w:cs="方正魏碑_GBK"/>
          <w:strike/>
          <w:color w:val="auto"/>
          <w:sz w:val="28"/>
          <w:szCs w:val="28"/>
          <w:highlight w:val="none"/>
          <w:u w:val="single"/>
        </w:rPr>
        <w:t xml:space="preserve">（规定</w:t>
      </w:r>
      <w:r>
        <w:rPr>
          <w:rFonts w:ascii="宋体" w:hAnsi="宋体" w:cs="方正魏碑_GBK"/>
          <w:strike/>
          <w:color w:val="auto"/>
          <w:sz w:val="28"/>
          <w:szCs w:val="28"/>
          <w:highlight w:val="none"/>
          <w:u w:val="single"/>
        </w:rPr>
        <w:t xml:space="preserve">比例</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vertAlign w:val="superscript"/>
        </w:rPr>
        <w:t xml:space="preserve">3</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w:t>
      </w:r>
      <w:r>
        <w:rPr>
          <w:rFonts w:ascii="宋体" w:hAnsi="宋体" w:cs="方正魏碑_GBK"/>
          <w:strike/>
          <w:color w:val="auto"/>
          <w:sz w:val="28"/>
          <w:szCs w:val="28"/>
          <w:highlight w:val="none"/>
          <w:u w:val="single"/>
        </w:rPr>
        <w:t xml:space="preserve">组件</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vertAlign w:val="superscript"/>
        </w:rPr>
        <w:t xml:space="preserve">4</w:t>
      </w:r>
      <w:r>
        <w:rPr>
          <w:rFonts w:hint="eastAsia" w:ascii="宋体" w:hAnsi="宋体" w:cs="方正魏碑_GBK"/>
          <w:color w:val="auto"/>
          <w:sz w:val="28"/>
          <w:szCs w:val="28"/>
          <w:highlight w:val="none"/>
          <w:shd w:val="clear" w:color="auto" w:fill="ffffff"/>
        </w:rPr>
        <w:t xml:space="preserve">在中国境内生产。</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（关键工序）</w:t>
      </w:r>
      <w:r>
        <w:rPr>
          <w:rFonts w:hint="eastAsia" w:ascii="宋体" w:hAnsi="宋体" w:cs="方正魏碑_GBK"/>
          <w:color w:val="auto"/>
          <w:sz w:val="28"/>
          <w:szCs w:val="28"/>
          <w:highlight w:val="none"/>
          <w:vertAlign w:val="superscript"/>
        </w:rPr>
        <w:t xml:space="preserve">5</w:t>
      </w:r>
      <w:r>
        <w:rPr>
          <w:rFonts w:hint="eastAsia" w:ascii="宋体" w:hAnsi="宋体" w:cs="方正魏碑_GBK"/>
          <w:color w:val="auto"/>
          <w:sz w:val="28"/>
          <w:szCs w:val="28"/>
          <w:highlight w:val="none"/>
          <w:shd w:val="clear" w:color="auto" w:fill="ffffff"/>
        </w:rPr>
        <w:t xml:space="preserve">在中国境内完成。</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2.</w:t>
      </w:r>
      <w:r>
        <w:rPr>
          <w:rFonts w:hint="eastAsia" w:ascii="宋体" w:hAnsi="宋体" w:cs="方正魏碑_GBK"/>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，生产厂为</w:t>
      </w:r>
      <w:r>
        <w:rPr>
          <w:rFonts w:hint="eastAsia" w:ascii="宋体" w:hAnsi="宋体" w:cs="方正魏碑_GBK"/>
          <w:color w:val="auto"/>
          <w:sz w:val="28"/>
          <w:szCs w:val="28"/>
          <w:highlight w:val="none"/>
          <w:u w:val="single"/>
        </w:rPr>
        <w:t xml:space="preserve">（厂名）</w:t>
      </w:r>
      <w:r>
        <w:rPr>
          <w:rFonts w:hint="eastAsia" w:ascii="宋体" w:hAnsi="宋体" w:cs="方正魏碑_GBK"/>
          <w:color w:val="auto"/>
          <w:sz w:val="28"/>
          <w:szCs w:val="28"/>
          <w:highlight w:val="none"/>
          <w:shd w:val="clear" w:color="auto" w:fill="ffffff"/>
        </w:rPr>
        <w:t xml:space="preserve">，厂址为</w:t>
      </w:r>
      <w:r>
        <w:rPr>
          <w:rFonts w:hint="eastAsia" w:ascii="宋体" w:hAnsi="宋体" w:cs="方正魏碑_GBK"/>
          <w:color w:val="auto"/>
          <w:sz w:val="28"/>
          <w:szCs w:val="28"/>
          <w:highlight w:val="none"/>
          <w:u w:val="single"/>
        </w:rPr>
        <w:t xml:space="preserve">（生产厂址）</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的中国境内生产的组件成本占比≥</w:t>
      </w:r>
      <w:r>
        <w:rPr>
          <w:rFonts w:hint="eastAsia" w:ascii="宋体" w:hAnsi="宋体" w:cs="方正魏碑_GBK"/>
          <w:strike/>
          <w:color w:val="auto"/>
          <w:sz w:val="28"/>
          <w:szCs w:val="28"/>
          <w:highlight w:val="none"/>
          <w:u w:val="single"/>
        </w:rPr>
        <w:t xml:space="preserve">（规定</w:t>
      </w:r>
      <w:r>
        <w:rPr>
          <w:rFonts w:ascii="宋体" w:hAnsi="宋体" w:cs="方正魏碑_GBK"/>
          <w:strike/>
          <w:color w:val="auto"/>
          <w:sz w:val="28"/>
          <w:szCs w:val="28"/>
          <w:highlight w:val="none"/>
          <w:u w:val="single"/>
        </w:rPr>
        <w:t xml:space="preserve">比例</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w:t>
      </w:r>
      <w:r>
        <w:rPr>
          <w:rFonts w:ascii="宋体" w:hAnsi="宋体" w:cs="方正魏碑_GBK"/>
          <w:strike/>
          <w:color w:val="auto"/>
          <w:sz w:val="28"/>
          <w:szCs w:val="28"/>
          <w:highlight w:val="none"/>
          <w:u w:val="single"/>
        </w:rPr>
        <w:t xml:space="preserve">组件</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shd w:val="clear" w:color="auto" w:fill="ffffff"/>
        </w:rPr>
        <w:t xml:space="preserve">在中国境内生产。</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（关键工序）</w:t>
      </w:r>
      <w:r>
        <w:rPr>
          <w:rFonts w:hint="eastAsia" w:ascii="宋体" w:hAnsi="宋体" w:cs="方正魏碑_GBK"/>
          <w:color w:val="auto"/>
          <w:sz w:val="28"/>
          <w:szCs w:val="28"/>
          <w:highlight w:val="none"/>
          <w:shd w:val="clear" w:color="auto" w:fill="ffffff"/>
        </w:rPr>
        <w:t xml:space="preserve">在中国境内完成。</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本公司（单位）对上述声明内容的真实性负责。如有虚假，愿承担相应法律责任。</w:t>
      </w:r>
      <w:r/>
    </w:p>
    <w:p>
      <w:pPr>
        <w:jc w:val="left"/>
        <w:spacing w:line="440" w:lineRule="exact"/>
        <w:widowControl/>
        <w:rPr>
          <w:rFonts w:ascii="宋体" w:hAnsi="宋体" w:cs="方正魏碑_GBK"/>
          <w:color w:val="auto"/>
          <w:sz w:val="28"/>
          <w:szCs w:val="28"/>
          <w:highlight w:val="none"/>
        </w:rPr>
      </w:pPr>
      <w:r>
        <w:rPr>
          <w:rFonts w:ascii="宋体" w:hAnsi="宋体" w:cs="方正魏碑_GBK"/>
          <w:color w:val="auto"/>
          <w:sz w:val="28"/>
          <w:szCs w:val="28"/>
          <w:highlight w:val="none"/>
        </w:rPr>
      </w:r>
      <w:r/>
    </w:p>
    <w:p>
      <w:pPr>
        <w:ind w:right="480" w:firstLine="504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公司（单位）名称（盖章）：　</w:t>
      </w:r>
      <w:r>
        <w:rPr>
          <w:rFonts w:hint="eastAsia" w:ascii="宋体" w:hAnsi="宋体" w:eastAsia="MS Gothic" w:cs="MS Gothic"/>
          <w:color w:val="auto"/>
          <w:sz w:val="28"/>
          <w:szCs w:val="28"/>
          <w:highlight w:val="none"/>
          <w:shd w:val="clear" w:color="auto" w:fill="ffffff"/>
        </w:rPr>
        <w:t xml:space="preserve">        </w:t>
      </w:r>
      <w:r/>
    </w:p>
    <w:p>
      <w:pPr>
        <w:jc w:val="center"/>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日期：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年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月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日</w:t>
      </w:r>
      <w:r>
        <w:rPr>
          <w:rFonts w:hint="eastAsia" w:ascii="宋体" w:hAnsi="宋体" w:eastAsia="MS Gothic" w:cs="MS Gothic"/>
          <w:color w:val="auto"/>
          <w:sz w:val="28"/>
          <w:szCs w:val="28"/>
          <w:highlight w:val="none"/>
          <w:shd w:val="clear" w:color="auto" w:fill="ffffff"/>
        </w:rPr>
        <w:t xml:space="preserve">         </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说明：</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1.产品如有型号，请在“产品名称”栏一并填写。</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2.生产厂名与厂址应与生产厂营业执照载明的相关信息保持一致。</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3.该产品的中国境内生产的组件成本占比相关要求实施前，“规定比例”栏可不填，下同。</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4.该产品的关键组件要求实施前，“关键组件”栏可不填，下同。</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5.该产品的关键工序要求实施前，“关键工序”栏可不填，下同。</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6.用删除线划除的地方无需填写。（如：</w:t>
      </w:r>
      <w:r>
        <w:rPr>
          <w:rFonts w:hint="eastAsia" w:ascii="宋体" w:hAnsi="宋体" w:cs="方正魏碑_GBK"/>
          <w:strike/>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w:t>
      </w:r>
      <w:r/>
    </w:p>
    <w:p>
      <w:pPr>
        <w:rPr>
          <w:rFonts w:eastAsia="方正黑体_GBK"/>
          <w:bCs/>
          <w:color w:val="auto"/>
          <w:sz w:val="32"/>
          <w:szCs w:val="32"/>
          <w:highlight w:val="none"/>
        </w:rPr>
      </w:pPr>
      <w:r>
        <w:rPr>
          <w:rFonts w:eastAsia="方正黑体_GBK"/>
          <w:bCs/>
          <w:color w:val="auto"/>
          <w:sz w:val="32"/>
          <w:szCs w:val="32"/>
          <w:highlight w:val="none"/>
        </w:rPr>
      </w:r>
      <w:r/>
    </w:p>
    <w:p>
      <w:pPr>
        <w:rPr>
          <w:rFonts w:eastAsia="方正黑体_GBK"/>
          <w:bCs/>
          <w:color w:val="auto"/>
          <w:sz w:val="32"/>
          <w:szCs w:val="32"/>
          <w:highlight w:val="none"/>
        </w:rPr>
      </w:pPr>
      <w:r>
        <w:rPr>
          <w:rFonts w:eastAsia="方正黑体_GBK"/>
          <w:bCs/>
          <w:color w:val="auto"/>
          <w:sz w:val="32"/>
          <w:szCs w:val="32"/>
          <w:highlight w:val="none"/>
        </w:rPr>
      </w:r>
      <w:r/>
    </w:p>
    <w:p>
      <w:pPr>
        <w:spacing w:line="520" w:lineRule="exact"/>
        <w:rPr>
          <w:rFonts w:eastAsia="方正黑体_GBK"/>
          <w:bCs/>
          <w:color w:val="auto"/>
          <w:sz w:val="32"/>
          <w:szCs w:val="32"/>
          <w:highlight w:val="none"/>
        </w:rPr>
        <w:outlineLvl w:val="0"/>
      </w:pPr>
      <w:r>
        <w:rPr>
          <w:rFonts w:eastAsia="方正黑体_GBK"/>
          <w:bCs/>
          <w:color w:val="auto"/>
          <w:sz w:val="32"/>
          <w:szCs w:val="32"/>
          <w:highlight w:val="none"/>
        </w:rPr>
      </w:r>
      <w:r/>
    </w:p>
    <w:p>
      <w:pPr>
        <w:spacing w:line="520" w:lineRule="exact"/>
        <w:rPr>
          <w:rFonts w:eastAsia="方正黑体_GBK"/>
          <w:color w:val="auto"/>
          <w:sz w:val="32"/>
          <w:szCs w:val="32"/>
          <w:highlight w:val="none"/>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3</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520" w:lineRule="exact"/>
        <w:rPr>
          <w:rFonts w:ascii="宋体" w:hAnsi="宋体" w:cs="仿宋"/>
          <w:color w:val="auto"/>
          <w:sz w:val="24"/>
          <w:szCs w:val="24"/>
          <w:highlight w:val="none"/>
        </w:rPr>
      </w:pPr>
      <w:r>
        <w:rPr>
          <w:rFonts w:ascii="宋体" w:hAnsi="宋体" w:cs="仿宋"/>
          <w:color w:val="auto"/>
          <w:sz w:val="24"/>
          <w:szCs w:val="24"/>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520" w:lineRule="exact"/>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ascii="仿宋_GB2312" w:eastAsia="方正黑体_GBK"/>
          <w:b/>
          <w:color w:val="auto"/>
          <w:sz w:val="32"/>
          <w:szCs w:val="32"/>
          <w:highlight w:val="none"/>
        </w:rPr>
        <w:outlineLvl w:val="0"/>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14</w:t>
      </w:r>
      <w:r/>
    </w:p>
    <w:p>
      <w:pPr>
        <w:jc w:val="center"/>
        <w:spacing w:line="580" w:lineRule="exact"/>
        <w:rPr>
          <w:rFonts w:eastAsia="方正大标宋_GBK"/>
          <w:bCs/>
          <w:color w:val="auto"/>
          <w:sz w:val="44"/>
          <w:szCs w:val="44"/>
          <w:highlight w:val="none"/>
        </w:rPr>
      </w:pPr>
      <w:r>
        <w:rPr>
          <w:rFonts w:hint="eastAsia" w:eastAsia="方正大标宋_GBK"/>
          <w:bCs/>
          <w:color w:val="auto"/>
          <w:sz w:val="44"/>
          <w:szCs w:val="44"/>
          <w:highlight w:val="none"/>
        </w:rPr>
        <w:t xml:space="preserve">办理政采贷和</w:t>
      </w:r>
      <w:r>
        <w:rPr>
          <w:rFonts w:eastAsia="方正大标宋_GBK"/>
          <w:bCs/>
          <w:color w:val="auto"/>
          <w:sz w:val="44"/>
          <w:szCs w:val="44"/>
          <w:highlight w:val="none"/>
        </w:rPr>
        <w:t xml:space="preserve">履</w:t>
      </w:r>
      <w:r>
        <w:rPr>
          <w:rFonts w:hint="eastAsia" w:eastAsia="方正大标宋_GBK"/>
          <w:bCs/>
          <w:color w:val="auto"/>
          <w:sz w:val="44"/>
          <w:szCs w:val="44"/>
          <w:highlight w:val="none"/>
        </w:rPr>
        <w:t xml:space="preserve">约保函（</w:t>
      </w:r>
      <w:r>
        <w:rPr>
          <w:rFonts w:eastAsia="方正大标宋_GBK"/>
          <w:bCs/>
          <w:color w:val="auto"/>
          <w:sz w:val="44"/>
          <w:szCs w:val="44"/>
          <w:highlight w:val="none"/>
        </w:rPr>
        <w:t xml:space="preserve">保险</w:t>
      </w:r>
      <w:r>
        <w:rPr>
          <w:rFonts w:hint="eastAsia" w:eastAsia="方正大标宋_GBK"/>
          <w:bCs/>
          <w:color w:val="auto"/>
          <w:sz w:val="44"/>
          <w:szCs w:val="44"/>
          <w:highlight w:val="none"/>
        </w:rPr>
        <w:t xml:space="preserve">）告知函</w:t>
      </w:r>
      <w:r/>
    </w:p>
    <w:p>
      <w:pPr>
        <w:rPr>
          <w:rFonts w:eastAsia="仿宋_GB2312"/>
          <w:color w:val="auto"/>
          <w:sz w:val="32"/>
          <w:highlight w:val="none"/>
        </w:rPr>
      </w:pPr>
      <w:r>
        <w:rPr>
          <w:rFonts w:eastAsia="仿宋_GB2312"/>
          <w:color w:val="auto"/>
          <w:sz w:val="32"/>
          <w:highlight w:val="none"/>
        </w:rPr>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各政府采购供应商：</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欢迎贵公司参与南通市政府采购活动！</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政府采购线上合同信用融资和履约保函（保险）是支持企业发展，针对参与政府采购活动的企业融资难、现金流不足等问题推出的一项服务举措。</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MS Gothic">
    <w:panose1 w:val="020B0609070205080204"/>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MS Mincho">
    <w:panose1 w:val="020206030504050903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37</w:t>
    </w:r>
    <w:r>
      <w:rPr>
        <w:rFonts w:ascii="宋体" w:hAnsi="宋体"/>
      </w:rPr>
      <w:fldChar w:fldCharType="end"/>
    </w:r>
    <w:r/>
  </w:p>
  <w:p>
    <w:pPr>
      <w:pStyle w:val="92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Title Char"/>
    <w:basedOn w:val="698"/>
    <w:link w:val="717"/>
    <w:uiPriority w:val="10"/>
    <w:rPr>
      <w:sz w:val="48"/>
      <w:szCs w:val="48"/>
    </w:rPr>
  </w:style>
  <w:style w:type="character" w:styleId="691">
    <w:name w:val="Subtitle Char"/>
    <w:basedOn w:val="698"/>
    <w:link w:val="711"/>
    <w:uiPriority w:val="11"/>
    <w:rPr>
      <w:sz w:val="24"/>
      <w:szCs w:val="24"/>
    </w:rPr>
  </w:style>
  <w:style w:type="character" w:styleId="692">
    <w:name w:val="Quote Char"/>
    <w:link w:val="747"/>
    <w:uiPriority w:val="29"/>
    <w:rPr>
      <w:i/>
    </w:rPr>
  </w:style>
  <w:style w:type="character" w:styleId="693">
    <w:name w:val="Intense Quote Char"/>
    <w:link w:val="749"/>
    <w:uiPriority w:val="30"/>
    <w:rPr>
      <w:i/>
    </w:rPr>
  </w:style>
  <w:style w:type="character" w:styleId="694">
    <w:name w:val="Footnote Text Char"/>
    <w:link w:val="712"/>
    <w:uiPriority w:val="99"/>
    <w:rPr>
      <w:sz w:val="18"/>
    </w:rPr>
  </w:style>
  <w:style w:type="character" w:styleId="695">
    <w:name w:val="Endnote Text Char"/>
    <w:link w:val="705"/>
    <w:uiPriority w:val="99"/>
    <w:rPr>
      <w:sz w:val="20"/>
    </w:rPr>
  </w:style>
  <w:style w:type="paragraph" w:styleId="696">
    <w:name w:val="TOC Heading"/>
    <w:uiPriority w:val="39"/>
    <w:unhideWhenUsed/>
  </w:style>
  <w:style w:type="paragraph" w:styleId="69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character" w:styleId="698" w:default="1">
    <w:name w:val="Default Paragraph Font"/>
    <w:uiPriority w:val="1"/>
    <w:semiHidden/>
    <w:unhideWhenUsed/>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97"/>
    <w:next w:val="697"/>
    <w:uiPriority w:val="39"/>
    <w:unhideWhenUsed/>
    <w:qFormat/>
    <w:pPr>
      <w:ind w:left="1701"/>
      <w:spacing w:after="57"/>
    </w:pPr>
  </w:style>
  <w:style w:type="paragraph" w:styleId="701">
    <w:name w:val="annotation text"/>
    <w:basedOn w:val="697"/>
    <w:uiPriority w:val="99"/>
    <w:semiHidden/>
    <w:unhideWhenUsed/>
    <w:qFormat/>
    <w:pPr>
      <w:jc w:val="left"/>
    </w:pPr>
  </w:style>
  <w:style w:type="paragraph" w:styleId="702">
    <w:name w:val="toc 5"/>
    <w:basedOn w:val="697"/>
    <w:next w:val="697"/>
    <w:uiPriority w:val="39"/>
    <w:unhideWhenUsed/>
    <w:qFormat/>
    <w:pPr>
      <w:ind w:left="1134"/>
      <w:spacing w:after="57"/>
    </w:pPr>
  </w:style>
  <w:style w:type="paragraph" w:styleId="703">
    <w:name w:val="toc 3"/>
    <w:basedOn w:val="697"/>
    <w:next w:val="697"/>
    <w:uiPriority w:val="39"/>
    <w:unhideWhenUsed/>
    <w:qFormat/>
    <w:pPr>
      <w:ind w:left="567"/>
      <w:spacing w:after="57"/>
    </w:pPr>
  </w:style>
  <w:style w:type="paragraph" w:styleId="704">
    <w:name w:val="toc 8"/>
    <w:basedOn w:val="697"/>
    <w:next w:val="697"/>
    <w:uiPriority w:val="39"/>
    <w:unhideWhenUsed/>
    <w:qFormat/>
    <w:pPr>
      <w:ind w:left="1984"/>
      <w:spacing w:after="57"/>
    </w:pPr>
  </w:style>
  <w:style w:type="paragraph" w:styleId="705">
    <w:name w:val="endnote text"/>
    <w:basedOn w:val="697"/>
    <w:link w:val="880"/>
    <w:uiPriority w:val="99"/>
    <w:semiHidden/>
    <w:unhideWhenUsed/>
    <w:qFormat/>
    <w:rPr>
      <w:sz w:val="20"/>
    </w:rPr>
  </w:style>
  <w:style w:type="paragraph" w:styleId="706">
    <w:name w:val="Balloon Text"/>
    <w:basedOn w:val="697"/>
    <w:link w:val="1001"/>
    <w:uiPriority w:val="99"/>
    <w:semiHidden/>
    <w:unhideWhenUsed/>
    <w:rPr>
      <w:sz w:val="18"/>
      <w:szCs w:val="18"/>
    </w:rPr>
  </w:style>
  <w:style w:type="paragraph" w:styleId="707">
    <w:name w:val="Footer"/>
    <w:basedOn w:val="697"/>
    <w:link w:val="1000"/>
    <w:uiPriority w:val="99"/>
    <w:semiHidden/>
    <w:unhideWhenUsed/>
    <w:qFormat/>
    <w:pPr>
      <w:jc w:val="left"/>
      <w:tabs>
        <w:tab w:val="center" w:pos="4153" w:leader="none"/>
        <w:tab w:val="right" w:pos="8306" w:leader="none"/>
      </w:tabs>
    </w:pPr>
    <w:rPr>
      <w:sz w:val="18"/>
      <w:szCs w:val="18"/>
    </w:rPr>
  </w:style>
  <w:style w:type="paragraph" w:styleId="708">
    <w:name w:val="Header"/>
    <w:basedOn w:val="697"/>
    <w:link w:val="999"/>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09">
    <w:name w:val="toc 1"/>
    <w:basedOn w:val="697"/>
    <w:next w:val="697"/>
    <w:uiPriority w:val="39"/>
    <w:unhideWhenUsed/>
    <w:qFormat/>
    <w:pPr>
      <w:spacing w:after="57"/>
    </w:pPr>
  </w:style>
  <w:style w:type="paragraph" w:styleId="710">
    <w:name w:val="toc 4"/>
    <w:basedOn w:val="697"/>
    <w:next w:val="697"/>
    <w:uiPriority w:val="39"/>
    <w:unhideWhenUsed/>
    <w:qFormat/>
    <w:pPr>
      <w:ind w:left="850"/>
      <w:spacing w:after="57"/>
    </w:pPr>
  </w:style>
  <w:style w:type="paragraph" w:styleId="711">
    <w:name w:val="Subtitle"/>
    <w:basedOn w:val="697"/>
    <w:next w:val="697"/>
    <w:link w:val="746"/>
    <w:uiPriority w:val="11"/>
    <w:qFormat/>
    <w:pPr>
      <w:spacing w:before="200" w:after="200"/>
    </w:pPr>
    <w:rPr>
      <w:sz w:val="24"/>
      <w:szCs w:val="24"/>
    </w:rPr>
  </w:style>
  <w:style w:type="paragraph" w:styleId="712">
    <w:name w:val="footnote text"/>
    <w:basedOn w:val="697"/>
    <w:link w:val="879"/>
    <w:uiPriority w:val="99"/>
    <w:semiHidden/>
    <w:unhideWhenUsed/>
    <w:qFormat/>
    <w:pPr>
      <w:spacing w:after="40"/>
    </w:pPr>
    <w:rPr>
      <w:sz w:val="18"/>
    </w:rPr>
  </w:style>
  <w:style w:type="paragraph" w:styleId="713">
    <w:name w:val="toc 6"/>
    <w:basedOn w:val="697"/>
    <w:next w:val="697"/>
    <w:uiPriority w:val="39"/>
    <w:unhideWhenUsed/>
    <w:qFormat/>
    <w:pPr>
      <w:ind w:left="1417"/>
      <w:spacing w:after="57"/>
    </w:pPr>
  </w:style>
  <w:style w:type="paragraph" w:styleId="714">
    <w:name w:val="table of figures"/>
    <w:basedOn w:val="697"/>
    <w:next w:val="697"/>
    <w:uiPriority w:val="99"/>
    <w:unhideWhenUsed/>
    <w:qFormat/>
  </w:style>
  <w:style w:type="paragraph" w:styleId="715">
    <w:name w:val="toc 2"/>
    <w:basedOn w:val="697"/>
    <w:next w:val="697"/>
    <w:uiPriority w:val="39"/>
    <w:unhideWhenUsed/>
    <w:qFormat/>
    <w:pPr>
      <w:ind w:left="283"/>
      <w:spacing w:after="57"/>
    </w:pPr>
  </w:style>
  <w:style w:type="paragraph" w:styleId="716">
    <w:name w:val="toc 9"/>
    <w:basedOn w:val="697"/>
    <w:next w:val="697"/>
    <w:uiPriority w:val="39"/>
    <w:unhideWhenUsed/>
    <w:qFormat/>
    <w:pPr>
      <w:ind w:left="2268"/>
      <w:spacing w:after="57"/>
    </w:pPr>
  </w:style>
  <w:style w:type="paragraph" w:styleId="717">
    <w:name w:val="Title"/>
    <w:basedOn w:val="697"/>
    <w:next w:val="697"/>
    <w:link w:val="745"/>
    <w:uiPriority w:val="10"/>
    <w:qFormat/>
    <w:pPr>
      <w:contextualSpacing/>
      <w:spacing w:before="300" w:after="200"/>
    </w:pPr>
    <w:rPr>
      <w:sz w:val="48"/>
      <w:szCs w:val="48"/>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rPr>
  </w:style>
  <w:style w:type="character" w:styleId="721">
    <w:name w:val="footnote reference"/>
    <w:uiPriority w:val="99"/>
    <w:unhideWhenUsed/>
    <w:qFormat/>
    <w:rPr>
      <w:vertAlign w:val="superscript"/>
    </w:rPr>
  </w:style>
  <w:style w:type="paragraph" w:styleId="722" w:customStyle="1">
    <w:name w:val="Heading 1"/>
    <w:basedOn w:val="697"/>
    <w:next w:val="697"/>
    <w:link w:val="734"/>
    <w:uiPriority w:val="9"/>
    <w:qFormat/>
    <w:pPr>
      <w:keepLines/>
      <w:keepNext/>
      <w:spacing w:before="480" w:after="200"/>
      <w:outlineLvl w:val="0"/>
    </w:pPr>
    <w:rPr>
      <w:rFonts w:ascii="Arial" w:hAnsi="Arial" w:eastAsia="Arial" w:cs="Arial"/>
      <w:sz w:val="40"/>
      <w:szCs w:val="40"/>
    </w:rPr>
  </w:style>
  <w:style w:type="paragraph" w:styleId="723" w:customStyle="1">
    <w:name w:val="Heading 2"/>
    <w:basedOn w:val="697"/>
    <w:next w:val="697"/>
    <w:link w:val="735"/>
    <w:uiPriority w:val="9"/>
    <w:unhideWhenUsed/>
    <w:qFormat/>
    <w:pPr>
      <w:keepLines/>
      <w:keepNext/>
      <w:spacing w:before="360" w:after="200"/>
      <w:outlineLvl w:val="1"/>
    </w:pPr>
    <w:rPr>
      <w:rFonts w:ascii="Arial" w:hAnsi="Arial" w:eastAsia="Arial" w:cs="Arial"/>
      <w:sz w:val="34"/>
    </w:rPr>
  </w:style>
  <w:style w:type="paragraph" w:styleId="724" w:customStyle="1">
    <w:name w:val="Heading 3"/>
    <w:basedOn w:val="697"/>
    <w:next w:val="697"/>
    <w:link w:val="736"/>
    <w:uiPriority w:val="9"/>
    <w:unhideWhenUsed/>
    <w:qFormat/>
    <w:pPr>
      <w:keepLines/>
      <w:keepNext/>
      <w:spacing w:before="320" w:after="200"/>
      <w:outlineLvl w:val="2"/>
    </w:pPr>
    <w:rPr>
      <w:rFonts w:ascii="Arial" w:hAnsi="Arial" w:eastAsia="Arial" w:cs="Arial"/>
      <w:sz w:val="30"/>
      <w:szCs w:val="30"/>
    </w:rPr>
  </w:style>
  <w:style w:type="paragraph" w:styleId="725" w:customStyle="1">
    <w:name w:val="Heading 4"/>
    <w:basedOn w:val="697"/>
    <w:next w:val="697"/>
    <w:link w:val="737"/>
    <w:uiPriority w:val="9"/>
    <w:unhideWhenUsed/>
    <w:qFormat/>
    <w:pPr>
      <w:keepLines/>
      <w:keepNext/>
      <w:spacing w:before="320" w:after="200"/>
      <w:outlineLvl w:val="3"/>
    </w:pPr>
    <w:rPr>
      <w:rFonts w:ascii="Arial" w:hAnsi="Arial" w:eastAsia="Arial" w:cs="Arial"/>
      <w:b/>
      <w:bCs/>
      <w:sz w:val="26"/>
      <w:szCs w:val="26"/>
    </w:rPr>
  </w:style>
  <w:style w:type="paragraph" w:styleId="726" w:customStyle="1">
    <w:name w:val="Heading 5"/>
    <w:basedOn w:val="697"/>
    <w:next w:val="697"/>
    <w:link w:val="738"/>
    <w:uiPriority w:val="9"/>
    <w:unhideWhenUsed/>
    <w:qFormat/>
    <w:pPr>
      <w:keepLines/>
      <w:keepNext/>
      <w:spacing w:before="320" w:after="200"/>
      <w:outlineLvl w:val="4"/>
    </w:pPr>
    <w:rPr>
      <w:rFonts w:ascii="Arial" w:hAnsi="Arial" w:eastAsia="Arial" w:cs="Arial"/>
      <w:b/>
      <w:bCs/>
      <w:sz w:val="24"/>
      <w:szCs w:val="24"/>
    </w:rPr>
  </w:style>
  <w:style w:type="paragraph" w:styleId="727" w:customStyle="1">
    <w:name w:val="Heading 6"/>
    <w:basedOn w:val="697"/>
    <w:next w:val="697"/>
    <w:link w:val="739"/>
    <w:uiPriority w:val="9"/>
    <w:unhideWhenUsed/>
    <w:qFormat/>
    <w:pPr>
      <w:keepLines/>
      <w:keepNext/>
      <w:spacing w:before="320" w:after="200"/>
      <w:outlineLvl w:val="5"/>
    </w:pPr>
    <w:rPr>
      <w:rFonts w:ascii="Arial" w:hAnsi="Arial" w:eastAsia="Arial" w:cs="Arial"/>
      <w:b/>
      <w:bCs/>
      <w:sz w:val="22"/>
    </w:rPr>
  </w:style>
  <w:style w:type="paragraph" w:styleId="728" w:customStyle="1">
    <w:name w:val="Heading 7"/>
    <w:basedOn w:val="697"/>
    <w:next w:val="697"/>
    <w:link w:val="740"/>
    <w:uiPriority w:val="9"/>
    <w:unhideWhenUsed/>
    <w:qFormat/>
    <w:pPr>
      <w:keepLines/>
      <w:keepNext/>
      <w:spacing w:before="320" w:after="200"/>
      <w:outlineLvl w:val="6"/>
    </w:pPr>
    <w:rPr>
      <w:rFonts w:ascii="Arial" w:hAnsi="Arial" w:eastAsia="Arial" w:cs="Arial"/>
      <w:b/>
      <w:bCs/>
      <w:i/>
      <w:iCs/>
      <w:sz w:val="22"/>
    </w:rPr>
  </w:style>
  <w:style w:type="paragraph" w:styleId="729" w:customStyle="1">
    <w:name w:val="Heading 8"/>
    <w:basedOn w:val="697"/>
    <w:next w:val="697"/>
    <w:link w:val="741"/>
    <w:uiPriority w:val="9"/>
    <w:unhideWhenUsed/>
    <w:qFormat/>
    <w:pPr>
      <w:keepLines/>
      <w:keepNext/>
      <w:spacing w:before="320" w:after="200"/>
      <w:outlineLvl w:val="7"/>
    </w:pPr>
    <w:rPr>
      <w:rFonts w:ascii="Arial" w:hAnsi="Arial" w:eastAsia="Arial" w:cs="Arial"/>
      <w:i/>
      <w:iCs/>
      <w:sz w:val="22"/>
    </w:rPr>
  </w:style>
  <w:style w:type="paragraph" w:styleId="730" w:customStyle="1">
    <w:name w:val="Heading 9"/>
    <w:basedOn w:val="697"/>
    <w:next w:val="697"/>
    <w:link w:val="742"/>
    <w:uiPriority w:val="9"/>
    <w:unhideWhenUsed/>
    <w:qFormat/>
    <w:pPr>
      <w:keepLines/>
      <w:keepNext/>
      <w:spacing w:before="320" w:after="200"/>
      <w:outlineLvl w:val="8"/>
    </w:pPr>
    <w:rPr>
      <w:rFonts w:ascii="Arial" w:hAnsi="Arial" w:eastAsia="Arial" w:cs="Arial"/>
      <w:i/>
      <w:iCs/>
      <w:szCs w:val="21"/>
    </w:rPr>
  </w:style>
  <w:style w:type="paragraph" w:styleId="731" w:customStyle="1">
    <w:name w:val="Caption"/>
    <w:basedOn w:val="697"/>
    <w:next w:val="697"/>
    <w:uiPriority w:val="35"/>
    <w:semiHidden/>
    <w:unhideWhenUsed/>
    <w:qFormat/>
    <w:pPr>
      <w:spacing w:line="276" w:lineRule="auto"/>
    </w:pPr>
    <w:rPr>
      <w:b/>
      <w:bCs/>
      <w:color w:val="4f81bd" w:themeColor="accent1"/>
      <w:sz w:val="18"/>
      <w:szCs w:val="18"/>
    </w:rPr>
  </w:style>
  <w:style w:type="paragraph" w:styleId="732" w:customStyle="1">
    <w:name w:val="Footer"/>
    <w:basedOn w:val="697"/>
    <w:link w:val="753"/>
    <w:uiPriority w:val="99"/>
    <w:unhideWhenUsed/>
    <w:qFormat/>
    <w:pPr>
      <w:tabs>
        <w:tab w:val="center" w:pos="7143" w:leader="none"/>
        <w:tab w:val="right" w:pos="14287" w:leader="none"/>
      </w:tabs>
    </w:pPr>
  </w:style>
  <w:style w:type="paragraph" w:styleId="733" w:customStyle="1">
    <w:name w:val="Header"/>
    <w:basedOn w:val="697"/>
    <w:link w:val="751"/>
    <w:uiPriority w:val="99"/>
    <w:unhideWhenUsed/>
    <w:qFormat/>
    <w:pPr>
      <w:tabs>
        <w:tab w:val="center" w:pos="7143" w:leader="none"/>
        <w:tab w:val="right" w:pos="14287" w:leader="none"/>
      </w:tabs>
    </w:pPr>
  </w:style>
  <w:style w:type="character" w:styleId="734" w:customStyle="1">
    <w:name w:val="Heading 1 Char"/>
    <w:link w:val="722"/>
    <w:uiPriority w:val="9"/>
    <w:qFormat/>
    <w:rPr>
      <w:rFonts w:ascii="Arial" w:hAnsi="Arial" w:eastAsia="Arial" w:cs="Arial"/>
      <w:sz w:val="40"/>
      <w:szCs w:val="40"/>
    </w:rPr>
  </w:style>
  <w:style w:type="character" w:styleId="735" w:customStyle="1">
    <w:name w:val="Heading 2 Char"/>
    <w:link w:val="723"/>
    <w:uiPriority w:val="9"/>
    <w:qFormat/>
    <w:rPr>
      <w:rFonts w:ascii="Arial" w:hAnsi="Arial" w:eastAsia="Arial" w:cs="Arial"/>
      <w:sz w:val="34"/>
    </w:rPr>
  </w:style>
  <w:style w:type="character" w:styleId="736" w:customStyle="1">
    <w:name w:val="Heading 3 Char"/>
    <w:link w:val="724"/>
    <w:uiPriority w:val="9"/>
    <w:qFormat/>
    <w:rPr>
      <w:rFonts w:ascii="Arial" w:hAnsi="Arial" w:eastAsia="Arial" w:cs="Arial"/>
      <w:sz w:val="30"/>
      <w:szCs w:val="30"/>
    </w:rPr>
  </w:style>
  <w:style w:type="character" w:styleId="737" w:customStyle="1">
    <w:name w:val="Heading 4 Char"/>
    <w:link w:val="725"/>
    <w:uiPriority w:val="9"/>
    <w:qFormat/>
    <w:rPr>
      <w:rFonts w:ascii="Arial" w:hAnsi="Arial" w:eastAsia="Arial" w:cs="Arial"/>
      <w:b/>
      <w:bCs/>
      <w:sz w:val="26"/>
      <w:szCs w:val="26"/>
    </w:rPr>
  </w:style>
  <w:style w:type="character" w:styleId="738" w:customStyle="1">
    <w:name w:val="Heading 5 Char"/>
    <w:link w:val="726"/>
    <w:uiPriority w:val="9"/>
    <w:qFormat/>
    <w:rPr>
      <w:rFonts w:ascii="Arial" w:hAnsi="Arial" w:eastAsia="Arial" w:cs="Arial"/>
      <w:b/>
      <w:bCs/>
      <w:sz w:val="24"/>
      <w:szCs w:val="24"/>
    </w:rPr>
  </w:style>
  <w:style w:type="character" w:styleId="739" w:customStyle="1">
    <w:name w:val="Heading 6 Char"/>
    <w:link w:val="727"/>
    <w:uiPriority w:val="9"/>
    <w:qFormat/>
    <w:rPr>
      <w:rFonts w:ascii="Arial" w:hAnsi="Arial" w:eastAsia="Arial" w:cs="Arial"/>
      <w:b/>
      <w:bCs/>
      <w:sz w:val="22"/>
      <w:szCs w:val="22"/>
    </w:rPr>
  </w:style>
  <w:style w:type="character" w:styleId="740" w:customStyle="1">
    <w:name w:val="Heading 7 Char"/>
    <w:link w:val="728"/>
    <w:uiPriority w:val="9"/>
    <w:qFormat/>
    <w:rPr>
      <w:rFonts w:ascii="Arial" w:hAnsi="Arial" w:eastAsia="Arial" w:cs="Arial"/>
      <w:b/>
      <w:bCs/>
      <w:i/>
      <w:iCs/>
      <w:sz w:val="22"/>
      <w:szCs w:val="22"/>
    </w:rPr>
  </w:style>
  <w:style w:type="character" w:styleId="741" w:customStyle="1">
    <w:name w:val="Heading 8 Char"/>
    <w:link w:val="729"/>
    <w:uiPriority w:val="9"/>
    <w:qFormat/>
    <w:rPr>
      <w:rFonts w:ascii="Arial" w:hAnsi="Arial" w:eastAsia="Arial" w:cs="Arial"/>
      <w:i/>
      <w:iCs/>
      <w:sz w:val="22"/>
      <w:szCs w:val="22"/>
    </w:rPr>
  </w:style>
  <w:style w:type="character" w:styleId="742" w:customStyle="1">
    <w:name w:val="Heading 9 Char"/>
    <w:link w:val="730"/>
    <w:uiPriority w:val="9"/>
    <w:qFormat/>
    <w:rPr>
      <w:rFonts w:ascii="Arial" w:hAnsi="Arial" w:eastAsia="Arial" w:cs="Arial"/>
      <w:i/>
      <w:iCs/>
      <w:sz w:val="21"/>
      <w:szCs w:val="21"/>
    </w:rPr>
  </w:style>
  <w:style w:type="paragraph" w:styleId="743">
    <w:name w:val="List Paragraph"/>
    <w:basedOn w:val="697"/>
    <w:uiPriority w:val="34"/>
    <w:qFormat/>
    <w:pPr>
      <w:contextualSpacing/>
      <w:ind w:left="720"/>
    </w:pPr>
  </w:style>
  <w:style w:type="paragraph" w:styleId="744">
    <w:name w:val="No Spacing"/>
    <w:uiPriority w:val="1"/>
    <w:qFormat/>
    <w:rPr>
      <w:rFonts w:ascii="Times New Roman" w:hAnsi="Times New Roman" w:eastAsia="宋体" w:cs="Times New Roman"/>
      <w:lang w:val="en-US" w:eastAsia="zh-CN" w:bidi="ar-SA"/>
    </w:rPr>
  </w:style>
  <w:style w:type="character" w:styleId="745" w:customStyle="1">
    <w:name w:val="标题 Char"/>
    <w:link w:val="717"/>
    <w:uiPriority w:val="10"/>
    <w:qFormat/>
    <w:rPr>
      <w:sz w:val="48"/>
      <w:szCs w:val="48"/>
    </w:rPr>
  </w:style>
  <w:style w:type="character" w:styleId="746" w:customStyle="1">
    <w:name w:val="副标题 Char"/>
    <w:link w:val="711"/>
    <w:uiPriority w:val="11"/>
    <w:qFormat/>
    <w:rPr>
      <w:sz w:val="24"/>
      <w:szCs w:val="24"/>
    </w:rPr>
  </w:style>
  <w:style w:type="paragraph" w:styleId="747">
    <w:name w:val="Quote"/>
    <w:basedOn w:val="697"/>
    <w:next w:val="697"/>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97"/>
    <w:next w:val="697"/>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Header Char"/>
    <w:link w:val="733"/>
    <w:uiPriority w:val="99"/>
    <w:qFormat/>
  </w:style>
  <w:style w:type="character" w:styleId="752" w:customStyle="1">
    <w:name w:val="Footer Char"/>
    <w:link w:val="732"/>
    <w:uiPriority w:val="99"/>
    <w:qFormat/>
  </w:style>
  <w:style w:type="character" w:styleId="753" w:customStyle="1">
    <w:name w:val="Caption Char"/>
    <w:link w:val="732"/>
    <w:uiPriority w:val="99"/>
    <w:qFormat/>
  </w:style>
  <w:style w:type="table" w:styleId="754"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7"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Char"/>
    <w:link w:val="712"/>
    <w:uiPriority w:val="99"/>
    <w:qFormat/>
    <w:rPr>
      <w:sz w:val="18"/>
    </w:rPr>
  </w:style>
  <w:style w:type="character" w:styleId="880" w:customStyle="1">
    <w:name w:val="尾注文本 Char"/>
    <w:link w:val="705"/>
    <w:uiPriority w:val="99"/>
    <w:qFormat/>
    <w:rPr>
      <w:sz w:val="20"/>
    </w:rPr>
  </w:style>
  <w:style w:type="paragraph" w:styleId="881" w:customStyle="1">
    <w:name w:val="TOC 标题1"/>
    <w:uiPriority w:val="39"/>
    <w:unhideWhenUsed/>
    <w:qFormat/>
    <w:rPr>
      <w:rFonts w:ascii="Times New Roman" w:hAnsi="Times New Roman" w:eastAsia="宋体" w:cs="Times New Roman"/>
      <w:lang w:val="en-US" w:eastAsia="zh-CN" w:bidi="ar-SA"/>
    </w:rPr>
  </w:style>
  <w:style w:type="paragraph" w:styleId="882" w:customStyle="1">
    <w:name w:val="标题 11"/>
    <w:basedOn w:val="697"/>
    <w:next w:val="697"/>
    <w:link w:val="894"/>
    <w:uiPriority w:val="0"/>
    <w:qFormat/>
    <w:pPr>
      <w:jc w:val="center"/>
      <w:keepNext/>
      <w:outlineLvl w:val="0"/>
    </w:pPr>
    <w:rPr>
      <w:rFonts w:ascii="楷体_GB2312" w:eastAsia="楷体_GB2312"/>
      <w:sz w:val="28"/>
      <w:szCs w:val="28"/>
    </w:rPr>
  </w:style>
  <w:style w:type="paragraph" w:styleId="883" w:customStyle="1">
    <w:name w:val="标题 21"/>
    <w:basedOn w:val="697"/>
    <w:next w:val="697"/>
    <w:link w:val="89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标题 31"/>
    <w:basedOn w:val="697"/>
    <w:next w:val="697"/>
    <w:link w:val="896"/>
    <w:uiPriority w:val="0"/>
    <w:qFormat/>
    <w:pPr>
      <w:keepLines/>
      <w:keepNext/>
      <w:spacing w:before="260" w:after="260" w:line="416" w:lineRule="auto"/>
      <w:outlineLvl w:val="2"/>
    </w:pPr>
    <w:rPr>
      <w:b/>
      <w:bCs/>
      <w:sz w:val="32"/>
      <w:szCs w:val="32"/>
    </w:rPr>
  </w:style>
  <w:style w:type="paragraph" w:styleId="885" w:customStyle="1">
    <w:name w:val="标题 41"/>
    <w:basedOn w:val="884"/>
    <w:next w:val="697"/>
    <w:link w:val="897"/>
    <w:uiPriority w:val="0"/>
    <w:qFormat/>
    <w:pPr>
      <w:spacing w:before="280" w:after="290" w:line="376" w:lineRule="auto"/>
      <w:outlineLvl w:val="3"/>
    </w:pPr>
    <w:rPr>
      <w:rFonts w:ascii="Arial" w:hAnsi="Arial" w:eastAsia="黑体" w:cs="Arial"/>
      <w:b w:val="0"/>
      <w:bCs w:val="0"/>
      <w:sz w:val="28"/>
      <w:szCs w:val="28"/>
    </w:rPr>
  </w:style>
  <w:style w:type="paragraph" w:styleId="886" w:customStyle="1">
    <w:name w:val="标题 51"/>
    <w:basedOn w:val="697"/>
    <w:next w:val="887"/>
    <w:link w:val="898"/>
    <w:uiPriority w:val="0"/>
    <w:qFormat/>
    <w:pPr>
      <w:keepNext/>
      <w:outlineLvl w:val="4"/>
    </w:pPr>
    <w:rPr>
      <w:rFonts w:ascii="宋体"/>
      <w:color w:val="000000"/>
      <w:sz w:val="28"/>
      <w:szCs w:val="28"/>
    </w:rPr>
  </w:style>
  <w:style w:type="paragraph" w:styleId="887" w:customStyle="1">
    <w:name w:val="正文缩进1"/>
    <w:basedOn w:val="697"/>
    <w:link w:val="899"/>
    <w:uiPriority w:val="0"/>
    <w:qFormat/>
    <w:pPr>
      <w:ind w:firstLine="420"/>
    </w:pPr>
    <w:rPr>
      <w:szCs w:val="21"/>
    </w:rPr>
  </w:style>
  <w:style w:type="paragraph" w:styleId="888" w:customStyle="1">
    <w:name w:val="标题 61"/>
    <w:basedOn w:val="697"/>
    <w:next w:val="697"/>
    <w:link w:val="9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customStyle="1">
    <w:name w:val="标题 71"/>
    <w:basedOn w:val="697"/>
    <w:next w:val="697"/>
    <w:link w:val="901"/>
    <w:uiPriority w:val="0"/>
    <w:qFormat/>
    <w:pPr>
      <w:numPr>
        <w:ilvl w:val="6"/>
        <w:numId w:val="1"/>
      </w:numPr>
      <w:keepLines/>
      <w:keepNext/>
      <w:spacing w:before="240" w:after="64" w:line="320" w:lineRule="auto"/>
      <w:outlineLvl w:val="6"/>
    </w:pPr>
    <w:rPr>
      <w:b/>
      <w:bCs/>
      <w:sz w:val="24"/>
      <w:szCs w:val="24"/>
    </w:rPr>
  </w:style>
  <w:style w:type="paragraph" w:styleId="890" w:customStyle="1">
    <w:name w:val="标题 81"/>
    <w:basedOn w:val="697"/>
    <w:next w:val="697"/>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1" w:customStyle="1">
    <w:name w:val="标题 91"/>
    <w:basedOn w:val="697"/>
    <w:next w:val="697"/>
    <w:link w:val="903"/>
    <w:uiPriority w:val="0"/>
    <w:qFormat/>
    <w:pPr>
      <w:numPr>
        <w:ilvl w:val="8"/>
        <w:numId w:val="1"/>
      </w:numPr>
      <w:keepLines/>
      <w:keepNext/>
      <w:spacing w:before="240" w:after="64" w:line="320" w:lineRule="auto"/>
      <w:outlineLvl w:val="8"/>
    </w:pPr>
    <w:rPr>
      <w:rFonts w:ascii="Arial" w:hAnsi="Arial" w:eastAsia="黑体"/>
      <w:szCs w:val="21"/>
    </w:rPr>
  </w:style>
  <w:style w:type="character" w:styleId="892" w:customStyle="1">
    <w:name w:val="默认段落字体1"/>
    <w:uiPriority w:val="1"/>
    <w:unhideWhenUsed/>
    <w:qFormat/>
  </w:style>
  <w:style w:type="table" w:styleId="893" w:customStyle="1">
    <w:name w:val="普通表格1"/>
    <w:uiPriority w:val="99"/>
    <w:unhideWhenUsed/>
    <w:qFormat/>
    <w:tblPr>
      <w:tblCellMar>
        <w:left w:w="0" w:type="dxa"/>
        <w:top w:w="0" w:type="dxa"/>
        <w:right w:w="0" w:type="dxa"/>
        <w:bottom w:w="0" w:type="dxa"/>
      </w:tblCellMar>
    </w:tblPr>
  </w:style>
  <w:style w:type="character" w:styleId="894" w:customStyle="1">
    <w:name w:val="标题 1 字符"/>
    <w:link w:val="882"/>
    <w:uiPriority w:val="0"/>
    <w:qFormat/>
    <w:rPr>
      <w:rFonts w:ascii="楷体_GB2312" w:hAnsi="Times New Roman" w:eastAsia="楷体_GB2312" w:cs="Times New Roman"/>
      <w:sz w:val="28"/>
      <w:szCs w:val="28"/>
    </w:rPr>
  </w:style>
  <w:style w:type="character" w:styleId="895" w:customStyle="1">
    <w:name w:val="标题 2 字符"/>
    <w:link w:val="883"/>
    <w:uiPriority w:val="0"/>
    <w:qFormat/>
    <w:rPr>
      <w:rFonts w:ascii="Arial" w:hAnsi="Arial" w:eastAsia="幼圆" w:cs="Arial"/>
      <w:b/>
      <w:bCs/>
      <w:sz w:val="44"/>
      <w:szCs w:val="44"/>
    </w:rPr>
  </w:style>
  <w:style w:type="character" w:styleId="896" w:customStyle="1">
    <w:name w:val="标题 3 字符"/>
    <w:link w:val="884"/>
    <w:uiPriority w:val="0"/>
    <w:qFormat/>
    <w:rPr>
      <w:rFonts w:ascii="Times New Roman" w:hAnsi="Times New Roman" w:eastAsia="宋体" w:cs="Times New Roman"/>
      <w:b/>
      <w:bCs/>
      <w:sz w:val="32"/>
      <w:szCs w:val="32"/>
    </w:rPr>
  </w:style>
  <w:style w:type="character" w:styleId="897" w:customStyle="1">
    <w:name w:val="标题 4 字符"/>
    <w:link w:val="885"/>
    <w:uiPriority w:val="0"/>
    <w:qFormat/>
    <w:rPr>
      <w:rFonts w:ascii="Arial" w:hAnsi="Arial" w:eastAsia="黑体" w:cs="Arial"/>
      <w:b/>
      <w:bCs/>
      <w:sz w:val="28"/>
      <w:szCs w:val="28"/>
    </w:rPr>
  </w:style>
  <w:style w:type="character" w:styleId="898" w:customStyle="1">
    <w:name w:val="标题 5 字符"/>
    <w:link w:val="886"/>
    <w:uiPriority w:val="0"/>
    <w:rPr>
      <w:rFonts w:ascii="宋体" w:hAnsi="Times New Roman" w:eastAsia="宋体" w:cs="Times New Roman"/>
      <w:color w:val="000000"/>
      <w:sz w:val="28"/>
      <w:szCs w:val="28"/>
    </w:rPr>
  </w:style>
  <w:style w:type="character" w:styleId="899" w:customStyle="1">
    <w:name w:val="正文缩进 字符"/>
    <w:link w:val="887"/>
    <w:uiPriority w:val="0"/>
    <w:rPr>
      <w:szCs w:val="21"/>
    </w:rPr>
  </w:style>
  <w:style w:type="character" w:styleId="900" w:customStyle="1">
    <w:name w:val="标题 6 字符"/>
    <w:link w:val="888"/>
    <w:uiPriority w:val="0"/>
    <w:qFormat/>
    <w:rPr>
      <w:rFonts w:ascii="Arial" w:hAnsi="Arial" w:eastAsia="黑体" w:cs="Times New Roman"/>
      <w:b/>
      <w:bCs/>
      <w:sz w:val="24"/>
      <w:szCs w:val="24"/>
    </w:rPr>
  </w:style>
  <w:style w:type="character" w:styleId="901" w:customStyle="1">
    <w:name w:val="标题 7 字符"/>
    <w:link w:val="889"/>
    <w:uiPriority w:val="0"/>
    <w:rPr>
      <w:rFonts w:ascii="Times New Roman" w:hAnsi="Times New Roman" w:eastAsia="宋体" w:cs="Times New Roman"/>
      <w:b/>
      <w:bCs/>
      <w:sz w:val="24"/>
      <w:szCs w:val="24"/>
    </w:rPr>
  </w:style>
  <w:style w:type="character" w:styleId="902" w:customStyle="1">
    <w:name w:val="标题 8 字符"/>
    <w:link w:val="890"/>
    <w:uiPriority w:val="0"/>
    <w:rPr>
      <w:rFonts w:ascii="Arial" w:hAnsi="Arial" w:eastAsia="黑体" w:cs="Times New Roman"/>
      <w:sz w:val="24"/>
      <w:szCs w:val="24"/>
    </w:rPr>
  </w:style>
  <w:style w:type="character" w:styleId="903" w:customStyle="1">
    <w:name w:val="标题 9 字符"/>
    <w:link w:val="891"/>
    <w:uiPriority w:val="0"/>
    <w:qFormat/>
    <w:rPr>
      <w:rFonts w:ascii="Arial" w:hAnsi="Arial" w:eastAsia="黑体" w:cs="Times New Roman"/>
      <w:szCs w:val="21"/>
    </w:rPr>
  </w:style>
  <w:style w:type="paragraph" w:styleId="904" w:customStyle="1">
    <w:name w:val="列表 31"/>
    <w:basedOn w:val="697"/>
    <w:uiPriority w:val="0"/>
    <w:qFormat/>
    <w:pPr>
      <w:ind w:left="100" w:hanging="200"/>
    </w:pPr>
    <w:rPr>
      <w:szCs w:val="21"/>
    </w:rPr>
  </w:style>
  <w:style w:type="paragraph" w:styleId="905" w:customStyle="1">
    <w:name w:val="目录 71"/>
    <w:basedOn w:val="697"/>
    <w:next w:val="697"/>
    <w:uiPriority w:val="0"/>
    <w:semiHidden/>
    <w:qFormat/>
    <w:pPr>
      <w:ind w:left="1260"/>
      <w:jc w:val="left"/>
    </w:pPr>
    <w:rPr>
      <w:szCs w:val="21"/>
    </w:rPr>
  </w:style>
  <w:style w:type="paragraph" w:styleId="906" w:customStyle="1">
    <w:name w:val="文档结构图1"/>
    <w:basedOn w:val="697"/>
    <w:link w:val="907"/>
    <w:uiPriority w:val="0"/>
    <w:semiHidden/>
    <w:qFormat/>
    <w:pPr>
      <w:shd w:val="clear" w:color="auto" w:fill="000080"/>
    </w:pPr>
    <w:rPr>
      <w:szCs w:val="21"/>
    </w:rPr>
  </w:style>
  <w:style w:type="character" w:styleId="907" w:customStyle="1">
    <w:name w:val="文档结构图 字符"/>
    <w:link w:val="906"/>
    <w:uiPriority w:val="0"/>
    <w:semiHidden/>
    <w:qFormat/>
    <w:rPr>
      <w:rFonts w:ascii="Times New Roman" w:hAnsi="Times New Roman" w:eastAsia="宋体" w:cs="Times New Roman"/>
      <w:szCs w:val="21"/>
      <w:shd w:val="clear" w:color="auto" w:fill="000080"/>
    </w:rPr>
  </w:style>
  <w:style w:type="paragraph" w:styleId="908" w:customStyle="1">
    <w:name w:val="批注文字1"/>
    <w:basedOn w:val="697"/>
    <w:link w:val="909"/>
    <w:uiPriority w:val="0"/>
    <w:unhideWhenUsed/>
    <w:qFormat/>
    <w:pPr>
      <w:jc w:val="left"/>
    </w:pPr>
  </w:style>
  <w:style w:type="character" w:styleId="909" w:customStyle="1">
    <w:name w:val="批注文字 字符"/>
    <w:link w:val="908"/>
    <w:uiPriority w:val="99"/>
    <w:semiHidden/>
    <w:qFormat/>
  </w:style>
  <w:style w:type="paragraph" w:styleId="910" w:customStyle="1">
    <w:name w:val="正文文本 31"/>
    <w:basedOn w:val="697"/>
    <w:link w:val="911"/>
    <w:uiPriority w:val="0"/>
    <w:qFormat/>
    <w:rPr>
      <w:rFonts w:ascii="仿宋_GB2312" w:hAnsi="Arial" w:eastAsia="仿宋_GB2312"/>
      <w:sz w:val="32"/>
      <w:szCs w:val="32"/>
    </w:rPr>
  </w:style>
  <w:style w:type="character" w:styleId="911" w:customStyle="1">
    <w:name w:val="正文文本 3 字符"/>
    <w:link w:val="910"/>
    <w:uiPriority w:val="0"/>
    <w:qFormat/>
    <w:rPr>
      <w:rFonts w:ascii="仿宋_GB2312" w:hAnsi="Arial" w:eastAsia="仿宋_GB2312" w:cs="Times New Roman"/>
      <w:sz w:val="32"/>
      <w:szCs w:val="32"/>
    </w:rPr>
  </w:style>
  <w:style w:type="paragraph" w:styleId="912" w:customStyle="1">
    <w:name w:val="正文文本1"/>
    <w:basedOn w:val="697"/>
    <w:link w:val="913"/>
    <w:uiPriority w:val="0"/>
    <w:qFormat/>
    <w:rPr>
      <w:rFonts w:ascii="楷体_GB2312" w:hAnsi="Arial" w:eastAsia="楷体_GB2312"/>
      <w:sz w:val="28"/>
      <w:szCs w:val="28"/>
    </w:rPr>
  </w:style>
  <w:style w:type="character" w:styleId="913" w:customStyle="1">
    <w:name w:val="正文文本 字符"/>
    <w:link w:val="912"/>
    <w:uiPriority w:val="0"/>
    <w:qFormat/>
    <w:rPr>
      <w:rFonts w:ascii="楷体_GB2312" w:hAnsi="Arial" w:eastAsia="楷体_GB2312" w:cs="Times New Roman"/>
      <w:sz w:val="28"/>
      <w:szCs w:val="28"/>
    </w:rPr>
  </w:style>
  <w:style w:type="paragraph" w:styleId="914" w:customStyle="1">
    <w:name w:val="正文文本缩进1"/>
    <w:basedOn w:val="697"/>
    <w:link w:val="915"/>
    <w:uiPriority w:val="0"/>
    <w:unhideWhenUsed/>
    <w:qFormat/>
    <w:pPr>
      <w:ind w:left="420"/>
      <w:spacing w:after="120"/>
    </w:pPr>
  </w:style>
  <w:style w:type="character" w:styleId="915" w:customStyle="1">
    <w:name w:val="正文文本缩进 字符"/>
    <w:link w:val="914"/>
    <w:uiPriority w:val="99"/>
    <w:semiHidden/>
    <w:qFormat/>
  </w:style>
  <w:style w:type="paragraph" w:styleId="916" w:customStyle="1">
    <w:name w:val="列表 21"/>
    <w:basedOn w:val="697"/>
    <w:uiPriority w:val="0"/>
    <w:qFormat/>
    <w:pPr>
      <w:ind w:left="100" w:hanging="200"/>
    </w:pPr>
    <w:rPr>
      <w:szCs w:val="21"/>
    </w:rPr>
  </w:style>
  <w:style w:type="paragraph" w:styleId="917" w:customStyle="1">
    <w:name w:val="目录 51"/>
    <w:basedOn w:val="697"/>
    <w:next w:val="697"/>
    <w:uiPriority w:val="0"/>
    <w:semiHidden/>
    <w:qFormat/>
    <w:pPr>
      <w:ind w:left="840"/>
      <w:jc w:val="left"/>
    </w:pPr>
    <w:rPr>
      <w:szCs w:val="21"/>
    </w:rPr>
  </w:style>
  <w:style w:type="paragraph" w:styleId="918" w:customStyle="1">
    <w:name w:val="目录 31"/>
    <w:basedOn w:val="697"/>
    <w:next w:val="697"/>
    <w:uiPriority w:val="0"/>
    <w:semiHidden/>
    <w:qFormat/>
    <w:pPr>
      <w:ind w:left="420"/>
      <w:jc w:val="left"/>
    </w:pPr>
    <w:rPr>
      <w:i/>
      <w:iCs/>
      <w:szCs w:val="24"/>
    </w:rPr>
  </w:style>
  <w:style w:type="paragraph" w:styleId="919" w:customStyle="1">
    <w:name w:val="纯文本1"/>
    <w:basedOn w:val="697"/>
    <w:link w:val="920"/>
    <w:uiPriority w:val="0"/>
    <w:qFormat/>
    <w:rPr>
      <w:rFonts w:ascii="宋体" w:hAnsi="Courier New" w:cs="Courier New"/>
      <w:szCs w:val="21"/>
    </w:rPr>
  </w:style>
  <w:style w:type="character" w:styleId="920" w:customStyle="1">
    <w:name w:val="纯文本 字符"/>
    <w:link w:val="919"/>
    <w:uiPriority w:val="0"/>
    <w:qFormat/>
    <w:rPr>
      <w:rFonts w:ascii="宋体" w:hAnsi="Courier New" w:eastAsia="宋体" w:cs="Courier New"/>
      <w:szCs w:val="21"/>
    </w:rPr>
  </w:style>
  <w:style w:type="paragraph" w:styleId="921" w:customStyle="1">
    <w:name w:val="目录 81"/>
    <w:basedOn w:val="697"/>
    <w:next w:val="697"/>
    <w:uiPriority w:val="0"/>
    <w:semiHidden/>
    <w:qFormat/>
    <w:pPr>
      <w:ind w:left="1470"/>
      <w:jc w:val="left"/>
    </w:pPr>
    <w:rPr>
      <w:szCs w:val="21"/>
    </w:rPr>
  </w:style>
  <w:style w:type="paragraph" w:styleId="922" w:customStyle="1">
    <w:name w:val="日期1"/>
    <w:basedOn w:val="697"/>
    <w:next w:val="697"/>
    <w:link w:val="923"/>
    <w:uiPriority w:val="0"/>
    <w:qFormat/>
    <w:rPr>
      <w:sz w:val="24"/>
      <w:szCs w:val="24"/>
    </w:rPr>
  </w:style>
  <w:style w:type="character" w:styleId="923" w:customStyle="1">
    <w:name w:val="日期 字符"/>
    <w:link w:val="922"/>
    <w:uiPriority w:val="0"/>
    <w:qFormat/>
    <w:rPr>
      <w:rFonts w:ascii="Times New Roman" w:hAnsi="Times New Roman" w:eastAsia="宋体" w:cs="Times New Roman"/>
      <w:sz w:val="24"/>
      <w:szCs w:val="24"/>
    </w:rPr>
  </w:style>
  <w:style w:type="paragraph" w:styleId="924" w:customStyle="1">
    <w:name w:val="正文文本缩进 21"/>
    <w:basedOn w:val="697"/>
    <w:link w:val="925"/>
    <w:uiPriority w:val="0"/>
    <w:qFormat/>
    <w:pPr>
      <w:ind w:left="630" w:firstLine="645"/>
    </w:pPr>
    <w:rPr>
      <w:rFonts w:ascii="Arial" w:hAnsi="Arial" w:eastAsia="仿宋_GB2312" w:cs="Arial"/>
      <w:sz w:val="32"/>
      <w:szCs w:val="32"/>
    </w:rPr>
  </w:style>
  <w:style w:type="character" w:styleId="925" w:customStyle="1">
    <w:name w:val="正文文本缩进 2 字符"/>
    <w:link w:val="924"/>
    <w:uiPriority w:val="0"/>
    <w:qFormat/>
    <w:rPr>
      <w:rFonts w:ascii="Arial" w:hAnsi="Arial" w:eastAsia="仿宋_GB2312" w:cs="Arial"/>
      <w:sz w:val="32"/>
      <w:szCs w:val="32"/>
    </w:rPr>
  </w:style>
  <w:style w:type="paragraph" w:styleId="926" w:customStyle="1">
    <w:name w:val="批注框文本1"/>
    <w:basedOn w:val="697"/>
    <w:link w:val="927"/>
    <w:uiPriority w:val="0"/>
    <w:semiHidden/>
    <w:qFormat/>
    <w:rPr>
      <w:sz w:val="18"/>
      <w:szCs w:val="18"/>
    </w:rPr>
  </w:style>
  <w:style w:type="character" w:styleId="927" w:customStyle="1">
    <w:name w:val="批注框文本 字符"/>
    <w:link w:val="926"/>
    <w:uiPriority w:val="0"/>
    <w:semiHidden/>
    <w:qFormat/>
    <w:rPr>
      <w:rFonts w:ascii="Times New Roman" w:hAnsi="Times New Roman" w:eastAsia="宋体" w:cs="Times New Roman"/>
      <w:sz w:val="18"/>
      <w:szCs w:val="18"/>
    </w:rPr>
  </w:style>
  <w:style w:type="paragraph" w:styleId="928" w:customStyle="1">
    <w:name w:val="页脚1"/>
    <w:basedOn w:val="697"/>
    <w:link w:val="929"/>
    <w:uiPriority w:val="99"/>
    <w:qFormat/>
    <w:pPr>
      <w:jc w:val="left"/>
      <w:tabs>
        <w:tab w:val="center" w:pos="4153" w:leader="none"/>
        <w:tab w:val="right" w:pos="8306" w:leader="none"/>
      </w:tabs>
    </w:pPr>
    <w:rPr>
      <w:sz w:val="18"/>
      <w:szCs w:val="18"/>
    </w:rPr>
  </w:style>
  <w:style w:type="character" w:styleId="929" w:customStyle="1">
    <w:name w:val="页脚 字符"/>
    <w:link w:val="928"/>
    <w:uiPriority w:val="99"/>
    <w:qFormat/>
    <w:rPr>
      <w:rFonts w:ascii="Times New Roman" w:hAnsi="Times New Roman" w:eastAsia="宋体" w:cs="Times New Roman"/>
      <w:sz w:val="18"/>
      <w:szCs w:val="18"/>
    </w:rPr>
  </w:style>
  <w:style w:type="paragraph" w:styleId="930" w:customStyle="1">
    <w:name w:val="页眉1"/>
    <w:basedOn w:val="697"/>
    <w:link w:val="931"/>
    <w:uiPriority w:val="0"/>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字符"/>
    <w:link w:val="930"/>
    <w:uiPriority w:val="0"/>
    <w:qFormat/>
    <w:rPr>
      <w:rFonts w:ascii="Times New Roman" w:hAnsi="Times New Roman" w:eastAsia="宋体" w:cs="Times New Roman"/>
      <w:sz w:val="18"/>
      <w:szCs w:val="18"/>
    </w:rPr>
  </w:style>
  <w:style w:type="paragraph" w:styleId="932" w:customStyle="1">
    <w:name w:val="目录 11"/>
    <w:basedOn w:val="697"/>
    <w:next w:val="697"/>
    <w:uiPriority w:val="0"/>
    <w:semiHidden/>
    <w:qFormat/>
    <w:pPr>
      <w:jc w:val="left"/>
      <w:spacing w:before="120" w:after="120" w:line="400" w:lineRule="exact"/>
      <w:tabs>
        <w:tab w:val="right" w:pos="8720" w:leader="dot"/>
      </w:tabs>
    </w:pPr>
    <w:rPr>
      <w:rFonts w:ascii="宋体" w:hAnsi="宋体"/>
      <w:caps/>
      <w:sz w:val="24"/>
      <w:szCs w:val="24"/>
    </w:rPr>
  </w:style>
  <w:style w:type="paragraph" w:styleId="933" w:customStyle="1">
    <w:name w:val="目录 41"/>
    <w:basedOn w:val="697"/>
    <w:next w:val="697"/>
    <w:uiPriority w:val="0"/>
    <w:semiHidden/>
    <w:qFormat/>
    <w:pPr>
      <w:ind w:left="630"/>
      <w:jc w:val="left"/>
    </w:pPr>
    <w:rPr>
      <w:szCs w:val="21"/>
    </w:rPr>
  </w:style>
  <w:style w:type="paragraph" w:styleId="934" w:customStyle="1">
    <w:name w:val="列表1"/>
    <w:basedOn w:val="697"/>
    <w:uiPriority w:val="0"/>
    <w:qFormat/>
    <w:pPr>
      <w:ind w:left="200" w:hanging="200"/>
    </w:pPr>
    <w:rPr>
      <w:szCs w:val="21"/>
    </w:rPr>
  </w:style>
  <w:style w:type="paragraph" w:styleId="935" w:customStyle="1">
    <w:name w:val="目录 61"/>
    <w:basedOn w:val="697"/>
    <w:next w:val="697"/>
    <w:uiPriority w:val="0"/>
    <w:semiHidden/>
    <w:qFormat/>
    <w:pPr>
      <w:ind w:left="1050"/>
      <w:jc w:val="left"/>
    </w:pPr>
    <w:rPr>
      <w:szCs w:val="21"/>
    </w:rPr>
  </w:style>
  <w:style w:type="paragraph" w:styleId="936" w:customStyle="1">
    <w:name w:val="正文文本缩进 31"/>
    <w:basedOn w:val="697"/>
    <w:link w:val="937"/>
    <w:uiPriority w:val="0"/>
    <w:qFormat/>
    <w:pPr>
      <w:ind w:left="645" w:firstLine="645"/>
    </w:pPr>
    <w:rPr>
      <w:rFonts w:ascii="Arial" w:hAnsi="Arial" w:eastAsia="仿宋_GB2312" w:cs="Arial"/>
      <w:color w:val="ffff00"/>
      <w:sz w:val="32"/>
      <w:szCs w:val="32"/>
    </w:rPr>
  </w:style>
  <w:style w:type="character" w:styleId="937" w:customStyle="1">
    <w:name w:val="正文文本缩进 3 字符"/>
    <w:link w:val="936"/>
    <w:uiPriority w:val="0"/>
    <w:qFormat/>
    <w:rPr>
      <w:rFonts w:ascii="Arial" w:hAnsi="Arial" w:eastAsia="仿宋_GB2312" w:cs="Arial"/>
      <w:color w:val="ffff00"/>
      <w:sz w:val="32"/>
      <w:szCs w:val="32"/>
    </w:rPr>
  </w:style>
  <w:style w:type="paragraph" w:styleId="938" w:customStyle="1">
    <w:name w:val="图表目录1"/>
    <w:basedOn w:val="697"/>
    <w:next w:val="697"/>
    <w:uiPriority w:val="0"/>
    <w:semiHidden/>
    <w:qFormat/>
    <w:pPr>
      <w:ind w:left="840" w:hanging="420"/>
    </w:pPr>
    <w:rPr>
      <w:szCs w:val="21"/>
    </w:rPr>
  </w:style>
  <w:style w:type="paragraph" w:styleId="939" w:customStyle="1">
    <w:name w:val="目录 21"/>
    <w:basedOn w:val="697"/>
    <w:next w:val="697"/>
    <w:uiPriority w:val="0"/>
    <w:semiHidden/>
    <w:qFormat/>
    <w:pPr>
      <w:ind w:left="210"/>
      <w:jc w:val="left"/>
    </w:pPr>
    <w:rPr>
      <w:smallCaps/>
      <w:szCs w:val="24"/>
    </w:rPr>
  </w:style>
  <w:style w:type="paragraph" w:styleId="940" w:customStyle="1">
    <w:name w:val="目录 91"/>
    <w:basedOn w:val="697"/>
    <w:next w:val="697"/>
    <w:uiPriority w:val="0"/>
    <w:semiHidden/>
    <w:qFormat/>
    <w:pPr>
      <w:ind w:left="1680"/>
      <w:jc w:val="left"/>
    </w:pPr>
    <w:rPr>
      <w:szCs w:val="21"/>
    </w:rPr>
  </w:style>
  <w:style w:type="paragraph" w:styleId="941" w:customStyle="1">
    <w:name w:val="正文文本 21"/>
    <w:basedOn w:val="697"/>
    <w:link w:val="942"/>
    <w:uiPriority w:val="0"/>
    <w:qFormat/>
    <w:pPr>
      <w:jc w:val="center"/>
      <w:widowControl/>
    </w:pPr>
    <w:rPr>
      <w:rFonts w:ascii="楷体_GB2312" w:eastAsia="楷体_GB2312"/>
      <w:sz w:val="28"/>
      <w:szCs w:val="28"/>
    </w:rPr>
  </w:style>
  <w:style w:type="character" w:styleId="942" w:customStyle="1">
    <w:name w:val="正文文本 2 字符"/>
    <w:link w:val="941"/>
    <w:uiPriority w:val="0"/>
    <w:qFormat/>
    <w:rPr>
      <w:rFonts w:ascii="楷体_GB2312" w:hAnsi="Times New Roman" w:eastAsia="楷体_GB2312" w:cs="Times New Roman"/>
      <w:sz w:val="28"/>
      <w:szCs w:val="28"/>
    </w:rPr>
  </w:style>
  <w:style w:type="paragraph" w:styleId="943" w:customStyle="1">
    <w:name w:val="普通(网站)1"/>
    <w:basedOn w:val="697"/>
    <w:uiPriority w:val="99"/>
    <w:qFormat/>
    <w:pPr>
      <w:jc w:val="left"/>
      <w:spacing w:before="100" w:beforeAutospacing="1" w:after="100" w:afterAutospacing="1"/>
      <w:widowControl/>
    </w:pPr>
    <w:rPr>
      <w:rFonts w:ascii="宋体" w:hAnsi="宋体" w:cs="宋体"/>
      <w:sz w:val="24"/>
      <w:szCs w:val="24"/>
    </w:rPr>
  </w:style>
  <w:style w:type="paragraph" w:styleId="944" w:customStyle="1">
    <w:name w:val="索引 11"/>
    <w:basedOn w:val="697"/>
    <w:next w:val="697"/>
    <w:uiPriority w:val="0"/>
    <w:semiHidden/>
    <w:qFormat/>
    <w:pPr>
      <w:spacing w:line="240" w:lineRule="atLeast"/>
    </w:pPr>
    <w:rPr>
      <w:b/>
      <w:bCs/>
      <w:szCs w:val="21"/>
    </w:rPr>
  </w:style>
  <w:style w:type="paragraph" w:styleId="945" w:customStyle="1">
    <w:name w:val="批注主题1"/>
    <w:basedOn w:val="908"/>
    <w:next w:val="908"/>
    <w:link w:val="946"/>
    <w:uiPriority w:val="0"/>
    <w:semiHidden/>
    <w:qFormat/>
    <w:rPr>
      <w:b/>
      <w:bCs/>
      <w:szCs w:val="21"/>
    </w:rPr>
  </w:style>
  <w:style w:type="character" w:styleId="946" w:customStyle="1">
    <w:name w:val="批注主题 字符"/>
    <w:link w:val="945"/>
    <w:uiPriority w:val="0"/>
    <w:semiHidden/>
    <w:qFormat/>
    <w:rPr>
      <w:rFonts w:ascii="Times New Roman" w:hAnsi="Times New Roman" w:eastAsia="宋体" w:cs="Times New Roman"/>
      <w:b/>
      <w:bCs/>
      <w:szCs w:val="21"/>
    </w:rPr>
  </w:style>
  <w:style w:type="paragraph" w:styleId="947" w:customStyle="1">
    <w:name w:val="正文首行缩进1"/>
    <w:basedOn w:val="697"/>
    <w:link w:val="948"/>
    <w:uiPriority w:val="0"/>
    <w:qFormat/>
    <w:pPr>
      <w:ind w:firstLine="200"/>
      <w:spacing w:line="360" w:lineRule="auto"/>
    </w:pPr>
    <w:rPr>
      <w:rFonts w:ascii="仿宋_GB2312" w:eastAsia="仿宋_GB2312"/>
      <w:sz w:val="30"/>
      <w:szCs w:val="30"/>
    </w:rPr>
  </w:style>
  <w:style w:type="character" w:styleId="948" w:customStyle="1">
    <w:name w:val="正文首行缩进 字符"/>
    <w:link w:val="947"/>
    <w:uiPriority w:val="0"/>
    <w:qFormat/>
    <w:rPr>
      <w:rFonts w:ascii="仿宋_GB2312" w:hAnsi="Times New Roman" w:eastAsia="仿宋_GB2312" w:cs="Times New Roman"/>
      <w:sz w:val="30"/>
      <w:szCs w:val="30"/>
    </w:rPr>
  </w:style>
  <w:style w:type="paragraph" w:styleId="949" w:customStyle="1">
    <w:name w:val="正文首行缩进 21"/>
    <w:basedOn w:val="914"/>
    <w:link w:val="950"/>
    <w:uiPriority w:val="0"/>
    <w:qFormat/>
    <w:pPr>
      <w:ind w:left="0" w:firstLine="420"/>
      <w:spacing w:after="0" w:line="360" w:lineRule="auto"/>
    </w:pPr>
    <w:rPr>
      <w:rFonts w:ascii="宋体" w:hAnsi="宋体"/>
      <w:szCs w:val="20"/>
    </w:rPr>
  </w:style>
  <w:style w:type="character" w:styleId="950" w:customStyle="1">
    <w:name w:val="正文首行缩进 2 字符"/>
    <w:link w:val="949"/>
    <w:uiPriority w:val="0"/>
    <w:qFormat/>
    <w:rPr>
      <w:rFonts w:ascii="宋体" w:hAnsi="宋体" w:eastAsia="宋体" w:cs="Times New Roman"/>
      <w:szCs w:val="20"/>
    </w:rPr>
  </w:style>
  <w:style w:type="table" w:styleId="951" w:customStyle="1">
    <w:name w:val="网格型1"/>
    <w:basedOn w:val="893"/>
    <w:uiPriority w:val="0"/>
    <w:qFormat/>
    <w:pPr>
      <w:jc w:val="both"/>
      <w:widowControl w:val="off"/>
    </w:pPr>
    <w:tblPr>
      <w:tblCellMar>
        <w:left w:w="0" w:type="dxa"/>
        <w:top w:w="0" w:type="dxa"/>
        <w:right w:w="0" w:type="dxa"/>
        <w:bottom w:w="0" w:type="dxa"/>
      </w:tblCellMar>
    </w:tblPr>
  </w:style>
  <w:style w:type="character" w:styleId="952" w:customStyle="1">
    <w:name w:val="要点1"/>
    <w:uiPriority w:val="0"/>
    <w:qFormat/>
    <w:rPr>
      <w:b/>
      <w:bCs/>
    </w:rPr>
  </w:style>
  <w:style w:type="character" w:styleId="953" w:customStyle="1">
    <w:name w:val="页码1"/>
    <w:uiPriority w:val="0"/>
    <w:qFormat/>
  </w:style>
  <w:style w:type="character" w:styleId="954" w:customStyle="1">
    <w:name w:val="已访问的超链接1"/>
    <w:basedOn w:val="892"/>
    <w:uiPriority w:val="0"/>
    <w:qFormat/>
    <w:rPr>
      <w:color w:val="333333"/>
      <w:u w:val="none"/>
    </w:rPr>
  </w:style>
  <w:style w:type="character" w:styleId="955" w:customStyle="1">
    <w:name w:val="强调1"/>
    <w:uiPriority w:val="0"/>
    <w:qFormat/>
    <w:rPr>
      <w:i/>
    </w:rPr>
  </w:style>
  <w:style w:type="character" w:styleId="956" w:customStyle="1">
    <w:name w:val="超链接1"/>
    <w:basedOn w:val="892"/>
    <w:uiPriority w:val="0"/>
    <w:qFormat/>
    <w:rPr>
      <w:color w:val="333333"/>
      <w:u w:val="none"/>
    </w:rPr>
  </w:style>
  <w:style w:type="character" w:styleId="957" w:customStyle="1">
    <w:name w:val="批注引用1"/>
    <w:uiPriority w:val="0"/>
    <w:semiHidden/>
    <w:qFormat/>
    <w:rPr>
      <w:sz w:val="21"/>
      <w:szCs w:val="21"/>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97"/>
    <w:link w:val="95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97"/>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697"/>
    <w:next w:val="912"/>
    <w:uiPriority w:val="0"/>
    <w:qFormat/>
    <w:pPr>
      <w:spacing w:after="120"/>
    </w:pPr>
    <w:rPr>
      <w:rFonts w:ascii="宋体" w:hAnsi="Arial"/>
      <w:bCs/>
      <w:iCs/>
      <w:szCs w:val="24"/>
    </w:rPr>
  </w:style>
  <w:style w:type="paragraph" w:styleId="964" w:customStyle="1">
    <w:name w:val="xl2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97"/>
    <w:uiPriority w:val="0"/>
    <w:qFormat/>
    <w:pPr>
      <w:ind w:firstLine="200"/>
      <w:tabs>
        <w:tab w:val="left" w:pos="360" w:leader="none"/>
      </w:tabs>
    </w:pPr>
    <w:rPr>
      <w:sz w:val="28"/>
      <w:szCs w:val="30"/>
    </w:rPr>
  </w:style>
  <w:style w:type="paragraph" w:styleId="967" w:customStyle="1">
    <w:name w:val="Char1"/>
    <w:basedOn w:val="906"/>
    <w:uiPriority w:val="0"/>
    <w:qFormat/>
    <w:rPr>
      <w:rFonts w:ascii="Tahoma" w:hAnsi="Tahoma"/>
      <w:sz w:val="24"/>
      <w:szCs w:val="24"/>
    </w:rPr>
  </w:style>
  <w:style w:type="paragraph" w:styleId="968" w:customStyle="1">
    <w:name w:val="普通正文"/>
    <w:basedOn w:val="697"/>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97"/>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1" w:customStyle="1">
    <w:name w:val="font7"/>
    <w:basedOn w:val="697"/>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906"/>
    <w:uiPriority w:val="0"/>
    <w:qFormat/>
    <w:pPr>
      <w:spacing w:line="360" w:lineRule="auto"/>
    </w:pPr>
    <w:rPr>
      <w:rFonts w:ascii="Tahoma" w:hAnsi="Tahoma"/>
      <w:sz w:val="24"/>
      <w:szCs w:val="24"/>
    </w:rPr>
  </w:style>
  <w:style w:type="paragraph" w:styleId="973" w:customStyle="1">
    <w:name w:val="列出段落2"/>
    <w:basedOn w:val="697"/>
    <w:uiPriority w:val="0"/>
    <w:qFormat/>
    <w:pPr>
      <w:contextualSpacing/>
      <w:ind w:left="720"/>
      <w:jc w:val="left"/>
      <w:widowControl/>
    </w:pPr>
    <w:rPr>
      <w:rFonts w:ascii="Calibri" w:hAnsi="Calibri"/>
      <w:sz w:val="24"/>
      <w:szCs w:val="24"/>
      <w:lang w:eastAsia="en-US" w:bidi="en-US"/>
    </w:rPr>
  </w:style>
  <w:style w:type="paragraph" w:styleId="974" w:customStyle="1">
    <w:name w:val="4"/>
    <w:basedOn w:val="697"/>
    <w:next w:val="936"/>
    <w:uiPriority w:val="0"/>
    <w:qFormat/>
    <w:pPr>
      <w:ind w:firstLine="420"/>
      <w:spacing w:line="360" w:lineRule="auto"/>
    </w:pPr>
    <w:rPr>
      <w:color w:val="ff0000"/>
      <w:sz w:val="24"/>
      <w:szCs w:val="24"/>
    </w:rPr>
  </w:style>
  <w:style w:type="paragraph" w:styleId="975" w:customStyle="1">
    <w:name w:val="普通 (Web)"/>
    <w:basedOn w:val="697"/>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697"/>
    <w:uiPriority w:val="0"/>
    <w:qFormat/>
    <w:pPr>
      <w:spacing w:line="360" w:lineRule="auto"/>
    </w:pPr>
    <w:rPr>
      <w:sz w:val="24"/>
      <w:szCs w:val="20"/>
    </w:rPr>
  </w:style>
  <w:style w:type="paragraph" w:styleId="977" w:customStyle="1">
    <w:name w:val="样式1"/>
    <w:basedOn w:val="697"/>
    <w:uiPriority w:val="0"/>
    <w:qFormat/>
    <w:pPr>
      <w:numPr>
        <w:ilvl w:val="0"/>
        <w:numId w:val="3"/>
      </w:numPr>
    </w:pPr>
    <w:rPr>
      <w:rFonts w:ascii="宋体" w:hAnsi="宋体"/>
      <w:szCs w:val="21"/>
    </w:rPr>
  </w:style>
  <w:style w:type="paragraph" w:styleId="978" w:customStyle="1">
    <w:name w:val="font6"/>
    <w:basedOn w:val="697"/>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97"/>
    <w:next w:val="69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97"/>
    <w:next w:val="697"/>
    <w:uiPriority w:val="0"/>
    <w:qFormat/>
    <w:pPr>
      <w:ind w:firstLine="624"/>
      <w:spacing w:line="590" w:lineRule="atLeast"/>
    </w:pPr>
    <w:rPr>
      <w:rFonts w:ascii="方正黑体_GBK" w:eastAsia="方正黑体_GBK"/>
      <w:sz w:val="32"/>
      <w:szCs w:val="32"/>
    </w:rPr>
  </w:style>
  <w:style w:type="paragraph" w:styleId="982" w:customStyle="1">
    <w:name w:val="xl24"/>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9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697"/>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97"/>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906"/>
    <w:uiPriority w:val="0"/>
    <w:qFormat/>
    <w:pPr>
      <w:spacing w:line="360" w:lineRule="auto"/>
    </w:pPr>
    <w:rPr>
      <w:rFonts w:ascii="Tahoma" w:hAnsi="Tahoma"/>
      <w:sz w:val="24"/>
      <w:szCs w:val="24"/>
    </w:rPr>
  </w:style>
  <w:style w:type="paragraph" w:styleId="989" w:customStyle="1">
    <w:name w:val="table_1stline"/>
    <w:basedOn w:val="697"/>
    <w:uiPriority w:val="0"/>
    <w:qFormat/>
    <w:pPr>
      <w:jc w:val="left"/>
      <w:spacing w:before="120"/>
      <w:widowControl/>
    </w:pPr>
    <w:rPr>
      <w:bCs/>
      <w:sz w:val="20"/>
      <w:szCs w:val="20"/>
      <w:lang w:val="de-DE" w:eastAsia="de-DE"/>
    </w:rPr>
  </w:style>
  <w:style w:type="paragraph" w:styleId="990" w:customStyle="1">
    <w:name w:val="font5"/>
    <w:basedOn w:val="697"/>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97"/>
    <w:next w:val="6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1"/>
    <w:uiPriority w:val="99"/>
    <w:semiHidden/>
    <w:qFormat/>
    <w:rPr>
      <w:rFonts w:ascii="Times New Roman" w:hAnsi="Times New Roman" w:eastAsia="宋体" w:cs="Times New Roman"/>
      <w:sz w:val="21"/>
      <w:szCs w:val="21"/>
      <w:lang w:val="en-US" w:eastAsia="zh-CN" w:bidi="ar-SA"/>
    </w:rPr>
  </w:style>
  <w:style w:type="paragraph" w:styleId="99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95" w:customStyle="1">
    <w:name w:val="active"/>
    <w:basedOn w:val="892"/>
    <w:uiPriority w:val="0"/>
    <w:qFormat/>
    <w:rPr>
      <w:color w:val="ffffff"/>
      <w:shd w:val="clear" w:color="auto" w:fill="0f5bb9"/>
    </w:rPr>
  </w:style>
  <w:style w:type="character" w:styleId="996" w:customStyle="1">
    <w:name w:val="last-child"/>
    <w:basedOn w:val="892"/>
    <w:uiPriority w:val="0"/>
    <w:qFormat/>
  </w:style>
  <w:style w:type="character" w:styleId="997" w:customStyle="1">
    <w:name w:val="active16"/>
    <w:basedOn w:val="892"/>
    <w:uiPriority w:val="0"/>
    <w:qFormat/>
    <w:rPr>
      <w:color w:val="ffffff"/>
      <w:shd w:val="clear" w:color="auto" w:fill="0f5bb9"/>
    </w:rPr>
  </w:style>
  <w:style w:type="paragraph" w:styleId="998" w:customStyle="1">
    <w:name w:val="标题4"/>
    <w:basedOn w:val="885"/>
    <w:uiPriority w:val="0"/>
    <w:qFormat/>
    <w:pPr>
      <w:spacing w:before="140" w:after="140"/>
    </w:pPr>
    <w:rPr>
      <w:sz w:val="24"/>
    </w:rPr>
  </w:style>
  <w:style w:type="character" w:styleId="999" w:customStyle="1">
    <w:name w:val="页眉 Char"/>
    <w:basedOn w:val="698"/>
    <w:link w:val="708"/>
    <w:uiPriority w:val="99"/>
    <w:semiHidden/>
    <w:qFormat/>
    <w:rPr>
      <w:sz w:val="18"/>
      <w:szCs w:val="18"/>
    </w:rPr>
  </w:style>
  <w:style w:type="character" w:styleId="1000" w:customStyle="1">
    <w:name w:val="页脚 Char"/>
    <w:basedOn w:val="698"/>
    <w:link w:val="707"/>
    <w:uiPriority w:val="99"/>
    <w:semiHidden/>
    <w:qFormat/>
    <w:rPr>
      <w:sz w:val="18"/>
      <w:szCs w:val="18"/>
    </w:rPr>
  </w:style>
  <w:style w:type="character" w:styleId="1001" w:customStyle="1">
    <w:name w:val="批注框文本 Char"/>
    <w:basedOn w:val="698"/>
    <w:link w:val="706"/>
    <w:uiPriority w:val="99"/>
    <w:semiHidden/>
    <w:qFormat/>
    <w:rPr>
      <w:sz w:val="18"/>
      <w:szCs w:val="18"/>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A253D-BFBE-4EA8-8FFD-F43665CCF35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郁文娟</cp:lastModifiedBy>
  <cp:revision>75</cp:revision>
  <dcterms:created xsi:type="dcterms:W3CDTF">2026-08-26T08:38:00Z</dcterms:created>
  <dcterms:modified xsi:type="dcterms:W3CDTF">2026-09-24T04:56:13Z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eyJoZGlkIjoiNmM2NTMxMGY4ZWJjMzIyMjdhMmE2YmQyYWVlNmFkZGIiLCJ1c2VySWQiOiI0NjE0MDA2MDAifQ==</vt:lpwstr>
  </property>
  <property fmtid="{D5CDD505-2E9C-101B-9397-08002B2CF9AE}" pid="3" name="KSOProductBuildVer">
    <vt:lpwstr>2052-12.1.0.29161</vt:lpwstr>
  </property>
  <property fmtid="{D5CDD505-2E9C-101B-9397-08002B2CF9AE}" pid="4" name="ICV">
    <vt:lpwstr>69434CBD768348E0977E0032934478AC_13</vt:lpwstr>
  </property>
</Properties>
</file>