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778"/>
        <w:jc w:val="center"/>
        <w:rPr>
          <w:color w:val="auto"/>
          <w:highlight w:val="none"/>
        </w:rPr>
      </w:pPr>
      <w:r>
        <w:rPr>
          <w:rFonts w:hint="eastAsia" w:ascii="宋体" w:hAnsi="宋体" w:cs="宋体"/>
          <w:b/>
          <w:bCs/>
          <w:color w:val="auto"/>
          <w:sz w:val="36"/>
          <w:szCs w:val="36"/>
          <w:highlight w:val="none"/>
        </w:rPr>
        <w:t xml:space="preserve">江苏省人民医院布草洗涤服务</w:t>
      </w:r>
      <w:r/>
    </w:p>
    <w:p>
      <w:pPr>
        <w:pStyle w:val="866"/>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项目编号：JSZC-320000-JSHY-G2026-0182</w:t>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代理机构识别号：1009-2641HOLLYD55</w:t>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pStyle w:val="866"/>
        <w:tabs>
          <w:tab w:val="left" w:pos="6527" w:leader="none"/>
        </w:tabs>
        <w:rPr>
          <w:rFonts w:hint="eastAsia" w:ascii="宋体" w:hAnsi="宋体" w:cs="宋体"/>
          <w:b/>
          <w:bCs/>
          <w:color w:val="auto"/>
          <w:szCs w:val="36"/>
          <w:highlight w:val="none"/>
        </w:rPr>
      </w:pPr>
      <w:r>
        <w:rPr>
          <w:rFonts w:hint="eastAsia" w:ascii="宋体" w:hAnsi="宋体" w:cs="宋体"/>
          <w:b/>
          <w:bCs/>
          <w:color w:val="auto"/>
          <w:szCs w:val="36"/>
          <w:highlight w:val="none"/>
        </w:rPr>
      </w:r>
      <w:r/>
    </w:p>
    <w:p>
      <w:pPr>
        <w:shd w:val="nil" w:color="auto"/>
        <w:rPr>
          <w:rFonts w:hint="eastAsia" w:ascii="宋体" w:hAnsi="宋体" w:cs="宋体"/>
          <w:b/>
          <w:bCs/>
          <w:color w:val="auto"/>
          <w:sz w:val="32"/>
          <w:szCs w:val="32"/>
          <w:highlight w:val="none"/>
        </w:rPr>
      </w:pPr>
      <w:r>
        <w:rPr>
          <w:rFonts w:hint="eastAsia" w:ascii="宋体" w:hAnsi="宋体" w:cs="宋体"/>
          <w:b/>
          <w:bCs/>
          <w:color w:val="auto"/>
          <w:sz w:val="32"/>
          <w:szCs w:val="36"/>
          <w:highlight w:val="none"/>
        </w:rPr>
        <w:br w:type="page" w:clear="all"/>
      </w: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790"/>
            <w:spacing w:line="480" w:lineRule="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p>
        <w:p>
          <w:pPr>
            <w:pStyle w:val="790"/>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第四部分项目需求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t xml:space="preserve">8</w:t>
          </w:r>
          <w:r/>
        </w:p>
        <w:p>
          <w:pPr>
            <w:pStyle w:val="790"/>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80" w:lineRule="auto"/>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jc w:val="center"/>
            <w:spacing w:line="480" w:lineRule="auto"/>
            <w:tabs>
              <w:tab w:val="right" w:pos="9740" w:leader="dot"/>
            </w:tabs>
            <w:rPr>
              <w:rFonts w:hint="eastAsia"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rPr>
          <w:rFonts w:hint="eastAsia" w:ascii="宋体" w:hAnsi="宋体" w:cs="宋体"/>
          <w:bCs/>
          <w:color w:val="auto"/>
          <w:szCs w:val="28"/>
          <w:highlight w:val="none"/>
        </w:rPr>
      </w:pPr>
      <w:r>
        <w:rPr>
          <w:rFonts w:hint="eastAsia" w:ascii="宋体" w:hAnsi="宋体" w:cs="宋体"/>
          <w:bCs/>
          <w:color w:val="auto"/>
          <w:szCs w:val="28"/>
          <w:highlight w:val="none"/>
        </w:rPr>
      </w:r>
      <w:r/>
    </w:p>
    <w:p>
      <w:pPr>
        <w:jc w:val="left"/>
        <w:tabs>
          <w:tab w:val="left" w:pos="1445" w:leader="none"/>
        </w:tabs>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67"/>
          <w:color w:val="auto"/>
          <w:sz w:val="32"/>
          <w:highlight w:val="none"/>
        </w:rPr>
        <w:outlineLvl w:val="0"/>
      </w:pPr>
      <w:r/>
      <w:bookmarkStart w:id="1" w:name="_Toc514054470"/>
      <w:r/>
      <w:bookmarkStart w:id="2" w:name="_Toc32256"/>
      <w:r/>
      <w:bookmarkStart w:id="3" w:name="_Toc27317"/>
      <w:r>
        <w:rPr>
          <w:rStyle w:val="867"/>
          <w:rFonts w:hint="eastAsia"/>
          <w:color w:val="auto"/>
          <w:highlight w:val="none"/>
        </w:rPr>
        <w:t xml:space="preserve">第一部分招标公告</w:t>
      </w:r>
      <w:bookmarkEnd w:id="1"/>
      <w:r/>
      <w:bookmarkEnd w:id="2"/>
      <w:r/>
      <w:bookmarkEnd w:id="3"/>
      <w:r/>
      <w:r/>
    </w:p>
    <w:tbl>
      <w:tblPr>
        <w:tblStyle w:val="773"/>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江苏省人民医院布草洗涤服务的潜在投标人</w:t>
            </w:r>
            <w:bookmarkStart w:id="258" w:name="_GoBack"/>
            <w:r/>
            <w:bookmarkEnd w:id="258"/>
            <w:r>
              <w:rPr>
                <w:rFonts w:hint="eastAsia" w:ascii="宋体" w:hAnsi="宋体" w:cs="宋体"/>
                <w:color w:val="auto"/>
                <w:sz w:val="24"/>
                <w:szCs w:val="24"/>
                <w:highlight w:val="none"/>
              </w:rPr>
              <w:t xml:space="preserve">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获取招标文件，并于2026年</w:t>
            </w:r>
            <w:r>
              <w:rPr>
                <w:rFonts w:hint="eastAsia" w:ascii="宋体" w:hAnsi="宋体" w:cs="宋体"/>
                <w:color w:val="auto"/>
                <w:sz w:val="24"/>
                <w:szCs w:val="24"/>
                <w:highlight w:val="none"/>
                <w:lang w:val="en-US" w:eastAsia="zh-CN"/>
              </w:rPr>
              <w:t xml:space="preserve">9月23</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分（北京时间）前递交投标文件。</w:t>
            </w:r>
            <w:r/>
          </w:p>
        </w:tc>
      </w:tr>
    </w:tbl>
    <w:p>
      <w:pPr>
        <w:pStyle w:val="1236"/>
        <w:ind w:firstLine="480"/>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9050"/>
      <w:r/>
      <w:bookmarkStart w:id="5" w:name="_Toc2298"/>
      <w:r/>
      <w:bookmarkStart w:id="6" w:name="_Toc758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36"/>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1.项目编号：JSZC-320000-JSHY-G2026-0182</w:t>
      </w:r>
      <w:r/>
    </w:p>
    <w:p>
      <w:pPr>
        <w:pStyle w:val="1236"/>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2.项目名称：江苏省人民医院布草洗涤服务</w:t>
      </w:r>
      <w:r/>
    </w:p>
    <w:p>
      <w:pPr>
        <w:pStyle w:val="1236"/>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3.预算金额：780万元人民币</w:t>
      </w:r>
      <w:r/>
    </w:p>
    <w:p>
      <w:pPr>
        <w:pStyle w:val="1236"/>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rPr>
        <w:t xml:space="preserve">包1：</w:t>
      </w:r>
      <w:r>
        <w:rPr>
          <w:rFonts w:hint="eastAsia" w:ascii="宋体" w:hAnsi="宋体" w:cs="宋体"/>
          <w:color w:val="auto"/>
          <w:sz w:val="24"/>
          <w:szCs w:val="24"/>
          <w:highlight w:val="none"/>
          <w:lang w:val="en-US" w:eastAsia="zh-CN"/>
        </w:rPr>
        <w:t xml:space="preserve">450</w:t>
      </w:r>
      <w:r>
        <w:rPr>
          <w:rFonts w:hint="eastAsia" w:ascii="宋体" w:hAnsi="宋体" w:cs="宋体"/>
          <w:color w:val="auto"/>
          <w:sz w:val="24"/>
          <w:szCs w:val="24"/>
          <w:highlight w:val="none"/>
        </w:rPr>
        <w:t xml:space="preserve">万元 包2：</w:t>
      </w:r>
      <w:r>
        <w:rPr>
          <w:rFonts w:hint="eastAsia" w:ascii="宋体" w:hAnsi="宋体" w:cs="宋体"/>
          <w:color w:val="auto"/>
          <w:sz w:val="24"/>
          <w:szCs w:val="24"/>
          <w:highlight w:val="none"/>
          <w:lang w:val="en-US" w:eastAsia="zh-CN"/>
        </w:rPr>
        <w:t xml:space="preserve">330</w:t>
      </w:r>
      <w:r>
        <w:rPr>
          <w:rFonts w:hint="eastAsia" w:ascii="宋体" w:hAnsi="宋体" w:cs="宋体"/>
          <w:color w:val="auto"/>
          <w:sz w:val="24"/>
          <w:szCs w:val="24"/>
          <w:highlight w:val="none"/>
        </w:rPr>
        <w:t xml:space="preserve">万元；超过最高限价的投标文件按无效标处理。</w:t>
      </w:r>
      <w:r/>
    </w:p>
    <w:p>
      <w:pPr>
        <w:pStyle w:val="1236"/>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5.采购需求:详见招标文件第四章“项目需求”</w:t>
      </w:r>
      <w:r/>
    </w:p>
    <w:p>
      <w:pPr>
        <w:pStyle w:val="1236"/>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bookmarkStart w:id="7" w:name="_Toc3038"/>
      <w:r>
        <w:rPr>
          <w:rFonts w:hint="eastAsia" w:ascii="宋体" w:hAnsi="宋体" w:cs="宋体"/>
          <w:color w:val="auto"/>
          <w:sz w:val="24"/>
          <w:szCs w:val="24"/>
          <w:highlight w:val="none"/>
        </w:rPr>
        <w:t xml:space="preserve">招标有效期两年，合同期一年一签。</w:t>
      </w:r>
      <w:r/>
    </w:p>
    <w:p>
      <w:pPr>
        <w:pStyle w:val="1236"/>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7.本项目（是/否）接受联合体投标：否</w:t>
      </w:r>
      <w:r/>
    </w:p>
    <w:p>
      <w:pPr>
        <w:pStyle w:val="1236"/>
        <w:ind w:left="567" w:firstLine="0"/>
        <w:spacing w:line="360" w:lineRule="auto"/>
        <w:tabs>
          <w:tab w:val="left" w:pos="1134" w:leader="none"/>
        </w:tabs>
        <w:rPr>
          <w:rFonts w:hint="eastAsia" w:ascii="宋体" w:hAnsi="宋体" w:cs="宋体"/>
          <w:b/>
          <w:bCs/>
          <w:color w:val="auto"/>
          <w:sz w:val="24"/>
          <w:szCs w:val="24"/>
          <w:highlight w:val="none"/>
        </w:rPr>
        <w:outlineLvl w:val="1"/>
      </w:pPr>
      <w:r/>
      <w:bookmarkStart w:id="8" w:name="_Toc8033"/>
      <w:r/>
      <w:bookmarkStart w:id="9" w:name="_Toc16192"/>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int="eastAsia"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bookmarkStart w:id="19" w:name="OLE_LINK22"/>
      <w:r>
        <w:rPr>
          <w:rFonts w:hint="eastAsia" w:ascii="宋体" w:hAnsi="宋体"/>
          <w:color w:val="auto"/>
          <w:sz w:val="24"/>
          <w:szCs w:val="24"/>
          <w:highlight w:val="none"/>
        </w:rPr>
        <w:t xml:space="preserve">法律、行政法规规定的其他条件。</w:t>
      </w:r>
      <w:bookmarkEnd w:id="19"/>
      <w:r/>
      <w:r/>
    </w:p>
    <w:p>
      <w:pPr>
        <w:pStyle w:val="866"/>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1272"/>
        <w:ind w:left="709" w:firstLine="48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属于服务类采购。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72"/>
        <w:ind w:left="709"/>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（三）本项目的特定资格要求：</w:t>
      </w:r>
      <w:bookmarkStart w:id="20" w:name="OLE_LINK28"/>
      <w:r/>
      <w:r/>
    </w:p>
    <w:p>
      <w:pPr>
        <w:pStyle w:val="1272"/>
        <w:ind w:firstLine="120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投标人须符合国家及地方环境保护相关规定，须提供有效的在全国排污许可证管理信息平台排污登记后的回执或具有有效的排污许可证明。</w:t>
      </w:r>
      <w:r/>
    </w:p>
    <w:p>
      <w:pPr>
        <w:pStyle w:val="1272"/>
        <w:ind w:left="709"/>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（四）拒绝下述投标人参加本次采购活动的情形：</w:t>
      </w:r>
      <w:r/>
    </w:p>
    <w:p>
      <w:pPr>
        <w:pStyle w:val="1272"/>
        <w:ind w:left="709"/>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（1）投标人单位负责人为同一人或者存在直接控股、管理关系的不同供应商，不得参加同一合同项下的政府采购活动；</w:t>
      </w:r>
      <w:r/>
    </w:p>
    <w:p>
      <w:pPr>
        <w:pStyle w:val="1272"/>
        <w:ind w:left="709"/>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（2）凡为采购项目提供整体设计、规范编制或者项目管理、监理、检测等服务的供应商，不得再参加本项目的采购活动；</w:t>
      </w:r>
      <w:r/>
    </w:p>
    <w:p>
      <w:pPr>
        <w:pStyle w:val="1272"/>
        <w:ind w:left="709"/>
        <w:spacing w:line="360" w:lineRule="auto"/>
        <w:rPr>
          <w:rFonts w:hint="eastAsia" w:ascii="宋体" w:hAnsi="宋体" w:cs="宋体"/>
          <w:b/>
          <w:bCs/>
          <w:color w:val="auto"/>
          <w:sz w:val="24"/>
          <w:szCs w:val="24"/>
          <w:highlight w:val="none"/>
        </w:rPr>
        <w:outlineLvl w:val="2"/>
      </w:pPr>
      <w:r>
        <w:rPr>
          <w:rFonts w:hint="eastAsia" w:ascii="宋体" w:hAnsi="宋体" w:cs="宋体"/>
          <w:color w:val="auto"/>
          <w:sz w:val="24"/>
          <w:szCs w:val="24"/>
          <w:highlight w:val="none"/>
        </w:rPr>
        <w:t xml:space="preserve">（3）被“信用中国”（</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"http://www.creditchina.gov.cn/"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"http://www.ccgp.gov.cn/"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）列入失信被执行人、重大税收违法案件当事人名单、政府采购严重违法失信行为记录名单</w:t>
      </w:r>
      <w:bookmarkEnd w:id="20"/>
      <w:r/>
      <w:r/>
    </w:p>
    <w:p>
      <w:pPr>
        <w:pStyle w:val="1272"/>
        <w:spacing w:line="360" w:lineRule="auto"/>
        <w:rPr>
          <w:rFonts w:hint="eastAsia" w:ascii="宋体" w:hAnsi="宋体" w:cs="宋体"/>
          <w:b/>
          <w:bCs/>
          <w:color w:val="auto"/>
          <w:sz w:val="24"/>
          <w:szCs w:val="24"/>
          <w:highlight w:val="none"/>
        </w:rPr>
        <w:outlineLvl w:val="1"/>
      </w:pPr>
      <w:r/>
      <w:bookmarkStart w:id="21" w:name="_Toc1979"/>
      <w:r/>
      <w:bookmarkStart w:id="22" w:name="_Toc13339"/>
      <w:r/>
      <w:bookmarkStart w:id="23" w:name="_Toc26697"/>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72"/>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3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28083"/>
      <w:r/>
      <w:bookmarkStart w:id="25" w:name="_Toc12587"/>
      <w:r/>
      <w:bookmarkStart w:id="26" w:name="_Toc2291"/>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3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w:t>
      </w:r>
      <w:r>
        <w:rPr>
          <w:rFonts w:hint="eastAsia" w:ascii="宋体" w:hAnsi="宋体" w:cs="宋体"/>
          <w:bCs/>
          <w:color w:val="auto"/>
          <w:sz w:val="24"/>
          <w:szCs w:val="20"/>
          <w:highlight w:val="none"/>
        </w:rPr>
        <w:t xml:space="preserve">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日09点30分（北京时间）</w:t>
      </w:r>
      <w:r/>
    </w:p>
    <w:p>
      <w:pPr>
        <w:pStyle w:val="123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36"/>
        <w:ind w:left="708" w:firstLine="0"/>
        <w:spacing w:line="360" w:lineRule="auto"/>
        <w:tabs>
          <w:tab w:val="left" w:pos="1134" w:leader="none"/>
        </w:tabs>
        <w:rPr>
          <w:rFonts w:hint="eastAsia" w:ascii="宋体" w:hAnsi="宋体" w:cs="宋体"/>
          <w:b/>
          <w:bCs/>
          <w:color w:val="auto"/>
          <w:sz w:val="24"/>
          <w:szCs w:val="24"/>
          <w:highlight w:val="none"/>
        </w:rPr>
        <w:outlineLvl w:val="1"/>
      </w:pPr>
      <w:r/>
      <w:bookmarkStart w:id="27" w:name="_Toc8288"/>
      <w:r/>
      <w:bookmarkStart w:id="28" w:name="_Toc5544"/>
      <w:r/>
      <w:bookmarkStart w:id="29" w:name="_Toc19411"/>
      <w:r>
        <w:rPr>
          <w:rFonts w:hint="eastAsia" w:ascii="宋体" w:hAnsi="宋体" w:cs="宋体"/>
          <w:b/>
          <w:bCs/>
          <w:color w:val="auto"/>
          <w:sz w:val="24"/>
          <w:szCs w:val="24"/>
          <w:highlight w:val="none"/>
        </w:rPr>
        <w:t xml:space="preserve">五、公告期限</w:t>
      </w:r>
      <w:bookmarkEnd w:id="27"/>
      <w:r/>
      <w:bookmarkEnd w:id="28"/>
      <w:r/>
      <w:bookmarkEnd w:id="29"/>
      <w:r/>
      <w:r/>
    </w:p>
    <w:p>
      <w:pPr>
        <w:pStyle w:val="1236"/>
        <w:ind w:firstLine="1200"/>
        <w:spacing w:line="360"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36"/>
        <w:numPr>
          <w:ilvl w:val="0"/>
          <w:numId w:val="5"/>
        </w:numPr>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0" w:name="_Toc12830"/>
      <w:r/>
      <w:bookmarkStart w:id="31" w:name="_Toc15265"/>
      <w:r/>
      <w:bookmarkStart w:id="32" w:name="_Toc12845"/>
      <w:r>
        <w:rPr>
          <w:rFonts w:hint="eastAsia" w:ascii="宋体" w:hAnsi="宋体" w:cs="宋体"/>
          <w:b/>
          <w:bCs/>
          <w:color w:val="auto"/>
          <w:sz w:val="24"/>
          <w:szCs w:val="24"/>
          <w:highlight w:val="none"/>
        </w:rPr>
        <w:t xml:space="preserve">其他补充事宜</w:t>
      </w:r>
      <w:bookmarkEnd w:id="30"/>
      <w:r/>
      <w:bookmarkEnd w:id="31"/>
      <w:r/>
      <w:bookmarkEnd w:id="32"/>
      <w:r/>
      <w:r/>
    </w:p>
    <w:p>
      <w:pPr>
        <w:ind w:firstLine="723"/>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2、有关本次采购的事项若存在变动或修改，敬请及时关注“江苏政府采购网”发布的信息。</w:t>
      </w:r>
      <w:r/>
    </w:p>
    <w:p>
      <w:pPr>
        <w:pStyle w:val="123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4284"/>
      <w:r/>
      <w:bookmarkStart w:id="35" w:name="_Toc26301"/>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55"/>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55"/>
        <w:ind w:firstLine="720"/>
        <w:spacing w:before="0" w:beforeAutospacing="0" w:after="0" w:afterAutospacing="0" w:line="360" w:lineRule="auto"/>
        <w:rPr>
          <w:rFonts w:hint="eastAsia" w:hAnsi="宋体" w:cs="宋体"/>
          <w:color w:val="auto"/>
          <w:szCs w:val="24"/>
          <w:highlight w:val="none"/>
        </w:rPr>
        <w:outlineLvl w:val="1"/>
      </w:pPr>
      <w:r/>
      <w:bookmarkStart w:id="39" w:name="_Toc29917"/>
      <w:r>
        <w:rPr>
          <w:rFonts w:hint="eastAsia" w:hAnsi="宋体" w:cs="宋体"/>
          <w:color w:val="auto"/>
          <w:szCs w:val="24"/>
          <w:highlight w:val="none"/>
        </w:rPr>
        <w:t xml:space="preserve">名称：江苏省人民医院 </w:t>
      </w:r>
      <w:r/>
    </w:p>
    <w:p>
      <w:pPr>
        <w:pStyle w:val="1055"/>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地址：南京市鼓楼区广州路300号 </w:t>
      </w:r>
      <w:r/>
    </w:p>
    <w:p>
      <w:pPr>
        <w:pStyle w:val="1055"/>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联系人：丁老师</w:t>
      </w:r>
      <w:r/>
    </w:p>
    <w:p>
      <w:pPr>
        <w:pStyle w:val="1055"/>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w:t>
      </w:r>
      <w:r>
        <w:rPr>
          <w:rFonts w:hint="eastAsia" w:hAnsi="宋体" w:cs="宋体"/>
          <w:color w:val="auto"/>
          <w:szCs w:val="24"/>
          <w:highlight w:val="none"/>
        </w:rPr>
        <w:t xml:space="preserve">68306922</w:t>
      </w:r>
      <w:r/>
    </w:p>
    <w:p>
      <w:pPr>
        <w:pStyle w:val="1055"/>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55"/>
        <w:ind w:firstLine="720"/>
        <w:spacing w:before="0" w:beforeAutospacing="0" w:after="0" w:afterAutospacing="0" w:line="360" w:lineRule="auto"/>
        <w:rPr>
          <w:rFonts w:hint="eastAsia" w:hAnsi="宋体" w:cs="宋体"/>
          <w:color w:val="auto"/>
          <w:szCs w:val="24"/>
          <w:highlight w:val="none"/>
        </w:rPr>
        <w:outlineLvl w:val="1"/>
      </w:pPr>
      <w:r/>
      <w:bookmarkStart w:id="40" w:name="_Toc17590"/>
      <w:r/>
      <w:bookmarkStart w:id="41" w:name="_Toc6514"/>
      <w:r>
        <w:rPr>
          <w:rFonts w:hint="eastAsia" w:hAnsi="宋体" w:cs="宋体"/>
          <w:color w:val="auto"/>
          <w:szCs w:val="24"/>
          <w:highlight w:val="none"/>
        </w:rPr>
        <w:t xml:space="preserve">名称：江苏弘业国际技术工程有限公司</w:t>
      </w:r>
      <w:bookmarkEnd w:id="40"/>
      <w:r/>
      <w:bookmarkEnd w:id="41"/>
      <w:r/>
      <w:r/>
    </w:p>
    <w:p>
      <w:pPr>
        <w:pStyle w:val="1055"/>
        <w:ind w:firstLine="720"/>
        <w:spacing w:before="0" w:beforeAutospacing="0" w:after="0" w:afterAutospacing="0" w:line="360" w:lineRule="auto"/>
        <w:rPr>
          <w:rFonts w:hint="eastAsia" w:hAnsi="宋体" w:cs="宋体"/>
          <w:color w:val="auto"/>
          <w:szCs w:val="24"/>
          <w:highlight w:val="none"/>
        </w:rPr>
        <w:outlineLvl w:val="1"/>
      </w:pPr>
      <w:r/>
      <w:bookmarkStart w:id="42" w:name="_Toc29228"/>
      <w:r/>
      <w:bookmarkStart w:id="43" w:name="_Toc8777"/>
      <w:r>
        <w:rPr>
          <w:rFonts w:hint="eastAsia" w:hAnsi="宋体" w:cs="宋体"/>
          <w:color w:val="auto"/>
          <w:szCs w:val="24"/>
          <w:highlight w:val="none"/>
        </w:rPr>
        <w:t xml:space="preserve">地址：南京市中华路50号弘业大厦10楼</w:t>
      </w:r>
      <w:bookmarkEnd w:id="42"/>
      <w:r/>
      <w:bookmarkEnd w:id="43"/>
      <w:r/>
      <w:r/>
    </w:p>
    <w:p>
      <w:pPr>
        <w:pStyle w:val="1055"/>
        <w:ind w:firstLine="720"/>
        <w:spacing w:before="0" w:beforeAutospacing="0" w:after="0" w:afterAutospacing="0" w:line="360" w:lineRule="auto"/>
        <w:rPr>
          <w:rFonts w:hint="eastAsia" w:hAnsi="宋体" w:cs="宋体"/>
          <w:color w:val="auto"/>
          <w:szCs w:val="24"/>
          <w:highlight w:val="none"/>
        </w:rPr>
        <w:outlineLvl w:val="1"/>
      </w:pPr>
      <w:r/>
      <w:bookmarkStart w:id="44" w:name="_Toc30931"/>
      <w:r/>
      <w:bookmarkStart w:id="45" w:name="_Toc4151"/>
      <w:r/>
      <w:bookmarkStart w:id="46" w:name="_Toc4597"/>
      <w:r/>
      <w:bookmarkStart w:id="47" w:name="_Toc21139"/>
      <w:r>
        <w:rPr>
          <w:rFonts w:hint="eastAsia" w:hAnsi="宋体" w:cs="宋体"/>
          <w:color w:val="auto"/>
          <w:szCs w:val="24"/>
          <w:highlight w:val="none"/>
        </w:rPr>
        <w:t xml:space="preserve">联系方式：</w:t>
      </w:r>
      <w:bookmarkEnd w:id="44"/>
      <w:r/>
      <w:bookmarkEnd w:id="45"/>
      <w:r>
        <w:rPr>
          <w:rFonts w:hint="eastAsia" w:hAnsi="宋体" w:cs="宋体"/>
          <w:color w:val="auto"/>
          <w:szCs w:val="24"/>
          <w:highlight w:val="none"/>
        </w:rPr>
        <w:t xml:space="preserve"> 025-52278674</w:t>
      </w:r>
      <w:r/>
    </w:p>
    <w:p>
      <w:pPr>
        <w:pStyle w:val="1055"/>
        <w:ind w:firstLine="720"/>
        <w:spacing w:before="0" w:beforeAutospacing="0" w:after="0" w:afterAutospacing="0" w:line="360" w:lineRule="auto"/>
        <w:rPr>
          <w:rFonts w:hint="eastAsia" w:hAnsi="宋体" w:cs="宋体"/>
          <w:color w:val="auto"/>
          <w:szCs w:val="24"/>
          <w:highlight w:val="none"/>
        </w:rPr>
        <w:outlineLvl w:val="1"/>
      </w:pPr>
      <w:r/>
      <w:bookmarkStart w:id="48" w:name="_Toc2685"/>
      <w:r/>
      <w:bookmarkStart w:id="49" w:name="_Toc23093"/>
      <w:r>
        <w:rPr>
          <w:rFonts w:hint="eastAsia" w:hAnsi="宋体" w:cs="宋体"/>
          <w:color w:val="auto"/>
          <w:szCs w:val="24"/>
          <w:highlight w:val="none"/>
        </w:rPr>
        <w:t xml:space="preserve">传  真：025-5227876</w:t>
      </w:r>
      <w:bookmarkEnd w:id="48"/>
      <w:r/>
      <w:bookmarkEnd w:id="49"/>
      <w:r>
        <w:rPr>
          <w:rFonts w:hint="eastAsia" w:hAnsi="宋体" w:cs="宋体"/>
          <w:color w:val="auto"/>
          <w:szCs w:val="24"/>
          <w:highlight w:val="none"/>
        </w:rPr>
        <w:t xml:space="preserve">1</w:t>
      </w:r>
      <w:r/>
    </w:p>
    <w:p>
      <w:pPr>
        <w:pStyle w:val="1055"/>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bookmarkEnd w:id="46"/>
      <w:r/>
      <w:bookmarkEnd w:id="47"/>
      <w:r/>
      <w:bookmarkEnd w:id="38"/>
      <w:r/>
      <w:r/>
    </w:p>
    <w:p>
      <w:pPr>
        <w:pStyle w:val="1055"/>
        <w:ind w:firstLine="720"/>
        <w:spacing w:before="0" w:beforeAutospacing="0" w:after="0" w:afterAutospacing="0" w:line="312" w:lineRule="auto"/>
        <w:rPr>
          <w:rFonts w:hint="eastAsia" w:hAnsi="宋体" w:cs="宋体"/>
          <w:color w:val="auto"/>
          <w:szCs w:val="24"/>
          <w:highlight w:val="none"/>
        </w:rPr>
        <w:outlineLvl w:val="1"/>
      </w:pPr>
      <w:r/>
      <w:bookmarkStart w:id="50" w:name="_Toc18816"/>
      <w:r/>
      <w:bookmarkStart w:id="51" w:name="_Toc23478"/>
      <w:r>
        <w:rPr>
          <w:rFonts w:hint="eastAsia" w:hAnsi="宋体" w:cs="宋体"/>
          <w:color w:val="auto"/>
          <w:szCs w:val="24"/>
          <w:highlight w:val="none"/>
        </w:rPr>
        <w:t xml:space="preserve">项目联系人：</w:t>
      </w:r>
      <w:bookmarkEnd w:id="50"/>
      <w:r/>
      <w:bookmarkEnd w:id="51"/>
      <w:r>
        <w:rPr>
          <w:rFonts w:hint="eastAsia" w:hAnsi="宋体"/>
          <w:color w:val="auto"/>
          <w:szCs w:val="24"/>
          <w:highlight w:val="none"/>
          <w:shd w:val="clear" w:color="auto" w:fill="ffffff"/>
        </w:rPr>
        <w:t xml:space="preserve">王杰</w:t>
      </w:r>
      <w:r/>
    </w:p>
    <w:p>
      <w:pPr>
        <w:pStyle w:val="1055"/>
        <w:ind w:firstLine="720"/>
        <w:spacing w:before="0" w:beforeAutospacing="0" w:after="0" w:afterAutospacing="0" w:line="312" w:lineRule="auto"/>
        <w:rPr>
          <w:rFonts w:hint="eastAsia" w:hAnsi="宋体" w:cs="宋体"/>
          <w:color w:val="auto"/>
          <w:szCs w:val="24"/>
          <w:highlight w:val="none"/>
        </w:rPr>
        <w:outlineLvl w:val="1"/>
      </w:pPr>
      <w:r/>
      <w:bookmarkStart w:id="52" w:name="_Toc12073"/>
      <w:r/>
      <w:bookmarkStart w:id="53" w:name="_Toc13399"/>
      <w:r>
        <w:rPr>
          <w:rFonts w:hint="eastAsia" w:hAnsi="宋体" w:cs="宋体"/>
          <w:color w:val="auto"/>
          <w:szCs w:val="24"/>
          <w:highlight w:val="none"/>
        </w:rPr>
        <w:t xml:space="preserve">电话：</w:t>
      </w:r>
      <w:bookmarkEnd w:id="52"/>
      <w:r/>
      <w:bookmarkEnd w:id="53"/>
      <w:r>
        <w:rPr>
          <w:rFonts w:hint="eastAsia" w:hAnsi="宋体"/>
          <w:color w:val="auto"/>
          <w:szCs w:val="24"/>
          <w:highlight w:val="none"/>
          <w:shd w:val="clear" w:color="auto" w:fill="ffffff"/>
        </w:rPr>
        <w:t xml:space="preserve">025-52278</w:t>
      </w:r>
      <w:r>
        <w:rPr>
          <w:rFonts w:hAnsi="宋体"/>
          <w:color w:val="auto"/>
          <w:szCs w:val="24"/>
          <w:highlight w:val="none"/>
          <w:shd w:val="clear" w:color="auto" w:fill="ffffff"/>
        </w:rPr>
        <w:t xml:space="preserve">674</w:t>
      </w:r>
      <w:r/>
    </w:p>
    <w:p>
      <w:pPr>
        <w:pStyle w:val="763"/>
        <w:rPr>
          <w:color w:val="auto"/>
          <w:highlight w:val="none"/>
        </w:rPr>
      </w:pPr>
      <w:r/>
      <w:bookmarkStart w:id="54" w:name="_Toc7212"/>
      <w:r/>
      <w:bookmarkStart w:id="55" w:name="_Toc10498"/>
      <w:r>
        <w:rPr>
          <w:rFonts w:hint="eastAsia"/>
          <w:color w:val="auto"/>
          <w:highlight w:val="none"/>
        </w:rPr>
        <w:t xml:space="preserve">第二部分投标人须知</w:t>
      </w:r>
      <w:bookmarkEnd w:id="54"/>
      <w:r/>
      <w:bookmarkEnd w:id="55"/>
      <w:r/>
      <w:r/>
    </w:p>
    <w:p>
      <w:pPr>
        <w:pStyle w:val="991"/>
        <w:jc w:val="center"/>
        <w:keepLines w:val="0"/>
        <w:keepNext w:val="0"/>
        <w:spacing w:before="0" w:after="0" w:line="240" w:lineRule="auto"/>
        <w:rPr>
          <w:rFonts w:hint="eastAsia" w:ascii="宋体" w:hAnsi="宋体" w:eastAsia="宋体" w:cs="宋体"/>
          <w:color w:val="auto"/>
          <w:highlight w:val="none"/>
        </w:rPr>
      </w:pPr>
      <w:r/>
      <w:bookmarkStart w:id="56" w:name="_Toc514054471"/>
      <w:r/>
      <w:bookmarkStart w:id="57" w:name="_Toc17705"/>
      <w:r/>
      <w:bookmarkStart w:id="58" w:name="_Toc17216"/>
      <w:r/>
      <w:bookmarkStart w:id="59" w:name="_Toc10216"/>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73"/>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中标供应商应在中标后向采购代理机构交纳代理服务费。代理服务费以中标通知书的中标金额作为收取的计算基数，本项目中标服务费参照发改价格[2011]534号文35%收取，应在领取中标通知书前缴纳。</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投标人在汇款时，须在汇款单上注明项目编号</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不收取</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25522"/>
            <w:r/>
            <w:bookmarkStart w:id="62" w:name="_Toc51405447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92"/>
        <w:rPr>
          <w:rFonts w:hint="eastAsia" w:ascii="宋体" w:hAnsi="宋体" w:eastAsia="宋体" w:cs="宋体"/>
          <w:color w:val="auto"/>
          <w:highlight w:val="none"/>
        </w:rPr>
        <w:outlineLvl w:val="1"/>
      </w:pPr>
      <w:r/>
      <w:bookmarkStart w:id="63" w:name="_Toc20458"/>
      <w:r/>
      <w:bookmarkStart w:id="64" w:name="_Toc22298"/>
      <w:r/>
      <w:r/>
    </w:p>
    <w:p>
      <w:pPr>
        <w:pStyle w:val="1392"/>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92"/>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92"/>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92"/>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92"/>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92"/>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2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92"/>
        <w:rPr>
          <w:rFonts w:hint="eastAsia" w:ascii="宋体" w:hAnsi="宋体" w:eastAsia="宋体" w:cs="宋体"/>
          <w:color w:val="auto"/>
          <w:highlight w:val="none"/>
        </w:rPr>
        <w:outlineLvl w:val="1"/>
      </w:pPr>
      <w:r/>
      <w:bookmarkStart w:id="65" w:name="_Toc514054473"/>
      <w:r/>
      <w:bookmarkStart w:id="66" w:name="_Toc21335"/>
      <w:r/>
      <w:bookmarkStart w:id="67" w:name="_Toc30610"/>
      <w:r/>
      <w:bookmarkStart w:id="68" w:name="_Toc17916"/>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第四部分：项目需求；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92"/>
        <w:rPr>
          <w:rFonts w:hint="eastAsia" w:ascii="宋体" w:hAnsi="宋体" w:eastAsia="宋体" w:cs="宋体"/>
          <w:color w:val="auto"/>
          <w:highlight w:val="none"/>
        </w:rPr>
        <w:outlineLvl w:val="1"/>
      </w:pPr>
      <w:r/>
      <w:bookmarkStart w:id="69" w:name="_Toc26871"/>
      <w:r/>
      <w:bookmarkStart w:id="70" w:name="_Toc20227"/>
      <w:r/>
      <w:bookmarkStart w:id="71" w:name="_Toc26908"/>
      <w:r/>
      <w:bookmarkStart w:id="72" w:name="_Toc514054474"/>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11.1.7拒绝下述供应商参加本次采购活动的情形：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11.1.7.1供应商单位负责人为同一人或者存在直接控股、管理关系的不同供应商，不得参加同一合同项下的政府采购活动。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11.1.7.2凡为采购项目提供整体设计、规范编制或者项目管理、监理、检测等服务的供应商，不得再参加本项目的采购活动。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11.1.7.3拒绝列入失信被执行人、重大税收违法案件当事人名单、政府采购严重违法失信行为记录名单的供应商参与政府采购活动。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11.1.8</w:t>
      </w:r>
      <w:r>
        <w:rPr>
          <w:rFonts w:hint="eastAsia" w:ascii="宋体" w:hAnsi="宋体" w:eastAsia="Times New Roman" w:cs="宋体"/>
          <w:color w:val="auto"/>
          <w:sz w:val="24"/>
          <w:szCs w:val="24"/>
          <w:highlight w:val="none"/>
        </w:rPr>
        <w:t xml:space="preserve">环保许可：投标人须符合国家及地方环境保护相关规定，须提供有效的在全国排污许可证管理信息平台排污登记后的回执或具有有效的排污许可证明。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中标服务费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15.1本项目预算包含代理服务费，采购人不额外支付，供应商投标报价需包含该费用。</w:t>
      </w:r>
      <w:r/>
    </w:p>
    <w:p>
      <w:pPr>
        <w:ind w:firstLine="480"/>
        <w:spacing w:line="500" w:lineRule="exact"/>
        <w:rPr>
          <w:rFonts w:hint="eastAsia" w:ascii="宋体" w:hAnsi="宋体" w:cs="宋体"/>
          <w:b/>
          <w:color w:val="auto"/>
          <w:sz w:val="24"/>
          <w:highlight w:val="none"/>
        </w:rPr>
      </w:pPr>
      <w:r>
        <w:rPr>
          <w:rFonts w:hint="eastAsia" w:ascii="宋体" w:hAnsi="宋体" w:cs="宋体"/>
          <w:color w:val="auto"/>
          <w:sz w:val="24"/>
          <w:highlight w:val="none"/>
        </w:rPr>
        <w:t xml:space="preserve">15.2招标代理服务费按发改价格【2011】534号文收费标准的35%收取，由中标供应商支付给采购代理机构。</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92"/>
        <w:rPr>
          <w:rFonts w:hint="eastAsia" w:ascii="宋体" w:hAnsi="宋体" w:eastAsia="宋体" w:cs="宋体"/>
          <w:color w:val="auto"/>
          <w:highlight w:val="none"/>
        </w:rPr>
        <w:outlineLvl w:val="1"/>
      </w:pPr>
      <w:r/>
      <w:bookmarkStart w:id="76" w:name="_Toc5409"/>
      <w:r/>
      <w:bookmarkStart w:id="77" w:name="_Toc9292"/>
      <w:r/>
      <w:bookmarkStart w:id="78" w:name="_Toc514054475"/>
      <w:r/>
      <w:bookmarkStart w:id="79" w:name="_Toc26211"/>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514054476"/>
      <w:r/>
      <w:bookmarkStart w:id="81"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16938542"/>
      <w:r/>
      <w:bookmarkEnd w:id="82"/>
      <w:r/>
      <w:bookmarkStart w:id="83" w:name="_Toc20823298"/>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513029228"/>
      <w:r/>
      <w:bookmarkStart w:id="86" w:name="_Toc16938544"/>
      <w:r/>
      <w:bookmarkStart w:id="87" w:name="_Toc20823300"/>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92"/>
        <w:rPr>
          <w:rFonts w:hint="eastAsia"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18.1.5投标人的报价超过了采购预算或最高限价（含最高单价限价）的。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18.1.13投标文件未按照招标文件要求加盖公章的。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18.1.16其它评标委员会认为有必要取消的投标；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18.1.17其他法律、法规及本招标文件规定的属无效投标的情形。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92"/>
        <w:rPr>
          <w:rFonts w:hint="eastAsia" w:ascii="宋体" w:hAnsi="宋体" w:eastAsia="宋体" w:cs="宋体"/>
          <w:color w:val="auto"/>
          <w:highlight w:val="none"/>
        </w:rPr>
        <w:outlineLvl w:val="1"/>
      </w:pPr>
      <w:r/>
      <w:bookmarkStart w:id="91" w:name="_Toc11517"/>
      <w:r/>
      <w:bookmarkStart w:id="92" w:name="_Toc514054477"/>
      <w:r/>
      <w:bookmarkStart w:id="93" w:name="_Toc29013"/>
      <w:r/>
      <w:bookmarkStart w:id="94" w:name="_Toc13553"/>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8"/>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cs="宋体"/>
          <w:color w:val="auto"/>
          <w:sz w:val="24"/>
          <w:szCs w:val="24"/>
          <w:highlight w:val="none"/>
        </w:rPr>
      </w:pPr>
      <w:r/>
      <w:bookmarkStart w:id="98" w:name="EBd9bc59d5f2ed4fb8a64ee2e373d8cc72"/>
      <w:r/>
      <w:bookmarkStart w:id="99" w:name="_Toc81493168"/>
      <w:r/>
      <w:bookmarkStart w:id="100" w:name="_Toc9744"/>
      <w:r/>
      <w:bookmarkStart w:id="101" w:name="_Toc5167"/>
      <w:r/>
      <w:bookmarkStart w:id="102" w:name="_Toc514054478"/>
      <w:r/>
      <w:bookmarkStart w:id="103" w:name="_Toc23173"/>
      <w:r>
        <w:rPr>
          <w:rFonts w:hint="eastAsia" w:ascii="宋体" w:hAnsi="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29.12涉及</w:t>
      </w:r>
      <w:r>
        <w:rPr>
          <w:rFonts w:hint="eastAsia" w:ascii="宋体" w:hAnsi="宋体" w:cs="宋体"/>
          <w:color w:val="auto"/>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29.15网络产品、市场准入类产品采购</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29.17根据财库〔2026〕2号文件，评审委员会启动异常低价投标审查的情形和具体要求，包括：</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3.投标报价低于采购项目最高限价45%的，即投标报价&lt;采购项目最高限价×45%；</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241"/>
        <w:spacing w:line="500" w:lineRule="exact"/>
        <w:rPr>
          <w:rFonts w:hint="eastAsia" w:ascii="宋体" w:hAnsi="宋体" w:cs="宋体"/>
          <w:color w:val="auto"/>
          <w:sz w:val="24"/>
          <w:szCs w:val="24"/>
          <w:highlight w:val="none"/>
        </w:rPr>
      </w:pPr>
      <w:r>
        <w:rPr>
          <w:rFonts w:hint="eastAsia" w:ascii="宋体" w:hAnsi="宋体" w:cs="宋体"/>
          <w:b/>
          <w:bCs/>
          <w:i/>
          <w:iCs/>
          <w:color w:val="auto"/>
          <w:sz w:val="24"/>
          <w:szCs w:val="24"/>
          <w:highlight w:val="none"/>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29.18未按要求提供相关材料的，不享受相关政策。</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29.19在本项目政府采购活动过程中，如果所执行的标准有更新的，按照最新标准执行。</w:t>
      </w:r>
      <w:r/>
    </w:p>
    <w:p>
      <w:pPr>
        <w:pStyle w:val="1392"/>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92"/>
        <w:rPr>
          <w:rFonts w:hint="eastAsia" w:ascii="宋体" w:hAnsi="宋体" w:eastAsia="宋体" w:cs="宋体"/>
          <w:color w:val="auto"/>
          <w:highlight w:val="none"/>
        </w:rPr>
        <w:outlineLvl w:val="1"/>
      </w:pPr>
      <w:r/>
      <w:bookmarkStart w:id="106" w:name="_Toc81493169"/>
      <w:r/>
      <w:bookmarkStart w:id="107" w:name="_Toc14752"/>
      <w:r/>
      <w:bookmarkStart w:id="108" w:name="_Toc25599"/>
      <w:r/>
      <w:bookmarkStart w:id="109" w:name="_Toc31894"/>
      <w:r/>
      <w:bookmarkStart w:id="110" w:name="_Toc514054479"/>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92"/>
        <w:rPr>
          <w:rFonts w:hint="eastAsia" w:ascii="宋体" w:hAnsi="宋体" w:eastAsia="宋体" w:cs="宋体"/>
          <w:color w:val="auto"/>
          <w:highlight w:val="none"/>
        </w:rPr>
        <w:outlineLvl w:val="1"/>
      </w:pPr>
      <w:r/>
      <w:bookmarkStart w:id="113" w:name="_Toc26939"/>
      <w:r/>
      <w:bookmarkStart w:id="114" w:name="_Toc31322"/>
      <w:r/>
      <w:bookmarkStart w:id="115" w:name="_Toc514054480"/>
      <w:r/>
      <w:bookmarkStart w:id="116" w:name="_Toc81493170"/>
      <w:r/>
      <w:bookmarkStart w:id="117" w:name="_Toc10945"/>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92"/>
        <w:spacing w:line="360" w:lineRule="auto"/>
        <w:rPr>
          <w:rFonts w:hint="eastAsia" w:ascii="宋体" w:hAnsi="宋体" w:eastAsia="宋体" w:cs="宋体"/>
          <w:color w:val="auto"/>
          <w:highlight w:val="none"/>
        </w:rPr>
        <w:outlineLvl w:val="1"/>
      </w:pPr>
      <w:r/>
      <w:bookmarkStart w:id="118" w:name="_Toc16938558"/>
      <w:r/>
      <w:bookmarkStart w:id="119" w:name="_Toc120614221"/>
      <w:r/>
      <w:bookmarkStart w:id="120" w:name="_Toc479757207"/>
      <w:r/>
      <w:bookmarkStart w:id="121" w:name="_Toc32340"/>
      <w:r/>
      <w:bookmarkStart w:id="122" w:name="_Toc20823314"/>
      <w:r/>
      <w:bookmarkStart w:id="123" w:name="_Toc26968"/>
      <w:r/>
      <w:bookmarkStart w:id="124" w:name="_Toc513029242"/>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3"/>
        <w:spacing w:before="0" w:after="0"/>
        <w:rPr>
          <w:color w:val="auto"/>
          <w:highlight w:val="none"/>
        </w:rPr>
      </w:pPr>
      <w:r>
        <w:rPr>
          <w:rFonts w:hint="eastAsia"/>
          <w:color w:val="auto"/>
          <w:highlight w:val="none"/>
        </w:rPr>
        <w:br w:type="page" w:clear="all"/>
      </w:r>
      <w:bookmarkStart w:id="125" w:name="_Toc28399"/>
      <w:r/>
      <w:bookmarkStart w:id="126" w:name="_Toc2112"/>
      <w:r>
        <w:rPr>
          <w:rFonts w:hint="eastAsia"/>
          <w:color w:val="auto"/>
          <w:highlight w:val="none"/>
        </w:rPr>
        <w:t xml:space="preserve">第三部分评标方法和标准</w:t>
      </w:r>
      <w:bookmarkEnd w:id="125"/>
      <w:r/>
      <w:bookmarkEnd w:id="126"/>
      <w:r/>
      <w:r/>
    </w:p>
    <w:p>
      <w:pPr>
        <w:spacing w:before="156" w:after="156" w:line="360" w:lineRule="auto"/>
        <w:rPr>
          <w:rFonts w:hint="eastAsia" w:ascii="宋体" w:hAnsi="宋体" w:cs="宋体"/>
          <w:b/>
          <w:color w:val="auto"/>
          <w:sz w:val="32"/>
          <w:szCs w:val="32"/>
          <w:highlight w:val="none"/>
        </w:rPr>
        <w:outlineLvl w:val="1"/>
      </w:pPr>
      <w:r/>
      <w:bookmarkStart w:id="127" w:name="_Toc24217_WPSOffice_Level2"/>
      <w:r/>
      <w:bookmarkStart w:id="128" w:name="_Toc12296"/>
      <w:r/>
      <w:bookmarkStart w:id="129" w:name="_Toc4647"/>
      <w:r/>
      <w:bookmarkStart w:id="130" w:name="_Toc17445"/>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3"/>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pacing w:before="156" w:after="156" w:line="360" w:lineRule="auto"/>
        <w:rPr>
          <w:rFonts w:hint="eastAsia" w:ascii="宋体" w:hAnsi="宋体" w:cs="宋体"/>
          <w:b/>
          <w:color w:val="auto"/>
          <w:sz w:val="32"/>
          <w:szCs w:val="32"/>
          <w:highlight w:val="none"/>
        </w:rPr>
        <w:outlineLvl w:val="1"/>
      </w:pPr>
      <w:r/>
      <w:bookmarkStart w:id="131" w:name="_Toc18818"/>
      <w:r/>
      <w:bookmarkStart w:id="132" w:name="_Toc17529"/>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3"/>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pacing w:line="360" w:lineRule="auto"/>
        <w:rPr>
          <w:rFonts w:hint="eastAsia" w:ascii="宋体" w:hAnsi="宋体" w:cs="宋体"/>
          <w:b/>
          <w:color w:val="auto"/>
          <w:sz w:val="20"/>
          <w:szCs w:val="20"/>
          <w:highlight w:val="none"/>
        </w:rPr>
        <w:outlineLvl w:val="1"/>
      </w:pPr>
      <w:r/>
      <w:bookmarkStart w:id="133" w:name="_Toc17823"/>
      <w:r/>
      <w:bookmarkStart w:id="134" w:name="_Toc3702"/>
      <w:r/>
      <w:bookmarkStart w:id="135" w:name="_Toc11959"/>
      <w:r/>
      <w:r/>
    </w:p>
    <w:p>
      <w:pP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w:t>
      </w:r>
      <w:r/>
    </w:p>
    <w:p>
      <w:pPr>
        <w:pStyle w:val="77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pStyle w:val="778"/>
        <w:ind w:firstLine="480"/>
        <w:spacing w:line="440" w:lineRule="exact"/>
        <w:rPr>
          <w:rFonts w:hint="eastAsia" w:ascii="宋体" w:hAnsi="宋体" w:eastAsia="宋体" w:cs="宋体"/>
          <w:color w:val="auto"/>
          <w:sz w:val="24"/>
          <w:highlight w:val="none"/>
        </w:rPr>
      </w:pPr>
      <w:r>
        <w:rPr>
          <w:rFonts w:hint="eastAsia" w:ascii="宋体" w:hAnsi="宋体" w:cs="宋体"/>
          <w:b/>
          <w:color w:val="auto"/>
          <w:sz w:val="24"/>
          <w:szCs w:val="24"/>
          <w:highlight w:val="none"/>
        </w:rPr>
        <w:t xml:space="preserve">同一投标人可以参与所有采购包投标，不可以兼中，每家投标人只能中标一个采购包。评标及中标确定顺序为：本项目共2个采购包，供应商可以对2个采购包同时进行投标，但只能中一个采购包。评标委员会按采购包1、采购包2的顺序评审。如参加第一采购包的供应商已被推荐为第一中标候选人，则其参与后面采购包的评标，但不再被推荐为中标候选人，以此类推。</w:t>
      </w:r>
      <w:r/>
    </w:p>
    <w:p>
      <w:pPr>
        <w:pStyle w:val="778"/>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（适用包1和包2）</w:t>
      </w:r>
      <w:r/>
    </w:p>
    <w:p>
      <w:pPr>
        <w:rPr>
          <w:rFonts w:hint="eastAsia" w:ascii="宋体" w:hAnsi="宋体"/>
          <w:color w:val="auto"/>
          <w:sz w:val="4"/>
          <w:szCs w:val="2"/>
          <w:highlight w:val="none"/>
        </w:rPr>
      </w:pPr>
      <w:r/>
      <w:bookmarkStart w:id="136" w:name="_Toc514054481"/>
      <w:r/>
      <w:r/>
    </w:p>
    <w:tbl>
      <w:tblPr>
        <w:tblStyle w:val="773"/>
        <w:tblW w:w="9950"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217"/>
        <w:gridCol w:w="8117"/>
      </w:tblGrid>
      <w:tr>
        <w:trPr>
          <w:cantSplit/>
          <w:trHeight w:val="20"/>
        </w:trPr>
        <w:tc>
          <w:tcPr>
            <w:shd w:val="clear" w:color="auto" w:fill="auto"/>
            <w:tcW w:w="616" w:type="dxa"/>
            <w:vAlign w:val="center"/>
            <w:textDirection w:val="lrTb"/>
            <w:noWrap w:val="false"/>
          </w:tcPr>
          <w:p>
            <w:pPr>
              <w:spacing w:line="360" w:lineRule="exact"/>
              <w:rPr>
                <w:rFonts w:hint="eastAsia" w:hAnsi="宋体"/>
                <w:bCs/>
                <w:color w:val="auto"/>
                <w:highlight w:val="none"/>
              </w:rPr>
            </w:pPr>
            <w:r/>
            <w:bookmarkStart w:id="137" w:name="OLE_LINK4"/>
            <w:r>
              <w:rPr>
                <w:rFonts w:hint="eastAsia" w:hAnsi="宋体"/>
                <w:bCs/>
                <w:color w:val="auto"/>
                <w:highlight w:val="none"/>
              </w:rPr>
              <w:t xml:space="preserve">序号</w:t>
            </w:r>
            <w:r/>
          </w:p>
        </w:tc>
        <w:tc>
          <w:tcPr>
            <w:shd w:val="clear" w:color="auto" w:fill="auto"/>
            <w:tcW w:w="1217" w:type="dxa"/>
            <w:vAlign w:val="center"/>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分值</w:t>
            </w:r>
            <w:r/>
          </w:p>
        </w:tc>
        <w:tc>
          <w:tcPr>
            <w:shd w:val="clear" w:color="auto" w:fill="auto"/>
            <w:tcW w:w="8117" w:type="dxa"/>
            <w:vAlign w:val="center"/>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评审标准</w:t>
            </w:r>
            <w:r/>
          </w:p>
        </w:tc>
      </w:tr>
      <w:tr>
        <w:trPr>
          <w:cantSplit/>
          <w:trHeight w:val="20"/>
        </w:trPr>
        <w:tc>
          <w:tcPr>
            <w:shd w:val="clear" w:color="auto" w:fill="auto"/>
            <w:tcW w:w="616" w:type="dxa"/>
            <w:vAlign w:val="center"/>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1</w:t>
            </w:r>
            <w:r/>
          </w:p>
        </w:tc>
        <w:tc>
          <w:tcPr>
            <w:shd w:val="clear" w:color="auto" w:fill="auto"/>
            <w:tcW w:w="1217" w:type="dxa"/>
            <w:vAlign w:val="center"/>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价格</w:t>
            </w:r>
            <w:r/>
          </w:p>
          <w:p>
            <w:pPr>
              <w:spacing w:line="360" w:lineRule="exact"/>
              <w:rPr>
                <w:rFonts w:hint="eastAsia" w:hAnsi="宋体"/>
                <w:bCs/>
                <w:color w:val="auto"/>
                <w:highlight w:val="none"/>
              </w:rPr>
            </w:pPr>
            <w:r>
              <w:rPr>
                <w:rFonts w:hint="eastAsia" w:hAnsi="宋体"/>
                <w:bCs/>
                <w:color w:val="auto"/>
                <w:highlight w:val="none"/>
              </w:rPr>
              <w:t xml:space="preserve">（</w:t>
            </w:r>
            <w:r>
              <w:rPr>
                <w:rFonts w:hAnsi="宋体"/>
                <w:bCs/>
                <w:color w:val="auto"/>
                <w:highlight w:val="none"/>
              </w:rPr>
              <w:t xml:space="preserve">1</w:t>
            </w:r>
            <w:r>
              <w:rPr>
                <w:rFonts w:hint="eastAsia" w:hAnsi="宋体"/>
                <w:bCs/>
                <w:color w:val="auto"/>
                <w:highlight w:val="none"/>
              </w:rPr>
              <w:t xml:space="preserve">5分）</w:t>
            </w:r>
            <w:r/>
          </w:p>
        </w:tc>
        <w:tc>
          <w:tcPr>
            <w:shd w:val="clear" w:color="auto" w:fill="auto"/>
            <w:tcW w:w="8117" w:type="dxa"/>
            <w:vAlign w:val="center"/>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1初步评审合格的各投标人的投标报价经勘误、缺漏项等因素修正后的投标价作为该投标人评标价，有效评标价格最低者得满分：</w:t>
            </w:r>
            <w:r/>
          </w:p>
          <w:p>
            <w:pPr>
              <w:spacing w:line="360" w:lineRule="exact"/>
              <w:rPr>
                <w:rFonts w:hint="eastAsia" w:hAnsi="宋体"/>
                <w:bCs/>
                <w:color w:val="auto"/>
                <w:highlight w:val="none"/>
              </w:rPr>
            </w:pPr>
            <w:r>
              <w:rPr>
                <w:rFonts w:hint="eastAsia" w:hAnsi="宋体"/>
                <w:bCs/>
                <w:color w:val="auto"/>
                <w:highlight w:val="none"/>
              </w:rPr>
              <w:t xml:space="preserve">其它家得分=评标最低价/各家的评标价×</w:t>
            </w:r>
            <w:r>
              <w:rPr>
                <w:rFonts w:hAnsi="宋体"/>
                <w:bCs/>
                <w:color w:val="auto"/>
                <w:highlight w:val="none"/>
              </w:rPr>
              <w:t xml:space="preserve">1</w:t>
            </w:r>
            <w:r>
              <w:rPr>
                <w:rFonts w:hint="eastAsia" w:hAnsi="宋体"/>
                <w:bCs/>
                <w:color w:val="auto"/>
                <w:highlight w:val="none"/>
              </w:rPr>
              <w:t xml:space="preserve">5分）</w:t>
            </w:r>
            <w:r/>
          </w:p>
        </w:tc>
      </w:tr>
      <w:tr>
        <w:trPr>
          <w:cantSplit/>
          <w:trHeight w:val="20"/>
        </w:trPr>
        <w:tc>
          <w:tcPr>
            <w:shd w:val="clear" w:color="auto" w:fill="auto"/>
            <w:tcW w:w="616" w:type="dxa"/>
            <w:vAlign w:val="center"/>
            <w:vMerge w:val="restart"/>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2</w:t>
            </w:r>
            <w:r/>
          </w:p>
        </w:tc>
        <w:tc>
          <w:tcPr>
            <w:shd w:val="clear" w:color="auto" w:fill="auto"/>
            <w:tcW w:w="1217" w:type="dxa"/>
            <w:vAlign w:val="center"/>
            <w:vMerge w:val="restart"/>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服务方案</w:t>
            </w:r>
            <w:r/>
          </w:p>
          <w:p>
            <w:pPr>
              <w:spacing w:line="360" w:lineRule="exact"/>
              <w:rPr>
                <w:rFonts w:hint="eastAsia" w:hAnsi="宋体"/>
                <w:bCs/>
                <w:color w:val="auto"/>
                <w:highlight w:val="none"/>
              </w:rPr>
            </w:pPr>
            <w:r>
              <w:rPr>
                <w:rFonts w:hint="eastAsia" w:hAnsi="宋体"/>
                <w:bCs/>
                <w:color w:val="auto"/>
                <w:highlight w:val="none"/>
              </w:rPr>
              <w:t xml:space="preserve">（40分）</w:t>
            </w:r>
            <w:r/>
          </w:p>
        </w:tc>
        <w:tc>
          <w:tcPr>
            <w:shd w:val="clear" w:color="auto" w:fill="auto"/>
            <w:tcW w:w="8117" w:type="dxa"/>
            <w:vAlign w:val="center"/>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1服务总体方案（6分）</w:t>
            </w:r>
            <w:r/>
          </w:p>
          <w:p>
            <w:pPr>
              <w:spacing w:line="360" w:lineRule="exact"/>
              <w:rPr>
                <w:rFonts w:hint="eastAsia" w:hAnsi="宋体"/>
                <w:bCs/>
                <w:color w:val="auto"/>
                <w:highlight w:val="none"/>
              </w:rPr>
            </w:pPr>
            <w:r>
              <w:rPr>
                <w:rFonts w:hint="eastAsia" w:hAnsi="宋体"/>
                <w:bCs/>
                <w:color w:val="auto"/>
                <w:highlight w:val="none"/>
              </w:rPr>
              <w:t xml:space="preserve">评委根据投标人提供的服务方案（包括但不限于①服务管理工作目标定位②实施方案③工作流程等）的服务设想、起点、定位、针对性及重点、难点把控等情况进行综合评分。</w:t>
            </w:r>
            <w:r/>
          </w:p>
          <w:p>
            <w:pPr>
              <w:spacing w:line="360" w:lineRule="exact"/>
              <w:rPr>
                <w:rFonts w:hint="eastAsia" w:hAnsi="宋体"/>
                <w:bCs/>
                <w:color w:val="auto"/>
                <w:highlight w:val="none"/>
              </w:rPr>
            </w:pPr>
            <w:r>
              <w:rPr>
                <w:rFonts w:hint="eastAsia" w:hAnsi="宋体"/>
                <w:bCs/>
                <w:color w:val="auto"/>
                <w:highlight w:val="none"/>
              </w:rPr>
              <w:t xml:space="preserve">完全涵盖以上3项内容最多得6分；包含任意1项最多得2分。</w:t>
            </w:r>
            <w:r/>
          </w:p>
          <w:p>
            <w:pPr>
              <w:spacing w:line="360" w:lineRule="exact"/>
              <w:rPr>
                <w:rFonts w:hint="eastAsia" w:hAnsi="宋体"/>
                <w:bCs/>
                <w:color w:val="auto"/>
                <w:highlight w:val="none"/>
              </w:rPr>
            </w:pPr>
            <w:r>
              <w:rPr>
                <w:rFonts w:hint="eastAsia" w:hAnsi="宋体"/>
                <w:bCs/>
                <w:color w:val="auto"/>
                <w:highlight w:val="none"/>
              </w:rPr>
              <w:t xml:space="preserve">每小项方案完善、科学可行、针对性强，重点、难点分析准确，应对措施有力得2分；</w:t>
            </w:r>
            <w:r/>
          </w:p>
          <w:p>
            <w:pPr>
              <w:spacing w:line="360" w:lineRule="exact"/>
              <w:rPr>
                <w:rFonts w:hint="eastAsia" w:hAnsi="宋体"/>
                <w:bCs/>
                <w:color w:val="auto"/>
                <w:highlight w:val="none"/>
              </w:rPr>
            </w:pPr>
            <w:r>
              <w:rPr>
                <w:rFonts w:hint="eastAsia" w:hAnsi="宋体"/>
                <w:bCs/>
                <w:color w:val="auto"/>
                <w:highlight w:val="none"/>
              </w:rPr>
              <w:t xml:space="preserve">每小项方案具有一定的可行性，但相对完善性较差、针对性较弱的得1分；</w:t>
            </w:r>
            <w:r/>
          </w:p>
          <w:p>
            <w:pPr>
              <w:spacing w:line="360" w:lineRule="exact"/>
              <w:rPr>
                <w:rFonts w:hint="eastAsia" w:hAnsi="宋体"/>
                <w:bCs/>
                <w:color w:val="auto"/>
                <w:highlight w:val="none"/>
              </w:rPr>
            </w:pPr>
            <w:r>
              <w:rPr>
                <w:rFonts w:hint="eastAsia" w:hAnsi="宋体"/>
                <w:bCs/>
                <w:color w:val="auto"/>
                <w:highlight w:val="none"/>
              </w:rPr>
              <w:t xml:space="preserve">每小项方案欠缺、重点、难点把控不准及未提供服务方案的不得分。</w:t>
            </w:r>
            <w:r/>
          </w:p>
        </w:tc>
      </w:tr>
      <w:tr>
        <w:trPr>
          <w:cantSplit/>
          <w:trHeight w:val="2159"/>
        </w:trPr>
        <w:tc>
          <w:tcPr>
            <w:shd w:val="clear" w:color="auto" w:fill="auto"/>
            <w:tcW w:w="616"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1217"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8117" w:type="dxa"/>
            <w:vAlign w:val="center"/>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2企业内部管理规章制度（3分）</w:t>
            </w:r>
            <w:r/>
          </w:p>
          <w:p>
            <w:pPr>
              <w:spacing w:line="360" w:lineRule="exact"/>
              <w:rPr>
                <w:rFonts w:hint="eastAsia" w:hAnsi="宋体"/>
                <w:bCs/>
                <w:color w:val="auto"/>
                <w:highlight w:val="none"/>
              </w:rPr>
            </w:pPr>
            <w:r>
              <w:rPr>
                <w:rFonts w:hint="eastAsia" w:hAnsi="宋体"/>
                <w:bCs/>
                <w:color w:val="auto"/>
                <w:highlight w:val="none"/>
              </w:rPr>
              <w:t xml:space="preserve">根据所投项目提供的内部管理规章制度（包括但不限于①组织架构、②企业规章制度等）的计划性、合理性、及时性、适宜性情况进行综合评分。</w:t>
            </w:r>
            <w:r/>
          </w:p>
          <w:p>
            <w:pPr>
              <w:spacing w:line="360" w:lineRule="exact"/>
              <w:rPr>
                <w:rFonts w:hint="eastAsia" w:hAnsi="宋体"/>
                <w:bCs/>
                <w:color w:val="auto"/>
                <w:highlight w:val="none"/>
              </w:rPr>
            </w:pPr>
            <w:r>
              <w:rPr>
                <w:rFonts w:hint="eastAsia" w:hAnsi="宋体"/>
                <w:bCs/>
                <w:color w:val="auto"/>
                <w:highlight w:val="none"/>
              </w:rPr>
              <w:t xml:space="preserve">完全涵盖以上2项内容最多得3分；包含任意1项最多得1.5分。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每小项方案内容全面详细、完整清晰、安排合理、完全针对采购人需求优化设计的，得1.5分；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每小项方案内容不够全面完整清晰、安排合理性不足、未针对采购人需求设计的，得0.5分；</w:t>
            </w:r>
            <w:r/>
          </w:p>
          <w:p>
            <w:pPr>
              <w:spacing w:line="360" w:lineRule="exact"/>
              <w:rPr>
                <w:rFonts w:hint="eastAsia" w:hAnsi="宋体"/>
                <w:bCs/>
                <w:color w:val="auto"/>
                <w:highlight w:val="none"/>
              </w:rPr>
            </w:pPr>
            <w:r>
              <w:rPr>
                <w:rFonts w:hint="eastAsia" w:hAnsi="宋体"/>
                <w:bCs/>
                <w:color w:val="auto"/>
                <w:highlight w:val="none"/>
              </w:rPr>
              <w:t xml:space="preserve">未提供或者经评标委员会认定完全不具备可行性的不得分。</w:t>
            </w:r>
            <w:r/>
          </w:p>
        </w:tc>
      </w:tr>
      <w:tr>
        <w:trPr>
          <w:cantSplit/>
          <w:trHeight w:val="20"/>
        </w:trPr>
        <w:tc>
          <w:tcPr>
            <w:shd w:val="clear" w:color="auto" w:fill="auto"/>
            <w:tcW w:w="616"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1217"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8117" w:type="dxa"/>
            <w:vAlign w:val="center"/>
            <w:textDirection w:val="lrTb"/>
            <w:noWrap w:val="false"/>
          </w:tcPr>
          <w:p>
            <w:pPr>
              <w:spacing w:line="360" w:lineRule="exact"/>
              <w:rPr>
                <w:rFonts w:hint="eastAsia" w:hAnsi="宋体"/>
                <w:bCs/>
                <w:color w:val="auto"/>
                <w:highlight w:val="none"/>
              </w:rPr>
            </w:pPr>
            <w:r>
              <w:rPr>
                <w:rFonts w:hAnsi="宋体"/>
                <w:bCs/>
                <w:color w:val="auto"/>
                <w:highlight w:val="none"/>
              </w:rPr>
              <w:t xml:space="preserve">3</w:t>
            </w:r>
            <w:r>
              <w:rPr>
                <w:rFonts w:hint="eastAsia" w:hAnsi="宋体"/>
                <w:bCs/>
                <w:color w:val="auto"/>
                <w:highlight w:val="none"/>
              </w:rPr>
              <w:t xml:space="preserve">人员配置方案（4分）</w:t>
            </w:r>
            <w:r/>
          </w:p>
          <w:p>
            <w:pPr>
              <w:spacing w:line="360" w:lineRule="exact"/>
              <w:rPr>
                <w:rFonts w:hint="eastAsia" w:hAnsi="宋体"/>
                <w:bCs/>
                <w:color w:val="auto"/>
                <w:highlight w:val="none"/>
              </w:rPr>
            </w:pPr>
            <w:r>
              <w:rPr>
                <w:rFonts w:hint="eastAsia" w:hAnsi="宋体"/>
                <w:bCs/>
                <w:color w:val="auto"/>
                <w:highlight w:val="none"/>
              </w:rPr>
              <w:t xml:space="preserve">评委根据投标人提供针对医院特殊洗涤要求提供的人员配置方案（包括但不限于①人员和岗位设置、②岗位培训等），根据方案的全面性、合理性、质控标准、岗位的特征性及岗位培训可操作性等进行评分。</w:t>
            </w:r>
            <w:r/>
          </w:p>
          <w:p>
            <w:pPr>
              <w:spacing w:line="360" w:lineRule="exact"/>
              <w:rPr>
                <w:rFonts w:hint="eastAsia" w:hAnsi="宋体"/>
                <w:bCs/>
                <w:color w:val="auto"/>
                <w:highlight w:val="none"/>
              </w:rPr>
            </w:pPr>
            <w:r>
              <w:rPr>
                <w:rFonts w:hint="eastAsia" w:hAnsi="宋体"/>
                <w:bCs/>
                <w:color w:val="auto"/>
                <w:highlight w:val="none"/>
              </w:rPr>
              <w:t xml:space="preserve">完全涵盖以上2项内容最多得4分；包含任意1项最多得2分。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每小项方案内容全面详细、完整清晰、安排合理、完全针对采购人需求优化设计的，得2分；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每小项方案内容不够全面完整清晰、安排合理性不足、未针对采购人需求设计的，得1分；</w:t>
            </w:r>
            <w:r/>
          </w:p>
          <w:p>
            <w:pPr>
              <w:spacing w:line="360" w:lineRule="exact"/>
              <w:rPr>
                <w:rFonts w:hint="eastAsia" w:hAnsi="宋体"/>
                <w:bCs/>
                <w:color w:val="auto"/>
                <w:highlight w:val="none"/>
              </w:rPr>
            </w:pPr>
            <w:r>
              <w:rPr>
                <w:rFonts w:hint="eastAsia" w:hAnsi="宋体"/>
                <w:bCs/>
                <w:color w:val="auto"/>
                <w:highlight w:val="none"/>
              </w:rPr>
              <w:t xml:space="preserve">未提供或者经评标委员会认定完全不具备可行性的不得分。</w:t>
            </w:r>
            <w:r/>
          </w:p>
        </w:tc>
      </w:tr>
      <w:tr>
        <w:trPr>
          <w:cantSplit/>
          <w:trHeight w:val="20"/>
        </w:trPr>
        <w:tc>
          <w:tcPr>
            <w:shd w:val="clear" w:color="auto" w:fill="auto"/>
            <w:tcW w:w="616"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1217"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8117" w:type="dxa"/>
            <w:vAlign w:val="center"/>
            <w:textDirection w:val="lrTb"/>
            <w:noWrap w:val="false"/>
          </w:tcPr>
          <w:p>
            <w:pPr>
              <w:spacing w:line="360" w:lineRule="exact"/>
              <w:rPr>
                <w:rFonts w:hint="eastAsia" w:hAnsi="宋体"/>
                <w:bCs/>
                <w:color w:val="auto"/>
                <w:highlight w:val="none"/>
              </w:rPr>
            </w:pPr>
            <w:r>
              <w:rPr>
                <w:rFonts w:hAnsi="宋体"/>
                <w:bCs/>
                <w:color w:val="auto"/>
                <w:highlight w:val="none"/>
              </w:rPr>
              <w:t xml:space="preserve">4</w:t>
            </w:r>
            <w:r>
              <w:rPr>
                <w:rFonts w:hint="eastAsia" w:hAnsi="宋体"/>
                <w:bCs/>
                <w:color w:val="auto"/>
                <w:highlight w:val="none"/>
              </w:rPr>
              <w:t xml:space="preserve">突发事件应急预案（6分）</w:t>
            </w:r>
            <w:r/>
          </w:p>
          <w:p>
            <w:pPr>
              <w:spacing w:line="360" w:lineRule="exact"/>
              <w:rPr>
                <w:rFonts w:hint="eastAsia" w:hAnsi="宋体"/>
                <w:bCs/>
                <w:color w:val="auto"/>
                <w:highlight w:val="none"/>
              </w:rPr>
            </w:pPr>
            <w:r>
              <w:rPr>
                <w:rFonts w:hint="eastAsia" w:hAnsi="宋体"/>
                <w:bCs/>
                <w:color w:val="auto"/>
                <w:highlight w:val="none"/>
              </w:rPr>
              <w:t xml:space="preserve">评委根据投标人自行列举本项目可能各类突发事件的应急预案（包括但不限于①</w:t>
            </w:r>
            <w:r>
              <w:rPr>
                <w:rFonts w:hint="eastAsia" w:ascii="宋体" w:hAnsi="宋体" w:cs="宋体"/>
                <w:color w:val="auto"/>
                <w:highlight w:val="none"/>
              </w:rPr>
              <w:t xml:space="preserve">出现停水、停电、停气、②极端天气、</w:t>
            </w:r>
            <w:r>
              <w:rPr>
                <w:rFonts w:hint="eastAsia" w:hAnsi="宋体"/>
                <w:bCs/>
                <w:color w:val="auto"/>
                <w:highlight w:val="none"/>
              </w:rPr>
              <w:t xml:space="preserve">疫情、③公共安全事件等突发事件）的科学合理性等打分。</w:t>
            </w:r>
            <w:r/>
          </w:p>
          <w:p>
            <w:pPr>
              <w:spacing w:line="360" w:lineRule="exact"/>
              <w:rPr>
                <w:rFonts w:hint="eastAsia" w:hAnsi="宋体"/>
                <w:bCs/>
                <w:color w:val="auto"/>
                <w:highlight w:val="none"/>
              </w:rPr>
            </w:pPr>
            <w:r>
              <w:rPr>
                <w:rFonts w:hint="eastAsia" w:hAnsi="宋体"/>
                <w:bCs/>
                <w:color w:val="auto"/>
                <w:highlight w:val="none"/>
              </w:rPr>
              <w:t xml:space="preserve">完全涵盖以上3项内容最多得6分；包含任意1项最多得2分。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每小项方案内容全面详细、完整清晰、安排合理、完全针对采购人需求优化设计的，得2分；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每小项方案内容不够全面完整清晰、安排合理性不足、未针对采购人需求设计的，得1分；</w:t>
            </w:r>
            <w:r/>
          </w:p>
          <w:p>
            <w:pPr>
              <w:spacing w:line="360" w:lineRule="exact"/>
              <w:rPr>
                <w:rFonts w:hint="eastAsia" w:hAnsi="宋体"/>
                <w:bCs/>
                <w:color w:val="auto"/>
                <w:highlight w:val="none"/>
              </w:rPr>
            </w:pPr>
            <w:r>
              <w:rPr>
                <w:rFonts w:hint="eastAsia" w:hAnsi="宋体"/>
                <w:bCs/>
                <w:color w:val="auto"/>
                <w:highlight w:val="none"/>
              </w:rPr>
              <w:t xml:space="preserve">未提供或者经评标委员会认定完全不具备可行性的不得分。</w:t>
            </w:r>
            <w:r/>
          </w:p>
        </w:tc>
      </w:tr>
      <w:tr>
        <w:trPr>
          <w:cantSplit/>
          <w:trHeight w:val="20"/>
        </w:trPr>
        <w:tc>
          <w:tcPr>
            <w:shd w:val="clear" w:color="auto" w:fill="auto"/>
            <w:tcW w:w="616"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1217"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8117" w:type="dxa"/>
            <w:vAlign w:val="center"/>
            <w:textDirection w:val="lrTb"/>
            <w:noWrap w:val="false"/>
          </w:tcPr>
          <w:p>
            <w:pPr>
              <w:spacing w:line="360" w:lineRule="exact"/>
              <w:rPr>
                <w:rFonts w:hint="eastAsia" w:hAnsi="宋体"/>
                <w:bCs/>
                <w:color w:val="auto"/>
                <w:highlight w:val="none"/>
              </w:rPr>
            </w:pPr>
            <w:r>
              <w:rPr>
                <w:rFonts w:hAnsi="宋体"/>
                <w:bCs/>
                <w:color w:val="auto"/>
                <w:highlight w:val="none"/>
              </w:rPr>
              <w:t xml:space="preserve">5</w:t>
            </w:r>
            <w:r>
              <w:rPr>
                <w:rFonts w:hint="eastAsia" w:hAnsi="宋体"/>
                <w:bCs/>
                <w:color w:val="auto"/>
                <w:highlight w:val="none"/>
              </w:rPr>
              <w:t xml:space="preserve">感控管理方案（6分）</w:t>
            </w:r>
            <w:r/>
          </w:p>
          <w:p>
            <w:pPr>
              <w:spacing w:line="360" w:lineRule="exact"/>
              <w:rPr>
                <w:rFonts w:hint="eastAsia" w:hAnsi="宋体"/>
                <w:bCs/>
                <w:color w:val="auto"/>
                <w:highlight w:val="none"/>
              </w:rPr>
            </w:pPr>
            <w:r>
              <w:rPr>
                <w:rFonts w:hint="eastAsia" w:hAnsi="宋体"/>
                <w:bCs/>
                <w:color w:val="auto"/>
                <w:highlight w:val="none"/>
              </w:rPr>
              <w:t xml:space="preserve">评委根据投标人提供洗涤过程中感控（防止交叉感染）的相关措施及方案（包括但不限于①建筑布局与硬件设施、②全流程感控关键点、③质量监测与追溯体系方案等）进行打分。</w:t>
            </w:r>
            <w:r/>
          </w:p>
          <w:p>
            <w:pPr>
              <w:spacing w:line="360" w:lineRule="exact"/>
              <w:rPr>
                <w:rFonts w:hint="eastAsia" w:hAnsi="宋体"/>
                <w:bCs/>
                <w:color w:val="auto"/>
                <w:highlight w:val="none"/>
              </w:rPr>
            </w:pPr>
            <w:r>
              <w:rPr>
                <w:rFonts w:hint="eastAsia" w:hAnsi="宋体"/>
                <w:bCs/>
                <w:color w:val="auto"/>
                <w:highlight w:val="none"/>
              </w:rPr>
              <w:t xml:space="preserve">完全涵盖以上3项内容最多得6分；包含任意1项最多得2分。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每小项方案内容全面详细、完整清晰、安排合理、完全针对采购人需求优化设计的，得2分；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每小项方案内容不够全面完整清晰、安排合理性不足、未针对采购人需求设计的，得1分；</w:t>
            </w:r>
            <w:r/>
          </w:p>
          <w:p>
            <w:pPr>
              <w:spacing w:line="360" w:lineRule="exact"/>
              <w:rPr>
                <w:rFonts w:hint="eastAsia" w:hAnsi="宋体"/>
                <w:bCs/>
                <w:color w:val="auto"/>
                <w:highlight w:val="none"/>
              </w:rPr>
            </w:pPr>
            <w:r>
              <w:rPr>
                <w:rFonts w:hint="eastAsia" w:hAnsi="宋体"/>
                <w:bCs/>
                <w:color w:val="auto"/>
                <w:highlight w:val="none"/>
              </w:rPr>
              <w:t xml:space="preserve">未提供或者经评标委员会认定完全不具备可行性的不得分。</w:t>
            </w:r>
            <w:r/>
          </w:p>
        </w:tc>
      </w:tr>
      <w:tr>
        <w:trPr>
          <w:cantSplit/>
          <w:trHeight w:val="20"/>
        </w:trPr>
        <w:tc>
          <w:tcPr>
            <w:shd w:val="clear" w:color="auto" w:fill="auto"/>
            <w:tcW w:w="616"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1217"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8117" w:type="dxa"/>
            <w:vAlign w:val="center"/>
            <w:textDirection w:val="lrTb"/>
            <w:noWrap w:val="false"/>
          </w:tcPr>
          <w:p>
            <w:pPr>
              <w:spacing w:line="360" w:lineRule="exact"/>
              <w:rPr>
                <w:rFonts w:hint="eastAsia" w:hAnsi="宋体"/>
                <w:bCs/>
                <w:color w:val="auto"/>
                <w:highlight w:val="none"/>
              </w:rPr>
            </w:pPr>
            <w:r>
              <w:rPr>
                <w:rFonts w:hAnsi="宋体"/>
                <w:bCs/>
                <w:color w:val="auto"/>
                <w:highlight w:val="none"/>
              </w:rPr>
              <w:t xml:space="preserve">6</w:t>
            </w:r>
            <w:r>
              <w:rPr>
                <w:rFonts w:hint="eastAsia" w:hAnsi="宋体"/>
                <w:bCs/>
                <w:color w:val="auto"/>
                <w:highlight w:val="none"/>
              </w:rPr>
              <w:t xml:space="preserve">运输保障方案（6分）</w:t>
            </w:r>
            <w:r/>
          </w:p>
          <w:p>
            <w:pPr>
              <w:spacing w:line="360" w:lineRule="exact"/>
              <w:rPr>
                <w:rFonts w:hint="eastAsia" w:hAnsi="宋体"/>
                <w:bCs/>
                <w:color w:val="auto"/>
                <w:highlight w:val="none"/>
              </w:rPr>
            </w:pPr>
            <w:r>
              <w:rPr>
                <w:rFonts w:hint="eastAsia" w:hAnsi="宋体"/>
                <w:bCs/>
                <w:color w:val="auto"/>
                <w:highlight w:val="none"/>
              </w:rPr>
              <w:t xml:space="preserve">评委根据投标人提供的洗涤服务中现场（包括但不限于①仓库、运输、医院转接现场、运输车辆密闭性、②洁净物与污物的区分、③运输车辆的定期消毒、运输车辆的数量等）质量安全保障及控制的相关措施及方案进行打分。</w:t>
            </w:r>
            <w:r/>
          </w:p>
          <w:p>
            <w:pPr>
              <w:spacing w:line="360" w:lineRule="exact"/>
              <w:rPr>
                <w:rFonts w:hint="eastAsia" w:hAnsi="宋体"/>
                <w:bCs/>
                <w:color w:val="auto"/>
                <w:highlight w:val="none"/>
              </w:rPr>
            </w:pPr>
            <w:r>
              <w:rPr>
                <w:rFonts w:hint="eastAsia" w:hAnsi="宋体"/>
                <w:bCs/>
                <w:color w:val="auto"/>
                <w:highlight w:val="none"/>
              </w:rPr>
              <w:t xml:space="preserve">完全涵盖以上3项内容最多得6分；包含任意1项最多得2分。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每小项方案内容全面详细、完整清晰、安排合理、完全针对采购人需求优化设计的，得2分；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每小项方案内容不够全面完整清晰、安排合理性不足、未针对采购人需求设计的，得1分；</w:t>
            </w:r>
            <w:r/>
          </w:p>
          <w:p>
            <w:pPr>
              <w:spacing w:line="360" w:lineRule="exact"/>
              <w:rPr>
                <w:rFonts w:hint="eastAsia" w:hAnsi="宋体"/>
                <w:bCs/>
                <w:color w:val="auto"/>
                <w:highlight w:val="none"/>
              </w:rPr>
            </w:pPr>
            <w:r>
              <w:rPr>
                <w:rFonts w:hint="eastAsia" w:hAnsi="宋体"/>
                <w:bCs/>
                <w:color w:val="auto"/>
                <w:highlight w:val="none"/>
              </w:rPr>
              <w:t xml:space="preserve">未提供或者经评标委员会认定完全不具备可行性的不得分。</w:t>
            </w:r>
            <w:r/>
          </w:p>
        </w:tc>
      </w:tr>
      <w:tr>
        <w:trPr>
          <w:cantSplit/>
          <w:trHeight w:val="20"/>
        </w:trPr>
        <w:tc>
          <w:tcPr>
            <w:shd w:val="clear" w:color="auto" w:fill="auto"/>
            <w:tcW w:w="616"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1217"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8117" w:type="dxa"/>
            <w:vAlign w:val="center"/>
            <w:textDirection w:val="lrTb"/>
            <w:noWrap w:val="false"/>
          </w:tcPr>
          <w:p>
            <w:pPr>
              <w:spacing w:line="360" w:lineRule="exact"/>
              <w:rPr>
                <w:rFonts w:hint="eastAsia" w:hAnsi="宋体"/>
                <w:bCs/>
                <w:color w:val="auto"/>
                <w:highlight w:val="none"/>
              </w:rPr>
            </w:pPr>
            <w:r>
              <w:rPr>
                <w:rFonts w:hAnsi="宋体"/>
                <w:bCs/>
                <w:color w:val="auto"/>
                <w:highlight w:val="none"/>
              </w:rPr>
              <w:t xml:space="preserve">7</w:t>
            </w:r>
            <w:r>
              <w:rPr>
                <w:rFonts w:hint="eastAsia" w:hAnsi="宋体"/>
                <w:bCs/>
                <w:color w:val="auto"/>
                <w:highlight w:val="none"/>
              </w:rPr>
              <w:t xml:space="preserve">智能化方案（6分）</w:t>
            </w:r>
            <w:r/>
          </w:p>
          <w:p>
            <w:pPr>
              <w:pStyle w:val="778"/>
              <w:spacing w:line="360" w:lineRule="exact"/>
              <w:rPr>
                <w:rFonts w:hint="eastAsia" w:hAnsi="宋体" w:eastAsia="宋体"/>
                <w:bCs/>
                <w:color w:val="auto"/>
                <w:szCs w:val="24"/>
                <w:highlight w:val="none"/>
              </w:rPr>
            </w:pPr>
            <w:r>
              <w:rPr>
                <w:rFonts w:hint="eastAsia" w:hAnsi="宋体" w:eastAsia="宋体"/>
                <w:bCs/>
                <w:color w:val="auto"/>
                <w:szCs w:val="24"/>
                <w:highlight w:val="none"/>
              </w:rPr>
              <w:t xml:space="preserve">评委根据投标人提供的针对本项目的被服洗涤数据化、信息化管理方案和物流智能化方案进行打分（包括但不限于</w:t>
            </w:r>
            <w:r>
              <w:rPr>
                <w:rFonts w:hint="eastAsia" w:hAnsi="宋体"/>
                <w:bCs/>
                <w:color w:val="auto"/>
                <w:highlight w:val="none"/>
              </w:rPr>
              <w:t xml:space="preserve">①</w:t>
            </w:r>
            <w:r>
              <w:rPr>
                <w:rFonts w:hint="eastAsia" w:hAnsi="宋体" w:eastAsia="宋体"/>
                <w:bCs/>
                <w:color w:val="auto"/>
                <w:szCs w:val="24"/>
                <w:highlight w:val="none"/>
              </w:rPr>
              <w:t xml:space="preserve">实现织物流向全程可追溯并且可与医院的系统对接、</w:t>
            </w:r>
            <w:r>
              <w:rPr>
                <w:rFonts w:hint="eastAsia" w:hAnsi="宋体"/>
                <w:bCs/>
                <w:color w:val="auto"/>
                <w:highlight w:val="none"/>
              </w:rPr>
              <w:t xml:space="preserve">②</w:t>
            </w:r>
            <w:r>
              <w:rPr>
                <w:rFonts w:hint="eastAsia" w:hAnsi="宋体" w:eastAsia="宋体"/>
                <w:bCs/>
                <w:color w:val="auto"/>
                <w:szCs w:val="24"/>
                <w:highlight w:val="none"/>
              </w:rPr>
              <w:t xml:space="preserve">配置“被服管理”、“被服分拣”和“智能化物流”相关信息管理系统软件和设备、</w:t>
            </w:r>
            <w:r>
              <w:rPr>
                <w:rFonts w:hint="eastAsia" w:hAnsi="宋体"/>
                <w:bCs/>
                <w:color w:val="auto"/>
                <w:highlight w:val="none"/>
              </w:rPr>
              <w:t xml:space="preserve">③智能化盘点</w:t>
            </w:r>
            <w:r>
              <w:rPr>
                <w:rFonts w:hint="eastAsia" w:hAnsi="宋体" w:eastAsia="宋体"/>
                <w:bCs/>
                <w:color w:val="auto"/>
                <w:highlight w:val="none"/>
              </w:rPr>
              <w:t xml:space="preserve">、</w:t>
            </w:r>
            <w:r>
              <w:rPr>
                <w:rFonts w:hint="eastAsia" w:hAnsi="宋体"/>
                <w:bCs/>
                <w:color w:val="auto"/>
                <w:highlight w:val="none"/>
              </w:rPr>
              <w:t xml:space="preserve">④数据量化</w:t>
            </w:r>
            <w:r>
              <w:rPr>
                <w:rFonts w:hint="eastAsia" w:hAnsi="宋体" w:eastAsia="宋体"/>
                <w:bCs/>
                <w:color w:val="auto"/>
                <w:highlight w:val="none"/>
              </w:rPr>
              <w:t xml:space="preserve">）</w:t>
            </w:r>
            <w:r>
              <w:rPr>
                <w:rFonts w:hint="eastAsia" w:hAnsi="宋体" w:eastAsia="宋体"/>
                <w:bCs/>
                <w:color w:val="auto"/>
                <w:szCs w:val="24"/>
                <w:highlight w:val="none"/>
              </w:rPr>
              <w:t xml:space="preserve">，投标人提供所使用的信息管理系统软件、设备下列操作、功能操作截图，并提供相应功能描述等。</w:t>
            </w:r>
            <w:r/>
          </w:p>
          <w:p>
            <w:pPr>
              <w:rPr>
                <w:rFonts w:hint="eastAsia" w:hAnsi="宋体"/>
                <w:bCs/>
                <w:color w:val="auto"/>
                <w:szCs w:val="24"/>
                <w:highlight w:val="none"/>
              </w:rPr>
            </w:pPr>
            <w:r>
              <w:rPr>
                <w:rFonts w:hint="eastAsia" w:hAnsi="宋体"/>
                <w:bCs/>
                <w:color w:val="auto"/>
                <w:highlight w:val="none"/>
              </w:rPr>
              <w:t xml:space="preserve">完全涵盖以上4项内容最多得6分；包含任意1项最多得1.5分。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每小项方案内容全面详细、完整清晰、安排合理、完全针对采购人需求优化设计的，得1.5分；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每小项方案内容不够全面完整清晰、安排合理性不足、未针对采购人需求设计的，得0.5分；</w:t>
            </w:r>
            <w:r/>
          </w:p>
          <w:p>
            <w:pPr>
              <w:spacing w:line="360" w:lineRule="exact"/>
              <w:rPr>
                <w:rFonts w:hint="eastAsia" w:hAnsi="宋体"/>
                <w:bCs/>
                <w:color w:val="auto"/>
                <w:highlight w:val="none"/>
              </w:rPr>
            </w:pPr>
            <w:r>
              <w:rPr>
                <w:rFonts w:hint="eastAsia" w:hAnsi="宋体"/>
                <w:bCs/>
                <w:color w:val="auto"/>
                <w:highlight w:val="none"/>
              </w:rPr>
              <w:t xml:space="preserve">未提供或者经评标委员会认定完全不具备可行性的不得分。</w:t>
            </w:r>
            <w:r/>
          </w:p>
          <w:p>
            <w:pPr>
              <w:spacing w:line="360" w:lineRule="exact"/>
              <w:rPr>
                <w:rFonts w:hint="eastAsia" w:hAnsi="宋体"/>
                <w:bCs/>
                <w:color w:val="auto"/>
                <w:highlight w:val="none"/>
              </w:rPr>
            </w:pPr>
            <w:r>
              <w:rPr>
                <w:rFonts w:hint="eastAsia" w:hAnsi="宋体"/>
                <w:bCs/>
                <w:color w:val="auto"/>
                <w:highlight w:val="none"/>
              </w:rPr>
            </w:r>
            <w:r/>
          </w:p>
        </w:tc>
      </w:tr>
      <w:tr>
        <w:trPr>
          <w:cantSplit/>
          <w:trHeight w:val="20"/>
        </w:trPr>
        <w:tc>
          <w:tcPr>
            <w:shd w:val="clear" w:color="auto" w:fill="auto"/>
            <w:tcW w:w="616"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1217" w:type="dxa"/>
            <w:vAlign w:val="center"/>
            <w:vMerge w:val="continue"/>
            <w:textDirection w:val="lrTb"/>
            <w:noWrap w:val="false"/>
          </w:tcPr>
          <w:p>
            <w:pPr>
              <w:spacing w:line="360" w:lineRule="exact"/>
              <w:rPr>
                <w:rFonts w:hint="eastAsia" w:hAnsi="宋体"/>
                <w:bCs/>
                <w:color w:val="auto"/>
                <w:highlight w:val="none"/>
              </w:rPr>
            </w:pPr>
            <w:r>
              <w:rPr>
                <w:rFonts w:hint="eastAsia" w:hAnsi="宋体"/>
                <w:bCs/>
                <w:color w:val="auto"/>
                <w:highlight w:val="none"/>
              </w:rPr>
            </w:r>
            <w:r/>
          </w:p>
        </w:tc>
        <w:tc>
          <w:tcPr>
            <w:shd w:val="clear" w:color="auto" w:fill="auto"/>
            <w:tcW w:w="8117" w:type="dxa"/>
            <w:vAlign w:val="center"/>
            <w:textDirection w:val="lrTb"/>
            <w:noWrap w:val="false"/>
          </w:tcPr>
          <w:p>
            <w:pPr>
              <w:spacing w:line="360" w:lineRule="exact"/>
              <w:rPr>
                <w:rFonts w:hint="eastAsia" w:hAnsi="宋体"/>
                <w:b/>
                <w:color w:val="auto"/>
                <w:highlight w:val="none"/>
              </w:rPr>
            </w:pPr>
            <w:r>
              <w:rPr>
                <w:rFonts w:hint="eastAsia" w:hAnsi="宋体"/>
                <w:bCs/>
                <w:color w:val="auto"/>
                <w:highlight w:val="none"/>
              </w:rPr>
              <w:t xml:space="preserve">8增值服务方案（3分）</w:t>
            </w:r>
            <w:r>
              <w:rPr>
                <w:rFonts w:hint="eastAsia" w:hAnsi="宋体"/>
                <w:b/>
                <w:color w:val="auto"/>
                <w:highlight w:val="none"/>
              </w:rPr>
              <w:t xml:space="preserve">（</w:t>
            </w:r>
            <w:r>
              <w:rPr>
                <w:rFonts w:hint="eastAsia" w:hAnsi="宋体"/>
                <w:bCs/>
                <w:color w:val="auto"/>
                <w:szCs w:val="24"/>
                <w:highlight w:val="none"/>
              </w:rPr>
              <w:t xml:space="preserve">内容包括但不限于①</w:t>
            </w:r>
            <w:r>
              <w:rPr>
                <w:rFonts w:hint="eastAsia" w:hAnsi="宋体"/>
                <w:b/>
                <w:color w:val="auto"/>
                <w:highlight w:val="none"/>
              </w:rPr>
              <w:t xml:space="preserve">精细化运营、②院感辅助服务、 ③延伸服务等）</w:t>
            </w:r>
            <w:r/>
          </w:p>
          <w:p>
            <w:pPr>
              <w:spacing w:line="360" w:lineRule="exact"/>
              <w:rPr>
                <w:rFonts w:hint="eastAsia" w:hAnsi="宋体"/>
                <w:b/>
                <w:color w:val="auto"/>
                <w:highlight w:val="none"/>
              </w:rPr>
            </w:pPr>
            <w:r>
              <w:rPr>
                <w:rFonts w:hint="eastAsia" w:hAnsi="宋体"/>
                <w:bCs/>
                <w:color w:val="auto"/>
                <w:highlight w:val="none"/>
              </w:rPr>
              <w:t xml:space="preserve">完全涵盖以上3项内容最多得3分；包含任意1项最多得1分。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每小项方案内容全面详细、完整清晰、安排合理、完全针对采购人需求优化设计的，得1分；</w:t>
            </w:r>
            <w:r/>
          </w:p>
          <w:p>
            <w:pPr>
              <w:numPr>
                <w:ilvl w:val="255"/>
                <w:numId w:val="0"/>
              </w:numPr>
              <w:jc w:val="left"/>
              <w:spacing w:line="360" w:lineRule="exact"/>
              <w:widowControl/>
              <w:rPr>
                <w:rFonts w:hint="eastAsia" w:hAnsi="宋体"/>
                <w:bCs/>
                <w:color w:val="auto"/>
                <w:highlight w:val="none"/>
              </w:rPr>
            </w:pPr>
            <w:r>
              <w:rPr>
                <w:rFonts w:hint="eastAsia" w:hAnsi="宋体"/>
                <w:bCs/>
                <w:color w:val="auto"/>
                <w:highlight w:val="none"/>
              </w:rPr>
              <w:t xml:space="preserve">每小项方案内容不够全面完整清晰、安排合理性不足、未针对采购人需求设计的，得0.5分；</w:t>
            </w:r>
            <w:r/>
          </w:p>
          <w:p>
            <w:pPr>
              <w:spacing w:line="360" w:lineRule="exact"/>
              <w:rPr>
                <w:rFonts w:hint="eastAsia" w:hAnsi="宋体"/>
                <w:bCs/>
                <w:color w:val="auto"/>
                <w:highlight w:val="none"/>
              </w:rPr>
            </w:pPr>
            <w:r>
              <w:rPr>
                <w:rFonts w:hint="eastAsia" w:hAnsi="宋体"/>
                <w:bCs/>
                <w:color w:val="auto"/>
                <w:highlight w:val="none"/>
              </w:rPr>
              <w:t xml:space="preserve">未提供或者经评标委员会认定完全不具备可行性的不得分。</w:t>
            </w:r>
            <w:r/>
          </w:p>
        </w:tc>
      </w:tr>
      <w:tr>
        <w:trPr>
          <w:cantSplit/>
          <w:trHeight w:val="20"/>
        </w:trPr>
        <w:tc>
          <w:tcPr>
            <w:shd w:val="clear" w:color="auto" w:fill="auto"/>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spacing w:line="360" w:lineRule="exact"/>
              <w:rPr>
                <w:rFonts w:hint="eastAsia" w:hAnsi="宋体"/>
                <w:bCs/>
                <w:color w:val="auto"/>
                <w:highlight w:val="none"/>
              </w:rPr>
            </w:pPr>
            <w:r>
              <w:rPr>
                <w:rFonts w:hAnsi="宋体"/>
                <w:bCs/>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spacing w:line="360" w:lineRule="exact"/>
              <w:rPr>
                <w:rFonts w:hint="eastAsia" w:hAnsi="宋体" w:eastAsia="等线" w:cs="宋体"/>
                <w:bCs/>
                <w:color w:val="auto"/>
                <w:highlight w:val="none"/>
              </w:rPr>
            </w:pPr>
            <w:r>
              <w:rPr>
                <w:rFonts w:hint="eastAsia" w:hAnsi="宋体" w:cs="宋体"/>
                <w:bCs/>
                <w:color w:val="auto"/>
                <w:highlight w:val="none"/>
              </w:rPr>
              <w:t xml:space="preserve">业绩</w:t>
            </w:r>
            <w:r/>
          </w:p>
          <w:p>
            <w:pPr>
              <w:spacing w:line="360" w:lineRule="exact"/>
              <w:rPr>
                <w:rFonts w:hint="eastAsia" w:hAnsi="宋体" w:cs="宋体"/>
                <w:bCs/>
                <w:color w:val="auto"/>
                <w:highlight w:val="none"/>
              </w:rPr>
            </w:pPr>
            <w:r>
              <w:rPr>
                <w:rFonts w:hint="eastAsia" w:hAnsi="宋体" w:cs="宋体"/>
                <w:bCs/>
                <w:color w:val="auto"/>
                <w:highlight w:val="none"/>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8117" w:type="dxa"/>
            <w:vAlign w:val="center"/>
            <w:textDirection w:val="lrTb"/>
            <w:noWrap w:val="false"/>
          </w:tcPr>
          <w:p>
            <w:pPr>
              <w:spacing w:line="360" w:lineRule="exact"/>
              <w:rPr>
                <w:rFonts w:hint="eastAsia" w:hAnsi="宋体"/>
                <w:bCs/>
                <w:color w:val="auto"/>
                <w:highlight w:val="none"/>
              </w:rPr>
            </w:pPr>
            <w:r>
              <w:rPr>
                <w:rFonts w:hint="eastAsia" w:ascii="宋体" w:hAnsi="宋体" w:cs="宋体"/>
                <w:bCs/>
                <w:color w:val="auto"/>
                <w:szCs w:val="21"/>
                <w:highlight w:val="none"/>
              </w:rPr>
              <w:t xml:space="preserve">投标人需提供自</w:t>
            </w:r>
            <w:r>
              <w:rPr>
                <w:rFonts w:hint="eastAsia" w:ascii="宋体" w:hAnsi="宋体" w:cs="宋体"/>
                <w:bCs/>
                <w:color w:val="auto"/>
                <w:szCs w:val="21"/>
                <w:highlight w:val="none"/>
              </w:rPr>
              <w:t xml:space="preserve">2023年9月</w:t>
            </w:r>
            <w:r>
              <w:rPr>
                <w:rFonts w:hint="eastAsia" w:ascii="宋体" w:hAnsi="宋体" w:cs="宋体"/>
                <w:bCs/>
                <w:color w:val="auto"/>
                <w:szCs w:val="21"/>
                <w:highlight w:val="none"/>
              </w:rPr>
              <w:t xml:space="preserve">以来（时间以合同签订时间为准）与本项目类似的布草洗涤相关服务的合同，提供合同复印件加盖公章。每提供一个业绩的得2分，最多得10分。同一单位不同时间的业绩证明材料仅计分一次。</w:t>
            </w:r>
            <w:r/>
          </w:p>
        </w:tc>
      </w:tr>
      <w:tr>
        <w:trPr>
          <w:cantSplit/>
          <w:trHeight w:val="111"/>
        </w:trPr>
        <w:tc>
          <w:tcPr>
            <w:shd w:val="clear" w:color="auto" w:fill="auto"/>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spacing w:line="360" w:lineRule="exact"/>
              <w:rPr>
                <w:rFonts w:hint="eastAsia" w:hAnsi="宋体"/>
                <w:bCs/>
                <w:color w:val="auto"/>
                <w:highlight w:val="none"/>
              </w:rPr>
            </w:pPr>
            <w:r>
              <w:rPr>
                <w:rFonts w:hAnsi="宋体"/>
                <w:bCs/>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spacing w:line="360" w:lineRule="exact"/>
              <w:rPr>
                <w:rFonts w:hint="eastAsia" w:hAnsi="宋体" w:cs="宋体"/>
                <w:bCs/>
                <w:color w:val="auto"/>
                <w:highlight w:val="none"/>
              </w:rPr>
            </w:pPr>
            <w:r>
              <w:rPr>
                <w:rFonts w:hint="eastAsia" w:hAnsi="宋体" w:cs="宋体"/>
                <w:bCs/>
                <w:color w:val="auto"/>
                <w:highlight w:val="none"/>
              </w:rPr>
              <w:t xml:space="preserve">布草卫生检测报告（10</w:t>
            </w:r>
            <w:r>
              <w:rPr>
                <w:rFonts w:hint="eastAsia" w:hAnsi="宋体"/>
                <w:bCs/>
                <w:color w:val="auto"/>
                <w:highlight w:val="none"/>
              </w:rPr>
              <w:t xml:space="preserve">分</w:t>
            </w:r>
            <w:r>
              <w:rPr>
                <w:rFonts w:hint="eastAsia" w:hAnsi="宋体" w:cs="宋体"/>
                <w:bCs/>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117" w:type="dxa"/>
            <w:vAlign w:val="center"/>
            <w:textDirection w:val="lrTb"/>
            <w:noWrap w:val="false"/>
          </w:tcPr>
          <w:p>
            <w:pPr>
              <w:spacing w:line="360" w:lineRule="exact"/>
              <w:rPr>
                <w:rFonts w:hint="eastAsia" w:hAnsi="宋体" w:cs="宋体"/>
                <w:bCs/>
                <w:color w:val="auto"/>
                <w:highlight w:val="none"/>
              </w:rPr>
            </w:pPr>
            <w:r>
              <w:rPr>
                <w:rFonts w:hint="eastAsia" w:hAnsi="宋体" w:cs="宋体"/>
                <w:bCs/>
                <w:color w:val="auto"/>
                <w:highlight w:val="none"/>
              </w:rPr>
              <w:t xml:space="preserve">提供洗涤后布草</w:t>
            </w:r>
            <w:r>
              <w:rPr>
                <w:rFonts w:hint="eastAsia" w:hAnsi="宋体" w:cs="宋体"/>
                <w:bCs/>
                <w:color w:val="auto"/>
                <w:highlight w:val="none"/>
              </w:rPr>
              <w:t xml:space="preserve">2</w:t>
            </w:r>
            <w:r>
              <w:rPr>
                <w:rFonts w:hAnsi="宋体" w:cs="宋体"/>
                <w:bCs/>
                <w:color w:val="auto"/>
                <w:highlight w:val="none"/>
              </w:rPr>
              <w:t xml:space="preserve">02</w:t>
            </w:r>
            <w:r>
              <w:rPr>
                <w:rFonts w:hint="eastAsia" w:hAnsi="宋体" w:cs="宋体"/>
                <w:bCs/>
                <w:color w:val="auto"/>
                <w:highlight w:val="none"/>
              </w:rPr>
              <w:t xml:space="preserve">3年9月</w:t>
            </w:r>
            <w:r>
              <w:rPr>
                <w:rFonts w:hint="eastAsia" w:hAnsi="宋体" w:cs="宋体"/>
                <w:bCs/>
                <w:color w:val="auto"/>
                <w:highlight w:val="none"/>
              </w:rPr>
              <w:t xml:space="preserve">以来第三方检测报告，每提供一份得2分，最多得10分。检测标准为中华人民共和国卫生行业标准，委托送检单位必须是投标人单位，否则不得分。 </w:t>
            </w:r>
            <w:r/>
          </w:p>
        </w:tc>
      </w:tr>
      <w:tr>
        <w:trPr>
          <w:cantSplit/>
          <w:trHeight w:val="1765"/>
        </w:trPr>
        <w:tc>
          <w:tcPr>
            <w:shd w:val="clear" w:color="auto" w:fill="auto"/>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spacing w:line="360" w:lineRule="exact"/>
              <w:rPr>
                <w:rFonts w:hint="eastAsia" w:hAnsi="宋体" w:cs="宋体"/>
                <w:color w:val="auto"/>
                <w:highlight w:val="none"/>
              </w:rPr>
            </w:pPr>
            <w:r>
              <w:rPr>
                <w:rFonts w:hint="eastAsia" w:hAnsi="宋体" w:cs="宋体"/>
                <w:color w:val="auto"/>
                <w:highlight w:val="none"/>
              </w:rPr>
              <w:t xml:space="preserve">感控专职人员</w:t>
            </w:r>
            <w:r/>
          </w:p>
          <w:p>
            <w:pPr>
              <w:jc w:val="center"/>
              <w:spacing w:line="360" w:lineRule="exact"/>
              <w:rPr>
                <w:rFonts w:hint="eastAsia" w:hAnsi="宋体" w:cs="宋体"/>
                <w:color w:val="auto"/>
                <w:highlight w:val="none"/>
              </w:rPr>
            </w:pPr>
            <w:r>
              <w:rPr>
                <w:rFonts w:hint="eastAsia" w:hAnsi="宋体" w:cs="宋体"/>
                <w:color w:val="auto"/>
                <w:highlight w:val="none"/>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8117" w:type="dxa"/>
            <w:vAlign w:val="center"/>
            <w:textDirection w:val="lrTb"/>
            <w:noWrap w:val="false"/>
          </w:tcPr>
          <w:p>
            <w:pPr>
              <w:spacing w:line="360" w:lineRule="exact"/>
              <w:rPr>
                <w:rFonts w:hint="eastAsia" w:hAnsi="宋体"/>
                <w:color w:val="auto"/>
                <w:highlight w:val="none"/>
              </w:rPr>
            </w:pPr>
            <w:r>
              <w:rPr>
                <w:rFonts w:hint="eastAsia" w:hAnsi="宋体" w:cs="宋体"/>
                <w:color w:val="auto"/>
                <w:highlight w:val="none"/>
              </w:rPr>
              <w:t xml:space="preserve">投标人设有感染质量管理岗位，有专职感控医生或护士或技术人员，且专职感控人员具有感染控制的相关经验或者医学背景的，需提供专职感控人员的劳动合同或服务协议（二者选其一提供）、身份证复印件、从业证明等相关证明材料（备注：从业证明等相关证明材料需能反映出上述要求），有得5分，未提供或未按要求提供或未能体现上述内容的不得分。</w:t>
            </w:r>
            <w:r/>
          </w:p>
        </w:tc>
      </w:tr>
      <w:tr>
        <w:trPr>
          <w:cantSplit/>
          <w:trHeight w:val="1765"/>
        </w:trPr>
        <w:tc>
          <w:tcPr>
            <w:shd w:val="clear" w:color="auto" w:fill="auto"/>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spacing w:line="360" w:lineRule="exact"/>
              <w:rPr>
                <w:rFonts w:hint="eastAsia" w:hAnsi="宋体"/>
                <w:bCs/>
                <w:color w:val="auto"/>
                <w:highlight w:val="none"/>
              </w:rPr>
            </w:pPr>
            <w:r>
              <w:rPr>
                <w:rFonts w:hint="eastAsia" w:hAnsi="宋体"/>
                <w:bCs/>
                <w:color w:val="auto"/>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left"/>
              <w:spacing w:line="360" w:lineRule="exact"/>
              <w:rPr>
                <w:rFonts w:hint="eastAsia" w:hAnsi="宋体" w:cs="宋体"/>
                <w:color w:val="auto"/>
                <w:highlight w:val="none"/>
              </w:rPr>
            </w:pPr>
            <w:r>
              <w:rPr>
                <w:rFonts w:hint="eastAsia" w:ascii="宋体" w:hAnsi="宋体" w:cs="宋体"/>
                <w:bCs/>
                <w:color w:val="auto"/>
                <w:szCs w:val="21"/>
                <w:highlight w:val="none"/>
              </w:rPr>
              <w:t xml:space="preserve">洗涤场所（20分）</w:t>
            </w:r>
            <w:r/>
          </w:p>
        </w:tc>
        <w:tc>
          <w:tcPr>
            <w:shd w:val="clear" w:color="auto" w:fill="auto"/>
            <w:tcBorders>
              <w:top w:val="single" w:color="auto" w:sz="4" w:space="0"/>
              <w:left w:val="single" w:color="auto" w:sz="4" w:space="0"/>
              <w:bottom w:val="single" w:color="auto" w:sz="4" w:space="0"/>
              <w:right w:val="single" w:color="auto" w:sz="4" w:space="0"/>
            </w:tcBorders>
            <w:tcW w:w="8117" w:type="dxa"/>
            <w:vAlign w:val="center"/>
            <w:textDirection w:val="lrTb"/>
            <w:noWrap w:val="false"/>
          </w:tcPr>
          <w:p>
            <w:pPr>
              <w:jc w:val="left"/>
              <w:spacing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1、洗涤场所具备合法经营场所，场地产权或长期租赁证明齐全；生产场地选址符合卫生防护距离要求，不得设置在居民楼内，提供厂区平面布局图并加盖公章。完全满足得5分。</w:t>
            </w:r>
            <w:r/>
          </w:p>
          <w:p>
            <w:pPr>
              <w:jc w:val="left"/>
              <w:spacing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厂区严格执行洁污分区，设置脏布草接收分拣区、洗涤处理区、洁净布草烘干熨烫整理区、洁净成品存放出库区，各区物理隔断、人流物流通道分开，避免洁污交叉污染；脏净布草运输通道独立设置。分区完整、物理隔离到位得5分。</w:t>
            </w:r>
            <w:r/>
          </w:p>
          <w:p>
            <w:pPr>
              <w:jc w:val="left"/>
              <w:spacing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场所地面墙面防水耐腐蚀，排水通风排风系统完备，分拣区域配备消毒设施；洁净成品储存区域密闭防尘，具备温湿度管控条件；厂区设置独立更衣、洗手消毒、污物暂存区域。设施配置齐全满足医用布草洗涤要求得5分。</w:t>
            </w:r>
            <w:r/>
          </w:p>
          <w:p>
            <w:pPr>
              <w:jc w:val="left"/>
              <w:spacing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4、洗涤场所废水、废气处理设施配置到位，符合环保排放相关要求；消防设施齐全有效，厂区设安全警示标识；化学品洗涤剂单独密闭存放，建立危化品管理台账。全部符合要求得5分。</w:t>
            </w:r>
            <w:r/>
          </w:p>
          <w:p>
            <w:pPr>
              <w:jc w:val="left"/>
              <w:spacing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w:t>
            </w:r>
            <w:r/>
          </w:p>
          <w:p>
            <w:pPr>
              <w:jc w:val="left"/>
              <w:spacing w:line="3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1、以上均需提供彩色清晰照片并附相关具体说明加盖公章（包括场地大小、生产流水线、设备的名称、购买合同、购买金额、品牌型号和用途等），依照提供的照片、设备情况、场地情况等评分，提供不全或未按要求提供或未提供不得分。</w:t>
            </w:r>
            <w:r/>
          </w:p>
          <w:p>
            <w:pPr>
              <w:pStyle w:val="778"/>
              <w:spacing w:line="360" w:lineRule="exact"/>
              <w:rPr>
                <w:rFonts w:hAnsi="宋体" w:cs="宋体"/>
                <w:color w:val="auto"/>
                <w:szCs w:val="24"/>
                <w:highlight w:val="none"/>
              </w:rPr>
            </w:pPr>
            <w:r>
              <w:rPr>
                <w:rFonts w:hint="eastAsia" w:ascii="宋体" w:hAnsi="宋体" w:eastAsia="宋体" w:cs="宋体"/>
                <w:b/>
                <w:color w:val="auto"/>
                <w:szCs w:val="21"/>
                <w:highlight w:val="none"/>
              </w:rPr>
              <w:t xml:space="preserve">2、投标人须提供证明材料真实性承诺书并加盖投标人公章，采购人保留现场核验的权利，如现场核验情况与所提供材料不符，采购人将取消中标资格。</w:t>
            </w:r>
            <w:bookmarkEnd w:id="137"/>
            <w:r/>
            <w:r/>
          </w:p>
        </w:tc>
      </w:tr>
    </w:tbl>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（2.1）本项目对监狱和戒毒企业（简称监狱企业），给予10%的价格扣除，用扣除后的价格参与评审。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（3.1）本项目对残疾人福利性单位，给予10%的价格扣除，用扣除后的价格参与评审。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pStyle w:val="763"/>
        <w:jc w:val="both"/>
        <w:rPr>
          <w:color w:val="auto"/>
          <w:highlight w:val="none"/>
        </w:rPr>
      </w:pPr>
      <w:r/>
      <w:bookmarkStart w:id="138" w:name="_Toc23169"/>
      <w:r/>
      <w:bookmarkStart w:id="139" w:name="_Toc8891"/>
      <w:r/>
      <w:r/>
    </w:p>
    <w:p>
      <w:pPr>
        <w:rPr>
          <w:rFonts w:ascii="宋体" w:hAnsi="宋体" w:eastAsia="Arial" w:cs="宋体"/>
          <w:b/>
          <w:color w:val="auto"/>
          <w:sz w:val="44"/>
          <w:szCs w:val="44"/>
          <w:highlight w:val="none"/>
        </w:rPr>
      </w:pPr>
      <w:r>
        <w:rPr>
          <w:rFonts w:ascii="宋体" w:hAnsi="宋体" w:eastAsia="Arial" w:cs="宋体"/>
          <w:b/>
          <w:color w:val="auto"/>
          <w:sz w:val="44"/>
          <w:szCs w:val="44"/>
          <w:highlight w:val="none"/>
        </w:rPr>
      </w:r>
      <w:r/>
    </w:p>
    <w:p>
      <w:pPr>
        <w:rPr>
          <w:rFonts w:ascii="宋体" w:hAnsi="宋体" w:eastAsia="Arial" w:cs="宋体"/>
          <w:b/>
          <w:color w:val="auto"/>
          <w:sz w:val="44"/>
          <w:szCs w:val="44"/>
          <w:highlight w:val="none"/>
        </w:rPr>
      </w:pPr>
      <w:r>
        <w:rPr>
          <w:rFonts w:ascii="宋体" w:hAnsi="宋体" w:eastAsia="Arial" w:cs="宋体"/>
          <w:b/>
          <w:color w:val="auto"/>
          <w:sz w:val="44"/>
          <w:szCs w:val="44"/>
          <w:highlight w:val="none"/>
        </w:rPr>
      </w:r>
      <w:r/>
    </w:p>
    <w:p>
      <w:pPr>
        <w:rPr>
          <w:rFonts w:ascii="宋体" w:hAnsi="宋体" w:eastAsia="Arial" w:cs="宋体"/>
          <w:b/>
          <w:color w:val="auto"/>
          <w:sz w:val="44"/>
          <w:szCs w:val="44"/>
          <w:highlight w:val="none"/>
        </w:rPr>
      </w:pPr>
      <w:r>
        <w:rPr>
          <w:rFonts w:ascii="宋体" w:hAnsi="宋体" w:eastAsia="Arial" w:cs="宋体"/>
          <w:b/>
          <w:color w:val="auto"/>
          <w:sz w:val="44"/>
          <w:szCs w:val="44"/>
          <w:highlight w:val="none"/>
        </w:rPr>
      </w:r>
      <w:r/>
    </w:p>
    <w:p>
      <w:pPr>
        <w:rPr>
          <w:rFonts w:ascii="宋体" w:hAnsi="宋体" w:eastAsia="Arial" w:cs="宋体"/>
          <w:b/>
          <w:color w:val="auto"/>
          <w:sz w:val="44"/>
          <w:szCs w:val="44"/>
          <w:highlight w:val="none"/>
        </w:rPr>
      </w:pPr>
      <w:r>
        <w:rPr>
          <w:rFonts w:ascii="宋体" w:hAnsi="宋体" w:eastAsia="Arial" w:cs="宋体"/>
          <w:b/>
          <w:color w:val="auto"/>
          <w:sz w:val="44"/>
          <w:szCs w:val="44"/>
          <w:highlight w:val="none"/>
        </w:rPr>
      </w:r>
      <w:r/>
    </w:p>
    <w:p>
      <w:pPr>
        <w:rPr>
          <w:rFonts w:ascii="宋体" w:hAnsi="宋体" w:eastAsia="Arial" w:cs="宋体"/>
          <w:b/>
          <w:color w:val="auto"/>
          <w:sz w:val="44"/>
          <w:szCs w:val="44"/>
          <w:highlight w:val="none"/>
        </w:rPr>
      </w:pPr>
      <w:r>
        <w:rPr>
          <w:rFonts w:ascii="宋体" w:hAnsi="宋体" w:eastAsia="Arial" w:cs="宋体"/>
          <w:b/>
          <w:color w:val="auto"/>
          <w:sz w:val="44"/>
          <w:szCs w:val="44"/>
          <w:highlight w:val="none"/>
        </w:rPr>
      </w:r>
      <w:r/>
    </w:p>
    <w:p>
      <w:pPr>
        <w:rPr>
          <w:rFonts w:ascii="宋体" w:hAnsi="宋体" w:eastAsia="Arial" w:cs="宋体"/>
          <w:b/>
          <w:color w:val="auto"/>
          <w:sz w:val="44"/>
          <w:szCs w:val="44"/>
          <w:highlight w:val="none"/>
        </w:rPr>
      </w:pPr>
      <w:r>
        <w:rPr>
          <w:rFonts w:ascii="宋体" w:hAnsi="宋体" w:eastAsia="Arial" w:cs="宋体"/>
          <w:b/>
          <w:color w:val="auto"/>
          <w:sz w:val="44"/>
          <w:szCs w:val="44"/>
          <w:highlight w:val="none"/>
        </w:rPr>
      </w:r>
      <w:r/>
    </w:p>
    <w:p>
      <w:pPr>
        <w:pStyle w:val="763"/>
        <w:jc w:val="both"/>
        <w:rPr>
          <w:color w:val="auto"/>
          <w:highlight w:val="none"/>
        </w:rPr>
      </w:pPr>
      <w:r>
        <w:rPr>
          <w:color w:val="auto"/>
          <w:highlight w:val="none"/>
        </w:rPr>
      </w:r>
      <w:r/>
    </w:p>
    <w:p>
      <w:pPr>
        <w:pStyle w:val="763"/>
        <w:rPr>
          <w:color w:val="auto"/>
          <w:highlight w:val="none"/>
        </w:rPr>
      </w:pPr>
      <w:r>
        <w:rPr>
          <w:rFonts w:hint="eastAsia"/>
          <w:color w:val="auto"/>
          <w:highlight w:val="none"/>
        </w:rPr>
        <w:t xml:space="preserve">第四部分 项目需求</w:t>
      </w:r>
      <w:bookmarkEnd w:id="136"/>
      <w:r/>
      <w:bookmarkEnd w:id="138"/>
      <w:r/>
      <w:bookmarkEnd w:id="139"/>
      <w:r/>
      <w:bookmarkStart w:id="140" w:name="_Toc514054482"/>
      <w:r/>
      <w:r/>
    </w:p>
    <w:p>
      <w:pPr>
        <w:ind w:firstLine="482"/>
        <w:spacing w:line="440" w:lineRule="exact"/>
        <w:rPr>
          <w:color w:val="auto"/>
          <w:highlight w:val="none"/>
        </w:rPr>
      </w:pPr>
      <w:r/>
      <w:bookmarkStart w:id="141" w:name="_Toc311"/>
      <w:r/>
      <w:bookmarkStart w:id="142" w:name="_Toc32119"/>
      <w:r>
        <w:rPr>
          <w:rFonts w:hint="eastAsia" w:ascii="宋体" w:hAnsi="宋体" w:cs="宋体"/>
          <w:b/>
          <w:color w:val="auto"/>
          <w:highlight w:val="none"/>
        </w:rPr>
        <w:t xml:space="preserve">一、项目概述</w:t>
      </w:r>
      <w:r/>
    </w:p>
    <w:p>
      <w:pPr>
        <w:ind w:firstLine="480"/>
        <w:jc w:val="left"/>
        <w:spacing w:line="440" w:lineRule="exact"/>
        <w:rPr>
          <w:rFonts w:hint="eastAsia" w:ascii="宋体" w:hAnsi="宋体" w:cs="宋体"/>
          <w:bCs/>
          <w:color w:val="auto"/>
          <w:highlight w:val="none"/>
        </w:rPr>
      </w:pPr>
      <w:r>
        <w:rPr>
          <w:rFonts w:hint="eastAsia" w:ascii="宋体" w:hAnsi="宋体" w:cs="宋体"/>
          <w:bCs/>
          <w:color w:val="auto"/>
          <w:highlight w:val="none"/>
        </w:rPr>
        <w:t xml:space="preserve">江苏省人民医院雨花院区已完成主体工程、门诊、住院、手术室、治疗室、行政办公区域建设，计划于</w:t>
      </w:r>
      <w:r>
        <w:rPr>
          <w:rFonts w:ascii="宋体" w:hAnsi="宋体" w:cs="宋体"/>
          <w:bCs/>
          <w:color w:val="auto"/>
          <w:highlight w:val="none"/>
        </w:rPr>
        <w:t xml:space="preserve">2026</w:t>
      </w:r>
      <w:r>
        <w:rPr>
          <w:rFonts w:hint="eastAsia" w:ascii="宋体" w:hAnsi="宋体" w:cs="宋体"/>
          <w:bCs/>
          <w:color w:val="auto"/>
          <w:highlight w:val="none"/>
        </w:rPr>
        <w:t xml:space="preserve">年</w:t>
      </w:r>
      <w:r>
        <w:rPr>
          <w:rFonts w:ascii="宋体" w:hAnsi="宋体" w:cs="宋体"/>
          <w:bCs/>
          <w:color w:val="auto"/>
          <w:highlight w:val="none"/>
        </w:rPr>
        <w:t xml:space="preserve">9</w:t>
      </w:r>
      <w:r>
        <w:rPr>
          <w:rFonts w:hint="eastAsia" w:ascii="宋体" w:hAnsi="宋体" w:cs="宋体"/>
          <w:bCs/>
          <w:color w:val="auto"/>
          <w:highlight w:val="none"/>
        </w:rPr>
        <w:t xml:space="preserve">月交付，规划开放床位</w:t>
      </w:r>
      <w:r>
        <w:rPr>
          <w:rFonts w:ascii="宋体" w:hAnsi="宋体" w:cs="宋体"/>
          <w:bCs/>
          <w:color w:val="auto"/>
          <w:highlight w:val="none"/>
        </w:rPr>
        <w:t xml:space="preserve">1225</w:t>
      </w:r>
      <w:r>
        <w:rPr>
          <w:rFonts w:hint="eastAsia" w:ascii="宋体" w:hAnsi="宋体" w:cs="宋体"/>
          <w:bCs/>
          <w:color w:val="auto"/>
          <w:highlight w:val="none"/>
        </w:rPr>
        <w:t xml:space="preserve">张，配套手术室</w:t>
      </w:r>
      <w:r>
        <w:rPr>
          <w:rFonts w:ascii="宋体" w:hAnsi="宋体" w:cs="宋体"/>
          <w:bCs/>
          <w:color w:val="auto"/>
          <w:highlight w:val="none"/>
        </w:rPr>
        <w:t xml:space="preserve">25</w:t>
      </w:r>
      <w:r>
        <w:rPr>
          <w:rFonts w:hint="eastAsia" w:ascii="宋体" w:hAnsi="宋体" w:cs="宋体"/>
          <w:bCs/>
          <w:color w:val="auto"/>
          <w:highlight w:val="none"/>
        </w:rPr>
        <w:t xml:space="preserve">间、各类临床科室、重症监护、感染病区、门诊治疗区、行政办公区、家属陪护区域，将陆续常态化诊疗运营。我院广州路院区日均手术</w:t>
      </w:r>
      <w:r>
        <w:rPr>
          <w:rFonts w:ascii="宋体" w:hAnsi="宋体" w:cs="宋体"/>
          <w:bCs/>
          <w:color w:val="auto"/>
          <w:highlight w:val="none"/>
        </w:rPr>
        <w:t xml:space="preserve">520</w:t>
      </w:r>
      <w:r>
        <w:rPr>
          <w:rFonts w:hint="eastAsia" w:ascii="宋体" w:hAnsi="宋体" w:cs="宋体"/>
          <w:bCs/>
          <w:color w:val="auto"/>
          <w:highlight w:val="none"/>
        </w:rPr>
        <w:t xml:space="preserve">台。两个院区将产生海量医用布草，品类覆盖：病房床品（床单、被套、枕套、被芯套）、手术室全套手术巾单、治疗室诊疗布类、医护四季工作服、洗手衣裤、患者病员服、病房窗帘、隔帘、椅套、各类擦巾、治疗巾等，每日布草周转量大、更换频次高，必须实现每日收送、循环供应。为保障雨花院区所有布草和广州路院区手术类布草持续供应，亟需通过公开招标确定合规、专业、规模化医用布草洗涤服务商。</w:t>
      </w:r>
      <w:r/>
    </w:p>
    <w:tbl>
      <w:tblPr>
        <w:tblStyle w:val="773"/>
        <w:tblW w:w="98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970"/>
        <w:gridCol w:w="1913"/>
        <w:gridCol w:w="1547"/>
        <w:gridCol w:w="2562"/>
      </w:tblGrid>
      <w:tr>
        <w:trPr>
          <w:jc w:val="center"/>
          <w:trHeight w:val="646"/>
        </w:trPr>
        <w:tc>
          <w:tcPr>
            <w:tcW w:w="840"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包号</w:t>
            </w:r>
            <w:r/>
          </w:p>
        </w:tc>
        <w:tc>
          <w:tcPr>
            <w:tcW w:w="2970"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分包名称</w:t>
            </w:r>
            <w:r/>
          </w:p>
        </w:tc>
        <w:tc>
          <w:tcPr>
            <w:tcW w:w="1913"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预算金额</w:t>
            </w:r>
            <w:r/>
          </w:p>
          <w:p>
            <w:pPr>
              <w:jc w:val="center"/>
              <w:spacing w:line="440" w:lineRule="exact"/>
              <w:rPr>
                <w:rFonts w:hint="eastAsia" w:ascii="宋体" w:hAnsi="宋体"/>
                <w:color w:val="auto"/>
                <w:highlight w:val="none"/>
              </w:rPr>
            </w:pPr>
            <w:r>
              <w:rPr>
                <w:rFonts w:hint="eastAsia" w:ascii="宋体" w:hAnsi="宋体"/>
                <w:color w:val="auto"/>
                <w:highlight w:val="none"/>
              </w:rPr>
              <w:t xml:space="preserve">（万元/年）</w:t>
            </w:r>
            <w:r/>
          </w:p>
        </w:tc>
        <w:tc>
          <w:tcPr>
            <w:tcW w:w="1547"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最高限价</w:t>
            </w:r>
            <w:r/>
          </w:p>
          <w:p>
            <w:pPr>
              <w:jc w:val="center"/>
              <w:spacing w:line="440" w:lineRule="exact"/>
              <w:rPr>
                <w:rFonts w:hint="eastAsia" w:ascii="宋体" w:hAnsi="宋体"/>
                <w:color w:val="auto"/>
                <w:highlight w:val="none"/>
              </w:rPr>
            </w:pPr>
            <w:r>
              <w:rPr>
                <w:rFonts w:hint="eastAsia" w:ascii="宋体" w:hAnsi="宋体"/>
                <w:color w:val="auto"/>
                <w:highlight w:val="none"/>
              </w:rPr>
              <w:t xml:space="preserve">（万元/年）</w:t>
            </w:r>
            <w:r/>
          </w:p>
        </w:tc>
        <w:tc>
          <w:tcPr>
            <w:tcW w:w="2562"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服务期限</w:t>
            </w:r>
            <w:r/>
          </w:p>
        </w:tc>
      </w:tr>
      <w:tr>
        <w:trPr>
          <w:jc w:val="center"/>
          <w:trHeight w:val="754"/>
        </w:trPr>
        <w:tc>
          <w:tcPr>
            <w:tcW w:w="840"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1</w:t>
            </w:r>
            <w:r/>
          </w:p>
        </w:tc>
        <w:tc>
          <w:tcPr>
            <w:tcW w:w="2970"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江苏省人民医院雨花院区布草洗涤服务</w:t>
            </w:r>
            <w:r/>
          </w:p>
        </w:tc>
        <w:tc>
          <w:tcPr>
            <w:tcW w:w="1913" w:type="dxa"/>
            <w:vAlign w:val="center"/>
            <w:textDirection w:val="lrTb"/>
            <w:noWrap w:val="false"/>
          </w:tcPr>
          <w:p>
            <w:pPr>
              <w:jc w:val="center"/>
              <w:spacing w:line="440" w:lineRule="exact"/>
              <w:rPr>
                <w:rFonts w:hint="eastAsia" w:ascii="宋体" w:hAnsi="宋体" w:eastAsia="等线"/>
                <w:color w:val="auto"/>
                <w:highlight w:val="none"/>
              </w:rPr>
            </w:pPr>
            <w:r>
              <w:rPr>
                <w:rFonts w:hint="eastAsia" w:ascii="宋体" w:hAnsi="宋体" w:eastAsia="等线"/>
                <w:color w:val="auto"/>
                <w:highlight w:val="none"/>
              </w:rPr>
              <w:t xml:space="preserve">450</w:t>
            </w:r>
            <w:r/>
          </w:p>
        </w:tc>
        <w:tc>
          <w:tcPr>
            <w:tcW w:w="1547" w:type="dxa"/>
            <w:vAlign w:val="center"/>
            <w:textDirection w:val="lrTb"/>
            <w:noWrap w:val="false"/>
          </w:tcPr>
          <w:p>
            <w:pPr>
              <w:jc w:val="center"/>
              <w:spacing w:line="440" w:lineRule="exact"/>
              <w:rPr>
                <w:rFonts w:hint="eastAsia" w:ascii="宋体" w:hAnsi="宋体" w:eastAsia="等线"/>
                <w:color w:val="auto"/>
                <w:highlight w:val="none"/>
              </w:rPr>
            </w:pPr>
            <w:r>
              <w:rPr>
                <w:rFonts w:hint="eastAsia" w:ascii="宋体" w:hAnsi="宋体" w:eastAsia="等线"/>
                <w:color w:val="auto"/>
                <w:highlight w:val="none"/>
              </w:rPr>
              <w:t xml:space="preserve">450</w:t>
            </w:r>
            <w:r/>
          </w:p>
        </w:tc>
        <w:tc>
          <w:tcPr>
            <w:tcW w:w="2562"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s="宋体"/>
                <w:color w:val="auto"/>
                <w:highlight w:val="none"/>
              </w:rPr>
              <w:t xml:space="preserve">招标有效期两年，合同期一年一签</w:t>
            </w:r>
            <w:r/>
          </w:p>
        </w:tc>
      </w:tr>
      <w:tr>
        <w:trPr>
          <w:jc w:val="center"/>
          <w:trHeight w:val="754"/>
        </w:trPr>
        <w:tc>
          <w:tcPr>
            <w:tcW w:w="840"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2</w:t>
            </w:r>
            <w:r/>
          </w:p>
        </w:tc>
        <w:tc>
          <w:tcPr>
            <w:tcW w:w="2970" w:type="dxa"/>
            <w:vAlign w:val="center"/>
            <w:textDirection w:val="lrTb"/>
            <w:noWrap w:val="false"/>
          </w:tcPr>
          <w:p>
            <w:pPr>
              <w:jc w:val="center"/>
              <w:spacing w:line="440" w:lineRule="exact"/>
              <w:rPr>
                <w:rFonts w:hint="eastAsia" w:ascii="宋体" w:hAnsi="宋体" w:cs="宋体"/>
                <w:color w:val="auto"/>
                <w:highlight w:val="none"/>
              </w:rPr>
            </w:pPr>
            <w:r>
              <w:rPr>
                <w:rFonts w:hint="eastAsia" w:ascii="宋体" w:hAnsi="宋体"/>
                <w:color w:val="auto"/>
                <w:highlight w:val="none"/>
              </w:rPr>
              <w:t xml:space="preserve">江苏省人民医院广州路院区手术类布草洗涤服务</w:t>
            </w:r>
            <w:r/>
          </w:p>
        </w:tc>
        <w:tc>
          <w:tcPr>
            <w:tcW w:w="1913"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330</w:t>
            </w:r>
            <w:r/>
          </w:p>
        </w:tc>
        <w:tc>
          <w:tcPr>
            <w:tcW w:w="1547"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olor w:val="auto"/>
                <w:highlight w:val="none"/>
              </w:rPr>
              <w:t xml:space="preserve">330</w:t>
            </w:r>
            <w:r/>
          </w:p>
        </w:tc>
        <w:tc>
          <w:tcPr>
            <w:tcW w:w="2562" w:type="dxa"/>
            <w:vAlign w:val="center"/>
            <w:textDirection w:val="lrTb"/>
            <w:noWrap w:val="false"/>
          </w:tcPr>
          <w:p>
            <w:pPr>
              <w:jc w:val="center"/>
              <w:spacing w:line="440" w:lineRule="exact"/>
              <w:rPr>
                <w:rFonts w:hint="eastAsia" w:ascii="宋体" w:hAnsi="宋体"/>
                <w:color w:val="auto"/>
                <w:highlight w:val="none"/>
              </w:rPr>
            </w:pPr>
            <w:r>
              <w:rPr>
                <w:rFonts w:hint="eastAsia" w:ascii="宋体" w:hAnsi="宋体" w:cs="宋体"/>
                <w:color w:val="auto"/>
                <w:highlight w:val="none"/>
              </w:rPr>
              <w:t xml:space="preserve">招标有效期两年，合同期一年一签</w:t>
            </w:r>
            <w:r/>
          </w:p>
        </w:tc>
      </w:tr>
    </w:tbl>
    <w:p>
      <w:pPr>
        <w:jc w:val="left"/>
        <w:spacing w:line="440" w:lineRule="exact"/>
        <w:tabs>
          <w:tab w:val="left" w:pos="540" w:leader="none"/>
        </w:tabs>
        <w:rPr>
          <w:rFonts w:hint="eastAsia" w:ascii="宋体" w:hAnsi="宋体" w:cs="宋体"/>
          <w:color w:val="auto"/>
          <w:highlight w:val="none"/>
        </w:rPr>
      </w:pPr>
      <w:r>
        <w:rPr>
          <w:rFonts w:hint="eastAsia" w:ascii="宋体" w:hAnsi="宋体" w:cs="宋体"/>
          <w:bCs/>
          <w:color w:val="auto"/>
          <w:highlight w:val="none"/>
        </w:rPr>
        <w:t xml:space="preserve">包1</w:t>
      </w:r>
      <w:r>
        <w:rPr>
          <w:rFonts w:hint="eastAsia" w:ascii="宋体" w:hAnsi="宋体" w:cs="宋体"/>
          <w:color w:val="auto"/>
          <w:highlight w:val="none"/>
        </w:rPr>
        <w:t xml:space="preserve">：雨花院区布草</w:t>
      </w:r>
      <w:r/>
    </w:p>
    <w:tbl>
      <w:tblPr>
        <w:tblStyle w:val="7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547"/>
        <w:gridCol w:w="972"/>
        <w:gridCol w:w="2904"/>
        <w:gridCol w:w="1711"/>
        <w:gridCol w:w="1689"/>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洗涤内容</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数量</w:t>
            </w:r>
            <w:r/>
          </w:p>
          <w:p>
            <w:pPr>
              <w:jc w:val="center"/>
              <w:spacing w:line="440" w:lineRule="exact"/>
              <w:tabs>
                <w:tab w:val="left" w:pos="540" w:leader="none"/>
              </w:tabs>
              <w:rPr>
                <w:rFonts w:eastAsia="等线"/>
                <w:color w:val="auto"/>
                <w:highlight w:val="none"/>
              </w:rPr>
            </w:pPr>
            <w:r>
              <w:rPr>
                <w:rFonts w:hint="eastAsia" w:ascii="宋体" w:hAnsi="宋体" w:cs="宋体"/>
                <w:b/>
                <w:bCs/>
                <w:color w:val="auto"/>
                <w:highlight w:val="none"/>
              </w:rPr>
              <w:t xml:space="preserve">（预估量，仅供参考）</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单价最高限价（元）</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桌布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规格不一</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0.95</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中包布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95*95cm，0.48kg/件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0.58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大包布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115*115cm，0.71kg/件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0.67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治疗巾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各种类型</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0.63</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值班枕套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80*52cm，0.19kg/件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值班大单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280*165cm，0.78kg/条</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值班被套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260*165cm，1.48kg/件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2.27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枕芯</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48×74cm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1.95</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枕套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80*55cm，0.13kg/件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被套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260*165cm，1.18kg/件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2.27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大单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250*160cm，0.6kg/件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190000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羽绒服</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婴儿枕套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婴儿衣(袍装)</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5250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0.68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婴儿床单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0.56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婴儿连体衣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婴儿垫子</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婴儿床罩</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婴儿被芯</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2.38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婴儿被套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0.66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新生儿小包被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氧气瓶套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规格不一</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0.55</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浴巾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胸单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380*235cm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0.59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小开刀巾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80*55cm，0.17kg/件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大开刀巾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150*80cm，0.46kg/件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小被芯</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2.38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小包布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70*70cm，0.19kg/件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系带长裤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110*70cm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1.32</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系带短裤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110*70cm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系带病员衣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20*20cm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1.28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系带病员衣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60*60cm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1.28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特型病员衣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0.43kg/件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1.32</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特型病员裤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0.31kg/条</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1.32</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孕妇衣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0.88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孕妇裤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0.88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儿童病员衣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儿童病员裤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0.22kg/件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255000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1.28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病员裤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0.22kg/条</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255000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1.28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病人裙（无袖）</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0.66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病人裙</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27000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0.66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工作服</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所有工作人员工作服</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2.2</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洗手衣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0.24kg/件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hint="eastAsia" w:eastAsia="等线"/>
                <w:color w:val="auto"/>
                <w:highlight w:val="none"/>
              </w:rPr>
            </w:pPr>
            <w:r>
              <w:rPr>
                <w:rFonts w:hint="eastAsia" w:ascii="等线" w:hAnsi="等线" w:eastAsia="等线"/>
                <w:color w:val="auto"/>
                <w:sz w:val="22"/>
                <w:highlight w:val="none"/>
              </w:rPr>
              <w:t xml:space="preserve">300000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洗手裤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0.34kg/条</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hint="eastAsia" w:eastAsia="等线"/>
                <w:color w:val="auto"/>
                <w:highlight w:val="none"/>
              </w:rPr>
            </w:pPr>
            <w:r>
              <w:rPr>
                <w:rFonts w:hint="eastAsia" w:ascii="等线" w:hAnsi="等线" w:eastAsia="等线"/>
                <w:color w:val="auto"/>
                <w:sz w:val="22"/>
                <w:highlight w:val="none"/>
              </w:rPr>
              <w:t xml:space="preserve">310000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长袖洗手衣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0.35kg/件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16500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0.84</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ICU内穿衣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0.27kg/件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1.32</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ICU内穿裤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0.29kg/条</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1.32</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长度135cm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0.95</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隔离衣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0.44kg/件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台单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280×170cm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踏花被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200*120cm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2.91</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手术中单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280×170cm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0.59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手术中单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20*20cm 112*58cm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0.59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手术中单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240×170cm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70400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0.59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手术台单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230*130cm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10200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0.59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骨科台单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300*220cm，0.74kg/条</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0.76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手术床罩</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200×58×20cm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8700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1.27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手术被套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280×170cm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9400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1.85</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剖腹被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380*235cm，1.61kg/件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收腹腰带</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0.87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设备罩</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0.9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沙发套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规格不一</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1.55</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奶瓶包布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0.38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棉垫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棉被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帽子</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毛衣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1.2</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毛毯</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180*150cm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毛巾被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200*150cm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毛巾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75*35cm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绿布隔离衣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21000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连体衣(ICU)</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连体衣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0.26kg/条</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33300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1.72</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蓝光布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开裆裤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110*70cm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1.27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脚套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100×45cm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0.43</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检验科包布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夹被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各种规格</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0.95</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夹袄</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1.52</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隔帘</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门幅2.8米</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2.95</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腹带</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规格不一</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0.87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多头带</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0.66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108*58cm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0.59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洞单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150*100cm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7800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0.76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大洞巾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150*220cm、100×150cm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0.76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妇科长洞巾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0.76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妇科圆洞巾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4600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0.76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生殖长洞巾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0.78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生殖圆洞巾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25500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0.88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床罩</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100*210cm，0.54kg/件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0.88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床垫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190*90cm</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1.96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窗帘</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门幅2.8米</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2.95</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布帽子</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全棉</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0.38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布带</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康复科用吊带</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0.97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包衣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hint="eastAsia" w:eastAsia="等线"/>
                <w:color w:val="auto"/>
                <w:highlight w:val="none"/>
              </w:rPr>
            </w:pPr>
            <w:r>
              <w:rPr>
                <w:rFonts w:hint="eastAsia" w:ascii="等线" w:hAnsi="等线" w:eastAsia="等线"/>
                <w:color w:val="auto"/>
                <w:sz w:val="22"/>
                <w:highlight w:val="none"/>
              </w:rPr>
              <w:t xml:space="preserve">19265</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1</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白布双层中单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210*90cm，0.52kg/条</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0.59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R型垫套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红细条色织布</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6600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0.37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PICC洞巾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1.46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PICC病员衣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0.31kg/件</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91500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1.28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ICU大单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320*200cm，1.58kg/条</w:t>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80000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1.37</w:t>
            </w:r>
            <w:r/>
          </w:p>
        </w:tc>
      </w:tr>
    </w:tbl>
    <w:p>
      <w:pPr>
        <w:jc w:val="left"/>
        <w:spacing w:line="440" w:lineRule="exact"/>
        <w:tabs>
          <w:tab w:val="left" w:pos="540" w:leader="none"/>
        </w:tabs>
        <w:rPr>
          <w:rFonts w:eastAsia="等线"/>
          <w:color w:val="auto"/>
          <w:highlight w:val="none"/>
        </w:rPr>
      </w:pPr>
      <w:r>
        <w:rPr>
          <w:rFonts w:eastAsia="等线"/>
          <w:color w:val="auto"/>
          <w:highlight w:val="none"/>
        </w:rPr>
      </w:r>
      <w:r/>
    </w:p>
    <w:p>
      <w:pPr>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包2：广州路院区手术类布草</w:t>
      </w:r>
      <w:r/>
    </w:p>
    <w:tbl>
      <w:tblPr>
        <w:tblStyle w:val="773"/>
        <w:tblW w:w="8921" w:type="dxa"/>
        <w:jc w:val="center"/>
        <w:tblLayout w:type="fixed"/>
        <w:tblCellMar>
          <w:left w:w="108" w:type="dxa"/>
          <w:top w:w="0" w:type="dxa"/>
          <w:right w:w="108" w:type="dxa"/>
          <w:bottom w:w="0" w:type="dxa"/>
        </w:tblCellMar>
        <w:tblLook w:val="04A0" w:firstRow="1" w:lastRow="0" w:firstColumn="1" w:lastColumn="0" w:noHBand="0" w:noVBand="1"/>
      </w:tblPr>
      <w:tblGrid>
        <w:gridCol w:w="1048"/>
        <w:gridCol w:w="2061"/>
        <w:gridCol w:w="1701"/>
        <w:gridCol w:w="1134"/>
        <w:gridCol w:w="1559"/>
        <w:gridCol w:w="1418"/>
      </w:tblGrid>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洗涤内容</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规格</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单位</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数量</w:t>
            </w:r>
            <w:r/>
          </w:p>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（预估量，仅供参考）</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单价最高限价（元）</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值班枕套</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尺寸95×65cm 全棉色织</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0.6</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值班大单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尺寸290×170cm 全棉色织</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1.37</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值班被套</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尺寸260×170cm 全棉色织</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2.27</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长袖洗手衣</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50000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0.84</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洗手衣（其他）</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285000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6</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洗手裤（其他）</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285000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7</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洗手衣（蓝色）</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350000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8</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洗手裤（蓝色）</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355072</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9</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开刀衣</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350000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2.02</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剖腹被</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所有尺寸</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200000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1.18</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11</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剖腹单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尺寸400×230cm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80000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0.59</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12</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甲状腺剖腹被</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尺寸420×320cm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7000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0.59</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13</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搭桥夹被</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206*182cm</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0.59</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14</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双层夹被</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尺寸280×170cm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100000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1.51</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15</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手术中单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240×170cm</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240000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0.59</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16</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手术台单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230*130cm</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12000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0.59</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17</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手术室中包布</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尺寸100×100cm 三层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128000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0.58</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18</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手术室小包布</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尺寸80×80cm 三层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32000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0.48</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19</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手术室大包布</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尺寸120×120cm 三层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96000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0.67</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20</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手术室小被套</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尺寸280×170cm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9600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1.85</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21</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手术床罩</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尺寸200×58×20cm 防静电</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9000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1.27</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22</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手术室双层中开刀巾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尺寸110×90cm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0.48</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23</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手术室双层小开刀巾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尺寸80×65cm 墨绿全棉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580000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0.48</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24</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手术室双层大开刀巾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尺寸150×90cm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145000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0.48</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25</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泌尿小开刀巾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4300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0.59</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26</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脑单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380×235cm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0.59</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27</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胸单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尺寸340×220cm 双层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0.59</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28</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手术室毛毯</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1.38</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29</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手术帽</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等线" w:hAnsi="等线" w:eastAsia="等线"/>
                <w:color w:val="auto"/>
                <w:sz w:val="22"/>
                <w:highlight w:val="none"/>
              </w:rPr>
            </w:pPr>
            <w:r>
              <w:rPr>
                <w:rFonts w:hint="eastAsia"/>
                <w:color w:val="auto"/>
                <w:highlight w:val="none"/>
              </w:rPr>
              <w:t xml:space="preserve">0.38</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30</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脚套</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100×45cm</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1400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等线" w:hAnsi="等线" w:eastAsia="等线"/>
                <w:color w:val="auto"/>
                <w:sz w:val="22"/>
                <w:highlight w:val="none"/>
              </w:rPr>
            </w:pPr>
            <w:r>
              <w:rPr>
                <w:rFonts w:hint="eastAsia"/>
                <w:color w:val="auto"/>
                <w:highlight w:val="none"/>
              </w:rPr>
              <w:t xml:space="preserve">0.43</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31</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骨科台单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尺寸300*220cm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32000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等线" w:hAnsi="等线" w:eastAsia="等线"/>
                <w:color w:val="auto"/>
                <w:sz w:val="22"/>
                <w:highlight w:val="none"/>
              </w:rPr>
            </w:pPr>
            <w:r>
              <w:rPr>
                <w:rFonts w:hint="eastAsia"/>
                <w:color w:val="auto"/>
                <w:highlight w:val="none"/>
              </w:rPr>
              <w:t xml:space="preserve">0.76</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32</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甲状腺洞巾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尺寸180×150cm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11200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等线" w:hAnsi="等线" w:eastAsia="等线"/>
                <w:color w:val="auto"/>
                <w:sz w:val="22"/>
                <w:highlight w:val="none"/>
              </w:rPr>
            </w:pPr>
            <w:r>
              <w:rPr>
                <w:rFonts w:hint="eastAsia"/>
                <w:color w:val="auto"/>
                <w:highlight w:val="none"/>
              </w:rPr>
              <w:t xml:space="preserve">0.59</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33</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洞巾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70000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0.59</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34</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大洞巾（双）</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尺寸150×220cm 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16000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0.76</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35</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洞单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150*100cm，0.74kg/条</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8000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0.76</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36</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大开叉巾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40000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0.76</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37</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布草收纳袋</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1.3×1.2×1.3m</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24000</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0.93</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38</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被芯</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全棉</w:t>
            </w:r>
            <w:r/>
          </w:p>
        </w:tc>
        <w:tc>
          <w:tcPr>
            <w:shd w:val="clear" w:color="auto" w:fill="auto"/>
            <w:tcBorders>
              <w:top w:val="single" w:color="000000" w:sz="8" w:space="0"/>
              <w:left w:val="single" w:color="000000" w:sz="8" w:space="0"/>
              <w:bottom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55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335</w:t>
            </w:r>
            <w:r/>
          </w:p>
        </w:tc>
        <w:tc>
          <w:tcPr>
            <w:shd w:val="clear" w:color="auto" w:fill="auto"/>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5.8</w:t>
            </w:r>
            <w:r/>
          </w:p>
        </w:tc>
      </w:tr>
    </w:tbl>
    <w:p>
      <w:pPr>
        <w:ind w:firstLine="422"/>
        <w:jc w:val="left"/>
        <w:spacing w:line="440" w:lineRule="exact"/>
        <w:widowControl/>
        <w:rPr>
          <w:b/>
          <w:bCs/>
          <w:color w:val="auto"/>
          <w:highlight w:val="none"/>
        </w:rPr>
      </w:pPr>
      <w:r>
        <w:rPr>
          <w:rFonts w:hint="eastAsia"/>
          <w:b/>
          <w:bCs/>
          <w:color w:val="auto"/>
          <w:highlight w:val="none"/>
        </w:rPr>
        <w:t xml:space="preserve">二、技术要求：</w:t>
      </w:r>
      <w:r/>
    </w:p>
    <w:p>
      <w:pPr>
        <w:ind w:firstLine="420"/>
        <w:spacing w:line="440" w:lineRule="exact"/>
        <w:rPr>
          <w:rFonts w:hint="eastAsia" w:ascii="宋体" w:hAnsi="宋体" w:cs="宋体"/>
          <w:color w:val="auto"/>
          <w:highlight w:val="none"/>
        </w:rPr>
      </w:pPr>
      <w:r>
        <w:rPr>
          <w:rFonts w:hint="eastAsia" w:ascii="宋体" w:hAnsi="宋体" w:cs="宋体"/>
          <w:b/>
          <w:bCs/>
          <w:color w:val="auto"/>
          <w:highlight w:val="none"/>
        </w:rPr>
        <w:t xml:space="preserve">1、服务范围</w:t>
      </w:r>
      <w:r>
        <w:rPr>
          <w:rFonts w:hint="eastAsia" w:ascii="宋体" w:hAnsi="宋体" w:cs="宋体"/>
          <w:color w:val="auto"/>
          <w:highlight w:val="none"/>
        </w:rPr>
        <w:t xml:space="preserve">：江苏省人民医院广州路院区手术类医用布草和雨花院区所有医用布草的下收下送和洗涤整理，并负责对洗涤服务和布草周转的整个流程进行数据、信息化和智能化的管理。品类覆盖：病房床品（床单、被套、枕套、被芯套）、手术室全套手术巾单、治疗室诊疗布类、医护四季工作服、洗手衣裤、患者病员服、病房窗帘、隔帘、椅套、各类擦巾、治疗巾等医用织物提供洗涤、消毒、脱水、烘干、熨烫、修补、整理、专人专车收送至科室、病区等配套服务。</w:t>
      </w:r>
      <w:r/>
    </w:p>
    <w:p>
      <w:pPr>
        <w:ind w:firstLine="420"/>
        <w:spacing w:line="440" w:lineRule="exact"/>
        <w:rPr>
          <w:rFonts w:hint="eastAsia" w:ascii="宋体" w:hAnsi="宋体" w:cs="宋体"/>
          <w:color w:val="auto"/>
          <w:highlight w:val="none"/>
        </w:rPr>
      </w:pPr>
      <w:r>
        <w:rPr>
          <w:rFonts w:hint="eastAsia" w:ascii="宋体" w:hAnsi="宋体" w:cs="宋体"/>
          <w:b/>
          <w:bCs/>
          <w:color w:val="auto"/>
          <w:highlight w:val="none"/>
        </w:rPr>
        <w:t xml:space="preserve">2、服务要求</w:t>
      </w:r>
      <w:r>
        <w:rPr>
          <w:rFonts w:hint="eastAsia" w:ascii="宋体" w:hAnsi="宋体" w:cs="宋体"/>
          <w:color w:val="auto"/>
          <w:highlight w:val="none"/>
        </w:rPr>
        <w:t xml:space="preserve">：应当按照《医疗机构医用织物洗涤消毒技术规范》（</w:t>
      </w:r>
      <w:r>
        <w:rPr>
          <w:rFonts w:ascii="宋体" w:hAnsi="宋体" w:cs="宋体"/>
          <w:color w:val="auto"/>
          <w:highlight w:val="none"/>
        </w:rPr>
        <w:t xml:space="preserve">WS/T508-2025</w:t>
      </w:r>
      <w:r>
        <w:rPr>
          <w:rFonts w:hint="eastAsia" w:ascii="宋体" w:hAnsi="宋体" w:cs="宋体"/>
          <w:color w:val="auto"/>
          <w:highlight w:val="none"/>
        </w:rPr>
        <w:t xml:space="preserve">）、《中华人民共和国传染病防治法》、《消毒管理办法》和《医院感染管理办法》进行医用织物洗涤。</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2.1医院感染类管理要求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（1）应设有办公区域（包括办公室、卫生间等）和工作区域，工作区域建筑布局应符合</w:t>
      </w:r>
      <w:bookmarkStart w:id="143" w:name="OLE_LINK2"/>
      <w:r>
        <w:rPr>
          <w:rFonts w:hint="eastAsia" w:ascii="宋体" w:hAnsi="宋体" w:cs="宋体"/>
          <w:color w:val="auto"/>
          <w:highlight w:val="none"/>
        </w:rPr>
        <w:t xml:space="preserve">《医疗机构医用织物洗涤消毒技术规范》（</w:t>
      </w:r>
      <w:r>
        <w:rPr>
          <w:rFonts w:ascii="宋体" w:hAnsi="宋体" w:cs="宋体"/>
          <w:color w:val="auto"/>
          <w:highlight w:val="none"/>
        </w:rPr>
        <w:t xml:space="preserve">WS/T508-2025</w:t>
      </w:r>
      <w:r>
        <w:rPr>
          <w:rFonts w:hint="eastAsia" w:ascii="宋体" w:hAnsi="宋体" w:cs="宋体"/>
          <w:color w:val="auto"/>
          <w:highlight w:val="none"/>
        </w:rPr>
        <w:t xml:space="preserve">）</w:t>
      </w:r>
      <w:bookmarkEnd w:id="143"/>
      <w:r>
        <w:rPr>
          <w:rFonts w:hint="eastAsia" w:ascii="宋体" w:hAnsi="宋体" w:cs="宋体"/>
          <w:color w:val="auto"/>
          <w:highlight w:val="none"/>
        </w:rPr>
        <w:t xml:space="preserve">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（2）洗涤用水、设备及用品符合《医疗机构医用织物洗涤消毒技术规范》（</w:t>
      </w:r>
      <w:r>
        <w:rPr>
          <w:rFonts w:ascii="宋体" w:hAnsi="宋体" w:cs="宋体"/>
          <w:color w:val="auto"/>
          <w:highlight w:val="none"/>
        </w:rPr>
        <w:t xml:space="preserve">WS/T508-2025</w:t>
      </w:r>
      <w:r>
        <w:rPr>
          <w:rFonts w:hint="eastAsia" w:ascii="宋体" w:hAnsi="宋体" w:cs="宋体"/>
          <w:color w:val="auto"/>
          <w:highlight w:val="none"/>
        </w:rPr>
        <w:t xml:space="preserve">）要求。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（3）盛装感染性织物的收集袋（车/物流设备）应为专用，盛装脏织物的收集车应有“脏污织物”标识。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（4）应分别配置运送使用后医用织物和清洁织物的专用车辆和容器，采取封闭方式运送。</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（5）脏污织物和感染性织物洗涤消毒符合《医疗机构医用织物洗涤消毒技术规范》（</w:t>
      </w:r>
      <w:r>
        <w:rPr>
          <w:rFonts w:ascii="宋体" w:hAnsi="宋体" w:cs="宋体"/>
          <w:color w:val="auto"/>
          <w:highlight w:val="none"/>
        </w:rPr>
        <w:t xml:space="preserve">WS/T508-2025</w:t>
      </w:r>
      <w:r>
        <w:rPr>
          <w:rFonts w:hint="eastAsia" w:ascii="宋体" w:hAnsi="宋体" w:cs="宋体"/>
          <w:color w:val="auto"/>
          <w:highlight w:val="none"/>
        </w:rPr>
        <w:t xml:space="preserve">）要求。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（6）依据《医疗机构医用织物洗涤消毒技术规范》（</w:t>
      </w:r>
      <w:r>
        <w:rPr>
          <w:rFonts w:ascii="宋体" w:hAnsi="宋体" w:cs="宋体"/>
          <w:color w:val="auto"/>
          <w:highlight w:val="none"/>
        </w:rPr>
        <w:t xml:space="preserve">WS/T508-2025</w:t>
      </w:r>
      <w:r>
        <w:rPr>
          <w:rFonts w:hint="eastAsia" w:ascii="宋体" w:hAnsi="宋体" w:cs="宋体"/>
          <w:color w:val="auto"/>
          <w:highlight w:val="none"/>
        </w:rPr>
        <w:t xml:space="preserve">），织物抽检合格率达100%。不允许在临床科室医疗区域现场清点脏污织物和感染性织物。</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（7）按医院防控规定要求做好特定传染病医用织物的洗涤处理及消杀等工作。</w:t>
      </w:r>
      <w:r/>
    </w:p>
    <w:p>
      <w:pPr>
        <w:ind w:firstLine="420"/>
        <w:spacing w:line="440" w:lineRule="exact"/>
        <w:rPr>
          <w:color w:val="auto"/>
          <w:highlight w:val="none"/>
        </w:rPr>
      </w:pPr>
      <w:r>
        <w:rPr>
          <w:rFonts w:hint="eastAsia"/>
          <w:color w:val="auto"/>
          <w:highlight w:val="none"/>
        </w:rPr>
        <w:t xml:space="preserve">（8）洗涤场所有完善的独立分区，包括洁污物分区、洁污两区有完全隔离屏障，婴儿织物分机清洗；各区域功能用房标识清晰，通风、采光良好；污染区及各更衣（缓冲）间有洗手设施，采用非手触式水龙头开关；污染区应安装空气消毒设施，排水设施完善。</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（9）保证洗涤厂符合感控、卫生、环保要求，接受医院不定期（或有通知）的现场考察。</w:t>
      </w:r>
      <w:r/>
    </w:p>
    <w:p>
      <w:pPr>
        <w:ind w:firstLine="420"/>
        <w:jc w:val="left"/>
        <w:spacing w:line="440" w:lineRule="exact"/>
        <w:rPr>
          <w:rFonts w:hint="eastAsia" w:ascii="宋体" w:hAnsi="宋体" w:cs="宋体"/>
          <w:color w:val="auto"/>
          <w:highlight w:val="none"/>
        </w:rPr>
      </w:pPr>
      <w:r>
        <w:rPr>
          <w:rFonts w:hint="eastAsia" w:ascii="宋体" w:hAnsi="宋体" w:cs="宋体"/>
          <w:color w:val="auto"/>
          <w:highlight w:val="none"/>
        </w:rPr>
        <w:t xml:space="preserve">2.2洗涤用品（洗涤剂、乳化剂、消毒液等）每批次的采购均可提供产品合格证、检测报告，采购人可随时抽查，其中消毒液应提供在全国消毒产品网上备案信息服务平台相关备案资料，产品说明适用于织物处理。</w:t>
      </w:r>
      <w:r/>
    </w:p>
    <w:p>
      <w:pPr>
        <w:ind w:firstLine="420"/>
        <w:jc w:val="left"/>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3、服务期限：</w:t>
      </w:r>
      <w:bookmarkStart w:id="144" w:name="OLE_LINK10"/>
      <w:r>
        <w:rPr>
          <w:rFonts w:hint="eastAsia" w:ascii="宋体" w:hAnsi="宋体" w:cs="宋体"/>
          <w:color w:val="auto"/>
          <w:highlight w:val="none"/>
        </w:rPr>
        <w:t xml:space="preserve">招标有效期两年，合同一年一签。</w:t>
      </w:r>
      <w:bookmarkEnd w:id="144"/>
      <w:r/>
      <w:bookmarkStart w:id="145" w:name="OLE_LINK1"/>
      <w:r/>
      <w:bookmarkStart w:id="146" w:name="OLE_LINK9"/>
      <w:r>
        <w:rPr>
          <w:rFonts w:hint="eastAsia" w:ascii="宋体" w:hAnsi="宋体" w:cs="宋体"/>
          <w:color w:val="auto"/>
          <w:highlight w:val="none"/>
        </w:rPr>
        <w:t xml:space="preserve">合同服务期满前，招标人将统一汇总中标人合同履行全周期内所有</w:t>
      </w:r>
      <w:bookmarkStart w:id="147" w:name="OLE_LINK5"/>
      <w:r>
        <w:rPr>
          <w:rFonts w:hint="eastAsia" w:ascii="宋体" w:hAnsi="宋体" w:cs="宋体"/>
          <w:color w:val="auto"/>
          <w:highlight w:val="none"/>
        </w:rPr>
        <w:t xml:space="preserve">综合考核得分</w:t>
      </w:r>
      <w:bookmarkEnd w:id="147"/>
      <w:r>
        <w:rPr>
          <w:rFonts w:hint="eastAsia" w:ascii="宋体" w:hAnsi="宋体" w:cs="宋体"/>
          <w:color w:val="auto"/>
          <w:highlight w:val="none"/>
        </w:rPr>
        <w:t xml:space="preserve">，并核算综合考核得分平均分，平均分高于90分（含），招标人将按规定流程为中标人办理下一年度合同续签手续。平均分低于90分的，招标人不予续签下一年度服务合同，本合同服务期满后自动终止。</w:t>
      </w:r>
      <w:bookmarkEnd w:id="145"/>
      <w:r/>
      <w:bookmarkEnd w:id="146"/>
      <w:r/>
      <w:r/>
    </w:p>
    <w:p>
      <w:pPr>
        <w:ind w:firstLine="420"/>
        <w:spacing w:line="440" w:lineRule="exact"/>
        <w:rPr>
          <w:rFonts w:hint="eastAsia" w:ascii="宋体" w:hAnsi="宋体" w:cs="宋体"/>
          <w:color w:val="auto"/>
          <w:highlight w:val="none"/>
        </w:rPr>
      </w:pPr>
      <w:r>
        <w:rPr>
          <w:rFonts w:hint="eastAsia" w:ascii="宋体" w:hAnsi="宋体" w:cs="宋体"/>
          <w:b/>
          <w:bCs/>
          <w:color w:val="auto"/>
          <w:highlight w:val="none"/>
        </w:rPr>
        <w:t xml:space="preserve">4、服务标准</w:t>
      </w:r>
      <w:r>
        <w:rPr>
          <w:rFonts w:hint="eastAsia" w:ascii="宋体" w:hAnsi="宋体" w:cs="宋体"/>
          <w:color w:val="auto"/>
          <w:highlight w:val="none"/>
        </w:rPr>
        <w:t xml:space="preserve">：</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每天按时收集脏污织物和感染性织物（遇有检查、特殊情况时收集次数须满足医院需求）并同时运送清洁织物至科室，提供运送污染医用织物和清洁医用织物专用车辆各至少两辆，采用封闭方式运送。运送车辆和运输工具应定期清洗消毒，清洗消毒方法按照WS/T 367执行；安排专员负责收、送至科室等服务，具体时间以临床科室通知为准（</w:t>
      </w:r>
      <w:r>
        <w:rPr>
          <w:rFonts w:hint="eastAsia"/>
          <w:color w:val="auto"/>
          <w:highlight w:val="none"/>
        </w:rPr>
        <w:t xml:space="preserve">周一到周日每天不少于一次</w:t>
      </w:r>
      <w:r>
        <w:rPr>
          <w:rFonts w:hint="eastAsia" w:ascii="宋体" w:hAnsi="宋体" w:cs="宋体"/>
          <w:color w:val="auto"/>
          <w:highlight w:val="none"/>
        </w:rPr>
        <w:t xml:space="preserve">）。</w:t>
      </w:r>
      <w:r/>
    </w:p>
    <w:p>
      <w:pPr>
        <w:ind w:firstLine="420"/>
        <w:jc w:val="left"/>
        <w:spacing w:line="440" w:lineRule="exact"/>
        <w:rPr>
          <w:color w:val="auto"/>
          <w:highlight w:val="none"/>
        </w:rPr>
      </w:pPr>
      <w:r>
        <w:rPr>
          <w:rFonts w:hint="eastAsia" w:ascii="宋体" w:hAnsi="宋体" w:cs="宋体"/>
          <w:color w:val="auto"/>
          <w:highlight w:val="none"/>
        </w:rPr>
        <w:t xml:space="preserve">（2）安排一名项目负责人驻点专门负责与科室对接。每日交接时，必须就验收状况，与护士长、科室负责人或指定人员交接并签字认可，同时要按医院规定进行登记、确认等操作，以此作为每月洗涤服务数量和费用结算的参考依据。</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（3）投放污衣前应检查清理被服中无关洗涤物品，如：笔、手表、钱包、耳机、工作证等，如发现上述物品应及时交还院方相关人员，并做好登记。</w:t>
      </w:r>
      <w:r/>
    </w:p>
    <w:p>
      <w:pPr>
        <w:ind w:firstLine="420"/>
        <w:spacing w:line="440" w:lineRule="exact"/>
        <w:rPr>
          <w:color w:val="auto"/>
          <w:highlight w:val="none"/>
        </w:rPr>
      </w:pPr>
      <w:r>
        <w:rPr>
          <w:rFonts w:hint="eastAsia" w:ascii="宋体" w:hAnsi="宋体" w:cs="宋体"/>
          <w:color w:val="auto"/>
          <w:highlight w:val="none"/>
        </w:rPr>
        <w:t xml:space="preserve">（4）不得出现洗涤不当或疏漏等原因造成洗涤织物的不清洁、掉色、缺少、异味、残损、报废等事项，如有发生，需进行赔偿。</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（5）收取、洗涤、运送过程中要区分各科室的织物，不得出现各科室织物弄混的情形。</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（6）不得出现因下收下送不及时影响采购人的医疗工作等情况。</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7）具有洗涤工作组织、投入机物料品牌及用量标准、物料洗涤耗损标准、缝补情形、质检流程及标准、下收下送交接、过程管理、培训、考核的管理思路与制度，对洗涤物品进行服务综合管理，确保实现管理目标、并承担相应责任，自觉接受采购人检查监督。</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（8）每月根据采购人的考核评价结果，开具正式发票给采购人。</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（9）配合采购人做好洗涤成本核算和成本控制工作。</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（10）如因不符合医院感染管理要求、洗涤质量等原因导致患者投诉引起的任何医疗纠纷和赔偿问题，供应商承担一切法律和经济责任，并积极妥善处理患者投诉和赔偿患者损失，不得影响采购人正常业务运行。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（11）如有突发情况或紧急情况，项目负责人必须在接到通知后，2小时内到达现场。</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12）如遇停水、停电、停气等原因造成不能及时清洗或运输车辆发生故障时，要第一时间与采购人的具体负责人沟通汇报，同时要有备用洗涤场所及时洗涤以及备用运输方式等应急措施保证采购人业务的正常运转，如不能及时完成工作任务，供应商应赔偿采购人因此造成的损失等费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（13）在采购人或者上级主管部门的检查监督中，供应商应在规定期限内根据采购人或者上级主管部门的通报意见进行整改。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（14）承担与产品、配备洗涤物品所需的车间、设备、工作人员、运输、检验检测、保险、税金等一切费用。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（15）清洁织物外观应整洁、干燥，无异味、异物、破损、熨烫平整、折叠规范。</w:t>
      </w:r>
      <w:r>
        <w:rPr>
          <w:rFonts w:hint="eastAsia"/>
          <w:color w:val="auto"/>
          <w:highlight w:val="none"/>
        </w:rPr>
        <w:t xml:space="preserve">对破损物品（缺纽扣、少带子、脱线缝、撕裂等）必须缝补完好后方能发出。</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（16）对于新生儿、婴儿医用织物应使用专机洗涤、消毒，不应与其他医用织物混洗；手术室的医用织物和医务人员工作服、洗手衣裤内穿衣均应单独洗涤。</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（17）对于感染性织物，不宜手工洗涤，采用专机洗涤、消毒，首选热洗涤方法。特殊病原体污染的感染性织物先消毒后洗涤。</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（18）在污染区和清洁区穿戴的个人防护用品应符合医院感染要求，在污染区应遵循“标准预防”的原则，穿戴工作服（包括衣裤）、帽、口罩、手套、防水围裙和胶鞋。</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（19）对工作人员进行岗前培训并提供考核合格资料，定期组织工作人员进行学习，了解洗涤和烘干等相关设备、设施及消毒隔离与感染控制基础知识、常用消毒剂使用方法。</w:t>
      </w:r>
      <w:r/>
    </w:p>
    <w:p>
      <w:pPr>
        <w:ind w:firstLine="420"/>
        <w:jc w:val="left"/>
        <w:spacing w:line="440" w:lineRule="exact"/>
        <w:rPr>
          <w:rFonts w:hint="eastAsia" w:ascii="宋体" w:hAnsi="宋体" w:cs="宋体"/>
          <w:color w:val="auto"/>
          <w:highlight w:val="none"/>
        </w:rPr>
      </w:pPr>
      <w:r>
        <w:rPr>
          <w:rFonts w:hint="eastAsia" w:ascii="宋体" w:hAnsi="宋体" w:cs="宋体"/>
          <w:color w:val="auto"/>
          <w:highlight w:val="none"/>
        </w:rPr>
        <w:t xml:space="preserve">（20）清洁织物洗涤质量的感官指标应每批次进行检查，配合医院感染管理科做好织物细菌菌落数和相关指标监测。定期（如每季度）由供应商承担费用，委托双方认可的第三方独立检测机构对清洁织物进行检测（如细菌菌落、</w:t>
      </w:r>
      <w:r>
        <w:rPr>
          <w:rFonts w:ascii="宋体" w:hAnsi="宋体" w:cs="宋体"/>
          <w:color w:val="auto"/>
          <w:highlight w:val="none"/>
        </w:rPr>
        <w:t xml:space="preserve">PH</w:t>
      </w:r>
      <w:r>
        <w:rPr>
          <w:rFonts w:hint="eastAsia" w:ascii="宋体" w:hAnsi="宋体" w:cs="宋体"/>
          <w:color w:val="auto"/>
          <w:highlight w:val="none"/>
        </w:rPr>
        <w:t xml:space="preserve">等）。如遇检测不合格、指标超标等不同等级质量问题，进行相应赔偿；</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（21）采购人不承担项目负责人员与驻点人员的一切费用。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（22）供应商需每年为驻点人员安排一次体检。</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（23）供应商在收到投诉后必须在规定时间内（如24小时）响应并给出解决方案。</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（24）定期（如每月）提供服务质量报告（包括收发量、破损率、投诉处理情况、内部质检摘要、第三方检测摘要等）。</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（25)供应商承担采购人所有布草的洗涤工作，每月定期组织所有工作人员参加服务培训。</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（26)供应商根据本部工作量，安排收发人员在采购人工作，收发人员必须是身体健康、有较好的服务能力、服务态度良好、责任心强、吃苦耐劳、能满足采购人工作需要的人员。</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（27)供应商每天安排收发人员到各病区、科室收取待洗布草，将洗涤后的干净布草送至各病区、科室,甲乙双方对清洗的布草建立规范的交接手续，双方交接时必须填写清单签字认可。</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（28)供应商除完成采购人布草洗涤工作外，必须免费提供所有布草开线后的缝补、制服钉纽扣、上松紧带或拉链等服务。</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29)供应商洗涤后的布草如有瑕疵，清洗未达标准的，供应商须免费为采购人重新清洗并赔偿损失，对于需消毒的布草，供应商应自觉遵守质检、疾控等监督部门严格操作程序进行消毒。送洗布草如有遗失或供应商人为因素造成衣物损坏的，无论新旧，由供应商按采购人布草的购进价格的100%进行赔偿，赔偿费用在当月洗涤费中扣除。</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（30)供应商按照采购人规定的时间到各病区、科室下收、下送布草。未按规定时间下收、下送影响采购人工作秩序的，采购人可根据情节扣除当月5%的洗涤费。</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31)送洗布草中如发现染发剂、摩丝、碳素墨水、圆珠笔油、某些药斑、中药制剂、烧伤药水、玻璃胶、鞋油等顽固污渍，尽量洗净，如无法洗净应说明原因。但是要按照行业的实际情况，将未洗净率控制在3%之内，合格率控制在97%以上，如不能达到，或污迹严重导致无法使用，院方有权视情况扣除相应洗涤费。</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32)供应商因提供本服务而知悉采购人之办公室、诊区、手术房、病房、库房等平面位置或其它采购人任何业务、技术上之信息，皆为采购人机密，未经采购人书面同意不得泄漏或者告知予任何第三人。供应商须对工作人员进行岗前培训，使其熟练掌握洗涤、消毒技能；并了解洗涤和烘干等相关设备、设施及消毒隔离与感染控制基础知识、常用消毒剂使用方法等。</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33)供应商提供的洗涤质量和服务质量不能达到国家相关规范标准的要求和招标文件规定，不能通过采购人的验收，供应商应承担相关损失并及时进行整改，如整改后仍然不能达到采购人的要求，采购人有权将单方面终止合同并追究投标方相关违约责任。</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（34)供应商需提供全天24小时不间断服务，并且保证供应商的周转库有充足的库存保证采购人24小时的洁净布草需求。</w:t>
      </w:r>
      <w:r/>
    </w:p>
    <w:p>
      <w:pPr>
        <w:ind w:firstLine="480"/>
        <w:spacing w:line="440" w:lineRule="exact"/>
        <w:rPr>
          <w:rFonts w:hint="eastAsia" w:ascii="宋体" w:hAnsi="宋体" w:cs="宋体"/>
          <w:bCs/>
          <w:color w:val="auto"/>
          <w:highlight w:val="none"/>
        </w:rPr>
      </w:pPr>
      <w:r>
        <w:rPr>
          <w:rFonts w:hint="eastAsia" w:ascii="宋体" w:hAnsi="宋体" w:cs="宋体"/>
          <w:color w:val="auto"/>
          <w:highlight w:val="none"/>
        </w:rPr>
        <w:t xml:space="preserve">（35)</w:t>
      </w:r>
      <w:r>
        <w:rPr>
          <w:rFonts w:hint="eastAsia" w:ascii="宋体" w:hAnsi="宋体" w:cs="宋体"/>
          <w:bCs/>
          <w:color w:val="auto"/>
          <w:highlight w:val="none"/>
        </w:rPr>
        <w:t xml:space="preserve">如因投标方提供的洗涤质量和服务质量不能达到国家相关规范标准的要求和招标文件规定，不能通过招标人的验收，投标人应承担相关损失并及时进行整改，如整改后仍然不能达到招标方的要求，医院有权将单方面终止合同并追究投标方相关违约责任。</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36)为确保采购人正常使用，供应商如果遇设备出现问题或者其他重大原因（停水、停电、环保不达标造成的停产），在保证质量的前提下，供应商可临时委托洗涤条件、规模及能力不低于供应商的其他单位代为洗涤。洗涤价格应按甲乙双方已签订的协议价执行，由采购人直接向供应商结算。该第三方给采购人造成的任何损失均由供应商向采购人承担。如供应商经常或长期不能亲自履行合同，采购人有权利解除合同，并由供应商承担由此造成损失。</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（37)供应商应保证运输安全，如：供应商在运输路途中发生任何意外损失，需自行承担后果与采购人无关。</w:t>
      </w:r>
      <w:r/>
    </w:p>
    <w:p>
      <w:pPr>
        <w:ind w:firstLine="422"/>
        <w:spacing w:line="440" w:lineRule="exact"/>
        <w:rPr>
          <w:color w:val="auto"/>
          <w:highlight w:val="none"/>
        </w:rPr>
      </w:pPr>
      <w:r>
        <w:rPr>
          <w:rFonts w:hint="eastAsia"/>
          <w:b/>
          <w:bCs/>
          <w:color w:val="auto"/>
          <w:highlight w:val="none"/>
        </w:rPr>
        <w:t xml:space="preserve">5、服务人员要求：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（1）所有服务人员身体健康，工作认真负责并定期接受培训；</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（2）上岗时佩戴统一标志，按需求穿戴统一服装，仪容仪表规范整齐；</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（3）文明工作，训练有素，言语规范，认真负责；</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（4）遵纪守法，并遵守采购人的规章制度；</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（5）在采购人场所内，工作时应保持安静，不得大声喧哗，不得与采购人工作人员、病患及家属发生争吵或者打架等情况。</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（6）提供充足、符合国家要求的防护用品以供转运人员使用。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（7）针对病区提出的问题（如物品不干净、物品数量不符、工作人员物品遗失等）和投诉及时处理并汇报采购人。</w:t>
      </w:r>
      <w:r/>
    </w:p>
    <w:p>
      <w:pPr>
        <w:pStyle w:val="778"/>
        <w:spacing w:line="440" w:lineRule="exact"/>
        <w:rPr>
          <w:rFonts w:eastAsia="宋体"/>
          <w:b/>
          <w:bCs/>
          <w:color w:val="auto"/>
          <w:highlight w:val="none"/>
        </w:rPr>
      </w:pPr>
      <w:r>
        <w:rPr>
          <w:rFonts w:hint="eastAsia" w:ascii="宋体" w:hAnsi="宋体" w:eastAsia="宋体" w:cs="宋体"/>
          <w:b/>
          <w:bCs/>
          <w:color w:val="auto"/>
          <w:highlight w:val="none"/>
        </w:rPr>
        <w:t xml:space="preserve">包1：</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（一）项目负责人</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1、数量：1人；必须驻场（法定工作时间）</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2、素质要求：年龄在35-55周岁，身体健康，专科及以上学历，从事过类似项目性质医用织物洗涤3年及以上管理经验。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3、工作内容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（1）负责本项目的全面工作，完成采购人下达的任务；</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（2）遇到突发问题、重大问题能够处理得当，并及时向采购人汇报；</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（3）负责与采购人对接工作，保证采购人医用织物洗涤工作的正常运行；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（4）加强医用织物洗涤管理，保障洗涤服务质量；</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（5）定期组织洗衣房工作人员进行能力培训；</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（6）配合采购采购人完成布草洗涤的全流程追溯；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（7）熟练掌握洗涤、烘干等相关设备性能、消毒方法。</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（二）其他驻点工作人员</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1、数量：不少于6人；</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2、素质要求：年龄在30-55周岁，身体健康，初中及以上学历。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3、工作内容：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（1）按照医院要求及时到科室收集脏污织物和感染性织物，及时将清洁织物发放至科室，对收发的织物进行核对；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（2）在收、送至科室等服务过程中，积极配合科主任、护士长的工作，遵守医院规章制度，操作规范符合医院感染管理要求；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（3）遵守国家交通法规，做到安全行车无事故；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（4）遵守医院规章制度，操作规范符合医院感染管理要求；</w:t>
      </w:r>
      <w:r/>
    </w:p>
    <w:p>
      <w:pPr>
        <w:pStyle w:val="780"/>
        <w:ind w:left="0" w:firstLine="420"/>
        <w:spacing w:line="440" w:lineRule="exact"/>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（5）衣着整洁、礼貌待人，具有良好的服务意识。</w:t>
      </w:r>
      <w:r/>
    </w:p>
    <w:p>
      <w:pPr>
        <w:pStyle w:val="778"/>
        <w:spacing w:line="440" w:lineRule="exact"/>
        <w:rPr>
          <w:rFonts w:eastAsia="宋体"/>
          <w:b/>
          <w:bCs/>
          <w:color w:val="auto"/>
          <w:highlight w:val="none"/>
        </w:rPr>
      </w:pPr>
      <w:r>
        <w:rPr>
          <w:rFonts w:hint="eastAsia" w:ascii="宋体" w:hAnsi="宋体" w:eastAsia="宋体" w:cs="宋体"/>
          <w:b/>
          <w:bCs/>
          <w:color w:val="auto"/>
          <w:highlight w:val="none"/>
        </w:rPr>
        <w:t xml:space="preserve">包2：</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（一）项目负责人</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1、数量：1人；必须驻场（法定工作时间）</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2、素质要求：年龄在35-55周岁，身体健康，专科及以上学历，从事过类似项目性质医用织物洗涤3年及以上管理经验。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3、工作内容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（1）负责本项目的全面工作，完成采购人下达的任务；</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（2）遇到突发问题、重大问题能够处理得当，并及时向采购人汇报；</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（3）负责与采购人对接工作，保证采购人医用织物洗涤工作的正常运行；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（4）加强医用织物洗涤管理，保障洗涤服务质量；</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（5）定期组织洗衣房工作人员进行能力培训；</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（6）配合采购采购人完成布草洗涤的全流程追溯；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（7）熟练掌握洗涤、烘干等相关设备性能、消毒方法。</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（二）其他驻点工作人员</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1、数量：不少于6人；</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2、素质要求：年龄在30-55周岁，身体健康，初中及以上学历。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3、工作内容：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（1）按照医院要求及时到科室收集脏污织物和感染性织物，及时将清洁织物发放至科室，对收发的织物进行核对；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（2）在收、送至科室等服务过程中，积极配合科主任、护士长的工作，遵守医院规章制度，操作规范符合医院感染管理要求；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（3）遵守国家交通法规，做到安全行车无事故；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（4）遵守医院规章制度，操作规范符合医院感染管理要求；</w:t>
      </w:r>
      <w:r/>
    </w:p>
    <w:p>
      <w:pPr>
        <w:pStyle w:val="780"/>
        <w:ind w:left="0" w:firstLine="420"/>
        <w:spacing w:line="440" w:lineRule="exact"/>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（5）衣着整洁、礼貌待人，具有良好的服务意识。</w:t>
      </w:r>
      <w:r/>
    </w:p>
    <w:p>
      <w:pPr>
        <w:ind w:firstLine="420"/>
        <w:spacing w:line="440" w:lineRule="exact"/>
        <w:rPr>
          <w:b/>
          <w:bCs/>
          <w:color w:val="auto"/>
          <w:highlight w:val="none"/>
        </w:rPr>
      </w:pPr>
      <w:r>
        <w:rPr>
          <w:rFonts w:hint="eastAsia" w:eastAsia="等线"/>
          <w:b/>
          <w:bCs/>
          <w:color w:val="auto"/>
          <w:highlight w:val="none"/>
        </w:rPr>
        <w:t xml:space="preserve">6</w:t>
      </w:r>
      <w:r>
        <w:rPr>
          <w:rFonts w:hint="eastAsia"/>
          <w:b/>
          <w:bCs/>
          <w:color w:val="auto"/>
          <w:highlight w:val="none"/>
        </w:rPr>
        <w:t xml:space="preserve">、设备要求：</w:t>
      </w:r>
      <w:r/>
    </w:p>
    <w:p>
      <w:pPr>
        <w:ind w:firstLine="420"/>
        <w:spacing w:line="440" w:lineRule="exact"/>
        <w:rPr>
          <w:color w:val="auto"/>
          <w:highlight w:val="none"/>
        </w:rPr>
      </w:pPr>
      <w:r>
        <w:rPr>
          <w:rFonts w:hint="eastAsia"/>
          <w:color w:val="auto"/>
          <w:highlight w:val="none"/>
        </w:rPr>
        <w:t xml:space="preserve">包1：驻场物流笼车不少于60辆，带电助力推车不少于10辆，平板车不少于3辆；</w:t>
      </w:r>
      <w:bookmarkStart w:id="148" w:name="OLE_LINK3"/>
      <w:r>
        <w:rPr>
          <w:rFonts w:hint="eastAsia" w:ascii="宋体" w:hAnsi="宋体" w:cs="宋体"/>
          <w:color w:val="auto"/>
          <w:highlight w:val="none"/>
        </w:rPr>
        <w:t xml:space="preserve"> </w:t>
      </w:r>
      <w:bookmarkEnd w:id="148"/>
      <w:r/>
      <w:r/>
    </w:p>
    <w:p>
      <w:pPr>
        <w:ind w:firstLine="420"/>
        <w:spacing w:line="440" w:lineRule="exact"/>
        <w:rPr>
          <w:color w:val="auto"/>
          <w:highlight w:val="none"/>
        </w:rPr>
      </w:pPr>
      <w:r>
        <w:rPr>
          <w:rFonts w:hint="eastAsia"/>
          <w:color w:val="auto"/>
          <w:highlight w:val="none"/>
        </w:rPr>
        <w:t xml:space="preserve">包2：驻场物流笼车不少于50辆，电动三轮车不少于3辆，平板车不少于4辆；车辆日常维护保养</w:t>
      </w:r>
      <w:r>
        <w:rPr>
          <w:rFonts w:hint="eastAsia" w:ascii="宋体" w:hAnsi="宋体" w:cs="宋体"/>
          <w:color w:val="auto"/>
          <w:highlight w:val="none"/>
        </w:rPr>
        <w:t xml:space="preserve">和维修均</w:t>
      </w:r>
      <w:r>
        <w:rPr>
          <w:rFonts w:hint="eastAsia"/>
          <w:color w:val="auto"/>
          <w:highlight w:val="none"/>
        </w:rPr>
        <w:t xml:space="preserve">由投标人负责。</w:t>
      </w:r>
      <w:r/>
    </w:p>
    <w:p>
      <w:pPr>
        <w:ind w:firstLine="420"/>
        <w:spacing w:line="440" w:lineRule="exact"/>
        <w:rPr>
          <w:color w:val="auto"/>
          <w:highlight w:val="none"/>
        </w:rPr>
      </w:pPr>
      <w:r>
        <w:rPr>
          <w:color w:val="auto"/>
          <w:highlight w:val="none"/>
        </w:rPr>
      </w:r>
      <w:r/>
    </w:p>
    <w:p>
      <w:pPr>
        <w:ind w:firstLine="602"/>
        <w:spacing w:line="440" w:lineRule="exact"/>
        <w:rPr>
          <w:b/>
          <w:bCs/>
          <w:color w:val="auto"/>
          <w:sz w:val="30"/>
          <w:szCs w:val="30"/>
          <w:highlight w:val="none"/>
        </w:rPr>
      </w:pPr>
      <w:r>
        <w:rPr>
          <w:rFonts w:hint="eastAsia"/>
          <w:b/>
          <w:bCs/>
          <w:color w:val="auto"/>
          <w:sz w:val="30"/>
          <w:szCs w:val="30"/>
          <w:highlight w:val="none"/>
        </w:rPr>
        <w:t xml:space="preserve">注：技术要求投标人需完全响应，不允许有负偏离，否则作无效标处理。</w:t>
      </w:r>
      <w:r/>
    </w:p>
    <w:p>
      <w:pPr>
        <w:ind w:firstLine="414"/>
        <w:spacing w:before="266" w:line="440" w:lineRule="exact"/>
        <w:rPr>
          <w:color w:val="auto"/>
          <w:highlight w:val="none"/>
        </w:rPr>
        <w:outlineLvl w:val="3"/>
      </w:pPr>
      <w:r>
        <w:rPr>
          <w:rFonts w:hint="eastAsia" w:ascii="宋体" w:hAnsi="宋体" w:cs="宋体"/>
          <w:b/>
          <w:bCs/>
          <w:color w:val="auto"/>
          <w:spacing w:val="-2"/>
          <w:highlight w:val="none"/>
        </w:rPr>
        <w:t xml:space="preserve">三、方案要求</w:t>
      </w:r>
      <w:r/>
    </w:p>
    <w:p>
      <w:pPr>
        <w:ind w:firstLine="420"/>
        <w:spacing w:line="440" w:lineRule="exact"/>
        <w:rPr>
          <w:color w:val="auto"/>
          <w:highlight w:val="none"/>
        </w:rPr>
      </w:pPr>
      <w:r>
        <w:rPr>
          <w:rFonts w:hint="eastAsia"/>
          <w:color w:val="auto"/>
          <w:highlight w:val="none"/>
        </w:rPr>
        <w:t xml:space="preserve">1服务总体方案：</w:t>
      </w:r>
      <w:r>
        <w:rPr>
          <w:rFonts w:hint="eastAsia"/>
          <w:color w:val="auto"/>
          <w:highlight w:val="none"/>
        </w:rPr>
        <w:t xml:space="preserve">投标人须编制专属本项目的服务总体方案，完整涵盖服务管理工作目标定位、项目整体实施方案、标准化工作流程三大核心内容，结合医院诊疗场景、布草洗涤感控要求、服务保障需求，明确服务起点、服务定位、服务重点及服务难点，配套针对性解决措施。</w:t>
      </w:r>
      <w:r/>
    </w:p>
    <w:p>
      <w:pPr>
        <w:ind w:firstLine="420"/>
        <w:spacing w:line="440" w:lineRule="exact"/>
        <w:rPr>
          <w:color w:val="auto"/>
          <w:highlight w:val="none"/>
        </w:rPr>
      </w:pPr>
      <w:r>
        <w:rPr>
          <w:rFonts w:hint="eastAsia"/>
          <w:color w:val="auto"/>
          <w:highlight w:val="none"/>
        </w:rPr>
        <w:t xml:space="preserve">2企业内部管理规章制度：</w:t>
      </w:r>
      <w:r>
        <w:rPr>
          <w:rFonts w:hint="eastAsia"/>
          <w:color w:val="auto"/>
          <w:highlight w:val="none"/>
        </w:rPr>
        <w:t xml:space="preserve">投标人须提供适配本医院布草洗涤项目的内部管理体系文件，完整包含项目专属组织架构、企业全套规章制度两大板块，制度需贴合医疗洗涤行业规范、医院感控要求，具备计划性、合理性、及时性和适配性，保障项目常态化规范运营。</w:t>
      </w:r>
      <w:r/>
    </w:p>
    <w:p>
      <w:pPr>
        <w:ind w:firstLine="420"/>
        <w:spacing w:line="440" w:lineRule="exact"/>
        <w:rPr>
          <w:color w:val="auto"/>
          <w:highlight w:val="none"/>
        </w:rPr>
      </w:pPr>
      <w:r>
        <w:rPr>
          <w:rFonts w:hint="eastAsia"/>
          <w:color w:val="auto"/>
          <w:highlight w:val="none"/>
        </w:rPr>
        <w:t xml:space="preserve">3人员配置方案：</w:t>
      </w:r>
      <w:r>
        <w:rPr>
          <w:rFonts w:hint="eastAsia"/>
          <w:color w:val="auto"/>
          <w:highlight w:val="none"/>
        </w:rPr>
        <w:t xml:space="preserve">针对医院医疗布草特殊洗涤、感控管理、应急保障要求，投标人须编制专项人员配置方案，完整涵盖人员数量配置、岗位精准设置、常态化岗位培训体系三大内容，明确各岗位工作职责、质控标准、岗位适配要求及培训实操方案，保障人员配置全面适配医院诊疗服务节奏与感控标准。</w:t>
      </w:r>
      <w:r/>
    </w:p>
    <w:p>
      <w:pPr>
        <w:ind w:firstLine="420"/>
        <w:spacing w:line="440" w:lineRule="exact"/>
        <w:rPr>
          <w:color w:val="auto"/>
          <w:highlight w:val="none"/>
        </w:rPr>
      </w:pPr>
      <w:r>
        <w:rPr>
          <w:rFonts w:hint="eastAsia"/>
          <w:color w:val="auto"/>
          <w:highlight w:val="none"/>
        </w:rPr>
        <w:t xml:space="preserve">4突发事件应急预案：</w:t>
      </w:r>
      <w:r>
        <w:rPr>
          <w:rFonts w:hint="eastAsia"/>
          <w:color w:val="auto"/>
          <w:highlight w:val="none"/>
        </w:rPr>
        <w:t xml:space="preserve">投标人须结合布草洗涤全流程场景，编制专项突发事件应急预案，全面覆盖停水、停电、停气等设施故障，极端天气、公共卫生疫情，各类公共安全事件三大类突发场景，明确应急响应流程、处置措施、人员分工、物资保障、事后复盘整改机制。</w:t>
      </w:r>
      <w:r/>
    </w:p>
    <w:p>
      <w:pPr>
        <w:ind w:firstLine="420"/>
        <w:spacing w:line="440" w:lineRule="exact"/>
        <w:rPr>
          <w:color w:val="auto"/>
          <w:highlight w:val="none"/>
        </w:rPr>
      </w:pPr>
      <w:r>
        <w:rPr>
          <w:rFonts w:hint="eastAsia"/>
          <w:color w:val="auto"/>
          <w:highlight w:val="none"/>
        </w:rPr>
        <w:t xml:space="preserve">5感控管理方案：</w:t>
      </w:r>
      <w:r>
        <w:rPr>
          <w:rFonts w:hint="eastAsia"/>
          <w:color w:val="auto"/>
          <w:highlight w:val="none"/>
        </w:rPr>
        <w:t xml:space="preserve">为杜绝布草洗涤交叉感染风险，投标人须编制全流程感控管理方案，完整包含建筑布局与硬件设施感控配置、洗涤全流程感控关键节点管控、布草质量监测与全流程追溯体系三大核心内容，严格贴合医疗洗涤院感防控标准，明确防控重点、难点及专项应对措施。</w:t>
      </w:r>
      <w:r/>
    </w:p>
    <w:p>
      <w:pPr>
        <w:ind w:firstLine="420"/>
        <w:spacing w:line="440" w:lineRule="exact"/>
        <w:rPr>
          <w:color w:val="auto"/>
          <w:highlight w:val="none"/>
        </w:rPr>
      </w:pPr>
      <w:r>
        <w:rPr>
          <w:rFonts w:hint="eastAsia"/>
          <w:color w:val="auto"/>
          <w:highlight w:val="none"/>
        </w:rPr>
        <w:t xml:space="preserve">6运输保障方案：</w:t>
      </w:r>
      <w:r>
        <w:rPr>
          <w:rFonts w:hint="eastAsia"/>
          <w:color w:val="auto"/>
          <w:highlight w:val="none"/>
        </w:rPr>
        <w:t xml:space="preserve">投标人须编制布草洗涤全流程运输质量安全保障方案，覆盖仓库存储、院内转接、全程运输、车辆密闭性管控，洁净布草与污染布草分区分流管控，运输车辆定期消毒、车辆数量配置保障三大核心板块，明确运输全流程质量管控、安全防控、消杀管理措施。</w:t>
      </w:r>
      <w:r/>
    </w:p>
    <w:p>
      <w:pPr>
        <w:ind w:firstLine="420"/>
        <w:spacing w:line="440" w:lineRule="exact"/>
        <w:rPr>
          <w:color w:val="auto"/>
          <w:highlight w:val="none"/>
        </w:rPr>
      </w:pPr>
      <w:r>
        <w:rPr>
          <w:rFonts w:hint="eastAsia"/>
          <w:color w:val="auto"/>
          <w:highlight w:val="none"/>
        </w:rPr>
        <w:t xml:space="preserve">7智能化方案：</w:t>
      </w:r>
      <w:r>
        <w:rPr>
          <w:rFonts w:hint="eastAsia"/>
          <w:color w:val="auto"/>
          <w:highlight w:val="none"/>
        </w:rPr>
        <w:t xml:space="preserve">投标人须提供本项目专属布草洗涤数据化、信息化、智能化管理方案，核心满足布草织物流向全程可追溯且支持与医院现有系统对接，配备布草管理、智能分拣、智能化物流配套软硬件系统设备，实现全流程智能化管理与数据化服务三大核心要求，同时需提供信息系统、智能设备的功能操作截图、软硬件清单、功能详细描述、数据统计、预警管理等佐证材料。</w:t>
      </w:r>
      <w:r/>
    </w:p>
    <w:p>
      <w:pPr>
        <w:ind w:firstLine="420"/>
        <w:spacing w:line="440" w:lineRule="exact"/>
        <w:rPr>
          <w:b/>
          <w:bCs/>
          <w:color w:val="auto"/>
          <w:highlight w:val="none"/>
        </w:rPr>
      </w:pPr>
      <w:r>
        <w:rPr>
          <w:rFonts w:hint="eastAsia"/>
          <w:color w:val="auto"/>
          <w:highlight w:val="none"/>
        </w:rPr>
        <w:t xml:space="preserve">8增值服务方案：</w:t>
      </w:r>
      <w:r>
        <w:rPr>
          <w:rFonts w:hint="eastAsia"/>
          <w:color w:val="auto"/>
          <w:highlight w:val="none"/>
        </w:rPr>
        <w:t xml:space="preserve">投标人须结合医院服务需求，编制精细化增值服务方案，涵盖个性化定制洗涤服务、精细化运营与院感辅助服务、全流程延伸保障服务三大内容，助力采购人实现布草一物一码全流程溯源管理、布草分类专属化管控及感控差异化精细化管理，协助采购人应对诊疗高峰、应急场景的物资保障管理难题的。</w:t>
      </w:r>
      <w:r/>
    </w:p>
    <w:p>
      <w:pPr>
        <w:numPr>
          <w:ilvl w:val="255"/>
          <w:numId w:val="0"/>
        </w:numPr>
        <w:ind w:firstLine="422"/>
        <w:spacing w:line="440" w:lineRule="exact"/>
        <w:rPr>
          <w:b/>
          <w:bCs/>
          <w:color w:val="auto"/>
          <w:highlight w:val="none"/>
        </w:rPr>
      </w:pPr>
      <w:r>
        <w:rPr>
          <w:rFonts w:hint="eastAsia"/>
          <w:b/>
          <w:bCs/>
          <w:color w:val="auto"/>
          <w:highlight w:val="none"/>
        </w:rPr>
        <w:t xml:space="preserve">四、商务要求</w:t>
      </w:r>
      <w:r/>
    </w:p>
    <w:p>
      <w:pPr>
        <w:ind w:firstLine="422"/>
        <w:spacing w:line="440" w:lineRule="exact"/>
        <w:rPr>
          <w:rFonts w:hint="eastAsia" w:ascii="宋体" w:hAnsi="宋体"/>
          <w:bCs/>
          <w:color w:val="auto"/>
          <w:highlight w:val="none"/>
        </w:rPr>
      </w:pPr>
      <w:r>
        <w:rPr>
          <w:rFonts w:hint="eastAsia" w:ascii="宋体" w:hAnsi="宋体"/>
          <w:b/>
          <w:color w:val="auto"/>
          <w:highlight w:val="none"/>
        </w:rPr>
        <w:t xml:space="preserve">1、投标报价要求：</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投标报价内容包含但不限于完成所有服务内容及配套工作及费用所需的人员工资、加班费、临时突击费用、社会保障缴费、福利、工具、通讯设施、办公设备、巡检器材、保险、物资消耗、水电蒸汽空调费、服装、胸卡、管理费、利润、税费、政策性文件规定及合同包含的所有风险、责任等费用。遇有国家文明、卫生城市检查和疫情防控需要，以及国家省市有关专项检查中包含但不限对加班人员激励的迎检方案、措施，不得另行向院方主张任何结算费用。</w:t>
      </w:r>
      <w:r/>
    </w:p>
    <w:p>
      <w:pPr>
        <w:ind w:firstLine="420"/>
        <w:spacing w:line="440" w:lineRule="exact"/>
        <w:rPr>
          <w:rFonts w:hint="eastAsia" w:ascii="宋体" w:hAnsi="宋体"/>
          <w:color w:val="auto"/>
          <w:highlight w:val="none"/>
        </w:rPr>
      </w:pPr>
      <w:r>
        <w:rPr>
          <w:rFonts w:hint="eastAsia" w:ascii="宋体" w:hAnsi="宋体"/>
          <w:color w:val="auto"/>
          <w:highlight w:val="none"/>
        </w:rPr>
        <w:t xml:space="preserve">完成招标文件规定的服务工作所涉及到的一切相关费用。因服务人员的责任造成采购人财产损失的，由中标人负责赔偿。</w:t>
      </w:r>
      <w:r/>
    </w:p>
    <w:p>
      <w:pPr>
        <w:ind w:firstLine="420"/>
        <w:spacing w:line="440" w:lineRule="exact"/>
        <w:rPr>
          <w:color w:val="auto"/>
          <w:highlight w:val="none"/>
        </w:rPr>
      </w:pPr>
      <w:r>
        <w:rPr>
          <w:rFonts w:hint="eastAsia" w:ascii="宋体" w:hAnsi="宋体"/>
          <w:color w:val="auto"/>
          <w:highlight w:val="none"/>
        </w:rPr>
        <w:t xml:space="preserve">合同履约期内不因国家提高最低工资标准、保险公积金比例等政策调整因素而调整合同价。</w:t>
      </w:r>
      <w:r/>
    </w:p>
    <w:p>
      <w:pPr>
        <w:ind w:left="420"/>
        <w:spacing w:line="440" w:lineRule="exact"/>
        <w:rPr>
          <w:b/>
          <w:bCs/>
          <w:color w:val="auto"/>
          <w:highlight w:val="none"/>
        </w:rPr>
      </w:pPr>
      <w:r>
        <w:rPr>
          <w:rFonts w:hint="eastAsia"/>
          <w:b/>
          <w:bCs/>
          <w:color w:val="auto"/>
          <w:highlight w:val="none"/>
        </w:rPr>
        <w:t xml:space="preserve">2、付款方式：</w:t>
      </w:r>
      <w:r/>
    </w:p>
    <w:p>
      <w:pPr>
        <w:ind w:firstLine="420"/>
        <w:spacing w:line="440" w:lineRule="exact"/>
        <w:rPr>
          <w:color w:val="auto"/>
          <w:highlight w:val="none"/>
        </w:rPr>
      </w:pPr>
      <w:r>
        <w:rPr>
          <w:rFonts w:hint="eastAsia"/>
          <w:color w:val="auto"/>
          <w:highlight w:val="none"/>
        </w:rPr>
        <w:t xml:space="preserve">按照考核标准按月进行考核，根据考核结果按月支付服务费。</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（1）每月1日～5日，甲乙双方按上月布草洗涤成本核算报表的数量进行核对，乙方开具正规完税发票，甲方接到发票，</w:t>
      </w:r>
      <w:r>
        <w:rPr>
          <w:rFonts w:hint="eastAsia" w:ascii="宋体" w:hAnsi="宋体" w:cs="宋体"/>
          <w:color w:val="auto"/>
          <w:highlight w:val="none"/>
        </w:rPr>
        <w:t xml:space="preserve">审核无误后三个月，</w:t>
      </w:r>
      <w:r>
        <w:rPr>
          <w:rFonts w:hint="eastAsia" w:ascii="宋体" w:hAnsi="宋体" w:cs="宋体"/>
          <w:color w:val="auto"/>
          <w:highlight w:val="none"/>
        </w:rPr>
        <w:t xml:space="preserve">按考核结果支付洗涤服务费。</w:t>
      </w:r>
      <w:r>
        <w:rPr>
          <w:rFonts w:hint="eastAsia" w:ascii="宋体" w:hAnsi="宋体" w:cs="宋体"/>
          <w:bCs/>
          <w:color w:val="auto"/>
          <w:highlight w:val="none"/>
        </w:rPr>
        <w:t xml:space="preserve">（</w:t>
      </w:r>
      <w:r>
        <w:rPr>
          <w:rFonts w:hint="eastAsia" w:ascii="宋体" w:hAnsi="宋体" w:cs="宋体"/>
          <w:color w:val="auto"/>
          <w:highlight w:val="none"/>
        </w:rPr>
        <w:t xml:space="preserve">若考核有扣款金额，乙方按照考核后的金额开具增值税发票。</w:t>
      </w:r>
      <w:r>
        <w:rPr>
          <w:rFonts w:hint="eastAsia" w:ascii="宋体" w:hAnsi="宋体" w:cs="宋体"/>
          <w:bCs/>
          <w:color w:val="auto"/>
          <w:highlight w:val="none"/>
        </w:rPr>
        <w:t xml:space="preserve">）</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（2）根据甲方各科室申领的布草品种、规格和数量，实行计件收费，数量以甲方确认收货单按实结算，洗涤物品单价见“洗涤价目表”，合同期内洗涤物品单价不予调整。</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（3）双方签字确认的《月度考核》结果和平时督查结果汇总表一并提交。</w:t>
      </w:r>
      <w:r/>
    </w:p>
    <w:p>
      <w:pPr>
        <w:ind w:left="420"/>
        <w:spacing w:line="440" w:lineRule="exact"/>
        <w:rPr>
          <w:b/>
          <w:bCs/>
          <w:color w:val="auto"/>
          <w:highlight w:val="none"/>
        </w:rPr>
      </w:pPr>
      <w:r>
        <w:rPr>
          <w:rFonts w:hint="eastAsia"/>
          <w:b/>
          <w:bCs/>
          <w:color w:val="auto"/>
          <w:highlight w:val="none"/>
        </w:rPr>
        <w:t xml:space="preserve">3、合同续签：</w:t>
      </w:r>
      <w:r/>
    </w:p>
    <w:p>
      <w:pPr>
        <w:ind w:left="420"/>
        <w:spacing w:line="440" w:lineRule="exact"/>
        <w:rPr>
          <w:rFonts w:hint="eastAsia"/>
          <w:b/>
          <w:bCs/>
          <w:color w:val="auto"/>
          <w:highlight w:val="none"/>
        </w:rPr>
      </w:pPr>
      <w:r>
        <w:rPr>
          <w:rFonts w:hint="eastAsia"/>
          <w:b/>
          <w:bCs/>
          <w:color w:val="auto"/>
          <w:highlight w:val="none"/>
        </w:rPr>
        <w:t xml:space="preserve">招标有效期两年，合同一年一签。合同服务期满前，招标人将统一汇总中标人合同履行全周期内所有综合考核得分，并核算综合考核得分平均分，平均分高于90分（含），招标人将按规定流程为中标人办理下一年度合同续签手续。平均分低于90分的，招标人不予续签下一年度服务合同，本合同服务期满后自动终止。</w:t>
      </w:r>
      <w:r/>
    </w:p>
    <w:p>
      <w:pPr>
        <w:ind w:left="420"/>
        <w:spacing w:line="440" w:lineRule="exact"/>
        <w:rPr>
          <w:b/>
          <w:bCs/>
          <w:color w:val="auto"/>
          <w:highlight w:val="none"/>
        </w:rPr>
      </w:pPr>
      <w:r>
        <w:rPr>
          <w:rFonts w:hint="eastAsia"/>
          <w:b/>
          <w:bCs/>
          <w:color w:val="auto"/>
          <w:highlight w:val="none"/>
        </w:rPr>
        <w:t xml:space="preserve">4、投标人设有感染质量管理岗位，有专职感控医生或护士或技术人员。</w:t>
      </w:r>
      <w:r/>
    </w:p>
    <w:p>
      <w:pPr>
        <w:ind w:firstLine="422"/>
        <w:jc w:val="left"/>
        <w:spacing w:line="360" w:lineRule="exact"/>
        <w:rPr>
          <w:b/>
          <w:bCs/>
          <w:color w:val="auto"/>
          <w:highlight w:val="none"/>
        </w:rPr>
      </w:pPr>
      <w:r>
        <w:rPr>
          <w:rFonts w:hint="eastAsia"/>
          <w:b/>
          <w:bCs/>
          <w:color w:val="auto"/>
          <w:highlight w:val="none"/>
        </w:rPr>
        <w:t xml:space="preserve">5、洗涤场所：</w:t>
      </w:r>
      <w:r/>
    </w:p>
    <w:p>
      <w:pPr>
        <w:ind w:firstLine="420"/>
        <w:jc w:val="left"/>
        <w:spacing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（1）洗涤场所具备合法经营场所，场地产权或长期租赁证明齐全；生产场地选址符合卫生防护距离要求，不得设置在居民楼内。</w:t>
      </w:r>
      <w:r/>
    </w:p>
    <w:p>
      <w:pPr>
        <w:ind w:firstLine="420"/>
        <w:jc w:val="left"/>
        <w:spacing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（2）厂区严格执行洁污分区，设置脏布草接收分拣区、洗涤处理区、洁净布草烘干熨烫整理区、洁净成品存放出库区，各区物理隔断、人流物流通道分开，避免洁污交叉污染；脏净布草运输通道独立设置。</w:t>
      </w:r>
      <w:r/>
    </w:p>
    <w:p>
      <w:pPr>
        <w:ind w:firstLine="420"/>
        <w:jc w:val="left"/>
        <w:spacing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（3）场所地面墙面防水耐腐蚀，排水通风排风系统完备，分拣区域配备消毒设施；洁净成品储存区域密闭防尘，具备温湿度管控条件；厂区设置独立更衣、洗手消毒、污物暂存区域。</w:t>
      </w:r>
      <w:r/>
    </w:p>
    <w:p>
      <w:pPr>
        <w:ind w:firstLine="420"/>
        <w:spacing w:line="440" w:lineRule="exact"/>
        <w:rPr>
          <w:b/>
          <w:bCs/>
          <w:color w:val="auto"/>
          <w:highlight w:val="none"/>
        </w:rPr>
      </w:pPr>
      <w:r>
        <w:rPr>
          <w:rFonts w:hint="eastAsia" w:ascii="宋体" w:hAnsi="宋体" w:cs="宋体"/>
          <w:bCs/>
          <w:color w:val="auto"/>
          <w:szCs w:val="21"/>
          <w:highlight w:val="none"/>
        </w:rPr>
        <w:t xml:space="preserve">（4）洗涤场所废水、废气处理设施配置到位，符合环保排放相关要求；消防设施齐全有效，厂区设置安全警示标识；化学品洗涤剂单独密闭存放，建立危化品管理台账。</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6、考核</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（1）考核办法：月考核和不定期督查考核相结合，其中临床考核分占80%，不定期考核分占20%。</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2）月考核和不定期督查考核相结合（不定期考核每月至少一次），其中临床考核分占80%，不定期考核分占20%。医院每月进行洗涤服务质量考核调查，综合考核得分达到90分为合格，低于合格分每下降1分，扣除当月总服务费用1‰。未按约定完成科室收送任务的，每次扣除200元。投标文件中提供的服务人员名单中，每少1人/天的扣300元。发现扣子没有装订，布草污渍没有洗干净，破损没有挑拣的扣100元每次。</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（3）考核表另附：</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附1：月度考核表（临床科室填写）</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t xml:space="preserve">附2：不定期督查考核表（甲方管理员填写）</w:t>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440" w:lineRule="exact"/>
        <w:rPr>
          <w:rFonts w:hint="eastAsia" w:ascii="宋体" w:hAnsi="宋体" w:cs="宋体"/>
          <w:color w:val="auto"/>
          <w:highlight w:val="none"/>
        </w:rPr>
      </w:pPr>
      <w:r>
        <w:rPr>
          <w:rFonts w:hint="eastAsia" w:ascii="宋体" w:hAnsi="宋体" w:cs="宋体"/>
          <w:color w:val="auto"/>
          <w:highlight w:val="none"/>
        </w:rPr>
      </w:r>
      <w:r/>
    </w:p>
    <w:p>
      <w:pPr>
        <w:spacing w:line="440" w:lineRule="exact"/>
        <w:rPr>
          <w:rFonts w:hint="eastAsia" w:ascii="宋体" w:hAnsi="宋体" w:cs="宋体"/>
          <w:color w:val="auto"/>
          <w:highlight w:val="none"/>
        </w:rPr>
      </w:pPr>
      <w:r>
        <w:rPr>
          <w:rFonts w:hint="eastAsia" w:ascii="宋体" w:hAnsi="宋体" w:cs="宋体"/>
          <w:color w:val="auto"/>
          <w:highlight w:val="none"/>
        </w:rPr>
      </w:r>
      <w:r/>
    </w:p>
    <w:p>
      <w:pPr>
        <w:pStyle w:val="764"/>
        <w:jc w:val="left"/>
        <w:spacing w:before="0" w:after="0" w:line="440" w:lineRule="exact"/>
        <w:rPr>
          <w:color w:val="auto"/>
          <w:highlight w:val="none"/>
        </w:rPr>
      </w:pPr>
      <w:r>
        <w:rPr>
          <w:rFonts w:hint="eastAsia" w:ascii="宋体" w:hAnsi="宋体" w:eastAsia="宋体" w:cs="宋体"/>
          <w:color w:val="auto"/>
          <w:sz w:val="24"/>
          <w:szCs w:val="24"/>
          <w:highlight w:val="none"/>
        </w:rPr>
        <w:t xml:space="preserve">附1：月度考核（临床科室填写）</w:t>
      </w:r>
      <w:r/>
    </w:p>
    <w:p>
      <w:pPr>
        <w:jc w:val="center"/>
        <w:spacing w:line="440" w:lineRule="exact"/>
        <w:widowControl/>
        <w:rPr>
          <w:color w:val="auto"/>
          <w:highlight w:val="none"/>
        </w:rPr>
      </w:pPr>
      <w:r>
        <w:rPr>
          <w:rFonts w:hint="eastAsia" w:ascii="宋体" w:hAnsi="宋体" w:cs="宋体"/>
          <w:color w:val="auto"/>
          <w:highlight w:val="none"/>
        </w:rPr>
        <w:t xml:space="preserve">江苏省人民医院月度洗涤质量考核评分表</w:t>
      </w:r>
      <w:r/>
    </w:p>
    <w:p>
      <w:pPr>
        <w:ind w:firstLine="480"/>
        <w:spacing w:line="440" w:lineRule="exact"/>
        <w:widowControl/>
        <w:rPr>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年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月  </w:t>
      </w:r>
      <w:r/>
    </w:p>
    <w:tbl>
      <w:tblPr>
        <w:tblStyle w:val="773"/>
        <w:tblW w:w="9322" w:type="dxa"/>
        <w:tblInd w:w="0" w:type="dxa"/>
        <w:tblLayout w:type="fixed"/>
        <w:tblCellMar>
          <w:left w:w="108" w:type="dxa"/>
          <w:top w:w="0" w:type="dxa"/>
          <w:right w:w="108" w:type="dxa"/>
          <w:bottom w:w="0" w:type="dxa"/>
        </w:tblCellMar>
        <w:tblLook w:val="04A0" w:firstRow="1" w:lastRow="0" w:firstColumn="1" w:lastColumn="0" w:noHBand="0" w:noVBand="1"/>
      </w:tblPr>
      <w:tblGrid>
        <w:gridCol w:w="1242"/>
        <w:gridCol w:w="851"/>
        <w:gridCol w:w="3827"/>
        <w:gridCol w:w="1418"/>
        <w:gridCol w:w="992"/>
        <w:gridCol w:w="992"/>
      </w:tblGrid>
      <w:tr>
        <w:trPr>
          <w:trHeight w:val="909"/>
        </w:trPr>
        <w:tc>
          <w:tcPr>
            <w:tcBorders>
              <w:top w:val="single" w:color="000000" w:sz="4" w:space="0"/>
              <w:left w:val="single" w:color="000000" w:sz="4" w:space="0"/>
              <w:bottom w:val="single" w:color="000000" w:sz="4" w:space="0"/>
            </w:tcBorders>
            <w:tcW w:w="1242"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考核目标</w:t>
            </w:r>
            <w:r/>
          </w:p>
        </w:tc>
        <w:tc>
          <w:tcPr>
            <w:tcBorders>
              <w:top w:val="single" w:color="000000" w:sz="4" w:space="0"/>
              <w:left w:val="single" w:color="000000" w:sz="4" w:space="0"/>
              <w:bottom w:val="single" w:color="000000" w:sz="4" w:space="0"/>
            </w:tcBorders>
            <w:tcW w:w="851"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标准分值</w:t>
            </w:r>
            <w:r/>
          </w:p>
        </w:tc>
        <w:tc>
          <w:tcPr>
            <w:tcBorders>
              <w:top w:val="single" w:color="000000" w:sz="4" w:space="0"/>
              <w:left w:val="single" w:color="000000" w:sz="4" w:space="0"/>
              <w:bottom w:val="single" w:color="000000" w:sz="4" w:space="0"/>
            </w:tcBorders>
            <w:tcW w:w="3827"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考核内容及办法</w:t>
            </w:r>
            <w:r/>
          </w:p>
        </w:tc>
        <w:tc>
          <w:tcPr>
            <w:tcBorders>
              <w:top w:val="single" w:color="000000" w:sz="4" w:space="0"/>
              <w:left w:val="single" w:color="000000" w:sz="4" w:space="0"/>
              <w:bottom w:val="single" w:color="000000" w:sz="4" w:space="0"/>
            </w:tcBorders>
            <w:tcW w:w="1418"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扣分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备注</w:t>
            </w:r>
            <w:r/>
          </w:p>
        </w:tc>
      </w:tr>
      <w:tr>
        <w:trPr>
          <w:trHeight w:val="450"/>
        </w:trPr>
        <w:tc>
          <w:tcPr>
            <w:tcBorders>
              <w:top w:val="single" w:color="000000" w:sz="4" w:space="0"/>
              <w:left w:val="single" w:color="000000" w:sz="4" w:space="0"/>
              <w:bottom w:val="single" w:color="000000" w:sz="4" w:space="0"/>
            </w:tcBorders>
            <w:tcW w:w="1242"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收送时间</w:t>
            </w:r>
            <w:r/>
          </w:p>
        </w:tc>
        <w:tc>
          <w:tcPr>
            <w:tcBorders>
              <w:top w:val="single" w:color="000000" w:sz="4" w:space="0"/>
              <w:left w:val="single" w:color="000000" w:sz="4" w:space="0"/>
              <w:bottom w:val="single" w:color="000000" w:sz="4" w:space="0"/>
            </w:tcBorders>
            <w:tcW w:w="851"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3827" w:type="dxa"/>
            <w:vAlign w:val="center"/>
            <w:textDirection w:val="lrTb"/>
            <w:noWrap w:val="false"/>
          </w:tcPr>
          <w:p>
            <w:pPr>
              <w:jc w:val="left"/>
              <w:spacing w:line="440" w:lineRule="exact"/>
              <w:widowControl/>
              <w:rPr>
                <w:color w:val="auto"/>
                <w:highlight w:val="none"/>
              </w:rPr>
            </w:pPr>
            <w:r>
              <w:rPr>
                <w:rFonts w:hint="eastAsia" w:ascii="宋体" w:hAnsi="宋体" w:cs="宋体"/>
                <w:color w:val="auto"/>
                <w:highlight w:val="none"/>
              </w:rPr>
              <w:t xml:space="preserve">按照院方时间要求，每天上午和下午收送一次。遇院方特殊需求应及时满足临床使用，影响工作的每次扣1分。</w:t>
            </w:r>
            <w:r/>
          </w:p>
        </w:tc>
        <w:tc>
          <w:tcPr>
            <w:tcBorders>
              <w:top w:val="single" w:color="000000" w:sz="4" w:space="0"/>
              <w:left w:val="single" w:color="000000" w:sz="4" w:space="0"/>
              <w:bottom w:val="single" w:color="000000" w:sz="4" w:space="0"/>
            </w:tcBorders>
            <w:tcW w:w="1418"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Borders>
              <w:top w:val="single" w:color="000000" w:sz="4" w:space="0"/>
              <w:left w:val="single" w:color="000000" w:sz="4" w:space="0"/>
              <w:bottom w:val="single" w:color="000000" w:sz="4" w:space="0"/>
            </w:tcBorders>
            <w:tcW w:w="1242"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洗涤质量</w:t>
            </w:r>
            <w:r/>
          </w:p>
        </w:tc>
        <w:tc>
          <w:tcPr>
            <w:tcBorders>
              <w:top w:val="single" w:color="000000" w:sz="4" w:space="0"/>
              <w:left w:val="single" w:color="000000" w:sz="4" w:space="0"/>
              <w:bottom w:val="single" w:color="000000" w:sz="4" w:space="0"/>
            </w:tcBorders>
            <w:tcW w:w="851"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30</w:t>
            </w:r>
            <w:r/>
          </w:p>
        </w:tc>
        <w:tc>
          <w:tcPr>
            <w:tcBorders>
              <w:top w:val="single" w:color="000000" w:sz="4" w:space="0"/>
              <w:left w:val="single" w:color="000000" w:sz="4" w:space="0"/>
              <w:bottom w:val="single" w:color="000000" w:sz="4" w:space="0"/>
            </w:tcBorders>
            <w:tcW w:w="3827" w:type="dxa"/>
            <w:vAlign w:val="center"/>
            <w:textDirection w:val="lrTb"/>
            <w:noWrap w:val="false"/>
          </w:tcPr>
          <w:p>
            <w:pPr>
              <w:jc w:val="left"/>
              <w:spacing w:line="440" w:lineRule="exact"/>
              <w:widowControl/>
              <w:rPr>
                <w:color w:val="auto"/>
                <w:highlight w:val="none"/>
              </w:rPr>
            </w:pPr>
            <w:r>
              <w:rPr>
                <w:rFonts w:hint="eastAsia" w:ascii="宋体" w:hAnsi="宋体" w:cs="宋体"/>
                <w:color w:val="auto"/>
                <w:highlight w:val="none"/>
              </w:rPr>
              <w:t xml:space="preserve">洗涤清洁度符合规定要求，有一件不合格的扣0.5分，批量不合格的另扣2分。</w:t>
            </w:r>
            <w:r/>
          </w:p>
        </w:tc>
        <w:tc>
          <w:tcPr>
            <w:tcBorders>
              <w:top w:val="single" w:color="000000" w:sz="4" w:space="0"/>
              <w:left w:val="single" w:color="000000" w:sz="4" w:space="0"/>
              <w:bottom w:val="single" w:color="000000" w:sz="4" w:space="0"/>
            </w:tcBorders>
            <w:tcW w:w="1418"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50"/>
        </w:trPr>
        <w:tc>
          <w:tcPr>
            <w:tcBorders>
              <w:top w:val="single" w:color="000000" w:sz="4" w:space="0"/>
              <w:left w:val="single" w:color="000000" w:sz="4" w:space="0"/>
              <w:bottom w:val="single" w:color="000000" w:sz="4" w:space="0"/>
            </w:tcBorders>
            <w:tcW w:w="1242"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熨烫平整</w:t>
            </w:r>
            <w:r/>
          </w:p>
        </w:tc>
        <w:tc>
          <w:tcPr>
            <w:tcBorders>
              <w:top w:val="single" w:color="000000" w:sz="4" w:space="0"/>
              <w:left w:val="single" w:color="000000" w:sz="4" w:space="0"/>
              <w:bottom w:val="single" w:color="000000" w:sz="4" w:space="0"/>
            </w:tcBorders>
            <w:tcW w:w="851"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3827" w:type="dxa"/>
            <w:vAlign w:val="center"/>
            <w:textDirection w:val="lrTb"/>
            <w:noWrap w:val="false"/>
          </w:tcPr>
          <w:p>
            <w:pPr>
              <w:jc w:val="left"/>
              <w:spacing w:line="440" w:lineRule="exact"/>
              <w:widowControl/>
              <w:rPr>
                <w:color w:val="auto"/>
                <w:highlight w:val="none"/>
              </w:rPr>
            </w:pPr>
            <w:r>
              <w:rPr>
                <w:rFonts w:hint="eastAsia" w:ascii="宋体" w:hAnsi="宋体" w:cs="宋体"/>
                <w:color w:val="auto"/>
                <w:highlight w:val="none"/>
              </w:rPr>
              <w:t xml:space="preserve">熨烫平整度达到招标方满意，有一件不合格的扣0.5分，批量不合格的另扣2分</w:t>
            </w:r>
            <w:r/>
          </w:p>
        </w:tc>
        <w:tc>
          <w:tcPr>
            <w:tcBorders>
              <w:top w:val="single" w:color="000000" w:sz="4" w:space="0"/>
              <w:left w:val="single" w:color="000000" w:sz="4" w:space="0"/>
              <w:bottom w:val="single" w:color="000000" w:sz="4" w:space="0"/>
            </w:tcBorders>
            <w:tcW w:w="1418"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35"/>
        </w:trPr>
        <w:tc>
          <w:tcPr>
            <w:tcBorders>
              <w:top w:val="single" w:color="000000" w:sz="4" w:space="0"/>
              <w:left w:val="single" w:color="000000" w:sz="4" w:space="0"/>
              <w:bottom w:val="single" w:color="000000" w:sz="4" w:space="0"/>
            </w:tcBorders>
            <w:tcW w:w="1242"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折叠打包</w:t>
            </w:r>
            <w:r/>
          </w:p>
        </w:tc>
        <w:tc>
          <w:tcPr>
            <w:tcBorders>
              <w:top w:val="single" w:color="000000" w:sz="4" w:space="0"/>
              <w:left w:val="single" w:color="000000" w:sz="4" w:space="0"/>
              <w:bottom w:val="single" w:color="000000" w:sz="4" w:space="0"/>
            </w:tcBorders>
            <w:tcW w:w="851"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3827" w:type="dxa"/>
            <w:vAlign w:val="center"/>
            <w:textDirection w:val="lrTb"/>
            <w:noWrap w:val="false"/>
          </w:tcPr>
          <w:p>
            <w:pPr>
              <w:jc w:val="left"/>
              <w:spacing w:line="440" w:lineRule="exact"/>
              <w:widowControl/>
              <w:rPr>
                <w:color w:val="auto"/>
                <w:highlight w:val="none"/>
              </w:rPr>
            </w:pPr>
            <w:r>
              <w:rPr>
                <w:rFonts w:hint="eastAsia" w:ascii="宋体" w:hAnsi="宋体" w:cs="宋体"/>
                <w:color w:val="auto"/>
                <w:highlight w:val="none"/>
              </w:rPr>
              <w:t xml:space="preserve">折叠正确符合招标方规定，有一包不合格的扣1分，批量不合格的除按包扣分外，另扣2分。</w:t>
            </w:r>
            <w:r/>
          </w:p>
        </w:tc>
        <w:tc>
          <w:tcPr>
            <w:tcBorders>
              <w:top w:val="single" w:color="000000" w:sz="4" w:space="0"/>
              <w:left w:val="single" w:color="000000" w:sz="4" w:space="0"/>
              <w:bottom w:val="single" w:color="000000" w:sz="4" w:space="0"/>
            </w:tcBorders>
            <w:tcW w:w="1418"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50"/>
        </w:trPr>
        <w:tc>
          <w:tcPr>
            <w:tcBorders>
              <w:top w:val="single" w:color="000000" w:sz="4" w:space="0"/>
              <w:left w:val="single" w:color="000000" w:sz="4" w:space="0"/>
              <w:bottom w:val="single" w:color="000000" w:sz="4" w:space="0"/>
            </w:tcBorders>
            <w:tcW w:w="1242"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修补、钉带（扣）、装松紧带</w:t>
            </w:r>
            <w:r/>
          </w:p>
        </w:tc>
        <w:tc>
          <w:tcPr>
            <w:tcBorders>
              <w:top w:val="single" w:color="000000" w:sz="4" w:space="0"/>
              <w:left w:val="single" w:color="000000" w:sz="4" w:space="0"/>
              <w:bottom w:val="single" w:color="000000" w:sz="4" w:space="0"/>
            </w:tcBorders>
            <w:tcW w:w="851"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3827" w:type="dxa"/>
            <w:vAlign w:val="center"/>
            <w:textDirection w:val="lrTb"/>
            <w:noWrap w:val="false"/>
          </w:tcPr>
          <w:p>
            <w:pPr>
              <w:jc w:val="left"/>
              <w:spacing w:line="440" w:lineRule="exact"/>
              <w:widowControl/>
              <w:rPr>
                <w:color w:val="auto"/>
                <w:highlight w:val="none"/>
              </w:rPr>
            </w:pPr>
            <w:r>
              <w:rPr>
                <w:rFonts w:hint="eastAsia" w:ascii="宋体" w:hAnsi="宋体" w:cs="宋体"/>
                <w:color w:val="auto"/>
                <w:highlight w:val="none"/>
              </w:rPr>
              <w:t xml:space="preserve">按规定要求及时修补破损工作服，发现一件破损被服未修补的扣0.5分，未钉钮扣的一件扣0.5分  </w:t>
            </w:r>
            <w:r/>
          </w:p>
        </w:tc>
        <w:tc>
          <w:tcPr>
            <w:tcBorders>
              <w:top w:val="single" w:color="000000" w:sz="4" w:space="0"/>
              <w:left w:val="single" w:color="000000" w:sz="4" w:space="0"/>
              <w:bottom w:val="single" w:color="000000" w:sz="4" w:space="0"/>
            </w:tcBorders>
            <w:tcW w:w="1418"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65"/>
        </w:trPr>
        <w:tc>
          <w:tcPr>
            <w:tcBorders>
              <w:top w:val="single" w:color="000000" w:sz="4" w:space="0"/>
              <w:left w:val="single" w:color="000000" w:sz="4" w:space="0"/>
              <w:bottom w:val="single" w:color="000000" w:sz="4" w:space="0"/>
            </w:tcBorders>
            <w:tcW w:w="1242"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配送货相符</w:t>
            </w:r>
            <w:r/>
          </w:p>
        </w:tc>
        <w:tc>
          <w:tcPr>
            <w:tcBorders>
              <w:top w:val="single" w:color="000000" w:sz="4" w:space="0"/>
              <w:left w:val="single" w:color="000000" w:sz="4" w:space="0"/>
              <w:bottom w:val="single" w:color="000000" w:sz="4" w:space="0"/>
            </w:tcBorders>
            <w:tcW w:w="851"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3827" w:type="dxa"/>
            <w:vAlign w:val="center"/>
            <w:textDirection w:val="lrTb"/>
            <w:noWrap w:val="false"/>
          </w:tcPr>
          <w:p>
            <w:pPr>
              <w:jc w:val="left"/>
              <w:spacing w:line="440" w:lineRule="exact"/>
              <w:widowControl/>
              <w:rPr>
                <w:color w:val="auto"/>
                <w:highlight w:val="none"/>
              </w:rPr>
            </w:pPr>
            <w:r>
              <w:rPr>
                <w:rFonts w:hint="eastAsia" w:ascii="宋体" w:hAnsi="宋体" w:cs="宋体"/>
                <w:color w:val="auto"/>
                <w:highlight w:val="none"/>
              </w:rPr>
              <w:t xml:space="preserve">少或者不符一件扣0.5分</w:t>
            </w:r>
            <w:r/>
          </w:p>
        </w:tc>
        <w:tc>
          <w:tcPr>
            <w:tcBorders>
              <w:top w:val="single" w:color="000000" w:sz="4" w:space="0"/>
              <w:left w:val="single" w:color="000000" w:sz="4" w:space="0"/>
              <w:bottom w:val="single" w:color="000000" w:sz="4" w:space="0"/>
            </w:tcBorders>
            <w:tcW w:w="1418"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65"/>
        </w:trPr>
        <w:tc>
          <w:tcPr>
            <w:tcBorders>
              <w:top w:val="single" w:color="000000" w:sz="4" w:space="0"/>
              <w:left w:val="single" w:color="000000" w:sz="4" w:space="0"/>
              <w:bottom w:val="single" w:color="000000" w:sz="4" w:space="0"/>
            </w:tcBorders>
            <w:tcW w:w="1242"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员工行为</w:t>
            </w:r>
            <w:r/>
          </w:p>
        </w:tc>
        <w:tc>
          <w:tcPr>
            <w:tcBorders>
              <w:top w:val="single" w:color="000000" w:sz="4" w:space="0"/>
              <w:left w:val="single" w:color="000000" w:sz="4" w:space="0"/>
              <w:bottom w:val="single" w:color="000000" w:sz="4" w:space="0"/>
            </w:tcBorders>
            <w:tcW w:w="851"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20</w:t>
            </w:r>
            <w:r/>
          </w:p>
        </w:tc>
        <w:tc>
          <w:tcPr>
            <w:tcBorders>
              <w:top w:val="single" w:color="000000" w:sz="4" w:space="0"/>
              <w:left w:val="single" w:color="000000" w:sz="4" w:space="0"/>
              <w:bottom w:val="single" w:color="000000" w:sz="4" w:space="0"/>
            </w:tcBorders>
            <w:tcW w:w="3827" w:type="dxa"/>
            <w:vAlign w:val="center"/>
            <w:textDirection w:val="lrTb"/>
            <w:noWrap w:val="false"/>
          </w:tcPr>
          <w:p>
            <w:pPr>
              <w:jc w:val="left"/>
              <w:spacing w:line="440" w:lineRule="exact"/>
              <w:widowControl/>
              <w:rPr>
                <w:color w:val="auto"/>
                <w:highlight w:val="none"/>
              </w:rPr>
            </w:pPr>
            <w:r>
              <w:rPr>
                <w:rFonts w:hint="eastAsia" w:ascii="宋体" w:hAnsi="宋体" w:cs="宋体"/>
                <w:color w:val="auto"/>
                <w:highlight w:val="none"/>
              </w:rPr>
              <w:t xml:space="preserve">员工行为符合招标方要求，服务态度较差经调查反映情况属实的一次扣1分，违反招标方规定的一次扣1分。</w:t>
            </w:r>
            <w:r/>
          </w:p>
        </w:tc>
        <w:tc>
          <w:tcPr>
            <w:tcBorders>
              <w:top w:val="single" w:color="000000" w:sz="4" w:space="0"/>
              <w:left w:val="single" w:color="000000" w:sz="4" w:space="0"/>
              <w:bottom w:val="single" w:color="000000" w:sz="4" w:space="0"/>
            </w:tcBorders>
            <w:tcW w:w="1418"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65"/>
        </w:trPr>
        <w:tc>
          <w:tcPr>
            <w:gridSpan w:val="3"/>
            <w:tcBorders>
              <w:top w:val="single" w:color="000000" w:sz="4" w:space="0"/>
              <w:left w:val="single" w:color="000000" w:sz="4" w:space="0"/>
              <w:bottom w:val="single" w:color="000000" w:sz="4" w:space="0"/>
            </w:tcBorders>
            <w:tcW w:w="5920" w:type="dxa"/>
            <w:vAlign w:val="center"/>
            <w:textDirection w:val="lrTb"/>
            <w:noWrap w:val="false"/>
          </w:tcPr>
          <w:p>
            <w:pPr>
              <w:jc w:val="center"/>
              <w:spacing w:line="440" w:lineRule="exact"/>
              <w:widowControl/>
              <w:rPr>
                <w:color w:val="auto"/>
                <w:highlight w:val="none"/>
              </w:rPr>
            </w:pPr>
            <w:r>
              <w:rPr>
                <w:rFonts w:hint="eastAsia" w:ascii="宋体" w:hAnsi="宋体" w:cs="宋体"/>
                <w:color w:val="auto"/>
                <w:highlight w:val="none"/>
              </w:rPr>
              <w:t xml:space="preserve">合计</w:t>
            </w:r>
            <w:r/>
          </w:p>
        </w:tc>
        <w:tc>
          <w:tcPr>
            <w:tcBorders>
              <w:top w:val="single" w:color="000000" w:sz="4" w:space="0"/>
              <w:left w:val="single" w:color="000000" w:sz="4" w:space="0"/>
              <w:bottom w:val="single" w:color="000000" w:sz="4" w:space="0"/>
            </w:tcBorders>
            <w:tcW w:w="1418"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tc>
      </w:tr>
    </w:tbl>
    <w:p>
      <w:pPr>
        <w:spacing w:line="440" w:lineRule="exact"/>
        <w:widowControl/>
        <w:rPr>
          <w:rFonts w:hint="eastAsia" w:ascii="宋体" w:hAnsi="宋体" w:cs="Arial"/>
          <w:color w:val="auto"/>
          <w:highlight w:val="none"/>
        </w:rPr>
      </w:pPr>
      <w:r>
        <w:rPr>
          <w:rFonts w:hint="eastAsia" w:ascii="宋体" w:hAnsi="宋体" w:cs="Arial"/>
          <w:color w:val="auto"/>
          <w:highlight w:val="none"/>
        </w:rPr>
      </w:r>
      <w:r/>
    </w:p>
    <w:p>
      <w:pPr>
        <w:spacing w:line="440" w:lineRule="exact"/>
        <w:tabs>
          <w:tab w:val="left" w:pos="540" w:leader="none"/>
        </w:tabs>
        <w:rPr>
          <w:rFonts w:hint="eastAsia" w:ascii="宋体" w:hAnsi="宋体" w:cs="Arial"/>
          <w:color w:val="auto"/>
          <w:highlight w:val="none"/>
        </w:rPr>
      </w:pPr>
      <w:r>
        <w:rPr>
          <w:rFonts w:hint="eastAsia" w:ascii="宋体" w:hAnsi="宋体" w:cs="Arial"/>
          <w:color w:val="auto"/>
          <w:highlight w:val="none"/>
        </w:rPr>
        <w:t xml:space="preserve">科室签名：                               日期：</w:t>
      </w:r>
      <w:r/>
    </w:p>
    <w:p>
      <w:pPr>
        <w:spacing w:line="440" w:lineRule="exact"/>
        <w:tabs>
          <w:tab w:val="left" w:pos="540" w:leader="none"/>
        </w:tabs>
        <w:rPr>
          <w:rFonts w:hint="eastAsia" w:ascii="宋体" w:hAnsi="宋体" w:cs="宋体"/>
          <w:color w:val="auto"/>
          <w:highlight w:val="none"/>
        </w:rPr>
      </w:pPr>
      <w:r>
        <w:rPr>
          <w:rFonts w:hint="eastAsia" w:ascii="宋体" w:hAnsi="宋体" w:cs="宋体"/>
          <w:b/>
          <w:color w:val="auto"/>
          <w:highlight w:val="none"/>
        </w:rPr>
        <w:t xml:space="preserve">附2：不定期督查考核（管理员填写）</w:t>
      </w:r>
      <w:r/>
    </w:p>
    <w:p>
      <w:pPr>
        <w:ind w:firstLine="840"/>
        <w:spacing w:line="440" w:lineRule="exact"/>
        <w:tabs>
          <w:tab w:val="left" w:pos="540" w:leader="none"/>
        </w:tabs>
        <w:rPr>
          <w:color w:val="auto"/>
          <w:highlight w:val="none"/>
        </w:rPr>
      </w:pPr>
      <w:r>
        <w:rPr>
          <w:rFonts w:hint="eastAsia" w:ascii="宋体" w:hAnsi="宋体" w:cs="宋体"/>
          <w:color w:val="auto"/>
          <w:highlight w:val="none"/>
        </w:rPr>
        <w:t xml:space="preserve">江苏省人民医院布草洗涤服务</w:t>
      </w:r>
      <w:r>
        <w:rPr>
          <w:rFonts w:hint="eastAsia" w:ascii="宋体" w:hAnsi="宋体" w:cs="宋体"/>
          <w:bCs/>
          <w:color w:val="auto"/>
          <w:highlight w:val="none"/>
        </w:rPr>
        <w:t xml:space="preserve">不定期督查</w:t>
      </w:r>
      <w:r>
        <w:rPr>
          <w:rFonts w:hint="eastAsia" w:ascii="宋体" w:hAnsi="宋体" w:cs="宋体"/>
          <w:color w:val="auto"/>
          <w:highlight w:val="none"/>
        </w:rPr>
        <w:t xml:space="preserve">考核评分表（管理员）</w:t>
      </w:r>
      <w:r/>
    </w:p>
    <w:p>
      <w:pPr>
        <w:ind w:firstLine="840"/>
        <w:spacing w:line="440" w:lineRule="exact"/>
        <w:tabs>
          <w:tab w:val="left" w:pos="540" w:leader="none"/>
        </w:tabs>
        <w:rPr>
          <w:color w:val="auto"/>
          <w:highlight w:val="none"/>
        </w:rPr>
      </w:pPr>
      <w:r>
        <w:rPr>
          <w:rFonts w:hint="eastAsia" w:ascii="宋体" w:hAnsi="宋体" w:cs="宋体"/>
          <w:b/>
          <w:bCs/>
          <w:color w:val="auto"/>
          <w:highlight w:val="none"/>
        </w:rPr>
        <w:t xml:space="preserve">                                                      </w:t>
      </w:r>
      <w:r>
        <w:rPr>
          <w:rFonts w:hint="eastAsia" w:ascii="宋体" w:hAnsi="宋体" w:cs="宋体"/>
          <w:b/>
          <w:bCs/>
          <w:color w:val="auto"/>
          <w:highlight w:val="none"/>
          <w:u w:val="single"/>
        </w:rPr>
        <w:t xml:space="preserve">  </w:t>
      </w:r>
      <w:r>
        <w:rPr>
          <w:rFonts w:hint="eastAsia" w:ascii="宋体" w:hAnsi="宋体" w:cs="宋体"/>
          <w:b/>
          <w:bCs/>
          <w:color w:val="auto"/>
          <w:highlight w:val="none"/>
        </w:rPr>
        <w:t xml:space="preserve"> 年 </w:t>
      </w:r>
      <w:r>
        <w:rPr>
          <w:rFonts w:hint="eastAsia" w:ascii="宋体" w:hAnsi="宋体" w:cs="宋体"/>
          <w:b/>
          <w:bCs/>
          <w:color w:val="auto"/>
          <w:highlight w:val="none"/>
          <w:u w:val="single"/>
        </w:rPr>
        <w:t xml:space="preserve">  </w:t>
      </w:r>
      <w:r>
        <w:rPr>
          <w:rFonts w:hint="eastAsia" w:ascii="宋体" w:hAnsi="宋体" w:cs="宋体"/>
          <w:b/>
          <w:bCs/>
          <w:color w:val="auto"/>
          <w:highlight w:val="none"/>
        </w:rPr>
        <w:t xml:space="preserve"> 月</w:t>
      </w:r>
      <w:r/>
    </w:p>
    <w:tbl>
      <w:tblPr>
        <w:tblStyle w:val="773"/>
        <w:tblW w:w="9998" w:type="dxa"/>
        <w:jc w:val="center"/>
        <w:tblLayout w:type="fixed"/>
        <w:tblCellMar>
          <w:left w:w="108" w:type="dxa"/>
          <w:top w:w="0" w:type="dxa"/>
          <w:right w:w="108" w:type="dxa"/>
          <w:bottom w:w="0" w:type="dxa"/>
        </w:tblCellMar>
        <w:tblLook w:val="04A0" w:firstRow="1" w:lastRow="0" w:firstColumn="1" w:lastColumn="0" w:noHBand="0" w:noVBand="1"/>
      </w:tblPr>
      <w:tblGrid>
        <w:gridCol w:w="5637"/>
        <w:gridCol w:w="1220"/>
        <w:gridCol w:w="993"/>
        <w:gridCol w:w="1315"/>
        <w:gridCol w:w="833"/>
      </w:tblGrid>
      <w:tr>
        <w:trPr>
          <w:jc w:val="center"/>
          <w:trHeight w:val="318"/>
          <w:tblHeader/>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考核内容</w:t>
            </w:r>
            <w:r/>
          </w:p>
        </w:tc>
        <w:tc>
          <w:tcPr>
            <w:tcBorders>
              <w:top w:val="single" w:color="000000" w:sz="4" w:space="0"/>
              <w:left w:val="single" w:color="000000" w:sz="4" w:space="0"/>
              <w:bottom w:val="single" w:color="000000" w:sz="4" w:space="0"/>
            </w:tcBorders>
            <w:tcW w:w="1220"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评分标准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标准分</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考核情况</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得分</w:t>
            </w:r>
            <w:r/>
          </w:p>
        </w:tc>
      </w:tr>
      <w:tr>
        <w:trPr>
          <w:jc w:val="center"/>
          <w:trHeight w:val="938"/>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举止端庄大方，工作服穿着统一，规范佩戴工号牌上岗，文明用语，服务热情细心无投诉。</w:t>
            </w:r>
            <w:r/>
          </w:p>
        </w:tc>
        <w:tc>
          <w:tcPr>
            <w:tcBorders>
              <w:top w:val="single" w:color="000000" w:sz="4" w:space="0"/>
              <w:left w:val="single" w:color="000000" w:sz="4" w:space="0"/>
              <w:bottom w:val="single" w:color="000000" w:sz="4" w:space="0"/>
            </w:tcBorders>
            <w:tcW w:w="1220" w:type="dxa"/>
            <w:vAlign w:val="center"/>
            <w:textDirection w:val="lrTb"/>
            <w:noWrap w:val="false"/>
          </w:tcPr>
          <w:p>
            <w:pPr>
              <w:spacing w:line="360" w:lineRule="exact"/>
              <w:widowControl/>
              <w:rPr>
                <w:color w:val="auto"/>
                <w:highlight w:val="none"/>
              </w:rPr>
            </w:pPr>
            <w:r>
              <w:rPr>
                <w:rFonts w:hint="eastAsia" w:ascii="宋体" w:hAnsi="宋体" w:cs="宋体"/>
                <w:color w:val="auto"/>
                <w:highlight w:val="none"/>
              </w:rPr>
              <w:t xml:space="preserve">每发现一处不合格扣一分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r>
      <w:tr>
        <w:trPr>
          <w:jc w:val="center"/>
          <w:trHeight w:val="938"/>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及时准确地将当天的洁物送至病区，并与院方做好清点签字交接手续。仔细认真清点污物，记录清楚，做好交接手续，配合院方抽查。</w:t>
            </w:r>
            <w:r/>
          </w:p>
        </w:tc>
        <w:tc>
          <w:tcPr>
            <w:tcBorders>
              <w:top w:val="single" w:color="000000" w:sz="4" w:space="0"/>
              <w:left w:val="single" w:color="000000" w:sz="4" w:space="0"/>
              <w:bottom w:val="single" w:color="000000" w:sz="4" w:space="0"/>
            </w:tcBorders>
            <w:tcW w:w="1220" w:type="dxa"/>
            <w:vAlign w:val="center"/>
            <w:textDirection w:val="lrTb"/>
            <w:noWrap w:val="false"/>
          </w:tcPr>
          <w:p>
            <w:pPr>
              <w:spacing w:line="360" w:lineRule="exact"/>
              <w:widowControl/>
              <w:rPr>
                <w:color w:val="auto"/>
                <w:highlight w:val="none"/>
              </w:rPr>
            </w:pPr>
            <w:r>
              <w:rPr>
                <w:rFonts w:hint="eastAsia" w:ascii="宋体" w:hAnsi="宋体" w:cs="宋体"/>
                <w:color w:val="auto"/>
                <w:highlight w:val="none"/>
              </w:rPr>
              <w:t xml:space="preserve">每发现一处不合格扣一分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r>
      <w:tr>
        <w:trPr>
          <w:jc w:val="center"/>
          <w:trHeight w:val="1248"/>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洗涤后的洁物应干爽、洁净、平整，不应出现污渍、水迹、潮湿和外平里皱的现象，合格率应至少控制在95%以上。洗涤整烫、烘干好的布草、物品，如有损坏应立即取出，避免发放到病区造成重复洗涤。</w:t>
            </w:r>
            <w:r/>
          </w:p>
        </w:tc>
        <w:tc>
          <w:tcPr>
            <w:tcBorders>
              <w:top w:val="single" w:color="000000" w:sz="4" w:space="0"/>
              <w:left w:val="single" w:color="000000" w:sz="4" w:space="0"/>
              <w:bottom w:val="single" w:color="000000" w:sz="4" w:space="0"/>
            </w:tcBorders>
            <w:tcW w:w="1220" w:type="dxa"/>
            <w:vAlign w:val="center"/>
            <w:textDirection w:val="lrTb"/>
            <w:noWrap w:val="false"/>
          </w:tcPr>
          <w:p>
            <w:pPr>
              <w:spacing w:line="360" w:lineRule="exact"/>
              <w:widowControl/>
              <w:rPr>
                <w:color w:val="auto"/>
                <w:highlight w:val="none"/>
              </w:rPr>
            </w:pPr>
            <w:r>
              <w:rPr>
                <w:rFonts w:hint="eastAsia" w:ascii="宋体" w:hAnsi="宋体" w:cs="宋体"/>
                <w:color w:val="auto"/>
                <w:highlight w:val="none"/>
              </w:rPr>
              <w:t xml:space="preserve">每发现一处不合格扣一分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p>
            <w:pPr>
              <w:pStyle w:val="780"/>
              <w:ind w:left="1440"/>
              <w:spacing w:line="360" w:lineRule="exact"/>
              <w:widowControl/>
              <w:rPr>
                <w:color w:val="auto"/>
                <w:highlight w:val="none"/>
              </w:rPr>
            </w:pPr>
            <w:r>
              <w:rPr>
                <w:color w:val="auto"/>
                <w:highlight w:val="none"/>
              </w:rPr>
            </w:r>
            <w:r/>
          </w:p>
          <w:p>
            <w:pPr>
              <w:spacing w:line="360" w:lineRule="exac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r>
      <w:tr>
        <w:trPr>
          <w:jc w:val="center"/>
          <w:trHeight w:val="938"/>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做好每日值班记录，详细记下病区对洗涤工作的意见和建议，并及时通报公司生产车间进行质量监控，对解决过程进行跟踪，直到问题解决。</w:t>
            </w:r>
            <w:r/>
          </w:p>
        </w:tc>
        <w:tc>
          <w:tcPr>
            <w:tcBorders>
              <w:top w:val="single" w:color="000000" w:sz="4" w:space="0"/>
              <w:left w:val="single" w:color="000000" w:sz="4" w:space="0"/>
              <w:bottom w:val="single" w:color="000000" w:sz="4" w:space="0"/>
            </w:tcBorders>
            <w:tcW w:w="1220" w:type="dxa"/>
            <w:vAlign w:val="center"/>
            <w:textDirection w:val="lrTb"/>
            <w:noWrap w:val="false"/>
          </w:tcPr>
          <w:p>
            <w:pPr>
              <w:spacing w:line="360" w:lineRule="exact"/>
              <w:widowControl/>
              <w:rPr>
                <w:color w:val="auto"/>
                <w:highlight w:val="none"/>
              </w:rPr>
            </w:pPr>
            <w:r>
              <w:rPr>
                <w:rFonts w:hint="eastAsia" w:ascii="宋体" w:hAnsi="宋体" w:cs="宋体"/>
                <w:color w:val="auto"/>
                <w:highlight w:val="none"/>
              </w:rPr>
              <w:t xml:space="preserve">每发现一处不合格扣一分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r>
      <w:tr>
        <w:trPr>
          <w:jc w:val="center"/>
          <w:trHeight w:val="938"/>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运送被服车严格做到污、洁分开。按规定消毒并做好记录。</w:t>
            </w:r>
            <w:r/>
          </w:p>
        </w:tc>
        <w:tc>
          <w:tcPr>
            <w:tcBorders>
              <w:top w:val="single" w:color="000000" w:sz="4" w:space="0"/>
              <w:left w:val="single" w:color="000000" w:sz="4" w:space="0"/>
              <w:bottom w:val="single" w:color="000000" w:sz="4" w:space="0"/>
            </w:tcBorders>
            <w:tcW w:w="1220" w:type="dxa"/>
            <w:vAlign w:val="center"/>
            <w:textDirection w:val="lrTb"/>
            <w:noWrap w:val="false"/>
          </w:tcPr>
          <w:p>
            <w:pPr>
              <w:spacing w:line="360" w:lineRule="exact"/>
              <w:widowControl/>
              <w:rPr>
                <w:color w:val="auto"/>
                <w:highlight w:val="none"/>
              </w:rPr>
            </w:pPr>
            <w:r>
              <w:rPr>
                <w:rFonts w:hint="eastAsia" w:ascii="宋体" w:hAnsi="宋体" w:cs="宋体"/>
                <w:color w:val="auto"/>
                <w:highlight w:val="none"/>
              </w:rPr>
              <w:t xml:space="preserve">每发现一处不合格扣一分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r>
      <w:tr>
        <w:trPr>
          <w:jc w:val="center"/>
          <w:trHeight w:val="938"/>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 洁物出场做到洗涤清洁、熨烫平整、缝补规范（工作服）、折叠标准，并承诺质量投诉2小时内做出反应（例如电话询问，现场了解等），当天给予解决。</w:t>
            </w:r>
            <w:r/>
          </w:p>
        </w:tc>
        <w:tc>
          <w:tcPr>
            <w:tcBorders>
              <w:top w:val="single" w:color="000000" w:sz="4" w:space="0"/>
              <w:left w:val="single" w:color="000000" w:sz="4" w:space="0"/>
              <w:bottom w:val="single" w:color="000000" w:sz="4" w:space="0"/>
            </w:tcBorders>
            <w:tcW w:w="1220" w:type="dxa"/>
            <w:vAlign w:val="center"/>
            <w:textDirection w:val="lrTb"/>
            <w:noWrap w:val="false"/>
          </w:tcPr>
          <w:p>
            <w:pPr>
              <w:spacing w:line="360" w:lineRule="exact"/>
              <w:widowControl/>
              <w:rPr>
                <w:color w:val="auto"/>
                <w:highlight w:val="none"/>
              </w:rPr>
            </w:pPr>
            <w:r>
              <w:rPr>
                <w:rFonts w:hint="eastAsia" w:ascii="宋体" w:hAnsi="宋体" w:cs="宋体"/>
                <w:color w:val="auto"/>
                <w:highlight w:val="none"/>
              </w:rPr>
              <w:t xml:space="preserve">每发现一处不合格扣一分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r>
      <w:tr>
        <w:trPr>
          <w:jc w:val="center"/>
          <w:trHeight w:val="938"/>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保证数量的供应，保证质量的大小尺寸合适，无破损，折叠方法正确。</w:t>
            </w:r>
            <w:r/>
          </w:p>
        </w:tc>
        <w:tc>
          <w:tcPr>
            <w:tcBorders>
              <w:top w:val="single" w:color="000000" w:sz="4" w:space="0"/>
              <w:left w:val="single" w:color="000000" w:sz="4" w:space="0"/>
              <w:bottom w:val="single" w:color="000000" w:sz="4" w:space="0"/>
            </w:tcBorders>
            <w:tcW w:w="1220" w:type="dxa"/>
            <w:vAlign w:val="center"/>
            <w:textDirection w:val="lrTb"/>
            <w:noWrap w:val="false"/>
          </w:tcPr>
          <w:p>
            <w:pPr>
              <w:spacing w:line="360" w:lineRule="exact"/>
              <w:widowControl/>
              <w:rPr>
                <w:color w:val="auto"/>
                <w:highlight w:val="none"/>
              </w:rPr>
            </w:pPr>
            <w:r>
              <w:rPr>
                <w:rFonts w:hint="eastAsia" w:ascii="宋体" w:hAnsi="宋体" w:cs="宋体"/>
                <w:color w:val="auto"/>
                <w:highlight w:val="none"/>
              </w:rPr>
              <w:t xml:space="preserve">每发现一处不合格扣一分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r>
      <w:tr>
        <w:trPr>
          <w:jc w:val="center"/>
          <w:trHeight w:val="938"/>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节假日按医院正常工作日供应，手术室使用敷料与其他临床科室不能混淆。</w:t>
            </w:r>
            <w:r/>
          </w:p>
        </w:tc>
        <w:tc>
          <w:tcPr>
            <w:tcBorders>
              <w:top w:val="single" w:color="000000" w:sz="4" w:space="0"/>
              <w:left w:val="single" w:color="000000" w:sz="4" w:space="0"/>
              <w:bottom w:val="single" w:color="000000" w:sz="4" w:space="0"/>
            </w:tcBorders>
            <w:tcW w:w="1220" w:type="dxa"/>
            <w:vAlign w:val="center"/>
            <w:textDirection w:val="lrTb"/>
            <w:noWrap w:val="false"/>
          </w:tcPr>
          <w:p>
            <w:pPr>
              <w:spacing w:line="360" w:lineRule="exact"/>
              <w:widowControl/>
              <w:rPr>
                <w:color w:val="auto"/>
                <w:highlight w:val="none"/>
              </w:rPr>
            </w:pPr>
            <w:r>
              <w:rPr>
                <w:rFonts w:hint="eastAsia" w:ascii="宋体" w:hAnsi="宋体" w:cs="宋体"/>
                <w:color w:val="auto"/>
                <w:highlight w:val="none"/>
              </w:rPr>
              <w:t xml:space="preserve">每发现一处不合格扣一分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　</w:t>
            </w:r>
            <w:r/>
          </w:p>
        </w:tc>
      </w:tr>
      <w:tr>
        <w:trPr>
          <w:jc w:val="center"/>
          <w:trHeight w:val="650"/>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洁净布草周转库清洁，布草分类整齐码放，库房干燥通风，有防火防盗防虫害措施，有空气消毒措施和记录。管理台账清晰、完整。</w:t>
            </w:r>
            <w:r/>
          </w:p>
        </w:tc>
        <w:tc>
          <w:tcPr>
            <w:tcBorders>
              <w:top w:val="single" w:color="000000" w:sz="4" w:space="0"/>
              <w:left w:val="single" w:color="000000" w:sz="4" w:space="0"/>
              <w:bottom w:val="single" w:color="000000" w:sz="4" w:space="0"/>
            </w:tcBorders>
            <w:tcW w:w="1220" w:type="dxa"/>
            <w:vAlign w:val="center"/>
            <w:textDirection w:val="lrTb"/>
            <w:noWrap w:val="false"/>
          </w:tcPr>
          <w:p>
            <w:pPr>
              <w:spacing w:line="360" w:lineRule="exact"/>
              <w:widowControl/>
              <w:rPr>
                <w:color w:val="auto"/>
                <w:highlight w:val="none"/>
              </w:rPr>
            </w:pPr>
            <w:r>
              <w:rPr>
                <w:rFonts w:hint="eastAsia" w:ascii="宋体" w:hAnsi="宋体" w:cs="宋体"/>
                <w:color w:val="auto"/>
                <w:highlight w:val="none"/>
              </w:rPr>
              <w:t xml:space="preserve">每发现一处不合格扣一分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938"/>
        </w:trPr>
        <w:tc>
          <w:tcPr>
            <w:tcBorders>
              <w:top w:val="single" w:color="000000" w:sz="4" w:space="0"/>
              <w:left w:val="single" w:color="000000" w:sz="4" w:space="0"/>
              <w:bottom w:val="single" w:color="000000" w:sz="4" w:space="0"/>
            </w:tcBorders>
            <w:tcW w:w="5637"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脏布草暂存处堆放有序，无大量囤积现象。不污染暂存区外的地方，有暂存处清洁、消毒制度和实施记录。</w:t>
            </w:r>
            <w:r/>
          </w:p>
        </w:tc>
        <w:tc>
          <w:tcPr>
            <w:tcBorders>
              <w:top w:val="single" w:color="000000" w:sz="4" w:space="0"/>
              <w:left w:val="single" w:color="000000" w:sz="4" w:space="0"/>
              <w:bottom w:val="single" w:color="000000" w:sz="4" w:space="0"/>
            </w:tcBorders>
            <w:tcW w:w="1220" w:type="dxa"/>
            <w:vAlign w:val="center"/>
            <w:textDirection w:val="lrTb"/>
            <w:noWrap w:val="false"/>
          </w:tcPr>
          <w:p>
            <w:pPr>
              <w:spacing w:line="360" w:lineRule="exact"/>
              <w:widowControl/>
              <w:rPr>
                <w:color w:val="auto"/>
                <w:highlight w:val="none"/>
              </w:rPr>
            </w:pPr>
            <w:r>
              <w:rPr>
                <w:rFonts w:hint="eastAsia" w:ascii="宋体" w:hAnsi="宋体" w:cs="宋体"/>
                <w:color w:val="auto"/>
                <w:highlight w:val="none"/>
              </w:rPr>
              <w:t xml:space="preserve">每发现一处不合格扣一分</w:t>
            </w:r>
            <w:r/>
          </w:p>
        </w:tc>
        <w:tc>
          <w:tcPr>
            <w:tcBorders>
              <w:top w:val="single" w:color="000000" w:sz="4" w:space="0"/>
              <w:left w:val="single" w:color="000000" w:sz="4" w:space="0"/>
              <w:bottom w:val="single" w:color="000000" w:sz="4" w:space="0"/>
            </w:tcBorders>
            <w:tcW w:w="993" w:type="dxa"/>
            <w:vAlign w:val="center"/>
            <w:textDirection w:val="lrTb"/>
            <w:noWrap w:val="false"/>
          </w:tcPr>
          <w:p>
            <w:pPr>
              <w:jc w:val="center"/>
              <w:spacing w:line="360" w:lineRule="exact"/>
              <w:widowControl/>
              <w:rPr>
                <w:color w:val="auto"/>
                <w:highlight w:val="none"/>
              </w:rPr>
            </w:pPr>
            <w:r>
              <w:rPr>
                <w:rFonts w:hint="eastAsia" w:ascii="宋体" w:hAnsi="宋体" w:cs="宋体"/>
                <w:color w:val="auto"/>
                <w:highlight w:val="none"/>
              </w:rPr>
              <w:t xml:space="preserve">10</w:t>
            </w:r>
            <w:r/>
          </w:p>
        </w:tc>
        <w:tc>
          <w:tcPr>
            <w:tcBorders>
              <w:top w:val="single" w:color="000000" w:sz="4" w:space="0"/>
              <w:left w:val="single" w:color="000000" w:sz="4" w:space="0"/>
              <w:bottom w:val="single" w:color="000000" w:sz="4" w:space="0"/>
            </w:tcBorders>
            <w:tcW w:w="1315"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325"/>
        </w:trPr>
        <w:tc>
          <w:tcPr>
            <w:gridSpan w:val="4"/>
            <w:tcBorders>
              <w:top w:val="single" w:color="000000" w:sz="4" w:space="0"/>
              <w:left w:val="single" w:color="000000" w:sz="4" w:space="0"/>
              <w:bottom w:val="single" w:color="000000" w:sz="4" w:space="0"/>
            </w:tcBorders>
            <w:tcW w:w="9165" w:type="dxa"/>
            <w:vAlign w:val="center"/>
            <w:textDirection w:val="lrTb"/>
            <w:noWrap w:val="false"/>
          </w:tcPr>
          <w:p>
            <w:pPr>
              <w:jc w:val="left"/>
              <w:spacing w:line="360" w:lineRule="exact"/>
              <w:widowControl/>
              <w:rPr>
                <w:color w:val="auto"/>
                <w:highlight w:val="none"/>
              </w:rPr>
            </w:pPr>
            <w:r>
              <w:rPr>
                <w:rFonts w:hint="eastAsia" w:ascii="宋体" w:hAnsi="宋体" w:cs="宋体"/>
                <w:color w:val="auto"/>
                <w:highlight w:val="none"/>
              </w:rPr>
              <w:t xml:space="preserve">得分合计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bl>
    <w:p>
      <w:pPr>
        <w:ind w:firstLine="480"/>
        <w:spacing w:line="440" w:lineRule="exact"/>
        <w:widowControl/>
        <w:rPr>
          <w:rFonts w:hint="eastAsia" w:ascii="宋体" w:hAnsi="宋体" w:cs="宋体"/>
          <w:color w:val="auto"/>
          <w:highlight w:val="none"/>
        </w:rPr>
      </w:pPr>
      <w:r>
        <w:rPr>
          <w:rFonts w:hint="eastAsia" w:ascii="宋体" w:hAnsi="宋体" w:cs="Arial"/>
          <w:color w:val="auto"/>
          <w:highlight w:val="none"/>
        </w:rPr>
        <w:t xml:space="preserve">科室签名：                               日期：</w:t>
      </w:r>
      <w:bookmarkEnd w:id="141"/>
      <w:r/>
      <w:bookmarkEnd w:id="142"/>
      <w:r/>
      <w:r/>
    </w:p>
    <w:p>
      <w:pPr>
        <w:pStyle w:val="763"/>
        <w:rPr>
          <w:color w:val="auto"/>
          <w:highlight w:val="none"/>
        </w:rPr>
      </w:pPr>
      <w:r/>
      <w:bookmarkStart w:id="149" w:name="_Toc10059"/>
      <w:r>
        <w:rPr>
          <w:rFonts w:hint="eastAsia"/>
          <w:color w:val="auto"/>
          <w:highlight w:val="none"/>
        </w:rPr>
        <w:t xml:space="preserve">第五部分合同格式及条款</w:t>
      </w:r>
      <w:bookmarkEnd w:id="140"/>
      <w:r/>
      <w:bookmarkEnd w:id="149"/>
      <w:r/>
      <w:r/>
    </w:p>
    <w:p>
      <w:pPr>
        <w:rPr>
          <w:color w:val="auto"/>
          <w:highlight w:val="none"/>
        </w:rPr>
      </w:pPr>
      <w:r>
        <w:rPr>
          <w:color w:val="auto"/>
          <w:highlight w:val="none"/>
        </w:rPr>
      </w:r>
      <w:r/>
    </w:p>
    <w:p>
      <w:pPr>
        <w:rPr>
          <w:color w:val="auto"/>
          <w:highlight w:val="none"/>
        </w:rPr>
      </w:pPr>
      <w:r>
        <w:rPr>
          <w:color w:val="auto"/>
          <w:highlight w:val="none"/>
        </w:rPr>
      </w:r>
      <w:r/>
    </w:p>
    <w:p>
      <w:pPr>
        <w:pStyle w:val="778"/>
        <w:spacing w:line="440" w:lineRule="exact"/>
        <w:rPr>
          <w:color w:val="auto"/>
          <w:highlight w:val="none"/>
        </w:rPr>
      </w:pPr>
      <w:r>
        <w:rPr>
          <w:color w:val="auto"/>
          <w:highlight w:val="none"/>
        </w:rPr>
      </w:r>
      <w:r/>
    </w:p>
    <w:p>
      <w:pPr>
        <w:jc w:val="right"/>
        <w:rPr>
          <w:color w:val="auto"/>
          <w:sz w:val="28"/>
          <w:szCs w:val="28"/>
          <w:highlight w:val="none"/>
        </w:rPr>
      </w:pPr>
      <w:r>
        <w:rPr>
          <w:color w:val="auto"/>
          <w:sz w:val="28"/>
          <w:szCs w:val="28"/>
          <w:highlight w:val="none"/>
        </w:rPr>
        <w:t xml:space="preserve">合同编号：xxxx-xxxx-xxxx-xxxx</w:t>
      </w:r>
      <w:r/>
    </w:p>
    <w:p>
      <w:pPr>
        <w:jc w:val="right"/>
        <w:spacing w:line="480" w:lineRule="auto"/>
        <w:rPr>
          <w:b/>
          <w:color w:val="auto"/>
          <w:sz w:val="48"/>
          <w:szCs w:val="52"/>
          <w:highlight w:val="none"/>
        </w:rPr>
      </w:pPr>
      <w:r>
        <w:rPr>
          <w:b/>
          <w:color w:val="auto"/>
          <w:sz w:val="48"/>
          <w:szCs w:val="52"/>
          <w:highlight w:val="none"/>
        </w:rPr>
      </w:r>
      <w:r/>
    </w:p>
    <w:p>
      <w:pPr>
        <w:spacing w:after="156" w:line="276" w:lineRule="auto"/>
        <w:rPr>
          <w:color w:val="auto"/>
          <w:sz w:val="48"/>
          <w:szCs w:val="48"/>
          <w:highlight w:val="none"/>
        </w:rPr>
      </w:pPr>
      <w:r>
        <w:rPr>
          <w:color w:val="auto"/>
          <w:sz w:val="48"/>
          <w:szCs w:val="48"/>
          <w:highlight w:val="none"/>
        </w:rPr>
      </w:r>
      <w:r/>
    </w:p>
    <w:p>
      <w:pPr>
        <w:jc w:val="center"/>
        <w:spacing w:after="156" w:line="276" w:lineRule="auto"/>
        <w:rPr>
          <w:b/>
          <w:bCs/>
          <w:color w:val="auto"/>
          <w:sz w:val="52"/>
          <w:szCs w:val="52"/>
          <w:highlight w:val="none"/>
        </w:rPr>
      </w:pPr>
      <w:r>
        <w:rPr>
          <w:rFonts w:hint="eastAsia"/>
          <w:b/>
          <w:bCs/>
          <w:color w:val="auto"/>
          <w:sz w:val="52"/>
          <w:szCs w:val="52"/>
          <w:highlight w:val="none"/>
        </w:rPr>
        <w:t xml:space="preserve">江苏省人民医院服务保障合同</w:t>
      </w:r>
      <w:r/>
    </w:p>
    <w:p>
      <w:pPr>
        <w:spacing w:line="480" w:lineRule="auto"/>
        <w:rPr>
          <w:b/>
          <w:color w:val="auto"/>
          <w:sz w:val="48"/>
          <w:szCs w:val="52"/>
          <w:highlight w:val="none"/>
        </w:rPr>
      </w:pPr>
      <w:r>
        <w:rPr>
          <w:b/>
          <w:color w:val="auto"/>
          <w:sz w:val="48"/>
          <w:szCs w:val="5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t xml:space="preserve">甲方：</w:t>
      </w:r>
      <w:r/>
    </w:p>
    <w:p>
      <w:pPr>
        <w:rPr>
          <w:color w:val="auto"/>
          <w:sz w:val="32"/>
          <w:szCs w:val="32"/>
          <w:highlight w:val="none"/>
        </w:rPr>
      </w:pPr>
      <w:r>
        <w:rPr>
          <w:color w:val="auto"/>
          <w:sz w:val="32"/>
          <w:szCs w:val="32"/>
          <w:highlight w:val="none"/>
        </w:rPr>
        <w:t xml:space="preserve">法定代表人</w:t>
      </w:r>
      <w:r>
        <w:rPr>
          <w:rFonts w:hint="eastAsia"/>
          <w:color w:val="auto"/>
          <w:sz w:val="32"/>
          <w:szCs w:val="32"/>
          <w:highlight w:val="none"/>
        </w:rPr>
        <w:t xml:space="preserve">：</w:t>
      </w:r>
      <w:r>
        <w:rPr>
          <w:color w:val="auto"/>
          <w:sz w:val="32"/>
          <w:szCs w:val="32"/>
          <w:highlight w:val="none"/>
        </w:rPr>
        <w:t xml:space="preserve"> </w:t>
      </w:r>
      <w:r/>
    </w:p>
    <w:p>
      <w:pPr>
        <w:rPr>
          <w:color w:val="auto"/>
          <w:sz w:val="32"/>
          <w:szCs w:val="32"/>
          <w:highlight w:val="none"/>
        </w:rPr>
      </w:pPr>
      <w:r>
        <w:rPr>
          <w:color w:val="auto"/>
          <w:sz w:val="32"/>
          <w:szCs w:val="32"/>
          <w:highlight w:val="none"/>
        </w:rPr>
        <w:t xml:space="preserve">地址</w:t>
      </w:r>
      <w:r>
        <w:rPr>
          <w:rFonts w:hint="eastAsia"/>
          <w:color w:val="auto"/>
          <w:sz w:val="32"/>
          <w:szCs w:val="32"/>
          <w:highlight w:val="none"/>
        </w:rPr>
        <w:t xml:space="preserve">：</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t xml:space="preserve">乙方：</w:t>
      </w:r>
      <w:r/>
    </w:p>
    <w:p>
      <w:pPr>
        <w:rPr>
          <w:color w:val="auto"/>
          <w:sz w:val="32"/>
          <w:szCs w:val="32"/>
          <w:highlight w:val="none"/>
        </w:rPr>
      </w:pPr>
      <w:r>
        <w:rPr>
          <w:color w:val="auto"/>
          <w:sz w:val="32"/>
          <w:szCs w:val="32"/>
          <w:highlight w:val="none"/>
        </w:rPr>
        <w:t xml:space="preserve">法定代表人：</w:t>
      </w:r>
      <w:r/>
    </w:p>
    <w:p>
      <w:pPr>
        <w:rPr>
          <w:color w:val="auto"/>
          <w:highlight w:val="none"/>
        </w:rPr>
        <w:sectPr>
          <w:footerReference w:type="default" r:id="rId10"/>
          <w:footnotePr/>
          <w:endnotePr/>
          <w:type w:val="nextPage"/>
          <w:pgSz w:w="11906" w:h="16838" w:orient="portrait"/>
          <w:pgMar w:top="1332" w:right="1077" w:bottom="1332" w:left="1077" w:header="851" w:footer="992" w:gutter="0"/>
          <w:cols w:num="1" w:sep="0" w:space="720" w:equalWidth="1"/>
          <w:docGrid w:linePitch="360"/>
        </w:sectPr>
      </w:pPr>
      <w:r>
        <w:rPr>
          <w:color w:val="auto"/>
          <w:sz w:val="32"/>
          <w:szCs w:val="32"/>
          <w:highlight w:val="none"/>
        </w:rPr>
        <w:t xml:space="preserve">地址</w:t>
      </w:r>
      <w:r>
        <w:rPr>
          <w:rFonts w:hint="eastAsia"/>
          <w:color w:val="auto"/>
          <w:sz w:val="32"/>
          <w:szCs w:val="32"/>
          <w:highlight w:val="none"/>
        </w:rPr>
        <w:t xml:space="preserve">：</w:t>
      </w:r>
      <w:r/>
    </w:p>
    <w:p>
      <w:pPr>
        <w:pStyle w:val="763"/>
        <w:tabs>
          <w:tab w:val="right" w:pos="9638" w:leader="none"/>
        </w:tabs>
        <w:rPr>
          <w:color w:val="auto"/>
          <w:highlight w:val="none"/>
        </w:rPr>
      </w:pPr>
      <w:r>
        <w:rPr>
          <w:rFonts w:hint="eastAsia"/>
          <w:color w:val="auto"/>
          <w:highlight w:val="none"/>
        </w:rPr>
        <w:t xml:space="preserve">江苏省人民医院服务保障合同</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甲方：</w:t>
      </w:r>
      <w:r>
        <w:rPr>
          <w:rFonts w:hint="eastAsia" w:ascii="宋体" w:hAnsi="宋体" w:cs="宋体"/>
          <w:color w:val="auto"/>
          <w:highlight w:val="none"/>
          <w:u w:val="single"/>
        </w:rPr>
        <w:t xml:space="preserve">江苏省人民医院        </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乙方：</w:t>
      </w:r>
      <w:r>
        <w:rPr>
          <w:rFonts w:hint="eastAsia" w:ascii="宋体" w:hAnsi="宋体" w:cs="宋体"/>
          <w:color w:val="auto"/>
          <w:highlight w:val="none"/>
          <w:u w:val="single"/>
        </w:rPr>
        <w:t xml:space="preserve">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根据《中华人民共和国民法典》及国家有关规定，依据甲方要求和项目具体情况，遵循平等、自愿、公平和诚实信用的原则，特订立以下条款共同遵守。</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一、项目概况</w:t>
      </w:r>
      <w:r/>
    </w:p>
    <w:p>
      <w:pPr>
        <w:ind w:firstLine="420"/>
        <w:spacing w:line="360" w:lineRule="auto"/>
        <w:tabs>
          <w:tab w:val="left" w:pos="180" w:leader="none"/>
          <w:tab w:val="left" w:pos="360" w:leader="none"/>
          <w:tab w:val="left" w:pos="1964" w:leader="none"/>
        </w:tabs>
        <w:rPr>
          <w:rFonts w:hint="eastAsia" w:ascii="宋体" w:hAnsi="宋体" w:cs="宋体"/>
          <w:color w:val="auto"/>
          <w:highlight w:val="none"/>
        </w:rPr>
      </w:pPr>
      <w:r>
        <w:rPr>
          <w:rFonts w:hint="eastAsia" w:ascii="宋体" w:hAnsi="宋体" w:cs="宋体"/>
          <w:color w:val="auto"/>
          <w:highlight w:val="none"/>
        </w:rPr>
        <w:t xml:space="preserve">1.项目名称：</w:t>
      </w:r>
      <w:r>
        <w:rPr>
          <w:rFonts w:hint="eastAsia" w:ascii="宋体" w:hAnsi="宋体" w:cs="宋体"/>
          <w:color w:val="auto"/>
          <w:highlight w:val="none"/>
          <w:u w:val="single"/>
        </w:rPr>
        <w:t xml:space="preserve">                                     </w:t>
      </w:r>
      <w:r/>
    </w:p>
    <w:p>
      <w:pPr>
        <w:ind w:firstLine="420"/>
        <w:spacing w:line="360" w:lineRule="auto"/>
        <w:tabs>
          <w:tab w:val="left" w:pos="180" w:leader="none"/>
          <w:tab w:val="left" w:pos="360" w:leader="none"/>
          <w:tab w:val="left" w:pos="1964" w:leader="none"/>
        </w:tabs>
        <w:rPr>
          <w:rFonts w:hint="eastAsia" w:ascii="宋体" w:hAnsi="宋体" w:cs="宋体"/>
          <w:color w:val="auto"/>
          <w:highlight w:val="none"/>
        </w:rPr>
      </w:pPr>
      <w:r>
        <w:rPr>
          <w:rFonts w:hint="eastAsia" w:ascii="宋体" w:hAnsi="宋体" w:cs="宋体"/>
          <w:color w:val="auto"/>
          <w:highlight w:val="none"/>
        </w:rPr>
        <w:t xml:space="preserve">2.甲方委托乙方对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提供服务保障。</w:t>
      </w:r>
      <w:r/>
    </w:p>
    <w:p>
      <w:pPr>
        <w:ind w:firstLine="420"/>
        <w:spacing w:line="360" w:lineRule="auto"/>
        <w:tabs>
          <w:tab w:val="left" w:pos="180" w:leader="none"/>
          <w:tab w:val="left" w:pos="360" w:leader="none"/>
          <w:tab w:val="left" w:pos="1964" w:leader="none"/>
        </w:tabs>
        <w:rPr>
          <w:rFonts w:hint="eastAsia" w:ascii="宋体" w:hAnsi="宋体" w:cs="宋体"/>
          <w:color w:val="auto"/>
          <w:highlight w:val="none"/>
        </w:rPr>
      </w:pPr>
      <w:r>
        <w:rPr>
          <w:rFonts w:hint="eastAsia" w:ascii="宋体" w:hAnsi="宋体" w:cs="宋体"/>
          <w:color w:val="auto"/>
          <w:highlight w:val="none"/>
        </w:rPr>
        <w:t xml:space="preserve">3.本服务保障合同严格按照</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国家、地区行业认可的相关规范条文进行服务保障。</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二、</w:t>
      </w:r>
      <w:r>
        <w:rPr>
          <w:rFonts w:hint="eastAsia" w:ascii="宋体" w:hAnsi="宋体" w:cs="宋体"/>
          <w:b/>
          <w:color w:val="auto"/>
          <w:highlight w:val="none"/>
        </w:rPr>
        <w:t xml:space="preserve">合同款支付</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1.本服务保障合同金额，人民币：</w:t>
      </w:r>
      <w:r/>
    </w:p>
    <w:p>
      <w:pPr>
        <w:ind w:left="210"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（小写）：￥</w:t>
      </w:r>
      <w:r>
        <w:rPr>
          <w:rFonts w:hint="eastAsia" w:ascii="宋体" w:hAnsi="宋体" w:cs="宋体"/>
          <w:color w:val="auto"/>
          <w:highlight w:val="none"/>
          <w:u w:val="single"/>
        </w:rPr>
        <w:t xml:space="preserve">                 </w:t>
      </w:r>
      <w:r/>
    </w:p>
    <w:p>
      <w:pPr>
        <w:ind w:left="-210" w:firstLine="630"/>
        <w:jc w:val="left"/>
        <w:spacing w:line="360" w:lineRule="auto"/>
        <w:tabs>
          <w:tab w:val="left" w:pos="180" w:leader="none"/>
          <w:tab w:val="left" w:pos="360" w:leader="none"/>
          <w:tab w:val="left" w:pos="1964" w:leader="none"/>
        </w:tabs>
        <w:rPr>
          <w:rFonts w:hint="eastAsia" w:ascii="宋体" w:hAnsi="宋体" w:cs="宋体"/>
          <w:color w:val="auto"/>
          <w:highlight w:val="none"/>
          <w:u w:val="single"/>
        </w:rPr>
      </w:pPr>
      <w:r>
        <w:rPr>
          <w:rFonts w:hint="eastAsia" w:ascii="宋体" w:hAnsi="宋体" w:cs="宋体"/>
          <w:color w:val="auto"/>
          <w:highlight w:val="none"/>
        </w:rPr>
        <w:t xml:space="preserve">2.结算方式：</w:t>
      </w:r>
      <w:r/>
    </w:p>
    <w:p>
      <w:pPr>
        <w:jc w:val="left"/>
        <w:spacing w:line="360" w:lineRule="auto"/>
        <w:tabs>
          <w:tab w:val="left" w:pos="1964" w:leader="none"/>
        </w:tabs>
        <w:rPr>
          <w:rFonts w:hint="eastAsia" w:ascii="宋体" w:hAnsi="宋体" w:cs="宋体"/>
          <w:color w:val="auto"/>
          <w:highlight w:val="none"/>
        </w:rPr>
      </w:pPr>
      <w:r>
        <w:rPr>
          <w:rFonts w:hint="eastAsia" w:ascii="宋体" w:hAnsi="宋体" w:cs="宋体"/>
          <w:color w:val="auto"/>
          <w:highlight w:val="none"/>
          <w:u w:val="single"/>
        </w:rPr>
        <w:t xml:space="preserve">                                                                            </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三、</w:t>
      </w:r>
      <w:r>
        <w:rPr>
          <w:rFonts w:hint="eastAsia" w:ascii="宋体" w:hAnsi="宋体" w:cs="宋体"/>
          <w:b/>
          <w:color w:val="auto"/>
          <w:highlight w:val="none"/>
        </w:rPr>
        <w:t xml:space="preserve">合同期</w:t>
      </w:r>
      <w:r/>
    </w:p>
    <w:p>
      <w:pPr>
        <w:ind w:firstLine="420"/>
        <w:spacing w:line="360" w:lineRule="auto"/>
        <w:tabs>
          <w:tab w:val="left" w:pos="180" w:leader="none"/>
          <w:tab w:val="left" w:pos="360" w:leader="none"/>
          <w:tab w:val="left" w:pos="1964" w:leader="none"/>
        </w:tabs>
        <w:rPr>
          <w:rFonts w:hint="eastAsia" w:ascii="宋体" w:hAnsi="宋体" w:cs="宋体"/>
          <w:color w:val="auto"/>
          <w:highlight w:val="none"/>
        </w:rPr>
      </w:pPr>
      <w:r>
        <w:rPr>
          <w:rFonts w:hint="eastAsia" w:ascii="宋体" w:hAnsi="宋体" w:cs="宋体"/>
          <w:color w:val="auto"/>
          <w:highlight w:val="none"/>
        </w:rPr>
        <w:t xml:space="preserve">此合同于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日开始，至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日止。</w:t>
      </w:r>
      <w:r/>
    </w:p>
    <w:p>
      <w:pPr>
        <w:spacing w:line="360" w:lineRule="auto"/>
        <w:tabs>
          <w:tab w:val="left" w:pos="180" w:leader="none"/>
          <w:tab w:val="left" w:pos="360" w:leader="none"/>
          <w:tab w:val="left" w:pos="1964" w:leader="none"/>
        </w:tabs>
        <w:rPr>
          <w:rFonts w:hint="eastAsia" w:ascii="宋体" w:hAnsi="宋体" w:cs="宋体"/>
          <w:color w:val="auto"/>
          <w:highlight w:val="none"/>
          <w:u w:val="single"/>
        </w:rPr>
      </w:pPr>
      <w:r>
        <w:rPr>
          <w:rFonts w:hint="eastAsia" w:ascii="宋体" w:hAnsi="宋体" w:cs="宋体"/>
          <w:color w:val="auto"/>
          <w:highlight w:val="none"/>
          <w:u w:val="single"/>
        </w:rPr>
        <w:t xml:space="preserve">                                                                              </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四、乙方服务内容及标准</w:t>
      </w:r>
      <w:r/>
    </w:p>
    <w:p>
      <w:pPr>
        <w:spacing w:line="360" w:lineRule="auto"/>
        <w:rPr>
          <w:rFonts w:hint="eastAsia" w:ascii="宋体" w:hAnsi="宋体" w:cs="宋体"/>
          <w:color w:val="auto"/>
          <w:highlight w:val="none"/>
          <w:u w:val="single"/>
        </w:rPr>
      </w:pPr>
      <w:r>
        <w:rPr>
          <w:rFonts w:hint="eastAsia" w:ascii="宋体" w:hAnsi="宋体" w:cs="宋体"/>
          <w:color w:val="auto"/>
          <w:highlight w:val="none"/>
          <w:u w:val="single"/>
        </w:rPr>
        <w:t xml:space="preserve">                                                                  </w:t>
      </w:r>
      <w:r/>
    </w:p>
    <w:p>
      <w:pPr>
        <w:ind w:left="561" w:firstLine="105"/>
        <w:spacing w:line="360" w:lineRule="auto"/>
        <w:tabs>
          <w:tab w:val="left" w:pos="180" w:leader="none"/>
          <w:tab w:val="left" w:pos="360" w:leader="none"/>
        </w:tabs>
        <w:rPr>
          <w:rFonts w:hint="eastAsia" w:ascii="宋体" w:hAnsi="宋体" w:cs="宋体"/>
          <w:b/>
          <w:color w:val="auto"/>
          <w:highlight w:val="none"/>
        </w:rPr>
      </w:pPr>
      <w:r>
        <w:rPr>
          <w:rFonts w:hint="eastAsia" w:ascii="宋体" w:hAnsi="宋体" w:cs="宋体"/>
          <w:b/>
          <w:color w:val="auto"/>
          <w:highlight w:val="none"/>
        </w:rPr>
        <w:t xml:space="preserve">五、甲方的责任与义务</w:t>
      </w:r>
      <w:r/>
    </w:p>
    <w:p>
      <w:pPr>
        <w:ind w:firstLine="630"/>
        <w:spacing w:line="360" w:lineRule="auto"/>
        <w:rPr>
          <w:rFonts w:hint="eastAsia" w:ascii="宋体" w:hAnsi="宋体" w:cs="宋体"/>
          <w:color w:val="auto"/>
          <w:highlight w:val="none"/>
        </w:rPr>
      </w:pPr>
      <w:r>
        <w:rPr>
          <w:rFonts w:hint="eastAsia" w:ascii="宋体" w:hAnsi="宋体" w:cs="宋体"/>
          <w:color w:val="auto"/>
          <w:highlight w:val="none"/>
        </w:rPr>
        <w:t xml:space="preserve">1.甲方负责对乙方服务保障工作的执行和服务质量进行考核认定。</w:t>
      </w:r>
      <w:r/>
    </w:p>
    <w:p>
      <w:pPr>
        <w:ind w:firstLine="630"/>
        <w:spacing w:line="360" w:lineRule="auto"/>
        <w:rPr>
          <w:rFonts w:hint="eastAsia" w:ascii="宋体" w:hAnsi="宋体" w:cs="宋体"/>
          <w:color w:val="auto"/>
          <w:highlight w:val="none"/>
        </w:rPr>
      </w:pPr>
      <w:r>
        <w:rPr>
          <w:rFonts w:hint="eastAsia" w:ascii="宋体" w:hAnsi="宋体" w:cs="宋体"/>
          <w:color w:val="auto"/>
          <w:highlight w:val="none"/>
        </w:rPr>
        <w:t xml:space="preserve">2.甲方在处理本合同约定的相关事项时，不得泄露乙方的商业机密。</w:t>
      </w:r>
      <w:r/>
    </w:p>
    <w:p>
      <w:pPr>
        <w:ind w:firstLine="63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3.若乙方违约或服务未能达到甲方要求，甲方有权不予以付款或终止委托合同。</w:t>
      </w:r>
      <w:r/>
    </w:p>
    <w:p>
      <w:pPr>
        <w:spacing w:line="360" w:lineRule="auto"/>
        <w:rPr>
          <w:rFonts w:hint="eastAsia" w:ascii="宋体" w:hAnsi="宋体" w:cs="宋体"/>
          <w:color w:val="auto"/>
          <w:highlight w:val="none"/>
          <w:u w:val="single"/>
        </w:rPr>
      </w:pPr>
      <w:r>
        <w:rPr>
          <w:rFonts w:hint="eastAsia" w:ascii="宋体" w:hAnsi="宋体" w:cs="宋体"/>
          <w:color w:val="auto"/>
          <w:highlight w:val="none"/>
          <w:u w:val="single"/>
        </w:rPr>
        <w:t xml:space="preserve">                                                                  </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六、乙方的责任与义务</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1.乙方委派人员须严格遵守甲方的有关管理规定和制度。</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2.乙方保证其具有承接项目的资质和能力，能够按照合同约定及甲方确认的项目实施方案高质量提供项目服务。</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3.合同履行中，乙方应做好服务工作的文件归档和资料留存工作，在项目服务完成后7日内向甲方提交结项报告，供甲方审核。</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4.乙方指定</w:t>
      </w:r>
      <w:r>
        <w:rPr>
          <w:rFonts w:hint="eastAsia" w:ascii="宋体" w:hAnsi="宋体" w:cs="宋体"/>
          <w:color w:val="auto"/>
          <w:highlight w:val="none"/>
          <w:u w:val="single"/>
        </w:rPr>
        <w:t xml:space="preserve">【姓名、联系电话、邮箱、微信】</w:t>
      </w:r>
      <w:r>
        <w:rPr>
          <w:rFonts w:hint="eastAsia" w:ascii="宋体" w:hAnsi="宋体" w:cs="宋体"/>
          <w:color w:val="auto"/>
          <w:highlight w:val="none"/>
        </w:rPr>
        <w:t xml:space="preserve">为项目负责人，全面负责项目的执行和与甲方的日常联络。乙方项目组成员，在为甲方提供服务期间应保证人员的稳定性，如有变更应事前征得甲方书面同意；在服务过程中，甲方发现乙方工作人员有明显不符合要求的，乙方应在甲方提出要求后3日内给予调换。</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5.乙方承诺并保证其履行本合同过程中所使用的信息、资料、方案、图片等均不侵犯任何第三方知识产权及其他合法权益。否则引起的任何争议均应由乙方自行处理，甲方不承担任何责任，如由此给甲方造成损失，乙方应负责赔偿。</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6.本合同履行过程中，乙方为甲方提供服务产生服务成果的所有权及知识产权应排他的归甲方享有。未经甲方书面同意，乙方不得擅自使用或授权第三方使用服务过程中形成的任何资料或服务成果。</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7.双方在处理本合同约定的事物时，不得泄露对方机密。</w:t>
      </w:r>
      <w:r/>
    </w:p>
    <w:p>
      <w:pPr>
        <w:spacing w:line="360" w:lineRule="auto"/>
        <w:rPr>
          <w:rFonts w:hint="eastAsia" w:ascii="宋体" w:hAnsi="宋体" w:cs="宋体"/>
          <w:color w:val="auto"/>
          <w:highlight w:val="none"/>
          <w:u w:val="single"/>
        </w:rPr>
      </w:pPr>
      <w:r>
        <w:rPr>
          <w:rFonts w:hint="eastAsia" w:ascii="宋体" w:hAnsi="宋体" w:cs="宋体"/>
          <w:color w:val="auto"/>
          <w:highlight w:val="none"/>
          <w:u w:val="single"/>
        </w:rPr>
        <w:t xml:space="preserve">                                                                  </w:t>
      </w:r>
      <w:r/>
    </w:p>
    <w:p>
      <w:pPr>
        <w:ind w:firstLine="422"/>
        <w:spacing w:line="360" w:lineRule="auto"/>
        <w:tabs>
          <w:tab w:val="left" w:pos="180" w:leader="none"/>
          <w:tab w:val="left" w:pos="360" w:leader="none"/>
        </w:tabs>
        <w:rPr>
          <w:rFonts w:hint="eastAsia" w:ascii="宋体" w:hAnsi="宋体" w:cs="宋体"/>
          <w:b/>
          <w:color w:val="auto"/>
          <w:highlight w:val="none"/>
        </w:rPr>
      </w:pPr>
      <w:r>
        <w:rPr>
          <w:rFonts w:hint="eastAsia" w:ascii="宋体" w:hAnsi="宋体" w:cs="宋体"/>
          <w:b/>
          <w:color w:val="auto"/>
          <w:highlight w:val="none"/>
        </w:rPr>
        <w:t xml:space="preserve">七、违约责任</w:t>
      </w:r>
      <w:r>
        <w:rPr>
          <w:rFonts w:hint="eastAsia" w:ascii="宋体" w:hAnsi="宋体" w:cs="宋体"/>
          <w:b/>
          <w:color w:val="auto"/>
          <w:highlight w:val="none"/>
        </w:rPr>
        <w:tab/>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1.甲乙双方均应认真、全面履行本合同项下的各项义务，若出现纠纷，由双方协商解决或通过法律途径处理。</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2.合同履行中出现以下情形，甲方有权单方解除本合同，且甲方不再向乙方支付任何费用，乙方已经收取的费用应全部返还甲方，并另行向甲方支付合同总金额的【30%】作为违约金：</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（1）合同履行过程中，甲方书面通知乙方改正其违约行为，乙方未能及时改正；</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（2）乙方在合同有效期内累计出现【3次】违约行为；</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（3）乙方为承接项目向甲方提供的相关资料存在虚假（包括但不限于项目组成员简历不实、不具有资质等）；</w:t>
      </w:r>
      <w:r/>
    </w:p>
    <w:p>
      <w:pPr>
        <w:ind w:left="239" w:firstLine="21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（4）乙方逾期完成实施方案约定的各阶段服务工作累计超过15日；</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（5）乙方违反本合同关于知识产权、保密条款的约定。</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3.乙方未按照甲方确认的项目实施方案完成各阶段服务工作的，或未按甲方整改要求及时整改，每逾期一日，应向甲方支付合同总价款的【1%】作为违约金，但不应超过合同总造价30％。</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4.对于乙方应支付的违约金及赔偿金，甲方有权从未付款项中予以扣除，不足部分有权向乙方追偿。</w:t>
      </w:r>
      <w:r/>
    </w:p>
    <w:p>
      <w:pPr>
        <w:ind w:left="210" w:hanging="210"/>
        <w:spacing w:line="360" w:lineRule="auto"/>
        <w:tabs>
          <w:tab w:val="left" w:pos="180" w:leader="none"/>
          <w:tab w:val="left" w:pos="360" w:leader="none"/>
        </w:tabs>
        <w:rPr>
          <w:rFonts w:hint="eastAsia" w:ascii="宋体" w:hAnsi="宋体" w:cs="宋体"/>
          <w:color w:val="auto"/>
          <w:highlight w:val="none"/>
          <w:u w:val="single"/>
        </w:rPr>
      </w:pPr>
      <w:r>
        <w:rPr>
          <w:rFonts w:hint="eastAsia" w:ascii="宋体" w:hAnsi="宋体" w:cs="宋体"/>
          <w:color w:val="auto"/>
          <w:highlight w:val="none"/>
          <w:u w:val="single"/>
        </w:rPr>
        <w:t xml:space="preserve">                                                                              </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八、不可抗力</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1.不可抗力指下列事件：战争、动乱、瘟疫、严重火灾、洪水、地震、风暴或其他自然灾害，以及本合同各方不可预见、不可防止并不能避免或克服的一切其他事件。</w:t>
      </w:r>
      <w:r/>
    </w:p>
    <w:p>
      <w:pPr>
        <w:ind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2.任何一方因不可抗力不能履行本合同规定的全部或部分义务，该方应尽快通知对方，并须在不可抗力发生后3日内以书面形式向对方提供详细情况报告及不可抗力对履行本合同的影响程度的说明。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hint="eastAsia" w:ascii="宋体" w:hAnsi="宋体" w:cs="宋体"/>
          <w:b/>
          <w:color w:val="auto"/>
          <w:highlight w:val="none"/>
        </w:rPr>
      </w:pPr>
      <w:r>
        <w:rPr>
          <w:rFonts w:hint="eastAsia" w:ascii="宋体" w:hAnsi="宋体" w:cs="宋体"/>
          <w:color w:val="auto"/>
          <w:highlight w:val="none"/>
        </w:rPr>
        <w:t xml:space="preserve">4.合同双方应根据不可抗力对本合同履行的影响程度，协商确定是否终止本合同，或是继续履行本合同。</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九、其他事宜</w:t>
      </w:r>
      <w:r/>
    </w:p>
    <w:p>
      <w:pPr>
        <w:ind w:left="240"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1.合同未尽事宜，经双方友好协商，另行签订补充协议。补充协议、本合同附件及其它经双方签字盖章确认的书面材料均为本合同的组成部分，与本合同具有同等法律效力。</w:t>
      </w:r>
      <w:r/>
    </w:p>
    <w:p>
      <w:pPr>
        <w:ind w:left="240"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2.任何一方需终止合同,必须提前二个月书面通知对方,在结清所有费用后办理终止事宜。</w:t>
      </w:r>
      <w:r/>
    </w:p>
    <w:p>
      <w:pPr>
        <w:ind w:left="240"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3.因本合同和履行合同所发生的一切纠纷，双方首先应协商解决，若协商不成，任何一方均可向甲方住所地法院提起诉讼。</w:t>
      </w:r>
      <w:r/>
    </w:p>
    <w:p>
      <w:pPr>
        <w:ind w:left="240"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4.本合同及其附件、补充协议自双方签字、盖章之日起生效。</w:t>
      </w:r>
      <w:r/>
    </w:p>
    <w:p>
      <w:pPr>
        <w:ind w:left="240"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5.</w:t>
      </w:r>
      <w:r>
        <w:rPr>
          <w:rFonts w:hint="eastAsia" w:ascii="宋体" w:hAnsi="宋体" w:cs="宋体"/>
          <w:color w:val="auto"/>
          <w:highlight w:val="none"/>
        </w:rPr>
        <w:t xml:space="preserve">合同订立地点：</w:t>
      </w:r>
      <w:r>
        <w:rPr>
          <w:rFonts w:hint="eastAsia" w:ascii="宋体" w:hAnsi="宋体" w:cs="宋体"/>
          <w:color w:val="auto"/>
          <w:highlight w:val="none"/>
          <w:u w:val="single"/>
        </w:rPr>
        <w:t xml:space="preserve"> 南京 </w:t>
      </w:r>
      <w:r>
        <w:rPr>
          <w:rFonts w:hint="eastAsia" w:ascii="宋体" w:hAnsi="宋体" w:cs="宋体"/>
          <w:color w:val="auto"/>
          <w:highlight w:val="none"/>
        </w:rPr>
        <w:t xml:space="preserve">。</w:t>
      </w:r>
      <w:r/>
    </w:p>
    <w:p>
      <w:pPr>
        <w:ind w:left="240" w:firstLine="420"/>
        <w:spacing w:line="360" w:lineRule="auto"/>
        <w:tabs>
          <w:tab w:val="left" w:pos="180" w:leader="none"/>
          <w:tab w:val="left" w:pos="360" w:leader="none"/>
        </w:tabs>
        <w:rPr>
          <w:rFonts w:hint="eastAsia" w:ascii="宋体" w:hAnsi="宋体" w:cs="宋体"/>
          <w:color w:val="auto"/>
          <w:highlight w:val="none"/>
        </w:rPr>
      </w:pPr>
      <w:r>
        <w:rPr>
          <w:rFonts w:hint="eastAsia" w:ascii="宋体" w:hAnsi="宋体" w:cs="宋体"/>
          <w:color w:val="auto"/>
          <w:highlight w:val="none"/>
        </w:rPr>
        <w:t xml:space="preserve">6.本合同一式</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份，甲方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份，乙方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份，具有同等法律效力。</w:t>
      </w:r>
      <w:r/>
    </w:p>
    <w:p>
      <w:pPr>
        <w:ind w:left="240" w:firstLine="420"/>
        <w:spacing w:line="360" w:lineRule="auto"/>
        <w:tabs>
          <w:tab w:val="left" w:pos="180" w:leader="none"/>
          <w:tab w:val="left" w:pos="360" w:leader="none"/>
        </w:tabs>
        <w:rPr>
          <w:rFonts w:hint="eastAsia" w:ascii="宋体" w:hAnsi="宋体" w:cs="宋体"/>
          <w:color w:val="auto"/>
          <w:highlight w:val="none"/>
          <w:u w:val="single"/>
        </w:rPr>
      </w:pPr>
      <w:r>
        <w:rPr>
          <w:rFonts w:hint="eastAsia" w:ascii="宋体" w:hAnsi="宋体" w:cs="宋体"/>
          <w:color w:val="auto"/>
          <w:highlight w:val="none"/>
          <w:u w:val="single"/>
        </w:rPr>
        <w:t xml:space="preserve">                                                                               </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十、附件</w:t>
      </w:r>
      <w:r/>
    </w:p>
    <w:tbl>
      <w:tblPr>
        <w:tblStyle w:val="773"/>
        <w:tblW w:w="9625" w:type="dxa"/>
        <w:jc w:val="center"/>
        <w:tblLayout w:type="fixed"/>
        <w:tblCellMar>
          <w:left w:w="108" w:type="dxa"/>
          <w:top w:w="0" w:type="dxa"/>
          <w:right w:w="108" w:type="dxa"/>
          <w:bottom w:w="0" w:type="dxa"/>
        </w:tblCellMar>
        <w:tblLook w:val="04A0" w:firstRow="1" w:lastRow="0" w:firstColumn="1" w:lastColumn="0" w:noHBand="0" w:noVBand="1"/>
      </w:tblPr>
      <w:tblGrid>
        <w:gridCol w:w="4981"/>
        <w:gridCol w:w="4644"/>
      </w:tblGrid>
      <w:tr>
        <w:trPr>
          <w:jc w:val="center"/>
          <w:trHeight w:val="387"/>
        </w:trPr>
        <w:tc>
          <w:tcPr>
            <w:tcW w:w="4981"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甲方（盖章）：</w:t>
            </w:r>
            <w:r>
              <w:rPr>
                <w:rFonts w:hint="eastAsia" w:ascii="宋体" w:hAnsi="宋体" w:cs="宋体"/>
                <w:color w:val="auto"/>
                <w:highlight w:val="none"/>
                <w:u w:val="single"/>
              </w:rPr>
              <w:t xml:space="preserve"> 江苏省人民医院      </w:t>
            </w:r>
            <w:r/>
          </w:p>
        </w:tc>
        <w:tc>
          <w:tcPr>
            <w:tcW w:w="4644" w:type="dxa"/>
            <w:textDirection w:val="lrTb"/>
            <w:noWrap w:val="false"/>
          </w:tcPr>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乙方（盖章）：</w:t>
            </w:r>
            <w:r>
              <w:rPr>
                <w:rFonts w:hint="eastAsia" w:ascii="宋体" w:hAnsi="宋体" w:cs="宋体"/>
                <w:color w:val="auto"/>
                <w:highlight w:val="none"/>
                <w:u w:val="single"/>
              </w:rPr>
              <w:t xml:space="preserve">                         </w:t>
            </w:r>
            <w:r/>
          </w:p>
        </w:tc>
      </w:tr>
      <w:tr>
        <w:trPr>
          <w:jc w:val="center"/>
          <w:trHeight w:val="387"/>
        </w:trPr>
        <w:tc>
          <w:tcPr>
            <w:tcW w:w="4981"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rPr>
                <w:rFonts w:hint="eastAsia" w:ascii="宋体" w:hAnsi="宋体" w:cs="宋体"/>
                <w:color w:val="auto"/>
                <w:highlight w:val="none"/>
                <w:u w:val="single"/>
              </w:rPr>
              <w:t xml:space="preserve">江苏省南京市广州路300号   </w:t>
            </w:r>
            <w:r/>
          </w:p>
        </w:tc>
        <w:tc>
          <w:tcPr>
            <w:tcW w:w="4644"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rPr>
                <w:rFonts w:hint="eastAsia" w:ascii="宋体" w:hAnsi="宋体" w:cs="宋体"/>
                <w:color w:val="auto"/>
                <w:highlight w:val="none"/>
                <w:u w:val="single"/>
              </w:rPr>
              <w:t xml:space="preserve">                            </w:t>
            </w:r>
            <w:r/>
          </w:p>
        </w:tc>
      </w:tr>
      <w:tr>
        <w:trPr>
          <w:jc w:val="center"/>
          <w:trHeight w:val="387"/>
        </w:trPr>
        <w:tc>
          <w:tcPr>
            <w:tcW w:w="4981"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法定代表人（或授权人）：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tc>
        <w:tc>
          <w:tcPr>
            <w:tcW w:w="4644" w:type="dxa"/>
            <w:textDirection w:val="lrTb"/>
            <w:noWrap w:val="false"/>
          </w:tcPr>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法定代表人（或授权人）：</w:t>
            </w:r>
            <w:r>
              <w:rPr>
                <w:rFonts w:hint="eastAsia" w:ascii="宋体" w:hAnsi="宋体" w:cs="宋体"/>
                <w:color w:val="auto"/>
                <w:highlight w:val="none"/>
                <w:u w:val="single"/>
              </w:rPr>
              <w:t xml:space="preserve">                     </w:t>
            </w:r>
            <w:r/>
          </w:p>
        </w:tc>
      </w:tr>
      <w:tr>
        <w:trPr>
          <w:jc w:val="center"/>
          <w:trHeight w:val="387"/>
        </w:trPr>
        <w:tc>
          <w:tcPr>
            <w:tcW w:w="4981"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部门负责人：</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科室负责人 ：</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经办人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tc>
        <w:tc>
          <w:tcPr>
            <w:tcW w:w="4644"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项目负责人 ：</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开户银行 ：</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账号 ：</w:t>
            </w:r>
            <w:r>
              <w:rPr>
                <w:rFonts w:hint="eastAsia" w:ascii="宋体" w:hAnsi="宋体" w:cs="宋体"/>
                <w:color w:val="auto"/>
                <w:highlight w:val="none"/>
                <w:u w:val="single"/>
              </w:rPr>
              <w:t xml:space="preserve">                               </w:t>
            </w:r>
            <w:r/>
          </w:p>
        </w:tc>
      </w:tr>
      <w:tr>
        <w:trPr>
          <w:jc w:val="center"/>
          <w:trHeight w:val="387"/>
        </w:trPr>
        <w:tc>
          <w:tcPr>
            <w:tcW w:w="4981"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签订日期：</w:t>
            </w:r>
            <w:r>
              <w:rPr>
                <w:rFonts w:hint="eastAsia" w:ascii="宋体" w:hAnsi="宋体" w:cs="宋体"/>
                <w:color w:val="auto"/>
                <w:highlight w:val="none"/>
                <w:u w:val="single"/>
              </w:rPr>
              <w:t xml:space="preserve">                             </w:t>
            </w:r>
            <w:r/>
          </w:p>
        </w:tc>
        <w:tc>
          <w:tcPr>
            <w:tcW w:w="4644"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签订日期：</w:t>
            </w:r>
            <w:r>
              <w:rPr>
                <w:rFonts w:hint="eastAsia" w:ascii="宋体" w:hAnsi="宋体" w:cs="宋体"/>
                <w:color w:val="auto"/>
                <w:highlight w:val="none"/>
                <w:u w:val="single"/>
              </w:rPr>
              <w:t xml:space="preserve">                            </w:t>
            </w:r>
            <w:r/>
          </w:p>
        </w:tc>
      </w:tr>
    </w:tbl>
    <w:p>
      <w:pPr>
        <w:ind w:firstLine="842"/>
        <w:spacing w:line="276" w:lineRule="auto"/>
        <w:shd w:val="clear" w:color="auto" w:fill="ffffff"/>
        <w:rPr>
          <w:rFonts w:hint="eastAsia" w:ascii="宋体" w:hAnsi="宋体" w:cs="宋体"/>
          <w:color w:val="auto"/>
          <w:sz w:val="24"/>
          <w:szCs w:val="24"/>
          <w:highlight w:val="none"/>
        </w:rPr>
      </w:pPr>
      <w:r/>
      <w:bookmarkStart w:id="150" w:name="_Toc26546"/>
      <w:r/>
      <w:bookmarkStart w:id="151" w:name="_Toc514054483"/>
      <w:r/>
      <w:bookmarkStart w:id="152" w:name="_Toc29724"/>
      <w:r/>
      <w:r/>
    </w:p>
    <w:p>
      <w:pPr>
        <w:pStyle w:val="763"/>
        <w:pageBreakBefore/>
        <w:rPr>
          <w:color w:val="auto"/>
          <w:highlight w:val="none"/>
        </w:rPr>
      </w:pPr>
      <w:r>
        <w:rPr>
          <w:rFonts w:hint="eastAsia"/>
          <w:color w:val="auto"/>
          <w:highlight w:val="none"/>
        </w:rPr>
        <w:t xml:space="preserve">第六部分投标文件格式</w:t>
      </w:r>
      <w:bookmarkEnd w:id="150"/>
      <w:r/>
      <w:bookmarkEnd w:id="151"/>
      <w:r/>
      <w:bookmarkEnd w:id="152"/>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3" w:name="_Toc514054484"/>
      <w:r/>
      <w:bookmarkStart w:id="154" w:name="_Toc26779"/>
      <w:r/>
      <w:bookmarkStart w:id="155" w:name="_Toc16009"/>
      <w:r/>
      <w:bookmarkStart w:id="156" w:name="_Toc21788"/>
      <w:r>
        <w:rPr>
          <w:rFonts w:hint="eastAsia" w:ascii="仿宋" w:hAnsi="仿宋" w:eastAsia="仿宋" w:cs="宋体"/>
          <w:b/>
          <w:bCs/>
          <w:color w:val="auto"/>
          <w:sz w:val="24"/>
          <w:szCs w:val="28"/>
          <w:highlight w:val="none"/>
        </w:rPr>
        <w:t xml:space="preserve">投标文件格式使用注意事项：</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83"/>
        <w:ind w:firstLine="321"/>
        <w:jc w:val="center"/>
        <w:rPr>
          <w:rFonts w:hint="eastAsia" w:ascii="宋体" w:hAnsi="宋体" w:eastAsia="宋体" w:cs="宋体"/>
          <w:color w:val="auto"/>
          <w:highlight w:val="none"/>
        </w:rPr>
        <w:outlineLvl w:val="1"/>
      </w:pPr>
      <w:r/>
      <w:bookmarkStart w:id="157" w:name="_Toc15407"/>
      <w:r>
        <w:rPr>
          <w:rFonts w:hint="eastAsia" w:ascii="宋体" w:hAnsi="宋体" w:eastAsia="宋体" w:cs="宋体"/>
          <w:color w:val="auto"/>
          <w:highlight w:val="none"/>
        </w:rPr>
        <w:t xml:space="preserve">封面</w:t>
      </w:r>
      <w:bookmarkEnd w:id="153"/>
      <w:r/>
      <w:bookmarkEnd w:id="154"/>
      <w:r/>
      <w:bookmarkEnd w:id="155"/>
      <w:r/>
      <w:bookmarkEnd w:id="156"/>
      <w:r/>
      <w:bookmarkEnd w:id="157"/>
      <w:r/>
      <w:r/>
    </w:p>
    <w:p>
      <w:pPr>
        <w:pStyle w:val="114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4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4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49"/>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49"/>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4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55"/>
        <w:ind w:firstLine="723"/>
        <w:jc w:val="both"/>
        <w:rPr>
          <w:rFonts w:hint="eastAsia" w:hAnsi="宋体" w:cs="宋体"/>
          <w:color w:val="auto"/>
          <w:highlight w:val="none"/>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55"/>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55"/>
        <w:ind w:firstLine="723"/>
        <w:jc w:val="both"/>
        <w:rPr>
          <w:rFonts w:hint="eastAsia" w:hAnsi="宋体" w:cs="宋体"/>
          <w:color w:val="auto"/>
          <w:highlight w:val="none"/>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       </w:t>
      </w:r>
      <w:r/>
    </w:p>
    <w:p>
      <w:pPr>
        <w:pStyle w:val="1055"/>
        <w:ind w:firstLine="723"/>
        <w:jc w:val="both"/>
        <w:rPr>
          <w:rFonts w:hint="eastAsia" w:hAnsi="宋体" w:cs="宋体"/>
          <w:color w:val="auto"/>
          <w:highlight w:val="none"/>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p>
    <w:p>
      <w:pPr>
        <w:pStyle w:val="1055"/>
        <w:spacing w:line="0" w:lineRule="atLeast"/>
        <w:rPr>
          <w:rFonts w:hint="eastAsia" w:hAnsi="宋体" w:cs="宋体"/>
          <w:color w:val="auto"/>
          <w:highlight w:val="none"/>
        </w:rPr>
      </w:pPr>
      <w:r>
        <w:rPr>
          <w:rFonts w:hint="eastAsia" w:hAnsi="宋体" w:cs="宋体"/>
          <w:color w:val="auto"/>
          <w:highlight w:val="none"/>
        </w:rPr>
        <w:t xml:space="preserve"> </w:t>
      </w:r>
      <w:r/>
    </w:p>
    <w:p>
      <w:pPr>
        <w:pStyle w:val="1055"/>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8" w:name="_Toc28278"/>
      <w:r/>
      <w:bookmarkStart w:id="159" w:name="_Toc29318"/>
      <w:r/>
      <w:bookmarkStart w:id="160" w:name="_Toc164203464"/>
      <w:r/>
      <w:bookmarkStart w:id="161" w:name="_Toc21292"/>
      <w:r/>
      <w:bookmarkStart w:id="162" w:name="_Toc11040"/>
      <w:r/>
      <w:r/>
    </w:p>
    <w:p>
      <w:pPr>
        <w:pStyle w:val="1271"/>
        <w:rPr>
          <w:rFonts w:hint="eastAsia"/>
          <w:color w:val="auto"/>
          <w:highlight w:val="none"/>
        </w:rPr>
        <w:outlineLvl w:val="1"/>
      </w:pPr>
      <w:r/>
      <w:bookmarkStart w:id="163" w:name="_Toc5742"/>
      <w:r>
        <w:rPr>
          <w:color w:val="auto"/>
          <w:highlight w:val="none"/>
        </w:rPr>
        <w:t xml:space="preserve">一、投标人基本情况</w:t>
      </w:r>
      <w:bookmarkEnd w:id="158"/>
      <w:r/>
      <w:bookmarkEnd w:id="159"/>
      <w:r/>
      <w:bookmarkEnd w:id="160"/>
      <w:r/>
      <w:bookmarkEnd w:id="161"/>
      <w:r/>
      <w:bookmarkEnd w:id="162"/>
      <w:r/>
      <w:bookmarkEnd w:id="163"/>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2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2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21"/>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2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21"/>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21"/>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59"/>
        <w:rPr>
          <w:rFonts w:hint="eastAsia"/>
          <w:color w:val="auto"/>
          <w:highlight w:val="none"/>
        </w:rPr>
        <w:outlineLvl w:val="1"/>
      </w:pPr>
      <w:r>
        <w:rPr>
          <w:color w:val="auto"/>
          <w:highlight w:val="none"/>
        </w:rPr>
        <w:br w:type="page" w:clear="all"/>
      </w:r>
      <w:bookmarkStart w:id="164" w:name="_Toc24265"/>
      <w:r/>
      <w:bookmarkStart w:id="165" w:name="_Toc15353"/>
      <w:r/>
      <w:bookmarkStart w:id="166" w:name="_Toc1147"/>
      <w:r/>
      <w:bookmarkStart w:id="167" w:name="_Toc13486"/>
      <w:r/>
      <w:bookmarkStart w:id="168" w:name="_Toc30008"/>
      <w:r/>
      <w:bookmarkStart w:id="169" w:name="_Toc164203465"/>
      <w:r>
        <w:rPr>
          <w:color w:val="auto"/>
          <w:highlight w:val="none"/>
        </w:rPr>
        <w:t xml:space="preserve">二、投标人资质</w:t>
      </w:r>
      <w:r>
        <w:rPr>
          <w:rFonts w:hint="eastAsia"/>
          <w:color w:val="auto"/>
          <w:highlight w:val="none"/>
        </w:rPr>
        <w:t xml:space="preserve">（按资格要求提供）</w:t>
      </w:r>
      <w:bookmarkEnd w:id="164"/>
      <w:r/>
      <w:bookmarkEnd w:id="165"/>
      <w:r/>
      <w:bookmarkEnd w:id="166"/>
      <w:r/>
      <w:bookmarkEnd w:id="167"/>
      <w:r/>
      <w:bookmarkEnd w:id="168"/>
      <w:r/>
      <w:bookmarkEnd w:id="169"/>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pStyle w:val="1325"/>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25"/>
        <w:rPr>
          <w:rFonts w:hint="eastAsia"/>
          <w:color w:val="auto"/>
          <w:highlight w:val="none"/>
        </w:rPr>
        <w:outlineLvl w:val="1"/>
      </w:pPr>
      <w:r/>
      <w:bookmarkStart w:id="170" w:name="_Toc18935"/>
      <w:r/>
      <w:bookmarkStart w:id="171" w:name="_Toc164203466"/>
      <w:r/>
      <w:bookmarkStart w:id="172" w:name="_Toc18278"/>
      <w:r/>
      <w:bookmarkStart w:id="173" w:name="_Toc15822"/>
      <w:r/>
      <w:bookmarkStart w:id="174" w:name="_Toc4877"/>
      <w:r>
        <w:rPr>
          <w:color w:val="auto"/>
          <w:highlight w:val="none"/>
        </w:rPr>
        <w:t xml:space="preserve">三、投标人</w:t>
      </w:r>
      <w:bookmarkEnd w:id="170"/>
      <w:r>
        <w:rPr>
          <w:rFonts w:hint="eastAsia" w:ascii="宋体" w:hAnsi="宋体" w:cs="Arial"/>
          <w:bCs/>
          <w:color w:val="auto"/>
          <w:highlight w:val="none"/>
        </w:rPr>
        <w:t xml:space="preserve">具有良好的商业信誉和健全的财务会计制度</w:t>
      </w:r>
      <w:bookmarkEnd w:id="171"/>
      <w:r/>
      <w:bookmarkEnd w:id="172"/>
      <w:r/>
      <w:bookmarkEnd w:id="173"/>
      <w:r/>
      <w:bookmarkEnd w:id="174"/>
      <w:r/>
      <w:r/>
    </w:p>
    <w:p>
      <w:pPr>
        <w:pStyle w:val="1382"/>
        <w:rPr>
          <w:color w:val="auto"/>
          <w:highlight w:val="none"/>
        </w:rPr>
      </w:pPr>
      <w:r>
        <w:rPr>
          <w:rFonts w:hint="eastAsia" w:ascii="宋体"/>
          <w:bCs/>
          <w:color w:val="auto"/>
          <w:szCs w:val="32"/>
          <w:highlight w:val="none"/>
        </w:rPr>
        <w:t xml:space="preserve">提供符合招标文件要求的资料</w:t>
      </w:r>
      <w:r/>
    </w:p>
    <w:p>
      <w:pPr>
        <w:pStyle w:val="1419"/>
        <w:rPr>
          <w:rFonts w:hint="eastAsia"/>
          <w:color w:val="auto"/>
          <w:highlight w:val="none"/>
        </w:rPr>
        <w:outlineLvl w:val="1"/>
      </w:pPr>
      <w:r>
        <w:rPr>
          <w:color w:val="auto"/>
          <w:highlight w:val="none"/>
        </w:rPr>
        <w:br w:type="page" w:clear="all"/>
      </w:r>
      <w:bookmarkStart w:id="175" w:name="_Toc514054489"/>
      <w:r/>
      <w:bookmarkStart w:id="176" w:name="_Toc29626"/>
      <w:r/>
      <w:bookmarkStart w:id="177" w:name="_Toc11562_WPSOffice_Level2"/>
      <w:r/>
      <w:bookmarkStart w:id="178" w:name="_Toc1350"/>
      <w:r/>
      <w:bookmarkStart w:id="179" w:name="_Toc164203467"/>
      <w:r/>
      <w:bookmarkStart w:id="180" w:name="_Toc3360"/>
      <w:r/>
      <w:bookmarkStart w:id="181" w:name="_Toc26507"/>
      <w:r>
        <w:rPr>
          <w:color w:val="auto"/>
          <w:highlight w:val="none"/>
        </w:rPr>
        <w:t xml:space="preserve">四、</w:t>
      </w:r>
      <w:bookmarkEnd w:id="175"/>
      <w:r/>
      <w:bookmarkEnd w:id="176"/>
      <w:r/>
      <w:bookmarkEnd w:id="177"/>
      <w:r>
        <w:rPr>
          <w:rFonts w:hint="eastAsia" w:ascii="宋体" w:hAnsi="宋体" w:cs="Arial"/>
          <w:bCs/>
          <w:color w:val="auto"/>
          <w:highlight w:val="none"/>
        </w:rPr>
        <w:t xml:space="preserve">具有履行合同所必需的设备和专业技术能力</w:t>
      </w:r>
      <w:bookmarkEnd w:id="178"/>
      <w:r/>
      <w:bookmarkEnd w:id="179"/>
      <w:r/>
      <w:bookmarkEnd w:id="180"/>
      <w:r/>
      <w:bookmarkEnd w:id="181"/>
      <w:r/>
      <w:r/>
    </w:p>
    <w:p>
      <w:pPr>
        <w:pStyle w:val="115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5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57"/>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57"/>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57"/>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57"/>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57"/>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57"/>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5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5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352"/>
        <w:ind w:firstLine="720"/>
        <w:rPr>
          <w:color w:val="auto"/>
          <w:highlight w:val="none"/>
        </w:rPr>
      </w:pPr>
      <w:r>
        <w:rPr>
          <w:rFonts w:hint="eastAsia" w:ascii="仿宋_GB2312" w:eastAsia="仿宋_GB2312"/>
          <w:color w:val="auto"/>
          <w:sz w:val="24"/>
          <w:highlight w:val="none"/>
        </w:rPr>
        <w:t xml:space="preserve">年月日</w:t>
      </w:r>
      <w:r/>
    </w:p>
    <w:p>
      <w:pPr>
        <w:pStyle w:val="1165"/>
        <w:spacing w:after="100" w:afterAutospacing="1"/>
        <w:rPr>
          <w:rFonts w:ascii="宋体" w:hAnsi="宋体" w:cs="Arial"/>
          <w:bCs/>
          <w:color w:val="auto"/>
          <w:highlight w:val="none"/>
        </w:rPr>
      </w:pPr>
      <w:r>
        <w:rPr>
          <w:color w:val="auto"/>
          <w:highlight w:val="none"/>
        </w:rPr>
        <w:br w:type="page" w:clear="all"/>
      </w:r>
      <w:bookmarkStart w:id="182" w:name="_Toc13419"/>
      <w:r/>
      <w:bookmarkStart w:id="183" w:name="_Toc467_WPSOffice_Level2"/>
      <w:r/>
      <w:bookmarkStart w:id="184" w:name="_Toc514054490"/>
      <w:r/>
      <w:bookmarkStart w:id="185" w:name="_Toc19673"/>
      <w:r/>
      <w:bookmarkStart w:id="186" w:name="_Toc5571_WPSOffice_Level2"/>
      <w:r/>
      <w:bookmarkStart w:id="187" w:name="_Toc514054491"/>
      <w:r/>
      <w:bookmarkStart w:id="188" w:name="_Toc10808"/>
      <w:r>
        <w:rPr>
          <w:rFonts w:hint="eastAsia" w:ascii="宋体" w:hAnsi="宋体" w:eastAsia="黑体" w:cs="Arial"/>
          <w:b/>
          <w:bCs/>
          <w:color w:val="auto"/>
          <w:sz w:val="32"/>
          <w:highlight w:val="none"/>
        </w:rPr>
        <w:t xml:space="preserve">五、</w:t>
      </w:r>
      <w:bookmarkEnd w:id="182"/>
      <w:r/>
      <w:bookmarkEnd w:id="183"/>
      <w:r/>
      <w:bookmarkEnd w:id="184"/>
      <w:r>
        <w:rPr>
          <w:rFonts w:hint="eastAsia" w:ascii="宋体" w:hAnsi="宋体" w:eastAsia="黑体" w:cs="Arial"/>
          <w:b/>
          <w:bCs/>
          <w:color w:val="auto"/>
          <w:sz w:val="32"/>
          <w:highlight w:val="none"/>
        </w:rPr>
        <w:t xml:space="preserve">有依法缴纳税收和社会保障资金的良好记录</w:t>
      </w:r>
      <w:r/>
    </w:p>
    <w:p>
      <w:pPr>
        <w:pStyle w:val="1382"/>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84"/>
        <w:rPr>
          <w:rFonts w:hint="eastAsia"/>
          <w:color w:val="auto"/>
          <w:highlight w:val="none"/>
        </w:rPr>
        <w:outlineLvl w:val="1"/>
      </w:pPr>
      <w:r/>
      <w:bookmarkStart w:id="189" w:name="_Toc164203468"/>
      <w:r/>
      <w:bookmarkStart w:id="190" w:name="_Toc12145"/>
      <w:r/>
      <w:bookmarkStart w:id="191" w:name="_Toc16607"/>
      <w:r/>
      <w:bookmarkStart w:id="192" w:name="_Toc25541"/>
      <w:r>
        <w:rPr>
          <w:color w:val="auto"/>
          <w:highlight w:val="none"/>
        </w:rPr>
        <w:t xml:space="preserve">六、无重大违法行为声明</w:t>
      </w:r>
      <w:bookmarkEnd w:id="185"/>
      <w:r/>
      <w:bookmarkEnd w:id="186"/>
      <w:r/>
      <w:bookmarkEnd w:id="187"/>
      <w:r/>
      <w:bookmarkEnd w:id="188"/>
      <w:r/>
      <w:bookmarkEnd w:id="189"/>
      <w:r/>
      <w:bookmarkEnd w:id="190"/>
      <w:r/>
      <w:bookmarkEnd w:id="191"/>
      <w:r/>
      <w:bookmarkEnd w:id="192"/>
      <w:r/>
      <w:r/>
    </w:p>
    <w:p>
      <w:pPr>
        <w:pStyle w:val="1380"/>
        <w:jc w:val="center"/>
        <w:spacing w:line="580" w:lineRule="exact"/>
        <w:tabs>
          <w:tab w:val="left" w:pos="1498" w:leader="none"/>
        </w:tabs>
        <w:rPr>
          <w:b/>
          <w:color w:val="auto"/>
          <w:sz w:val="32"/>
          <w:szCs w:val="32"/>
          <w:highlight w:val="none"/>
        </w:rPr>
      </w:pPr>
      <w:r/>
      <w:bookmarkStart w:id="193" w:name="_Toc7575_WPSOffice_Level2"/>
      <w:r>
        <w:rPr>
          <w:rFonts w:hint="eastAsia"/>
          <w:b/>
          <w:color w:val="auto"/>
          <w:sz w:val="32"/>
          <w:szCs w:val="32"/>
          <w:highlight w:val="none"/>
        </w:rPr>
        <w:t xml:space="preserve">无重大违法行为声明</w:t>
      </w:r>
      <w:bookmarkEnd w:id="193"/>
      <w:r/>
      <w:r/>
    </w:p>
    <w:p>
      <w:pPr>
        <w:pStyle w:val="1380"/>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80"/>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80"/>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80"/>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80"/>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80"/>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5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5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332"/>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94" w:name="_Toc30396"/>
      <w:r/>
      <w:bookmarkStart w:id="195" w:name="_Toc19202"/>
      <w:r/>
      <w:r/>
    </w:p>
    <w:p>
      <w:pPr>
        <w:pStyle w:val="1141"/>
        <w:rPr>
          <w:rFonts w:hint="eastAsia"/>
          <w:color w:val="auto"/>
          <w:highlight w:val="none"/>
        </w:rPr>
        <w:outlineLvl w:val="1"/>
      </w:pPr>
      <w:r>
        <w:rPr>
          <w:rFonts w:hint="eastAsia"/>
          <w:color w:val="auto"/>
          <w:highlight w:val="none"/>
        </w:rPr>
        <w:t xml:space="preserve">七、承诺函</w:t>
      </w:r>
      <w:r/>
    </w:p>
    <w:p>
      <w:pPr>
        <w:rPr>
          <w:color w:val="auto"/>
          <w:highlight w:val="none"/>
        </w:rPr>
      </w:pPr>
      <w:r>
        <w:rPr>
          <w:color w:val="auto"/>
          <w:highlight w:val="none"/>
        </w:rPr>
      </w:r>
      <w:r/>
    </w:p>
    <w:p>
      <w:pPr>
        <w:rPr>
          <w:color w:val="auto"/>
          <w:highlight w:val="none"/>
        </w:rPr>
      </w:pPr>
      <w:r>
        <w:rPr>
          <w:color w:val="auto"/>
          <w:highlight w:val="none"/>
        </w:rPr>
      </w:r>
      <w:r/>
    </w:p>
    <w:p>
      <w:pPr>
        <w:pStyle w:val="1179"/>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179"/>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179"/>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1.本单位与其他参与本项目采购活动的供应商之间，不存在单位负责人为同一人的情况，也不存在直接控股、管理关系。</w:t>
      </w:r>
      <w:r/>
    </w:p>
    <w:p>
      <w:pPr>
        <w:pStyle w:val="1179"/>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179"/>
        <w:spacing w:line="360" w:lineRule="auto"/>
        <w:rPr>
          <w:rFonts w:ascii="仿宋_GB2312" w:hAnsi="Times New Roman" w:eastAsia="仿宋_GB2312"/>
          <w:b w:val="0"/>
          <w:color w:val="auto"/>
          <w:sz w:val="24"/>
          <w:highlight w:val="none"/>
        </w:rPr>
        <w:outlineLvl w:val="1"/>
      </w:pPr>
      <w:r>
        <w:rPr>
          <w:rFonts w:ascii="仿宋_GB2312" w:hAnsi="Times New Roman" w:eastAsia="仿宋_GB2312"/>
          <w:b w:val="0"/>
          <w:color w:val="auto"/>
          <w:sz w:val="24"/>
          <w:highlight w:val="none"/>
        </w:rPr>
      </w:r>
      <w:r/>
    </w:p>
    <w:p>
      <w:pPr>
        <w:pStyle w:val="1179"/>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179"/>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r>
      <w:r/>
    </w:p>
    <w:p>
      <w:pPr>
        <w:pStyle w:val="11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90"/>
        <w:spacing w:line="520" w:lineRule="exact"/>
        <w:rPr>
          <w:rFonts w:hint="eastAsia" w:hAnsi="宋体" w:cs="宋体"/>
          <w:b/>
          <w:color w:val="auto"/>
          <w:sz w:val="32"/>
          <w:szCs w:val="24"/>
          <w:highlight w:val="none"/>
        </w:rPr>
      </w:pPr>
      <w:r>
        <w:rPr>
          <w:rFonts w:hint="eastAsia" w:hAnsi="宋体" w:cs="宋体"/>
          <w:b/>
          <w:color w:val="auto"/>
          <w:sz w:val="32"/>
          <w:szCs w:val="24"/>
          <w:highlight w:val="none"/>
        </w:rPr>
        <w:t xml:space="preserve">八、投标文件签署、盖章齐全完整</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57"/>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157"/>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57"/>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157"/>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157"/>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57"/>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157"/>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090"/>
        <w:jc w:val="right"/>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380"/>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九、对实质性条款的响应性</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57"/>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157"/>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57"/>
        <w:spacing w:line="600" w:lineRule="exact"/>
        <w:rPr>
          <w:rFonts w:hint="eastAsia"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5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15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5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15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41"/>
        <w:rPr>
          <w:rFonts w:hint="eastAsia"/>
          <w:color w:val="auto"/>
          <w:highlight w:val="none"/>
        </w:rPr>
        <w:outlineLvl w:val="1"/>
      </w:pPr>
      <w:r/>
      <w:bookmarkStart w:id="196" w:name="_Toc28775"/>
      <w:r/>
      <w:bookmarkStart w:id="197" w:name="_Toc26700"/>
      <w:r/>
      <w:bookmarkStart w:id="198" w:name="_Toc164203469"/>
      <w:r/>
      <w:bookmarkStart w:id="199" w:name="_Toc20806"/>
      <w:r>
        <w:rPr>
          <w:rFonts w:hint="eastAsia"/>
          <w:color w:val="auto"/>
          <w:highlight w:val="none"/>
        </w:rPr>
        <w:t xml:space="preserve">十</w:t>
      </w:r>
      <w:r>
        <w:rPr>
          <w:color w:val="auto"/>
          <w:highlight w:val="none"/>
        </w:rPr>
        <w:t xml:space="preserve">、投标函</w:t>
      </w:r>
      <w:bookmarkEnd w:id="194"/>
      <w:r/>
      <w:bookmarkEnd w:id="195"/>
      <w:r/>
      <w:bookmarkEnd w:id="196"/>
      <w:r/>
      <w:bookmarkEnd w:id="197"/>
      <w:r/>
      <w:bookmarkEnd w:id="198"/>
      <w:r/>
      <w:bookmarkEnd w:id="199"/>
      <w:r/>
      <w:r/>
    </w:p>
    <w:p>
      <w:pPr>
        <w:pStyle w:val="1219"/>
        <w:spacing w:line="580" w:lineRule="exact"/>
        <w:tabs>
          <w:tab w:val="left" w:pos="1498" w:leader="none"/>
        </w:tabs>
        <w:rPr>
          <w:rFonts w:ascii="仿宋_GB2312" w:eastAsia="仿宋_GB2312"/>
          <w:color w:val="auto"/>
          <w:sz w:val="24"/>
          <w:szCs w:val="22"/>
          <w:highlight w:val="none"/>
        </w:rPr>
      </w:pPr>
      <w:r/>
      <w:bookmarkStart w:id="200" w:name="_Toc19604"/>
      <w:r/>
      <w:bookmarkStart w:id="201" w:name="_Toc22395"/>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pStyle w:val="1219"/>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19"/>
        <w:numPr>
          <w:ilvl w:val="0"/>
          <w:numId w:val="10"/>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50"/>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p>
    <w:p>
      <w:pPr>
        <w:pStyle w:val="1250"/>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投标人名称：（加盖CA电子公章）</w:t>
      </w:r>
      <w:r/>
    </w:p>
    <w:p>
      <w:pPr>
        <w:pStyle w:val="125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4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2" w:name="_Toc164203470"/>
      <w:r/>
      <w:bookmarkStart w:id="203" w:name="_Toc12153"/>
      <w:r/>
      <w:bookmarkStart w:id="204" w:name="_Toc14010"/>
      <w:r/>
      <w:bookmarkStart w:id="205" w:name="_Toc10914"/>
      <w:r>
        <w:rPr>
          <w:rFonts w:hint="eastAsia"/>
          <w:color w:val="auto"/>
          <w:highlight w:val="none"/>
        </w:rPr>
        <w:t xml:space="preserve">十一、法定代表人身份证明或授权委托书</w:t>
      </w:r>
      <w:bookmarkEnd w:id="200"/>
      <w:r/>
      <w:bookmarkEnd w:id="201"/>
      <w:r/>
      <w:bookmarkEnd w:id="202"/>
      <w:r/>
      <w:bookmarkEnd w:id="203"/>
      <w:r/>
      <w:bookmarkEnd w:id="204"/>
      <w:r/>
      <w:bookmarkEnd w:id="205"/>
      <w:r/>
      <w:r/>
    </w:p>
    <w:p>
      <w:pPr>
        <w:pStyle w:val="1381"/>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84"/>
        <w:spacing w:line="480" w:lineRule="exact"/>
        <w:rPr>
          <w:rFonts w:eastAsia="仿宋_GB2312"/>
          <w:color w:val="auto"/>
          <w:sz w:val="24"/>
          <w:highlight w:val="none"/>
        </w:rPr>
      </w:pPr>
      <w:r>
        <w:rPr>
          <w:rFonts w:eastAsia="仿宋_GB2312"/>
          <w:color w:val="auto"/>
          <w:sz w:val="24"/>
          <w:highlight w:val="none"/>
        </w:rPr>
      </w:r>
      <w:r/>
    </w:p>
    <w:p>
      <w:pPr>
        <w:pStyle w:val="1284"/>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84"/>
        <w:spacing w:line="480" w:lineRule="exact"/>
        <w:rPr>
          <w:rFonts w:eastAsia="仿宋_GB2312"/>
          <w:color w:val="auto"/>
          <w:sz w:val="24"/>
          <w:highlight w:val="none"/>
        </w:rPr>
      </w:pPr>
      <w:r>
        <w:rPr>
          <w:rFonts w:eastAsia="仿宋_GB2312"/>
          <w:color w:val="auto"/>
          <w:sz w:val="24"/>
          <w:highlight w:val="none"/>
        </w:rPr>
        <w:t xml:space="preserve">单位性质：</w:t>
      </w:r>
      <w:r/>
    </w:p>
    <w:p>
      <w:pPr>
        <w:pStyle w:val="1284"/>
        <w:spacing w:line="480" w:lineRule="exact"/>
        <w:rPr>
          <w:rFonts w:eastAsia="仿宋_GB2312"/>
          <w:color w:val="auto"/>
          <w:sz w:val="24"/>
          <w:highlight w:val="none"/>
        </w:rPr>
      </w:pPr>
      <w:r>
        <w:rPr>
          <w:rFonts w:eastAsia="仿宋_GB2312"/>
          <w:color w:val="auto"/>
          <w:sz w:val="24"/>
          <w:highlight w:val="none"/>
        </w:rPr>
        <w:t xml:space="preserve">地址：</w:t>
      </w:r>
      <w:r/>
    </w:p>
    <w:p>
      <w:pPr>
        <w:pStyle w:val="1284"/>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84"/>
        <w:spacing w:line="480" w:lineRule="exact"/>
        <w:rPr>
          <w:rFonts w:eastAsia="仿宋_GB2312"/>
          <w:color w:val="auto"/>
          <w:sz w:val="24"/>
          <w:highlight w:val="none"/>
        </w:rPr>
      </w:pPr>
      <w:r>
        <w:rPr>
          <w:rFonts w:eastAsia="仿宋_GB2312"/>
          <w:color w:val="auto"/>
          <w:sz w:val="24"/>
          <w:highlight w:val="none"/>
        </w:rPr>
        <w:t xml:space="preserve">经营期限：</w:t>
      </w:r>
      <w:r/>
    </w:p>
    <w:p>
      <w:pPr>
        <w:pStyle w:val="1284"/>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84"/>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84"/>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12"/>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84"/>
        <w:jc w:val="right"/>
        <w:spacing w:line="480" w:lineRule="exact"/>
        <w:rPr>
          <w:rFonts w:eastAsia="仿宋_GB2312"/>
          <w:color w:val="auto"/>
          <w:sz w:val="24"/>
          <w:highlight w:val="none"/>
        </w:rPr>
      </w:pPr>
      <w:r>
        <w:rPr>
          <w:rFonts w:eastAsia="仿宋_GB2312"/>
          <w:color w:val="auto"/>
          <w:sz w:val="24"/>
          <w:highlight w:val="none"/>
        </w:rPr>
      </w:r>
      <w:r/>
    </w:p>
    <w:p>
      <w:pPr>
        <w:pStyle w:val="1284"/>
        <w:jc w:val="right"/>
        <w:spacing w:line="480" w:lineRule="exact"/>
        <w:rPr>
          <w:rFonts w:eastAsia="仿宋_GB2312"/>
          <w:color w:val="auto"/>
          <w:sz w:val="24"/>
          <w:highlight w:val="none"/>
        </w:rPr>
      </w:pPr>
      <w:r>
        <w:rPr>
          <w:rFonts w:eastAsia="仿宋_GB2312"/>
          <w:color w:val="auto"/>
          <w:sz w:val="24"/>
          <w:highlight w:val="none"/>
        </w:rPr>
      </w:r>
      <w:r/>
    </w:p>
    <w:p>
      <w:pPr>
        <w:pStyle w:val="1412"/>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81"/>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303"/>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81"/>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81"/>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6" w:name="_Toc18616"/>
      <w:r/>
      <w:bookmarkStart w:id="207" w:name="_Toc12853"/>
      <w:r/>
      <w:bookmarkStart w:id="208" w:name="_Toc5779"/>
      <w:r/>
      <w:bookmarkStart w:id="209" w:name="_Toc24999"/>
      <w:r/>
      <w:bookmarkStart w:id="210" w:name="_Toc164203471"/>
      <w:r/>
      <w:bookmarkStart w:id="211" w:name="_Toc6146"/>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12"/>
        <w:ind w:firstLine="445"/>
        <w:jc w:val="center"/>
        <w:spacing w:line="700" w:lineRule="exact"/>
        <w:rPr>
          <w:rFonts w:hint="eastAsia" w:ascii="仿宋" w:hAnsi="仿宋" w:eastAsia="仿宋" w:cs="仿宋"/>
          <w:color w:val="auto"/>
          <w:sz w:val="24"/>
          <w:szCs w:val="24"/>
          <w:highlight w:val="none"/>
        </w:rPr>
      </w:pPr>
      <w:r>
        <w:rPr>
          <w:rFonts w:hint="eastAsia" w:ascii="仿宋_GB2312" w:eastAsia="仿宋_GB2312"/>
          <w:color w:val="auto"/>
          <w:sz w:val="24"/>
          <w:highlight w:val="none"/>
        </w:rPr>
        <w:t xml:space="preserve">    单位名称：（加盖CA电子公章）</w:t>
      </w:r>
      <w:r/>
    </w:p>
    <w:p>
      <w:pPr>
        <w:pStyle w:val="1381"/>
        <w:ind w:firstLine="425"/>
        <w:jc w:val="center"/>
        <w:spacing w:line="560" w:lineRule="exact"/>
        <w:rPr>
          <w:rFonts w:hint="eastAsia" w:ascii="仿宋" w:hAnsi="仿宋" w:eastAsia="仿宋" w:cs="仿宋"/>
          <w:color w:val="auto"/>
          <w:sz w:val="24"/>
          <w:szCs w:val="24"/>
          <w:highlight w:val="none"/>
          <w:u w:val="single"/>
        </w:rPr>
      </w:pPr>
      <w:r>
        <w:rPr>
          <w:rFonts w:hint="eastAsia" w:ascii="仿宋_GB2312" w:eastAsia="仿宋_GB2312"/>
          <w:color w:val="auto"/>
          <w:sz w:val="24"/>
          <w:highlight w:val="none"/>
        </w:rPr>
        <w:t xml:space="preserve">           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ind w:firstLine="3600"/>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投标人代表（签字）：</w:t>
      </w:r>
      <w:r/>
    </w:p>
    <w:p>
      <w:pPr>
        <w:ind w:firstLine="360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2" w:name="_Toc29285"/>
      <w:r>
        <w:rPr>
          <w:rFonts w:hint="eastAsia" w:ascii="仿宋" w:hAnsi="仿宋" w:eastAsia="仿宋" w:cs="仿宋"/>
          <w:color w:val="auto"/>
          <w:sz w:val="24"/>
          <w:szCs w:val="24"/>
          <w:highlight w:val="none"/>
        </w:rPr>
        <w:t xml:space="preserve">注：</w:t>
      </w:r>
      <w:bookmarkEnd w:id="212"/>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89"/>
        <w:numPr>
          <w:ilvl w:val="0"/>
          <w:numId w:val="11"/>
        </w:numPr>
        <w:jc w:val="both"/>
        <w:rPr>
          <w:rFonts w:hint="eastAsia"/>
          <w:color w:val="auto"/>
          <w:highlight w:val="none"/>
        </w:rPr>
        <w:outlineLvl w:val="1"/>
      </w:pPr>
      <w:r>
        <w:rPr>
          <w:color w:val="auto"/>
          <w:highlight w:val="none"/>
        </w:rPr>
        <w:t xml:space="preserve">开标一览表</w:t>
      </w:r>
      <w:bookmarkEnd w:id="206"/>
      <w:r/>
      <w:bookmarkEnd w:id="207"/>
      <w:r/>
      <w:bookmarkEnd w:id="208"/>
      <w:r/>
      <w:bookmarkEnd w:id="209"/>
      <w:r/>
      <w:bookmarkEnd w:id="210"/>
      <w:r/>
      <w:bookmarkEnd w:id="211"/>
      <w:r/>
      <w:r/>
    </w:p>
    <w:p>
      <w:pPr>
        <w:pStyle w:val="1289"/>
        <w:jc w:val="both"/>
        <w:rPr>
          <w:rFonts w:hint="eastAsia"/>
          <w:color w:val="auto"/>
          <w:highlight w:val="none"/>
        </w:rPr>
        <w:outlineLvl w:val="1"/>
      </w:pPr>
      <w:r>
        <w:rPr>
          <w:rFonts w:hint="eastAsia"/>
          <w:color w:val="auto"/>
          <w:highlight w:val="none"/>
        </w:rPr>
      </w:r>
      <w:r/>
    </w:p>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项目编号：</w:t>
      </w:r>
      <w:r/>
    </w:p>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货币单位：人民币元     </w:t>
      </w:r>
      <w:r/>
    </w:p>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分包号：      </w:t>
      </w:r>
      <w:r/>
    </w:p>
    <w:tbl>
      <w:tblPr>
        <w:tblStyle w:val="8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4"/>
        <w:gridCol w:w="2136"/>
        <w:gridCol w:w="2880"/>
      </w:tblGrid>
      <w:tr>
        <w:trPr/>
        <w:tc>
          <w:tcPr>
            <w:tcW w:w="3904" w:type="dxa"/>
            <w:vAlign w:val="center"/>
            <w:textDirection w:val="lrTb"/>
            <w:noWrap w:val="false"/>
          </w:tcPr>
          <w:p>
            <w:pPr>
              <w:pStyle w:val="1150"/>
              <w:spacing w:line="700" w:lineRule="exact"/>
              <w:rPr>
                <w:rFonts w:ascii="仿宋_GB2312" w:eastAsia="仿宋_GB2312"/>
                <w:color w:val="auto"/>
                <w:sz w:val="24"/>
                <w:highlight w:val="none"/>
              </w:rPr>
            </w:pPr>
            <w:r/>
            <w:bookmarkStart w:id="213" w:name="OLE_LINK35"/>
            <w:r>
              <w:rPr>
                <w:rFonts w:hint="eastAsia" w:ascii="仿宋_GB2312" w:eastAsia="仿宋_GB2312"/>
                <w:color w:val="auto"/>
                <w:sz w:val="24"/>
                <w:highlight w:val="none"/>
              </w:rPr>
              <w:t xml:space="preserve">项目名称</w:t>
            </w:r>
            <w:bookmarkEnd w:id="213"/>
            <w:r/>
            <w:r/>
          </w:p>
        </w:tc>
        <w:tc>
          <w:tcPr>
            <w:tcW w:w="2136" w:type="dxa"/>
            <w:vAlign w:val="center"/>
            <w:textDirection w:val="lrTb"/>
            <w:noWrap w:val="false"/>
          </w:tcPr>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项目内容</w:t>
            </w:r>
            <w:r/>
          </w:p>
        </w:tc>
        <w:tc>
          <w:tcPr>
            <w:tcW w:w="2880" w:type="dxa"/>
            <w:vAlign w:val="center"/>
            <w:textDirection w:val="lrTb"/>
            <w:noWrap w:val="false"/>
          </w:tcPr>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总价（小写）</w:t>
            </w:r>
            <w:r/>
          </w:p>
        </w:tc>
      </w:tr>
      <w:tr>
        <w:trPr>
          <w:trHeight w:val="840"/>
        </w:trPr>
        <w:tc>
          <w:tcPr>
            <w:tcW w:w="3904" w:type="dxa"/>
            <w:vAlign w:val="center"/>
            <w:textDirection w:val="lrTb"/>
            <w:noWrap w:val="false"/>
          </w:tcPr>
          <w:p>
            <w:pPr>
              <w:pStyle w:val="1150"/>
              <w:spacing w:line="700" w:lineRule="exact"/>
              <w:rPr>
                <w:rFonts w:ascii="仿宋_GB2312" w:eastAsia="仿宋_GB2312"/>
                <w:color w:val="auto"/>
                <w:sz w:val="24"/>
                <w:highlight w:val="none"/>
              </w:rPr>
            </w:pPr>
            <w:r>
              <w:rPr>
                <w:rFonts w:ascii="仿宋_GB2312" w:eastAsia="仿宋_GB2312"/>
                <w:color w:val="auto"/>
                <w:sz w:val="24"/>
                <w:highlight w:val="none"/>
              </w:rPr>
            </w:r>
            <w:r/>
          </w:p>
        </w:tc>
        <w:tc>
          <w:tcPr>
            <w:tcW w:w="2136" w:type="dxa"/>
            <w:vAlign w:val="center"/>
            <w:textDirection w:val="lrTb"/>
            <w:noWrap w:val="false"/>
          </w:tcPr>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详见投标文件</w:t>
            </w:r>
            <w:r/>
          </w:p>
        </w:tc>
        <w:tc>
          <w:tcPr>
            <w:tcW w:w="2880" w:type="dxa"/>
            <w:vAlign w:val="center"/>
            <w:textDirection w:val="lrTb"/>
            <w:noWrap w:val="false"/>
          </w:tcPr>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_______________元</w:t>
            </w:r>
            <w:r/>
          </w:p>
        </w:tc>
      </w:tr>
      <w:tr>
        <w:trPr/>
        <w:tc>
          <w:tcPr>
            <w:tcW w:w="3904" w:type="dxa"/>
            <w:vAlign w:val="center"/>
            <w:textDirection w:val="lrTb"/>
            <w:noWrap w:val="false"/>
          </w:tcPr>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总价（大写）：</w:t>
            </w:r>
            <w:r/>
          </w:p>
        </w:tc>
        <w:tc>
          <w:tcPr>
            <w:gridSpan w:val="2"/>
            <w:tcW w:w="5016" w:type="dxa"/>
            <w:vAlign w:val="center"/>
            <w:textDirection w:val="lrTb"/>
            <w:noWrap w:val="false"/>
          </w:tcPr>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金额大写                          元</w:t>
            </w:r>
            <w:r/>
          </w:p>
        </w:tc>
      </w:tr>
    </w:tbl>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p>
    <w:p>
      <w:pPr>
        <w:pStyle w:val="1150"/>
        <w:ind w:firstLine="408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投标人公章：（电子签章）                                 </w:t>
      </w:r>
      <w:r/>
    </w:p>
    <w:p>
      <w:pPr>
        <w:pStyle w:val="115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日期：       年      月      日</w:t>
      </w:r>
      <w:r/>
    </w:p>
    <w:p>
      <w:pPr>
        <w:jc w:val="left"/>
        <w:widowControl/>
        <w:rPr>
          <w:rFonts w:hint="eastAsia" w:ascii="黑体" w:hAnsi="黑体" w:eastAsia="黑体"/>
          <w:b/>
          <w:color w:val="auto"/>
          <w:sz w:val="32"/>
          <w:szCs w:val="24"/>
          <w:highlight w:val="none"/>
        </w:rPr>
      </w:pPr>
      <w:r/>
      <w:bookmarkStart w:id="214" w:name="_Toc164203472"/>
      <w:r/>
      <w:bookmarkStart w:id="215" w:name="_Toc4471"/>
      <w:r/>
      <w:bookmarkStart w:id="216" w:name="_Toc31564"/>
      <w:r/>
      <w:bookmarkStart w:id="217" w:name="_Toc8851"/>
      <w:r/>
      <w:bookmarkStart w:id="218" w:name="_Toc24436"/>
      <w:r>
        <w:rPr>
          <w:rFonts w:hint="eastAsia"/>
          <w:color w:val="auto"/>
          <w:highlight w:val="none"/>
        </w:rPr>
        <w:br w:type="page" w:clear="all"/>
      </w:r>
      <w:r/>
    </w:p>
    <w:p>
      <w:pPr>
        <w:pStyle w:val="1310"/>
        <w:numPr>
          <w:ilvl w:val="0"/>
          <w:numId w:val="12"/>
        </w:numPr>
        <w:rPr>
          <w:rFonts w:hint="eastAsia"/>
          <w:color w:val="auto"/>
          <w:highlight w:val="none"/>
        </w:rPr>
        <w:outlineLvl w:val="1"/>
      </w:pPr>
      <w:r/>
      <w:bookmarkStart w:id="219" w:name="_Toc7189"/>
      <w:r>
        <w:rPr>
          <w:color w:val="auto"/>
          <w:highlight w:val="none"/>
        </w:rPr>
        <w:t xml:space="preserve">明细报价表</w:t>
      </w:r>
      <w:bookmarkEnd w:id="214"/>
      <w:r/>
      <w:bookmarkEnd w:id="215"/>
      <w:r/>
      <w:bookmarkEnd w:id="216"/>
      <w:r/>
      <w:bookmarkEnd w:id="217"/>
      <w:r/>
      <w:bookmarkEnd w:id="218"/>
      <w:r/>
      <w:bookmarkEnd w:id="219"/>
      <w:r/>
      <w:r/>
    </w:p>
    <w:p>
      <w:pPr>
        <w:rPr>
          <w:rFonts w:hint="eastAsia" w:cs="宋体" w:asciiTheme="minorEastAsia" w:hAnsiTheme="minorEastAsia" w:eastAsiaTheme="minorEastAsia"/>
          <w:color w:val="auto"/>
          <w:sz w:val="24"/>
          <w:highlight w:val="none"/>
        </w:rPr>
      </w:pPr>
      <w:r/>
      <w:bookmarkStart w:id="220" w:name="_Toc27976"/>
      <w:r/>
      <w:bookmarkStart w:id="221" w:name="_Toc10632"/>
      <w:r>
        <w:rPr>
          <w:rFonts w:hint="eastAsia" w:cs="宋体" w:asciiTheme="minorEastAsia" w:hAnsiTheme="minorEastAsia" w:eastAsiaTheme="minorEastAsia"/>
          <w:color w:val="auto"/>
          <w:sz w:val="24"/>
          <w:highlight w:val="none"/>
        </w:rPr>
        <w:t xml:space="preserve"> </w:t>
      </w:r>
      <w:r/>
    </w:p>
    <w:p>
      <w:pPr>
        <w:spacing w:line="440" w:lineRule="exact"/>
        <w:tabs>
          <w:tab w:val="left" w:pos="540" w:leader="none"/>
        </w:tabs>
        <w:rPr>
          <w:rFonts w:hint="eastAsia" w:ascii="等线" w:hAnsi="等线" w:eastAsia="等线" w:cs="宋体"/>
          <w:color w:val="auto"/>
          <w:highlight w:val="none"/>
        </w:rPr>
      </w:pPr>
      <w:r>
        <w:rPr>
          <w:rFonts w:hint="eastAsia" w:ascii="等线" w:hAnsi="等线" w:eastAsia="等线" w:cs="宋体"/>
          <w:bCs/>
          <w:color w:val="auto"/>
          <w:highlight w:val="none"/>
        </w:rPr>
        <w:t xml:space="preserve">包1</w:t>
      </w:r>
      <w:r>
        <w:rPr>
          <w:rFonts w:hint="eastAsia" w:ascii="等线" w:hAnsi="等线" w:eastAsia="等线" w:cs="宋体"/>
          <w:color w:val="auto"/>
          <w:highlight w:val="none"/>
        </w:rPr>
        <w:t xml:space="preserve">：雨花院区布草</w:t>
      </w:r>
      <w:r/>
    </w:p>
    <w:p>
      <w:pPr>
        <w:jc w:val="center"/>
        <w:spacing w:line="440" w:lineRule="exact"/>
        <w:tabs>
          <w:tab w:val="left" w:pos="540" w:leader="none"/>
        </w:tabs>
        <w:rPr>
          <w:rFonts w:hint="eastAsia" w:ascii="等线" w:hAnsi="等线" w:eastAsia="等线" w:cs="宋体"/>
          <w:color w:val="auto"/>
          <w:highlight w:val="none"/>
        </w:rPr>
      </w:pPr>
      <w:r>
        <w:rPr>
          <w:rFonts w:hint="eastAsia" w:ascii="等线" w:hAnsi="等线" w:eastAsia="等线" w:cs="宋体"/>
          <w:color w:val="auto"/>
          <w:highlight w:val="none"/>
        </w:rPr>
        <w:t xml:space="preserve">布草洗涤明细报价表</w:t>
      </w:r>
      <w:r/>
    </w:p>
    <w:tbl>
      <w:tblPr>
        <w:tblStyle w:val="773"/>
        <w:tblW w:w="97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547"/>
        <w:gridCol w:w="972"/>
        <w:gridCol w:w="1667"/>
        <w:gridCol w:w="1760"/>
        <w:gridCol w:w="1160"/>
        <w:gridCol w:w="1107"/>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洗涤内容</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rPr>
              <w:t xml:space="preserve">数量</w:t>
            </w:r>
            <w:r/>
          </w:p>
          <w:p>
            <w:pPr>
              <w:jc w:val="center"/>
              <w:spacing w:line="440" w:lineRule="exact"/>
              <w:tabs>
                <w:tab w:val="left" w:pos="540" w:leader="none"/>
              </w:tabs>
              <w:rPr>
                <w:rFonts w:eastAsia="等线"/>
                <w:color w:val="auto"/>
                <w:highlight w:val="none"/>
              </w:rPr>
            </w:pPr>
            <w:r>
              <w:rPr>
                <w:rFonts w:hint="eastAsia" w:ascii="宋体" w:hAnsi="宋体" w:cs="宋体"/>
                <w:b/>
                <w:bCs/>
                <w:color w:val="auto"/>
                <w:highlight w:val="none"/>
              </w:rPr>
              <w:t xml:space="preserve">（预估量，仅供参考）</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hint="eastAsia" w:eastAsia="等线"/>
                <w:color w:val="auto"/>
                <w:highlight w:val="none"/>
                <w:lang w:val="en-US" w:eastAsia="zh-CN"/>
              </w:rPr>
              <w:t xml:space="preserve">投标单价</w:t>
            </w:r>
            <w:r>
              <w:rPr>
                <w:rFonts w:hint="eastAsia" w:eastAsia="等线"/>
                <w:color w:val="auto"/>
                <w:highlight w:val="none"/>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default" w:eastAsia="等线"/>
                <w:color w:val="auto"/>
                <w:highlight w:val="none"/>
                <w:lang w:val="en-US" w:eastAsia="zh-CN"/>
              </w:rPr>
            </w:pPr>
            <w:r>
              <w:rPr>
                <w:rFonts w:hint="eastAsia" w:eastAsia="等线"/>
                <w:color w:val="auto"/>
                <w:highlight w:val="none"/>
                <w:lang w:val="en-US" w:eastAsia="zh-CN"/>
              </w:rPr>
              <w:t xml:space="preserve">总价（元）</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桌布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规格不一</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中包布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95*95cm，0.48kg/件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大包布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115*115cm，0.71kg/件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治疗巾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各种类型</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值班枕套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80*52cm，0.19kg/件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值班大单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280*165cm，0.78kg/条</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值班被套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260*165cm，1.48kg/件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枕芯</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48×74cm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枕套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80*55cm，0.13kg/件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被套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260*165cm，1.18kg/件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大单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250*160cm，0.6kg/件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190000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羽绒服</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婴儿枕套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婴儿衣(袍装)</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5250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婴儿床单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婴儿连体衣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婴儿垫子</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婴儿床罩</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婴儿被芯</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婴儿被套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新生儿小包被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氧气瓶套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规格不一</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浴巾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胸单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380*235cm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小开刀巾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80*55cm，0.17kg/件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大开刀巾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150*80cm，0.46kg/件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小被芯</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小包布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70*70cm，0.19kg/件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系带长裤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110*70cm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系带短裤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110*70cm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系带病员衣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20*20cm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系带病员衣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60*60cm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特型病员衣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0.43kg/件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特型病员裤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0.31kg/条</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孕妇衣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孕妇裤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儿童病员衣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儿童病员裤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0.22kg/件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255000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病员裤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0.22kg/条</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255000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病人裙（无袖）</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病人裙</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27000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工作服</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所有工作人员工作服</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洗手衣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0.24kg/件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hint="eastAsia" w:eastAsia="等线"/>
                <w:color w:val="auto"/>
                <w:highlight w:val="none"/>
              </w:rPr>
            </w:pPr>
            <w:r>
              <w:rPr>
                <w:rFonts w:hint="eastAsia" w:ascii="等线" w:hAnsi="等线" w:eastAsia="等线"/>
                <w:color w:val="auto"/>
                <w:sz w:val="22"/>
                <w:highlight w:val="none"/>
              </w:rPr>
              <w:t xml:space="preserve">300000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洗手裤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0.34kg/条</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hint="eastAsia" w:eastAsia="等线"/>
                <w:color w:val="auto"/>
                <w:highlight w:val="none"/>
              </w:rPr>
            </w:pPr>
            <w:r>
              <w:rPr>
                <w:rFonts w:hint="eastAsia" w:ascii="等线" w:hAnsi="等线" w:eastAsia="等线"/>
                <w:color w:val="auto"/>
                <w:sz w:val="22"/>
                <w:highlight w:val="none"/>
              </w:rPr>
              <w:t xml:space="preserve">310000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长袖洗手衣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0.35kg/件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16500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ICU内穿衣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0.27kg/件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ICU内穿裤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0.29kg/条</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长度135cm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隔离衣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0.44kg/件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台单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280×170cm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踏花被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200*120cm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手术中单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280×170cm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手术中单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20*20cm 112*58cm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手术中单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240×170cm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70400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手术台单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230*130cm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10200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骨科台单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300*220cm，0.74kg/条</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手术床罩</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200×58×20cm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8700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手术被套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280×170cm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9400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剖腹被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380*235cm，1.61kg/件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收腹腰带</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设备罩</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沙发套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规格不一</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奶瓶包布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棉垫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棉被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帽子</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毛衣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毛毯</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180*150cm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毛巾被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200*150cm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毛巾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75*35cm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绿布隔离衣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21000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连体衣(ICU)</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连体衣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0.26kg/条</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33300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蓝光布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开裆裤</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110*70cm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脚套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100×45cm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1300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检验科包布</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夹被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各种规格</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夹袄</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隔帘</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门幅2.8米</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腹带</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规格不一</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多头带</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108*58cm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洞单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150*100cm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7800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both"/>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大洞巾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150*220cm、100×150cm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妇科长洞巾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妇科圆洞巾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4600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生殖长洞巾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18000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生殖圆洞巾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25500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床罩</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100*210cm，0.54kg/件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床垫</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190*90cm</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窗帘</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门幅2.8米</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750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布帽子</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全棉</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both"/>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布带</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康复科用吊带</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包衣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hint="eastAsia" w:eastAsia="等线"/>
                <w:color w:val="auto"/>
                <w:highlight w:val="none"/>
              </w:rPr>
            </w:pPr>
            <w:r>
              <w:rPr>
                <w:rFonts w:hint="eastAsia" w:ascii="等线" w:hAnsi="等线" w:eastAsia="等线"/>
                <w:color w:val="auto"/>
                <w:sz w:val="22"/>
                <w:highlight w:val="none"/>
              </w:rPr>
              <w:t xml:space="preserve">19265</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97</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白布双层中单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210*90cm，0.52kg/条</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98</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R型垫套</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红细条色织布</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6600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99</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PICC洞巾</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PICC病员衣</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0.31kg/件</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91500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101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ICU大单</w:t>
            </w: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1667"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320*200cm，1.58kg/条</w:t>
            </w:r>
            <w:r/>
          </w:p>
        </w:tc>
        <w:tc>
          <w:tcPr>
            <w:shd w:val="clear" w:color="auto" w:fill="auto"/>
            <w:tcBorders>
              <w:top w:val="single" w:color="auto" w:sz="4" w:space="0"/>
              <w:left w:val="single" w:color="auto" w:sz="4" w:space="0"/>
              <w:bottom w:val="single" w:color="auto" w:sz="4" w:space="0"/>
              <w:right w:val="single" w:color="auto" w:sz="4" w:space="0"/>
            </w:tcBorders>
            <w:tcW w:w="1760" w:type="dxa"/>
            <w:vAlign w:val="center"/>
            <w:textDirection w:val="lrTb"/>
            <w:noWrap/>
          </w:tcPr>
          <w:p>
            <w:pPr>
              <w:jc w:val="center"/>
              <w:spacing w:line="440" w:lineRule="exact"/>
              <w:tabs>
                <w:tab w:val="left" w:pos="540" w:leader="none"/>
              </w:tabs>
              <w:rPr>
                <w:rFonts w:eastAsia="等线"/>
                <w:color w:val="auto"/>
                <w:highlight w:val="none"/>
              </w:rPr>
            </w:pPr>
            <w:r>
              <w:rPr>
                <w:rFonts w:hint="eastAsia" w:ascii="等线" w:hAnsi="等线" w:eastAsia="等线"/>
                <w:color w:val="auto"/>
                <w:sz w:val="22"/>
                <w:highlight w:val="none"/>
              </w:rPr>
              <w:t xml:space="preserve">80000</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spacing w:line="440" w:lineRule="exact"/>
              <w:tabs>
                <w:tab w:val="left" w:pos="540" w:leader="none"/>
              </w:tabs>
              <w:rPr>
                <w:rFonts w:eastAsia="等线"/>
                <w:color w:val="auto"/>
                <w:highlight w:val="none"/>
              </w:rPr>
            </w:pPr>
            <w:r>
              <w:rPr>
                <w:rFonts w:eastAsia="等线"/>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spacing w:line="440" w:lineRule="exact"/>
              <w:tabs>
                <w:tab w:val="left" w:pos="540" w:leader="none"/>
              </w:tabs>
              <w:rPr>
                <w:rFonts w:hint="eastAsia" w:ascii="等线" w:hAnsi="等线" w:eastAsia="等线"/>
                <w:color w:val="auto"/>
                <w:sz w:val="22"/>
                <w:highlight w:val="none"/>
              </w:rPr>
            </w:pPr>
            <w:r>
              <w:rPr>
                <w:rFonts w:hint="eastAsia" w:ascii="等线" w:hAnsi="等线" w:eastAsia="等线"/>
                <w:color w:val="auto"/>
                <w:sz w:val="22"/>
                <w:highlight w:val="none"/>
              </w:rPr>
            </w:r>
            <w:r/>
          </w:p>
        </w:tc>
      </w:tr>
    </w:tbl>
    <w:p>
      <w:pPr>
        <w:spacing w:line="440" w:lineRule="exact"/>
        <w:tabs>
          <w:tab w:val="left" w:pos="540" w:leader="none"/>
        </w:tabs>
        <w:rPr>
          <w:rFonts w:hint="eastAsia" w:ascii="等线" w:hAnsi="等线" w:eastAsia="等线"/>
          <w:color w:val="auto"/>
          <w:highlight w:val="none"/>
        </w:rPr>
      </w:pPr>
      <w:r>
        <w:rPr>
          <w:rFonts w:hint="eastAsia" w:ascii="等线" w:hAnsi="等线" w:eastAsia="等线"/>
          <w:color w:val="auto"/>
          <w:highlight w:val="none"/>
        </w:rPr>
      </w:r>
      <w:r/>
    </w:p>
    <w:p>
      <w:pPr>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包2：广州路院区手术布草</w:t>
      </w:r>
      <w:r/>
    </w:p>
    <w:p>
      <w:pPr>
        <w:spacing w:line="440" w:lineRule="exact"/>
        <w:widowControl/>
        <w:rPr>
          <w:rFonts w:hint="eastAsia" w:ascii="宋体" w:hAnsi="宋体" w:eastAsia="等线" w:cs="宋体"/>
          <w:color w:val="auto"/>
          <w:highlight w:val="none"/>
        </w:rPr>
      </w:pPr>
      <w:r>
        <w:rPr>
          <w:rFonts w:hint="eastAsia" w:ascii="宋体" w:hAnsi="宋体" w:eastAsia="等线" w:cs="宋体"/>
          <w:color w:val="auto"/>
          <w:highlight w:val="none"/>
        </w:rPr>
        <w:t xml:space="preserve">布草洗涤明细报价表</w:t>
      </w:r>
      <w:r/>
    </w:p>
    <w:tbl>
      <w:tblPr>
        <w:tblStyle w:val="773"/>
        <w:tblW w:w="9089" w:type="dxa"/>
        <w:jc w:val="center"/>
        <w:tblLayout w:type="fixed"/>
        <w:tblCellMar>
          <w:left w:w="108" w:type="dxa"/>
          <w:top w:w="0" w:type="dxa"/>
          <w:right w:w="108" w:type="dxa"/>
          <w:bottom w:w="0" w:type="dxa"/>
        </w:tblCellMar>
        <w:tblLook w:val="04A0" w:firstRow="1" w:lastRow="0" w:firstColumn="1" w:lastColumn="0" w:noHBand="0" w:noVBand="1"/>
      </w:tblPr>
      <w:tblGrid>
        <w:gridCol w:w="1048"/>
        <w:gridCol w:w="2061"/>
        <w:gridCol w:w="1701"/>
        <w:gridCol w:w="678"/>
        <w:gridCol w:w="1333"/>
        <w:gridCol w:w="1134"/>
        <w:gridCol w:w="1134"/>
      </w:tblGrid>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洗涤内容</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规格</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单位</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数量</w:t>
            </w:r>
            <w:r/>
          </w:p>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（预估量，仅供参考）</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投标单价</w:t>
            </w:r>
            <w:r>
              <w:rPr>
                <w:rFonts w:hint="eastAsia" w:ascii="宋体" w:hAnsi="宋体" w:cs="宋体"/>
                <w:b/>
                <w:bCs/>
                <w:color w:val="auto"/>
                <w:highlight w:val="none"/>
              </w:rPr>
              <w:t xml:space="preserve">（元）</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总价（元）</w:t>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值班枕套</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尺寸95×65cm 全棉色织</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值班大单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尺寸290×170cm 全棉色织</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值班被套</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尺寸260×170cm 全棉色织</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长袖洗手衣</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50000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洗手衣（其他）</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285000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6</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洗手裤（其他）</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285000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7</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洗手衣（蓝色）</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350000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8</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洗手裤（蓝色）</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355072</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9</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开刀衣</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350000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剖腹被</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所有尺寸</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200000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11</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剖腹单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尺寸400×230cm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80000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12</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甲状腺剖腹被</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尺寸420×320cm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7000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13</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搭桥夹被</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206*182cm</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14</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双层夹被</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尺寸280×170cm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100000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15</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手术中单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240×170cm</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240000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16</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手术台单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230*130cm</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12000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17</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手术室中包布</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尺寸100×100cm 三层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128000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18</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手术室小包布</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尺寸80×80cm 三层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32000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19</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手术室大包布</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尺寸120×120cm 三层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96000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20</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手术室小被套</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尺寸280×170cm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9600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21</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手术床罩</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尺寸200×58×20cm 防静电</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9000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22</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手术室双层中开刀巾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尺寸110×90cm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23</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手术室双层小开刀巾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尺寸80×65cm 墨绿全棉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580000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24</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手术室双层大开刀巾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尺寸150×90cm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145000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25</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泌尿小开刀巾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4300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26</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脑单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380×235cm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27</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胸单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尺寸340×220cm 双层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500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28</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手术室毛毯</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29</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手术帽</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30</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脚套</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100×45cm</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1400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31</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骨科台单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尺寸300*220cm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32000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32</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甲状腺洞巾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尺寸180×150cm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11200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等线" w:hAnsi="等线" w:eastAsia="等线"/>
                <w:color w:val="auto"/>
                <w:sz w:val="22"/>
                <w:highlight w:val="none"/>
              </w:rPr>
            </w:pPr>
            <w:r>
              <w:rPr>
                <w:rFonts w:hint="eastAsia" w:ascii="等线" w:hAnsi="等线" w:eastAsia="等线"/>
                <w:color w:val="auto"/>
                <w:sz w:val="22"/>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33</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洞巾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70000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34</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大洞巾（双）</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尺寸150×220cm 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16000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35</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洞单</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150*100cm，0.74kg/条</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8000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both"/>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36</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大开叉巾</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40000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37</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布草收纳袋</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1.3×1.2×1.3m</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件</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24000</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r>
        <w:trPr>
          <w:jc w:val="center"/>
          <w:trHeight w:val="527"/>
        </w:trPr>
        <w:tc>
          <w:tcPr>
            <w:shd w:val="clear" w:color="auto" w:fill="auto"/>
            <w:tcBorders>
              <w:top w:val="single" w:color="000000" w:sz="8" w:space="0"/>
              <w:left w:val="single" w:color="000000" w:sz="8" w:space="0"/>
              <w:bottom w:val="single" w:color="000000" w:sz="8" w:space="0"/>
            </w:tcBorders>
            <w:tcW w:w="104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38</w:t>
            </w:r>
            <w:r/>
          </w:p>
        </w:tc>
        <w:tc>
          <w:tcPr>
            <w:shd w:val="clear" w:color="auto" w:fill="auto"/>
            <w:tcBorders>
              <w:top w:val="single" w:color="000000" w:sz="8" w:space="0"/>
              <w:left w:val="single" w:color="000000" w:sz="8" w:space="0"/>
              <w:bottom w:val="single" w:color="000000" w:sz="8" w:space="0"/>
            </w:tcBorders>
            <w:tcW w:w="206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被芯</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全棉</w:t>
            </w:r>
            <w:r/>
          </w:p>
        </w:tc>
        <w:tc>
          <w:tcPr>
            <w:shd w:val="clear" w:color="auto" w:fill="auto"/>
            <w:tcBorders>
              <w:top w:val="single" w:color="000000" w:sz="8" w:space="0"/>
              <w:left w:val="single" w:color="000000" w:sz="8" w:space="0"/>
              <w:bottom w:val="single" w:color="000000" w:sz="8" w:space="0"/>
            </w:tcBorders>
            <w:tcW w:w="67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条</w:t>
            </w:r>
            <w:r/>
          </w:p>
        </w:tc>
        <w:tc>
          <w:tcPr>
            <w:shd w:val="clear" w:color="auto" w:fill="ffffff"/>
            <w:tcBorders>
              <w:top w:val="single" w:color="000000" w:sz="8" w:space="0"/>
              <w:left w:val="single" w:color="000000" w:sz="8" w:space="0"/>
              <w:bottom w:val="single" w:color="000000" w:sz="8" w:space="0"/>
            </w:tcBorders>
            <w:tcW w:w="133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color w:val="auto"/>
                <w:highlight w:val="none"/>
              </w:rPr>
              <w:t xml:space="preserve">335</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both"/>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r>
            <w:r/>
          </w:p>
        </w:tc>
      </w:tr>
    </w:tbl>
    <w:p>
      <w:pPr>
        <w:spacing w:line="440" w:lineRule="exact"/>
        <w:widowControl/>
        <w:rPr>
          <w:rFonts w:hint="eastAsia" w:ascii="宋体" w:hAnsi="宋体" w:eastAsia="等线" w:cs="宋体"/>
          <w:color w:val="auto"/>
          <w:highlight w:val="none"/>
        </w:rPr>
      </w:pPr>
      <w:r>
        <w:rPr>
          <w:rFonts w:hint="eastAsia" w:ascii="宋体" w:hAnsi="宋体" w:eastAsia="等线" w:cs="宋体"/>
          <w:color w:val="auto"/>
          <w:highlight w:val="none"/>
        </w:rPr>
      </w:r>
      <w:r/>
    </w:p>
    <w:p>
      <w:pPr>
        <w:spacing w:line="440" w:lineRule="exact"/>
        <w:widowControl/>
        <w:rPr>
          <w:rFonts w:hint="eastAsia" w:ascii="宋体" w:hAnsi="宋体" w:eastAsia="等线" w:cs="宋体"/>
          <w:color w:val="auto"/>
          <w:highlight w:val="none"/>
        </w:rPr>
      </w:pPr>
      <w:r>
        <w:rPr>
          <w:rFonts w:hint="eastAsia" w:ascii="宋体" w:hAnsi="宋体" w:eastAsia="等线" w:cs="宋体"/>
          <w:color w:val="auto"/>
          <w:highlight w:val="none"/>
        </w:rPr>
      </w:r>
      <w:r/>
    </w:p>
    <w:p>
      <w:pPr>
        <w:spacing w:line="440" w:lineRule="exact"/>
        <w:widowControl/>
        <w:rPr>
          <w:rFonts w:hint="eastAsia" w:ascii="宋体" w:hAnsi="宋体" w:eastAsia="等线" w:cs="宋体"/>
          <w:color w:val="auto"/>
          <w:highlight w:val="none"/>
        </w:rPr>
      </w:pPr>
      <w:r>
        <w:rPr>
          <w:rFonts w:hint="eastAsia" w:ascii="宋体" w:hAnsi="宋体" w:eastAsia="等线" w:cs="宋体"/>
          <w:color w:val="auto"/>
          <w:highlight w:val="none"/>
        </w:rPr>
      </w:r>
      <w:r/>
    </w:p>
    <w:p>
      <w:pPr>
        <w:spacing w:line="440" w:lineRule="exact"/>
        <w:widowControl/>
        <w:rPr>
          <w:rFonts w:hint="eastAsia" w:ascii="宋体" w:hAnsi="宋体" w:eastAsia="等线" w:cs="宋体"/>
          <w:color w:val="auto"/>
          <w:highlight w:val="none"/>
        </w:rPr>
      </w:pPr>
      <w:r>
        <w:rPr>
          <w:rFonts w:hint="eastAsia" w:ascii="宋体" w:hAnsi="宋体" w:eastAsia="等线" w:cs="宋体"/>
          <w:color w:val="auto"/>
          <w:highlight w:val="none"/>
        </w:rPr>
      </w:r>
      <w:r/>
    </w:p>
    <w:p>
      <w:pPr>
        <w:spacing w:line="440" w:lineRule="exact"/>
        <w:widowControl/>
        <w:rPr>
          <w:rFonts w:hint="eastAsia" w:ascii="宋体" w:hAnsi="宋体" w:eastAsia="等线" w:cs="宋体"/>
          <w:color w:val="auto"/>
          <w:highlight w:val="none"/>
        </w:rPr>
      </w:pPr>
      <w:r>
        <w:rPr>
          <w:rFonts w:hint="eastAsia" w:ascii="宋体" w:hAnsi="宋体" w:eastAsia="等线" w:cs="宋体"/>
          <w:color w:val="auto"/>
          <w:highlight w:val="none"/>
        </w:rPr>
      </w:r>
      <w:r/>
    </w:p>
    <w:p>
      <w:pPr>
        <w:spacing w:line="440" w:lineRule="exact"/>
        <w:widowControl/>
        <w:rPr>
          <w:rFonts w:hint="eastAsia" w:ascii="宋体" w:hAnsi="宋体" w:eastAsia="等线" w:cs="宋体"/>
          <w:color w:val="auto"/>
          <w:highlight w:val="none"/>
        </w:rPr>
      </w:pPr>
      <w:r>
        <w:rPr>
          <w:rFonts w:hint="eastAsia" w:ascii="宋体" w:hAnsi="宋体" w:eastAsia="等线" w:cs="宋体"/>
          <w:color w:val="auto"/>
          <w:highlight w:val="none"/>
        </w:rPr>
      </w:r>
      <w:r/>
    </w:p>
    <w:p>
      <w:pPr>
        <w:spacing w:line="440" w:lineRule="exact"/>
        <w:widowControl/>
        <w:rPr>
          <w:rFonts w:hint="eastAsia" w:ascii="宋体" w:hAnsi="宋体" w:cs="宋体"/>
          <w:color w:val="auto"/>
          <w:highlight w:val="none"/>
        </w:rPr>
      </w:pPr>
      <w:r>
        <w:rPr>
          <w:rFonts w:hint="eastAsia" w:ascii="宋体" w:hAnsi="宋体" w:cs="宋体"/>
          <w:color w:val="auto"/>
          <w:highlight w:val="none"/>
        </w:rPr>
      </w:r>
      <w:r/>
    </w:p>
    <w:p>
      <w:pPr>
        <w:pStyle w:val="1150"/>
        <w:ind w:firstLine="629"/>
        <w:spacing w:line="44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注：招标文件中未列出的相关辅助材料和在实施过程中涉及到的其它一切费用应在报价时一并考虑，项目实施过程中不再单独结算。</w:t>
      </w:r>
      <w:r>
        <w:rPr>
          <w:rFonts w:hint="eastAsia" w:ascii="宋体" w:hAnsi="宋体" w:cs="宋体"/>
          <w:b/>
          <w:bCs/>
          <w:color w:val="auto"/>
          <w:sz w:val="24"/>
          <w:highlight w:val="none"/>
        </w:rPr>
        <w:t xml:space="preserve">表中投标报价总计应与对应报价一览表中投标总价一致。</w:t>
      </w:r>
      <w:r/>
    </w:p>
    <w:p>
      <w:pPr>
        <w:pStyle w:val="1150"/>
        <w:ind w:firstLine="629"/>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上表格式仅供参考，投标人可根据实际情况调整。</w:t>
      </w:r>
      <w:r/>
    </w:p>
    <w:p>
      <w:pPr>
        <w:pStyle w:val="1150"/>
        <w:ind w:firstLine="629"/>
        <w:spacing w:line="440" w:lineRule="exact"/>
        <w:rPr>
          <w:rFonts w:hint="eastAsia" w:ascii="宋体" w:hAnsi="宋体" w:cs="宋体"/>
          <w:color w:val="auto"/>
          <w:highlight w:val="none"/>
        </w:rPr>
      </w:pPr>
      <w:r>
        <w:rPr>
          <w:rFonts w:hint="eastAsia" w:ascii="宋体" w:hAnsi="宋体" w:cs="宋体"/>
          <w:color w:val="auto"/>
          <w:sz w:val="24"/>
          <w:highlight w:val="none"/>
        </w:rPr>
        <w:t xml:space="preserve">单位名称：（盖章）</w:t>
      </w:r>
      <w:r>
        <w:rPr>
          <w:rFonts w:hint="eastAsia" w:ascii="宋体" w:hAnsi="宋体" w:cs="宋体"/>
          <w:color w:val="auto"/>
          <w:sz w:val="24"/>
          <w:highlight w:val="none"/>
          <w:u w:val="single"/>
        </w:rPr>
        <w:t xml:space="preserve">                 </w:t>
      </w:r>
      <w:r/>
    </w:p>
    <w:p>
      <w:pPr>
        <w:pStyle w:val="1150"/>
        <w:ind w:firstLine="629"/>
        <w:rPr>
          <w:color w:val="auto"/>
          <w:highlight w:val="none"/>
        </w:rPr>
        <w:sectPr>
          <w:footerReference w:type="default" r:id="rId11"/>
          <w:footerReference w:type="even" r:id="rId12"/>
          <w:footerReference w:type="first" r:id="rId13"/>
          <w:footnotePr>
            <w:pos w:val="beneathText"/>
          </w:footnotePr>
          <w:endnotePr/>
          <w:type w:val="nextPage"/>
          <w:pgSz w:w="11906" w:h="16838" w:orient="portrait"/>
          <w:pgMar w:top="1327" w:right="1361" w:bottom="1327" w:left="1474" w:header="720" w:footer="992" w:gutter="0"/>
          <w:cols w:num="1" w:sep="0" w:space="720" w:equalWidth="1"/>
          <w:docGrid w:linePitch="360"/>
        </w:sectPr>
      </w:pPr>
      <w:r>
        <w:rPr>
          <w:rFonts w:hint="eastAsia" w:ascii="宋体" w:hAnsi="宋体" w:cs="宋体"/>
          <w:color w:val="auto"/>
          <w:sz w:val="24"/>
          <w:highlight w:val="none"/>
        </w:rPr>
        <w:t xml:space="preserve">法定代表人（或授权代表）：（签字）</w:t>
      </w:r>
      <w:r>
        <w:rPr>
          <w:rFonts w:hint="eastAsia" w:ascii="宋体" w:hAnsi="宋体" w:cs="宋体"/>
          <w:color w:val="auto"/>
          <w:sz w:val="24"/>
          <w:highlight w:val="none"/>
          <w:u w:val="single"/>
        </w:rPr>
        <w:t xml:space="preserve">              </w:t>
      </w:r>
      <w:r/>
    </w:p>
    <w:p>
      <w:pPr>
        <w:pStyle w:val="847"/>
        <w:ind w:firstLine="0"/>
        <w:rPr>
          <w:rFonts w:hAnsi="宋体"/>
          <w:bCs/>
          <w:color w:val="auto"/>
          <w:highlight w:val="none"/>
        </w:rPr>
      </w:pPr>
      <w:r>
        <w:rPr>
          <w:rFonts w:hAnsi="宋体"/>
          <w:bCs/>
          <w:color w:val="auto"/>
          <w:highlight w:val="none"/>
        </w:rPr>
      </w:r>
      <w:r/>
    </w:p>
    <w:p>
      <w:pPr>
        <w:pStyle w:val="1310"/>
        <w:rPr>
          <w:rFonts w:hint="eastAsia"/>
          <w:color w:val="auto"/>
          <w:highlight w:val="none"/>
        </w:rPr>
        <w:outlineLvl w:val="1"/>
      </w:pPr>
      <w:r/>
      <w:bookmarkStart w:id="222" w:name="_Toc26570"/>
      <w:r/>
      <w:bookmarkStart w:id="223" w:name="_Toc18680"/>
      <w:r/>
      <w:bookmarkStart w:id="224" w:name="_Toc22253"/>
      <w:r/>
      <w:bookmarkStart w:id="225" w:name="_Toc164203481"/>
      <w:r>
        <w:rPr>
          <w:color w:val="auto"/>
          <w:highlight w:val="none"/>
        </w:rPr>
        <w:t xml:space="preserve">十</w:t>
      </w:r>
      <w:r>
        <w:rPr>
          <w:rFonts w:hint="eastAsia"/>
          <w:color w:val="auto"/>
          <w:highlight w:val="none"/>
        </w:rPr>
        <w:t xml:space="preserve">四</w:t>
      </w:r>
      <w:r>
        <w:rPr>
          <w:color w:val="auto"/>
          <w:highlight w:val="none"/>
        </w:rPr>
        <w:t xml:space="preserve">、中小企业声明函</w:t>
      </w:r>
      <w:bookmarkEnd w:id="220"/>
      <w:r/>
      <w:bookmarkEnd w:id="221"/>
      <w:r/>
      <w:bookmarkEnd w:id="222"/>
      <w:r/>
      <w:bookmarkEnd w:id="223"/>
      <w:r/>
      <w:bookmarkEnd w:id="224"/>
      <w:r/>
      <w:bookmarkEnd w:id="225"/>
      <w:r/>
      <w:r/>
    </w:p>
    <w:p>
      <w:pPr>
        <w:contextualSpacing/>
        <w:ind w:firstLine="420"/>
        <w:jc w:val="center"/>
        <w:spacing w:line="360" w:lineRule="auto"/>
        <w:rPr>
          <w:rFonts w:hint="eastAsia" w:hAnsi="宋体" w:cs="宋体"/>
          <w:bCs/>
          <w:color w:val="auto"/>
          <w:highlight w:val="none"/>
        </w:rPr>
      </w:pPr>
      <w:r/>
      <w:bookmarkStart w:id="226" w:name="_Toc16234"/>
      <w:r/>
      <w:bookmarkStart w:id="227" w:name="_Toc12023"/>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本公司（联合体）郑重声明，根据《政府采购促进中小企业发展管理办法》（财库﹝2020﹞46号）的规定，本公司（联合体）参加</w:t>
      </w:r>
      <w:r>
        <w:rPr>
          <w:rFonts w:hint="eastAsia" w:hAnsi="宋体" w:cs="宋体"/>
          <w:color w:val="auto"/>
          <w:highlight w:val="none"/>
          <w:u w:val="single"/>
        </w:rPr>
        <w:t xml:space="preserve">（单位名称）</w:t>
      </w:r>
      <w:r>
        <w:rPr>
          <w:rFonts w:hint="eastAsia" w:hAnsi="宋体" w:cs="宋体"/>
          <w:color w:val="auto"/>
          <w:highlight w:val="none"/>
        </w:rPr>
        <w:t xml:space="preserve">的</w:t>
      </w:r>
      <w:r>
        <w:rPr>
          <w:rFonts w:hint="eastAsia" w:hAnsi="宋体" w:cs="宋体"/>
          <w:color w:val="auto"/>
          <w:highlight w:val="none"/>
          <w:u w:val="single"/>
        </w:rPr>
        <w:t xml:space="preserve">（项目名称）</w:t>
      </w:r>
      <w:r>
        <w:rPr>
          <w:rFonts w:hint="eastAsia"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，从业人员人，营业收入为万元，资产总额为万元，属于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2.</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，从业人员人，营业收入为万元，资产总额为万元，属于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pStyle w:val="778"/>
        <w:ind w:firstLine="600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投标人名称（盖章）：</w:t>
      </w:r>
      <w:r/>
    </w:p>
    <w:p>
      <w:pPr>
        <w:pStyle w:val="778"/>
        <w:ind w:firstLine="600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contextualSpacing/>
        <w:jc w:val="left"/>
        <w:spacing w:line="360" w:lineRule="auto"/>
        <w:rPr>
          <w:rFonts w:hint="eastAsia" w:hAnsi="宋体" w:cs="宋体"/>
          <w:color w:val="auto"/>
          <w:highlight w:val="none"/>
        </w:rPr>
      </w:pPr>
      <w:r>
        <w:rPr>
          <w:rFonts w:hint="eastAsia" w:hAnsi="宋体" w:cs="宋体"/>
          <w:color w:val="auto"/>
          <w:highlight w:val="none"/>
        </w:rPr>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pStyle w:val="778"/>
        <w:ind w:right="2742" w:firstLine="578"/>
        <w:jc w:val="right"/>
        <w:spacing w:before="29" w:line="316" w:lineRule="auto"/>
        <w:rPr>
          <w:rFonts w:hint="eastAsia" w:ascii="宋体" w:hAnsi="宋体" w:eastAsia="宋体" w:cs="宋体"/>
          <w:color w:val="auto"/>
          <w:spacing w:val="24"/>
          <w:highlight w:val="none"/>
        </w:rPr>
      </w:pPr>
      <w:r>
        <w:rPr>
          <w:rFonts w:hint="eastAsia" w:ascii="宋体" w:hAnsi="宋体" w:eastAsia="宋体" w:cs="宋体"/>
          <w:color w:val="auto"/>
          <w:spacing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91"/>
        <w:jc w:val="center"/>
        <w:spacing w:before="300" w:after="300" w:line="360" w:lineRule="auto"/>
        <w:widowControl/>
        <w:rPr>
          <w:rFonts w:hint="eastAsia" w:ascii="宋体" w:hAnsi="宋体" w:cs="宋体"/>
          <w:color w:val="auto"/>
          <w:sz w:val="21"/>
          <w:szCs w:val="21"/>
          <w:highlight w:val="none"/>
        </w:rPr>
      </w:pPr>
      <w:r/>
      <w:bookmarkStart w:id="228" w:name="_Toc109304977"/>
      <w:r/>
      <w:bookmarkStart w:id="229" w:name="_Toc32196"/>
      <w:r>
        <w:rPr>
          <w:rFonts w:hint="eastAsia" w:ascii="宋体" w:hAnsi="宋体" w:cs="宋体"/>
          <w:color w:val="auto"/>
          <w:sz w:val="21"/>
          <w:szCs w:val="21"/>
          <w:highlight w:val="none"/>
        </w:rPr>
        <w:t xml:space="preserve">中小微企业划型标准</w:t>
      </w:r>
      <w:bookmarkEnd w:id="228"/>
      <w:r>
        <w:rPr>
          <w:rFonts w:hint="eastAsia" w:ascii="宋体" w:hAnsi="宋体" w:cs="宋体"/>
          <w:color w:val="auto"/>
          <w:sz w:val="21"/>
          <w:szCs w:val="21"/>
          <w:highlight w:val="none"/>
        </w:rPr>
        <w:t xml:space="preserve"> </w:t>
      </w:r>
      <w:bookmarkEnd w:id="229"/>
      <w:r/>
      <w:r/>
    </w:p>
    <w:p>
      <w:pPr>
        <w:pStyle w:val="1055"/>
        <w:ind w:firstLine="420"/>
        <w:spacing w:before="300" w:after="452"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中小微企业划型标准如下：</w:t>
      </w:r>
      <w:r/>
    </w:p>
    <w:tbl>
      <w:tblPr>
        <w:tblStyle w:val="773"/>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5"/>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5"/>
              <w:jc w:val="center"/>
              <w:spacing w:line="360" w:lineRule="auto"/>
              <w:rPr>
                <w:rFonts w:hint="eastAsia" w:hAnsi="宋体" w:cs="宋体"/>
                <w:color w:val="auto"/>
                <w:sz w:val="21"/>
                <w:szCs w:val="21"/>
                <w:highlight w:val="none"/>
              </w:rPr>
            </w:pPr>
            <w:r>
              <w:rPr>
                <w:rStyle w:val="1063"/>
                <w:rFonts w:hint="eastAsia" w:hAnsi="宋体" w:cs="宋体"/>
                <w:color w:val="auto"/>
                <w:sz w:val="21"/>
                <w:szCs w:val="21"/>
                <w:highlight w:val="none"/>
              </w:rPr>
              <w:t xml:space="preserve">X＜10</w:t>
            </w:r>
            <w:r/>
          </w:p>
        </w:tc>
      </w:tr>
    </w:tbl>
    <w:p>
      <w:pPr>
        <w:pStyle w:val="1055"/>
        <w:ind w:firstLine="420"/>
        <w:spacing w:before="300" w:after="452" w:line="360" w:lineRule="auto"/>
        <w:rPr>
          <w:rStyle w:val="1063"/>
          <w:rFonts w:hint="eastAsia" w:hAnsi="宋体" w:cs="宋体"/>
          <w:color w:val="auto"/>
          <w:sz w:val="21"/>
          <w:szCs w:val="21"/>
          <w:highlight w:val="none"/>
        </w:rPr>
      </w:pPr>
      <w:r>
        <w:rPr>
          <w:rStyle w:val="106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0" w:name="_Toc5876"/>
      <w:r/>
      <w:bookmarkEnd w:id="230"/>
      <w:r/>
      <w:r/>
    </w:p>
    <w:p>
      <w:pPr>
        <w:rPr>
          <w:rFonts w:hint="eastAsia" w:ascii="黑体" w:hAnsi="黑体" w:eastAsia="黑体"/>
          <w:color w:val="auto"/>
          <w:sz w:val="32"/>
          <w:highlight w:val="none"/>
        </w:rPr>
      </w:pPr>
      <w:r/>
      <w:bookmarkStart w:id="231" w:name="_Toc1060"/>
      <w:r/>
      <w:bookmarkEnd w:id="231"/>
      <w:r/>
      <w:r/>
    </w:p>
    <w:p>
      <w:pPr>
        <w:pStyle w:val="1277"/>
        <w:rPr>
          <w:rFonts w:hint="eastAsia"/>
          <w:color w:val="auto"/>
          <w:highlight w:val="none"/>
        </w:rPr>
        <w:outlineLvl w:val="1"/>
      </w:pPr>
      <w:r/>
      <w:bookmarkStart w:id="232" w:name="_Toc4596"/>
      <w:r/>
      <w:bookmarkStart w:id="233" w:name="_Toc15535"/>
      <w:r/>
      <w:bookmarkStart w:id="234" w:name="_Toc356"/>
      <w:r/>
      <w:bookmarkStart w:id="235" w:name="_Toc164203482"/>
      <w:r>
        <w:rPr>
          <w:rFonts w:hint="eastAsia"/>
          <w:color w:val="auto"/>
          <w:highlight w:val="none"/>
        </w:rPr>
        <w:t xml:space="preserve">十五、</w:t>
      </w:r>
      <w:r>
        <w:rPr>
          <w:color w:val="auto"/>
          <w:highlight w:val="none"/>
        </w:rPr>
        <w:t xml:space="preserve">响应偏差表</w:t>
      </w:r>
      <w:bookmarkEnd w:id="226"/>
      <w:r/>
      <w:bookmarkEnd w:id="227"/>
      <w:r/>
      <w:bookmarkEnd w:id="232"/>
      <w:r/>
      <w:bookmarkEnd w:id="233"/>
      <w:r/>
      <w:bookmarkEnd w:id="234"/>
      <w:r/>
      <w:bookmarkEnd w:id="235"/>
      <w:r/>
      <w:r/>
    </w:p>
    <w:p>
      <w:pPr>
        <w:pStyle w:val="1091"/>
        <w:jc w:val="center"/>
        <w:rPr>
          <w:color w:val="auto"/>
          <w:sz w:val="32"/>
          <w:szCs w:val="32"/>
          <w:highlight w:val="none"/>
        </w:rPr>
      </w:pPr>
      <w:r>
        <w:rPr>
          <w:rFonts w:hint="eastAsia"/>
          <w:color w:val="auto"/>
          <w:sz w:val="32"/>
          <w:szCs w:val="32"/>
          <w:highlight w:val="none"/>
        </w:rPr>
        <w:t xml:space="preserve">（一）技术响应偏差表</w:t>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5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5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90"/>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15"/>
        <w:jc w:val="center"/>
        <w:rPr>
          <w:rFonts w:hint="eastAsia"/>
          <w:color w:val="auto"/>
          <w:highlight w:val="none"/>
        </w:rPr>
      </w:pPr>
      <w:r>
        <w:rPr>
          <w:rFonts w:hint="eastAsia" w:hAnsi="宋体"/>
          <w:bCs/>
          <w:color w:val="auto"/>
          <w:sz w:val="24"/>
          <w:szCs w:val="28"/>
          <w:highlight w:val="none"/>
        </w:rPr>
        <w:t xml:space="preserve">注：1.投标人须对照招标文件第四部分“</w:t>
      </w:r>
      <w:r>
        <w:rPr>
          <w:rFonts w:hint="eastAsia" w:ascii="宋体" w:hAnsi="宋体" w:cs="宋体"/>
          <w:bCs/>
          <w:color w:val="auto"/>
          <w:sz w:val="24"/>
          <w:szCs w:val="36"/>
          <w:highlight w:val="none"/>
        </w:rPr>
        <w:t xml:space="preserve">项目</w:t>
      </w:r>
      <w:r>
        <w:rPr>
          <w:rFonts w:hint="eastAsia" w:hAnsi="宋体"/>
          <w:bCs/>
          <w:color w:val="auto"/>
          <w:sz w:val="24"/>
          <w:szCs w:val="28"/>
          <w:highlight w:val="none"/>
        </w:rPr>
        <w:t xml:space="preserve">需求”，逐条说明所提供货物和服务已对招标文件的技术规格做出了实质性的响应，并申明与技术规格条文的偏差和例外。</w:t>
      </w:r>
      <w:r/>
    </w:p>
    <w:p>
      <w:pPr>
        <w:rPr>
          <w:color w:val="auto"/>
          <w:highlight w:val="none"/>
        </w:rPr>
      </w:pPr>
      <w:r/>
      <w:bookmarkStart w:id="236" w:name="_Toc9396"/>
      <w:r/>
      <w:bookmarkStart w:id="237" w:name="_Toc8566"/>
      <w:r>
        <w:rPr>
          <w:color w:val="auto"/>
          <w:highlight w:val="none"/>
        </w:rPr>
        <w:br w:type="page" w:clear="all"/>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57"/>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对技术条款的响应的声明</w:t>
      </w:r>
      <w:r/>
    </w:p>
    <w:p>
      <w:pPr>
        <w:pStyle w:val="1157"/>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57"/>
        <w:spacing w:line="600" w:lineRule="exact"/>
        <w:rPr>
          <w:rFonts w:hint="eastAsia"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5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项目，我司投标文件符合招标文件要求，对采购需求中技术条款完全响应并且不存在重大偏离。</w:t>
      </w:r>
      <w:r/>
    </w:p>
    <w:p>
      <w:pPr>
        <w:pStyle w:val="115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5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color w:val="auto"/>
          <w:highlight w:val="none"/>
        </w:rPr>
      </w:pPr>
      <w:r>
        <w:rPr>
          <w:color w:val="auto"/>
          <w:highlight w:val="none"/>
        </w:rPr>
      </w:r>
      <w:r/>
    </w:p>
    <w:p>
      <w:pPr>
        <w:pStyle w:val="1091"/>
        <w:jc w:val="center"/>
        <w:rPr>
          <w:color w:val="auto"/>
          <w:sz w:val="32"/>
          <w:szCs w:val="32"/>
          <w:highlight w:val="none"/>
        </w:rPr>
      </w:pPr>
      <w:r>
        <w:rPr>
          <w:rFonts w:hint="eastAsia"/>
          <w:color w:val="auto"/>
          <w:sz w:val="32"/>
          <w:szCs w:val="32"/>
          <w:highlight w:val="none"/>
        </w:rPr>
        <w:t xml:space="preserve">（二）投标商务偏离表</w:t>
      </w:r>
      <w:bookmarkEnd w:id="236"/>
      <w:r/>
      <w:bookmarkEnd w:id="237"/>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5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5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90"/>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int="eastAsia" w:hAnsi="宋体" w:cs="宋体"/>
          <w:color w:val="auto"/>
          <w:highlight w:val="none"/>
        </w:rPr>
      </w:pPr>
      <w:r>
        <w:rPr>
          <w:rFonts w:hint="eastAsia" w:hAnsi="宋体" w:cs="宋体"/>
          <w:color w:val="auto"/>
          <w:highlight w:val="none"/>
        </w:rPr>
        <w:t xml:space="preserve">注：</w:t>
      </w:r>
      <w:r/>
    </w:p>
    <w:p>
      <w:pPr>
        <w:ind w:left="210"/>
        <w:spacing w:line="360" w:lineRule="auto"/>
        <w:rPr>
          <w:rFonts w:hint="eastAsia"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第五部分合同格式及条款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15"/>
        <w:rPr>
          <w:rFonts w:hint="eastAsia"/>
          <w:color w:val="auto"/>
          <w:highlight w:val="none"/>
        </w:rPr>
        <w:outlineLvl w:val="1"/>
      </w:pPr>
      <w:r>
        <w:rPr>
          <w:color w:val="auto"/>
          <w:highlight w:val="none"/>
        </w:rPr>
        <w:br w:type="page" w:clear="all"/>
      </w:r>
      <w:bookmarkStart w:id="238" w:name="_Toc15828"/>
      <w:r/>
      <w:bookmarkEnd w:id="238"/>
      <w:r/>
      <w:bookmarkStart w:id="239" w:name="_Toc26943"/>
      <w:r/>
      <w:bookmarkEnd w:id="239"/>
      <w:r/>
      <w:r/>
    </w:p>
    <w:p>
      <w:pPr>
        <w:pStyle w:val="1385"/>
        <w:rPr>
          <w:rFonts w:hint="eastAsia"/>
          <w:color w:val="auto"/>
          <w:highlight w:val="none"/>
        </w:rPr>
        <w:outlineLvl w:val="1"/>
      </w:pPr>
      <w:r/>
      <w:bookmarkStart w:id="240" w:name="_Toc25001_WPSOffice_Level2"/>
      <w:r/>
      <w:bookmarkStart w:id="241" w:name="_Toc20188"/>
      <w:r/>
      <w:bookmarkStart w:id="242" w:name="_Toc514054502"/>
      <w:r/>
      <w:bookmarkStart w:id="243" w:name="_Toc7579"/>
      <w:r/>
      <w:bookmarkStart w:id="244" w:name="_Toc109"/>
      <w:r/>
      <w:bookmarkStart w:id="245" w:name="_Toc21179"/>
      <w:r/>
      <w:bookmarkStart w:id="246" w:name="_Toc5519"/>
      <w:r/>
      <w:bookmarkStart w:id="247" w:name="_Toc164203484"/>
      <w:r>
        <w:rPr>
          <w:color w:val="auto"/>
          <w:highlight w:val="none"/>
        </w:rPr>
        <w:t xml:space="preserve">十</w:t>
      </w:r>
      <w:r>
        <w:rPr>
          <w:rFonts w:hint="eastAsia"/>
          <w:color w:val="auto"/>
          <w:highlight w:val="none"/>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0"/>
      <w:r/>
      <w:bookmarkEnd w:id="241"/>
      <w:r/>
      <w:bookmarkEnd w:id="242"/>
      <w:r/>
      <w:r/>
    </w:p>
    <w:p>
      <w:pPr>
        <w:pStyle w:val="1224"/>
        <w:jc w:val="center"/>
        <w:spacing w:line="560" w:lineRule="exact"/>
        <w:rPr>
          <w:rFonts w:ascii="宋体"/>
          <w:b/>
          <w:bCs/>
          <w:color w:val="auto"/>
          <w:sz w:val="32"/>
          <w:szCs w:val="32"/>
          <w:highlight w:val="none"/>
        </w:rPr>
      </w:pPr>
      <w:r/>
      <w:bookmarkStart w:id="248" w:name="_Toc2882_WPSOffice_Level2"/>
      <w:r>
        <w:rPr>
          <w:rFonts w:hint="eastAsia" w:ascii="宋体"/>
          <w:b/>
          <w:bCs/>
          <w:color w:val="auto"/>
          <w:sz w:val="32"/>
          <w:szCs w:val="32"/>
          <w:highlight w:val="none"/>
        </w:rPr>
        <w:t xml:space="preserve">按照招标文件要求，格式自拟</w:t>
      </w:r>
      <w:bookmarkEnd w:id="248"/>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53"/>
        <w:rPr>
          <w:rFonts w:hint="eastAsia"/>
          <w:color w:val="auto"/>
          <w:highlight w:val="none"/>
        </w:rPr>
        <w:outlineLvl w:val="1"/>
      </w:pPr>
      <w:r/>
      <w:bookmarkStart w:id="249" w:name="_Toc14378"/>
      <w:r>
        <w:rPr>
          <w:color w:val="auto"/>
          <w:highlight w:val="none"/>
        </w:rPr>
        <w:t xml:space="preserve">十</w:t>
      </w:r>
      <w:r>
        <w:rPr>
          <w:rFonts w:hint="eastAsia"/>
          <w:color w:val="auto"/>
          <w:highlight w:val="none"/>
        </w:rPr>
        <w:t xml:space="preserve">七</w:t>
      </w:r>
      <w:r>
        <w:rPr>
          <w:color w:val="auto"/>
          <w:highlight w:val="none"/>
        </w:rPr>
        <w:t xml:space="preserve">、类似项目业绩一览表</w:t>
      </w:r>
      <w:bookmarkEnd w:id="243"/>
      <w:r/>
      <w:bookmarkEnd w:id="244"/>
      <w:r/>
      <w:bookmarkEnd w:id="245"/>
      <w:r/>
      <w:bookmarkEnd w:id="246"/>
      <w:r/>
      <w:bookmarkEnd w:id="247"/>
      <w:r/>
      <w:bookmarkEnd w:id="249"/>
      <w:r/>
      <w:r/>
    </w:p>
    <w:p>
      <w:pPr>
        <w:pStyle w:val="1266"/>
        <w:jc w:val="center"/>
        <w:rPr>
          <w:b/>
          <w:color w:val="auto"/>
          <w:sz w:val="32"/>
          <w:szCs w:val="32"/>
          <w:highlight w:val="none"/>
        </w:rPr>
      </w:pPr>
      <w:r>
        <w:rPr>
          <w:rFonts w:hint="eastAsia"/>
          <w:b/>
          <w:color w:val="auto"/>
          <w:sz w:val="32"/>
          <w:szCs w:val="32"/>
          <w:highlight w:val="none"/>
        </w:rPr>
        <w:t xml:space="preserve">类似项目业绩一览表</w:t>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0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30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30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30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0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53"/>
        <w:rPr>
          <w:rFonts w:hint="eastAsia"/>
          <w:color w:val="auto"/>
          <w:highlight w:val="none"/>
        </w:rPr>
        <w:outlineLvl w:val="1"/>
      </w:pPr>
      <w:r>
        <w:rPr>
          <w:color w:val="auto"/>
          <w:highlight w:val="none"/>
        </w:rPr>
        <w:br w:type="page" w:clear="all"/>
      </w:r>
      <w:bookmarkStart w:id="250" w:name="_Toc20255"/>
      <w:r/>
      <w:bookmarkStart w:id="251" w:name="_Toc15753"/>
      <w:r/>
      <w:bookmarkStart w:id="252" w:name="_Toc5295"/>
      <w:r/>
      <w:bookmarkStart w:id="253" w:name="_Toc164203485"/>
      <w:r/>
      <w:bookmarkStart w:id="254" w:name="_Toc6607"/>
      <w:r/>
      <w:bookmarkStart w:id="255" w:name="_Toc14046"/>
      <w:r/>
      <w:r/>
    </w:p>
    <w:p>
      <w:pPr>
        <w:pStyle w:val="1253"/>
        <w:rPr>
          <w:rFonts w:hint="eastAsia"/>
          <w:color w:val="auto"/>
          <w:highlight w:val="none"/>
        </w:rPr>
        <w:outlineLvl w:val="1"/>
      </w:pPr>
      <w:r>
        <w:rPr>
          <w:rFonts w:hint="eastAsia"/>
          <w:color w:val="auto"/>
          <w:highlight w:val="none"/>
        </w:rPr>
        <w:t xml:space="preserve">十八</w:t>
      </w:r>
      <w:r>
        <w:rPr>
          <w:color w:val="auto"/>
          <w:highlight w:val="none"/>
        </w:rPr>
        <w:t xml:space="preserve">、投标所需其他材料</w:t>
      </w:r>
      <w:bookmarkEnd w:id="250"/>
      <w:r/>
      <w:bookmarkEnd w:id="251"/>
      <w:r/>
      <w:bookmarkEnd w:id="252"/>
      <w:r/>
      <w:bookmarkEnd w:id="253"/>
      <w:r/>
      <w:bookmarkEnd w:id="254"/>
      <w:r/>
      <w:bookmarkEnd w:id="255"/>
      <w:r/>
      <w:r/>
    </w:p>
    <w:p>
      <w:pPr>
        <w:pStyle w:val="1390"/>
        <w:ind w:firstLine="420"/>
        <w:spacing w:line="360" w:lineRule="auto"/>
        <w:rPr>
          <w:color w:val="auto"/>
          <w:highlight w:val="none"/>
        </w:rPr>
      </w:pPr>
      <w:r>
        <w:rPr>
          <w:rFonts w:hint="eastAsia"/>
          <w:color w:val="auto"/>
          <w:highlight w:val="none"/>
        </w:rPr>
        <w:t xml:space="preserve">请在此文档中增加投标所需其他相关内容（包括资格要求、评分办法、项目需求中涉及的证件证明及其它投标人认为有必要提供的资料），如没有请空置。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int="eastAsia" w:hAnsi="宋体" w:cs="宋体"/>
          <w:bCs/>
          <w:color w:val="auto"/>
          <w:sz w:val="44"/>
          <w:szCs w:val="44"/>
          <w:highlight w:val="none"/>
        </w:rPr>
        <w:outlineLvl w:val="0"/>
      </w:pPr>
      <w:r/>
      <w:bookmarkStart w:id="256" w:name="_Toc3075"/>
      <w:r>
        <w:rPr>
          <w:rFonts w:hint="eastAsia" w:hAnsi="宋体" w:cs="宋体"/>
          <w:bCs/>
          <w:color w:val="auto"/>
          <w:sz w:val="44"/>
          <w:szCs w:val="44"/>
          <w:highlight w:val="none"/>
        </w:rPr>
        <w:t xml:space="preserve">第七部分：特别提醒</w:t>
      </w:r>
      <w:bookmarkEnd w:id="256"/>
      <w:r/>
      <w:r/>
    </w:p>
    <w:p>
      <w:pPr>
        <w:jc w:val="center"/>
        <w:spacing w:line="360" w:lineRule="auto"/>
        <w:rPr>
          <w:rFonts w:hint="eastAsia" w:hAnsi="宋体" w:cs="宋体"/>
          <w:bCs/>
          <w:color w:val="auto"/>
          <w:sz w:val="44"/>
          <w:szCs w:val="44"/>
          <w:highlight w:val="none"/>
        </w:rPr>
        <w:outlineLvl w:val="0"/>
      </w:pPr>
      <w:r/>
      <w:bookmarkStart w:id="257" w:name="_Toc31159"/>
      <w:r>
        <w:rPr>
          <w:rFonts w:hint="eastAsia" w:hAnsi="宋体" w:cs="宋体"/>
          <w:bCs/>
          <w:color w:val="auto"/>
          <w:sz w:val="44"/>
          <w:szCs w:val="44"/>
          <w:highlight w:val="none"/>
        </w:rPr>
        <w:t xml:space="preserve">（有关围标串标情形的判定）</w:t>
      </w:r>
      <w:bookmarkEnd w:id="257"/>
      <w:r/>
      <w:r/>
    </w:p>
    <w:p>
      <w:pP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spacing w:line="360" w:lineRule="auto"/>
        <w:tabs>
          <w:tab w:val="left" w:pos="3965" w:leader="none"/>
        </w:tabs>
        <w:rPr>
          <w:rFonts w:hint="eastAsia"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rPr>
          <w:rFonts w:hint="eastAsia"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int="eastAsia"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int="eastAsia"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int="eastAsia"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int="eastAsia"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int="eastAsia"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int="eastAsia" w:hAnsi="宋体" w:cs="Arial"/>
          <w:color w:val="auto"/>
          <w:highlight w:val="none"/>
        </w:rPr>
      </w:pPr>
      <w:r>
        <w:rPr>
          <w:rFonts w:hint="eastAsia" w:hAnsi="宋体" w:cs="Arial"/>
          <w:color w:val="auto"/>
          <w:highlight w:val="none"/>
        </w:rPr>
      </w:r>
      <w:r/>
    </w:p>
    <w:p>
      <w:pPr>
        <w:spacing w:line="360" w:lineRule="auto"/>
        <w:rPr>
          <w:rFonts w:hint="eastAsia"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4"/>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tabs>
        <w:tab w:val="center" w:pos="4153" w:leader="none"/>
        <w:tab w:val="clear" w:pos="7143" w:leader="none"/>
        <w:tab w:val="right" w:pos="8306" w:leader="none"/>
        <w:tab w:val="clear" w:pos="14287" w:leader="none"/>
      </w:tabs>
    </w:pPr>
    <w:r/>
    <w:r/>
  </w:p>
  <w:p>
    <w:pPr>
      <w:pStyle w:val="788"/>
      <w:ind w:right="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w:r/>
  </w:p>
  <w:p>
    <w:pPr>
      <w:pStyle w:val="103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spacing w:line="330" w:lineRule="atLeast"/>
      <w:widowControl/>
      <w:rPr>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                            公开·公平·公正·诚实信用</w:t>
    </w:r>
    <w:r/>
  </w:p>
  <w:p>
    <w:pPr>
      <w:pStyle w:val="789"/>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27"/>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26"/>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7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2"/>
  </w:num>
  <w:num w:numId="5">
    <w:abstractNumId w:val="4"/>
  </w:num>
  <w:num w:numId="6">
    <w:abstractNumId w:val="7"/>
  </w:num>
  <w:num w:numId="7">
    <w:abstractNumId w:val="8"/>
  </w:num>
  <w:num w:numId="8">
    <w:abstractNumId w:val="11"/>
  </w:num>
  <w:num w:numId="9">
    <w:abstractNumId w:val="6"/>
    <w:lvlOverride w:ilvl="0">
      <w:startOverride w:val="1"/>
    </w:lvlOverride>
  </w:num>
  <w:num w:numId="10">
    <w:abstractNumId w:val="0"/>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2">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1">
    <w:name w:val="TOC Heading"/>
    <w:uiPriority w:val="39"/>
    <w:unhideWhenUsed/>
  </w:style>
  <w:style w:type="paragraph" w:styleId="76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3">
    <w:name w:val="Heading 1"/>
    <w:basedOn w:val="762"/>
    <w:next w:val="762"/>
    <w:link w:val="867"/>
    <w:uiPriority w:val="9"/>
    <w:qFormat/>
    <w:pPr>
      <w:jc w:val="center"/>
      <w:keepLines/>
      <w:keepNext/>
      <w:spacing w:before="480" w:after="200"/>
      <w:outlineLvl w:val="0"/>
    </w:pPr>
    <w:rPr>
      <w:rFonts w:ascii="宋体" w:hAnsi="宋体" w:eastAsia="Arial" w:cs="宋体"/>
      <w:b/>
      <w:color w:val="000000"/>
      <w:sz w:val="44"/>
      <w:szCs w:val="44"/>
    </w:rPr>
  </w:style>
  <w:style w:type="paragraph" w:styleId="764">
    <w:name w:val="Heading 2"/>
    <w:basedOn w:val="762"/>
    <w:next w:val="762"/>
    <w:uiPriority w:val="9"/>
    <w:semiHidden/>
    <w:unhideWhenUsed/>
    <w:qFormat/>
    <w:pPr>
      <w:keepLines/>
      <w:keepNext/>
      <w:spacing w:before="360" w:after="200"/>
      <w:outlineLvl w:val="1"/>
    </w:pPr>
    <w:rPr>
      <w:rFonts w:ascii="Arial" w:hAnsi="Arial" w:eastAsia="Arial" w:cs="Arial"/>
      <w:sz w:val="34"/>
    </w:rPr>
  </w:style>
  <w:style w:type="paragraph" w:styleId="765">
    <w:name w:val="Heading 3"/>
    <w:basedOn w:val="762"/>
    <w:next w:val="762"/>
    <w:uiPriority w:val="9"/>
    <w:semiHidden/>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semiHidden/>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68"/>
    <w:uiPriority w:val="9"/>
    <w:semiHidden/>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69"/>
    <w:uiPriority w:val="9"/>
    <w:semiHidden/>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link w:val="870"/>
    <w:uiPriority w:val="9"/>
    <w:qFormat/>
    <w:pPr>
      <w:keepLines/>
      <w:keepNext/>
      <w:spacing w:before="320" w:after="200"/>
      <w:outlineLvl w:val="6"/>
    </w:pPr>
    <w:rPr>
      <w:rFonts w:ascii="Arial" w:hAnsi="Arial" w:eastAsia="Arial" w:cs="Arial"/>
      <w:b/>
      <w:bCs/>
      <w:i/>
      <w:iCs/>
      <w:sz w:val="22"/>
    </w:rPr>
  </w:style>
  <w:style w:type="paragraph" w:styleId="770">
    <w:name w:val="Heading 8"/>
    <w:basedOn w:val="762"/>
    <w:next w:val="762"/>
    <w:link w:val="871"/>
    <w:uiPriority w:val="9"/>
    <w:qFormat/>
    <w:pPr>
      <w:keepLines/>
      <w:keepNext/>
      <w:spacing w:before="320" w:after="200"/>
      <w:outlineLvl w:val="7"/>
    </w:pPr>
    <w:rPr>
      <w:rFonts w:ascii="Arial" w:hAnsi="Arial" w:eastAsia="Arial" w:cs="Arial"/>
      <w:i/>
      <w:iCs/>
      <w:sz w:val="22"/>
    </w:rPr>
  </w:style>
  <w:style w:type="paragraph" w:styleId="771">
    <w:name w:val="Heading 9"/>
    <w:basedOn w:val="762"/>
    <w:next w:val="762"/>
    <w:link w:val="872"/>
    <w:uiPriority w:val="9"/>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qFormat/>
    <w:pPr>
      <w:ind w:left="1701"/>
      <w:spacing w:after="57"/>
    </w:pPr>
  </w:style>
  <w:style w:type="paragraph" w:styleId="775">
    <w:name w:val="Normal Indent"/>
    <w:basedOn w:val="762"/>
    <w:uiPriority w:val="0"/>
    <w:qFormat/>
    <w:pPr>
      <w:ind w:firstLine="420"/>
    </w:pPr>
  </w:style>
  <w:style w:type="paragraph" w:styleId="776">
    <w:name w:val="Caption"/>
    <w:basedOn w:val="762"/>
    <w:next w:val="762"/>
    <w:uiPriority w:val="35"/>
    <w:qFormat/>
    <w:pPr>
      <w:spacing w:line="276" w:lineRule="auto"/>
    </w:pPr>
    <w:rPr>
      <w:b/>
      <w:bCs/>
      <w:color w:val="4f81bd"/>
      <w:sz w:val="18"/>
      <w:szCs w:val="18"/>
    </w:rPr>
  </w:style>
  <w:style w:type="paragraph" w:styleId="777">
    <w:name w:val="annotation text"/>
    <w:basedOn w:val="762"/>
    <w:uiPriority w:val="99"/>
    <w:qFormat/>
    <w:pPr>
      <w:jc w:val="left"/>
    </w:pPr>
  </w:style>
  <w:style w:type="paragraph" w:styleId="778">
    <w:name w:val="Body Text"/>
    <w:basedOn w:val="762"/>
    <w:uiPriority w:val="0"/>
    <w:qFormat/>
    <w:pPr>
      <w:spacing w:after="120"/>
    </w:pPr>
    <w:rPr>
      <w:rFonts w:eastAsia="Times New Roman"/>
    </w:rPr>
  </w:style>
  <w:style w:type="paragraph" w:styleId="779">
    <w:name w:val="Body Text Indent"/>
    <w:basedOn w:val="762"/>
    <w:link w:val="1438"/>
    <w:uiPriority w:val="99"/>
    <w:qFormat/>
    <w:pPr>
      <w:ind w:left="420"/>
      <w:spacing w:after="120"/>
    </w:pPr>
  </w:style>
  <w:style w:type="paragraph" w:styleId="780">
    <w:name w:val="index 4"/>
    <w:basedOn w:val="762"/>
    <w:next w:val="762"/>
    <w:uiPriority w:val="99"/>
    <w:qFormat/>
    <w:pPr>
      <w:ind w:left="1260"/>
    </w:pPr>
  </w:style>
  <w:style w:type="paragraph" w:styleId="781">
    <w:name w:val="toc 5"/>
    <w:basedOn w:val="762"/>
    <w:next w:val="762"/>
    <w:uiPriority w:val="39"/>
    <w:qFormat/>
    <w:pPr>
      <w:ind w:left="1134"/>
      <w:spacing w:after="57"/>
    </w:pPr>
  </w:style>
  <w:style w:type="paragraph" w:styleId="782">
    <w:name w:val="toc 3"/>
    <w:basedOn w:val="762"/>
    <w:next w:val="762"/>
    <w:uiPriority w:val="39"/>
    <w:qFormat/>
    <w:pPr>
      <w:ind w:left="567"/>
      <w:spacing w:after="57"/>
    </w:pPr>
  </w:style>
  <w:style w:type="paragraph" w:styleId="783">
    <w:name w:val="Plain Text"/>
    <w:basedOn w:val="762"/>
    <w:uiPriority w:val="0"/>
    <w:qFormat/>
    <w:rPr>
      <w:rFonts w:ascii="宋体"/>
      <w:szCs w:val="21"/>
    </w:rPr>
  </w:style>
  <w:style w:type="paragraph" w:styleId="784">
    <w:name w:val="toc 8"/>
    <w:basedOn w:val="762"/>
    <w:next w:val="762"/>
    <w:uiPriority w:val="39"/>
    <w:qFormat/>
    <w:pPr>
      <w:ind w:left="1984"/>
      <w:spacing w:after="57"/>
    </w:pPr>
  </w:style>
  <w:style w:type="paragraph" w:styleId="785">
    <w:name w:val="Date"/>
    <w:basedOn w:val="762"/>
    <w:next w:val="762"/>
    <w:link w:val="1436"/>
    <w:uiPriority w:val="99"/>
    <w:qFormat/>
    <w:pPr>
      <w:ind w:left="100"/>
    </w:pPr>
  </w:style>
  <w:style w:type="paragraph" w:styleId="786">
    <w:name w:val="Body Text Indent 2"/>
    <w:basedOn w:val="762"/>
    <w:uiPriority w:val="0"/>
    <w:qFormat/>
    <w:pPr>
      <w:ind w:firstLine="225"/>
      <w:jc w:val="left"/>
      <w:spacing w:line="540" w:lineRule="exact"/>
    </w:pPr>
    <w:rPr>
      <w:rFonts w:ascii="仿宋_GB2312" w:eastAsia="仿宋_GB2312"/>
      <w:sz w:val="32"/>
    </w:rPr>
  </w:style>
  <w:style w:type="paragraph" w:styleId="787">
    <w:name w:val="endnote text"/>
    <w:basedOn w:val="762"/>
    <w:link w:val="988"/>
    <w:uiPriority w:val="99"/>
    <w:qFormat/>
    <w:rPr>
      <w:sz w:val="20"/>
    </w:rPr>
  </w:style>
  <w:style w:type="paragraph" w:styleId="788">
    <w:name w:val="Footer"/>
    <w:basedOn w:val="762"/>
    <w:link w:val="880"/>
    <w:uiPriority w:val="99"/>
    <w:qFormat/>
    <w:pPr>
      <w:tabs>
        <w:tab w:val="center" w:pos="7143" w:leader="none"/>
        <w:tab w:val="right" w:pos="14287" w:leader="none"/>
      </w:tabs>
    </w:pPr>
  </w:style>
  <w:style w:type="paragraph" w:styleId="789">
    <w:name w:val="Header"/>
    <w:basedOn w:val="762"/>
    <w:uiPriority w:val="99"/>
    <w:qFormat/>
    <w:pPr>
      <w:tabs>
        <w:tab w:val="center" w:pos="7143" w:leader="none"/>
        <w:tab w:val="right" w:pos="14287" w:leader="none"/>
      </w:tabs>
    </w:pPr>
  </w:style>
  <w:style w:type="paragraph" w:styleId="790">
    <w:name w:val="toc 1"/>
    <w:basedOn w:val="762"/>
    <w:next w:val="762"/>
    <w:uiPriority w:val="39"/>
    <w:qFormat/>
    <w:pPr>
      <w:spacing w:after="57"/>
    </w:pPr>
  </w:style>
  <w:style w:type="paragraph" w:styleId="791">
    <w:name w:val="toc 4"/>
    <w:basedOn w:val="762"/>
    <w:next w:val="762"/>
    <w:uiPriority w:val="39"/>
    <w:qFormat/>
    <w:pPr>
      <w:ind w:left="850"/>
      <w:spacing w:after="57"/>
    </w:pPr>
  </w:style>
  <w:style w:type="paragraph" w:styleId="792">
    <w:name w:val="Subtitle"/>
    <w:basedOn w:val="762"/>
    <w:next w:val="762"/>
    <w:link w:val="875"/>
    <w:uiPriority w:val="11"/>
    <w:qFormat/>
    <w:pPr>
      <w:spacing w:before="200" w:after="200"/>
    </w:pPr>
    <w:rPr>
      <w:sz w:val="24"/>
      <w:szCs w:val="24"/>
    </w:rPr>
  </w:style>
  <w:style w:type="paragraph" w:styleId="793">
    <w:name w:val="footnote text"/>
    <w:basedOn w:val="762"/>
    <w:link w:val="987"/>
    <w:uiPriority w:val="0"/>
    <w:qFormat/>
    <w:pPr>
      <w:spacing w:after="40"/>
    </w:pPr>
    <w:rPr>
      <w:sz w:val="18"/>
    </w:rPr>
  </w:style>
  <w:style w:type="paragraph" w:styleId="794">
    <w:name w:val="toc 6"/>
    <w:basedOn w:val="762"/>
    <w:next w:val="762"/>
    <w:uiPriority w:val="39"/>
    <w:qFormat/>
    <w:pPr>
      <w:ind w:left="1417"/>
      <w:spacing w:after="57"/>
    </w:pPr>
  </w:style>
  <w:style w:type="paragraph" w:styleId="795">
    <w:name w:val="table of figures"/>
    <w:basedOn w:val="762"/>
    <w:next w:val="762"/>
    <w:uiPriority w:val="99"/>
    <w:qFormat/>
  </w:style>
  <w:style w:type="paragraph" w:styleId="796">
    <w:name w:val="toc 2"/>
    <w:basedOn w:val="762"/>
    <w:next w:val="762"/>
    <w:uiPriority w:val="39"/>
    <w:qFormat/>
    <w:pPr>
      <w:ind w:left="283"/>
      <w:spacing w:after="57"/>
    </w:pPr>
  </w:style>
  <w:style w:type="paragraph" w:styleId="797">
    <w:name w:val="toc 9"/>
    <w:basedOn w:val="762"/>
    <w:next w:val="762"/>
    <w:uiPriority w:val="39"/>
    <w:qFormat/>
    <w:pPr>
      <w:ind w:left="2268"/>
      <w:spacing w:after="57"/>
    </w:pPr>
  </w:style>
  <w:style w:type="paragraph" w:styleId="798">
    <w:name w:val="HTML Preformatted"/>
    <w:basedOn w:val="762"/>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99">
    <w:name w:val="Normal (Web)"/>
    <w:basedOn w:val="762"/>
    <w:uiPriority w:val="0"/>
    <w:qFormat/>
    <w:pPr>
      <w:jc w:val="left"/>
      <w:spacing w:before="100" w:beforeAutospacing="1" w:after="100" w:afterAutospacing="1"/>
      <w:widowControl/>
    </w:pPr>
    <w:rPr>
      <w:rFonts w:ascii="宋体" w:eastAsia="Times New Roman"/>
      <w:sz w:val="24"/>
      <w:szCs w:val="20"/>
    </w:rPr>
  </w:style>
  <w:style w:type="paragraph" w:styleId="800">
    <w:name w:val="Title"/>
    <w:basedOn w:val="762"/>
    <w:next w:val="762"/>
    <w:link w:val="874"/>
    <w:uiPriority w:val="10"/>
    <w:qFormat/>
    <w:pPr>
      <w:contextualSpacing/>
      <w:spacing w:before="300" w:after="200"/>
    </w:pPr>
    <w:rPr>
      <w:sz w:val="48"/>
      <w:szCs w:val="48"/>
    </w:rPr>
  </w:style>
  <w:style w:type="paragraph" w:styleId="801">
    <w:name w:val="Body Text First Indent 2"/>
    <w:basedOn w:val="779"/>
    <w:uiPriority w:val="0"/>
    <w:qFormat/>
    <w:pPr>
      <w:ind w:left="200" w:firstLine="200"/>
    </w:p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2"/>
    <w:uiPriority w:val="0"/>
    <w:qFormat/>
    <w:rPr>
      <w:b/>
    </w:rPr>
  </w:style>
  <w:style w:type="character" w:styleId="804">
    <w:name w:val="endnote reference"/>
    <w:uiPriority w:val="99"/>
    <w:qFormat/>
    <w:rPr>
      <w:vertAlign w:val="superscript"/>
    </w:rPr>
  </w:style>
  <w:style w:type="character" w:styleId="805">
    <w:name w:val="FollowedHyperlink"/>
    <w:basedOn w:val="772"/>
    <w:uiPriority w:val="99"/>
    <w:semiHidden/>
    <w:unhideWhenUsed/>
    <w:qFormat/>
    <w:rPr>
      <w:color w:val="800080"/>
      <w:u w:val="single"/>
    </w:rPr>
  </w:style>
  <w:style w:type="character" w:styleId="806">
    <w:name w:val="Emphasis"/>
    <w:uiPriority w:val="0"/>
    <w:qFormat/>
    <w:rPr>
      <w:i/>
    </w:rPr>
  </w:style>
  <w:style w:type="character" w:styleId="807">
    <w:name w:val="Hyperlink"/>
    <w:uiPriority w:val="99"/>
    <w:qFormat/>
    <w:rPr>
      <w:color w:val="0000ff"/>
      <w:u w:val="single"/>
    </w:rPr>
  </w:style>
  <w:style w:type="character" w:styleId="808">
    <w:name w:val="annotation reference"/>
    <w:basedOn w:val="772"/>
    <w:uiPriority w:val="99"/>
    <w:qFormat/>
    <w:rPr>
      <w:sz w:val="21"/>
      <w:szCs w:val="21"/>
    </w:rPr>
  </w:style>
  <w:style w:type="character" w:styleId="809">
    <w:name w:val="footnote reference"/>
    <w:uiPriority w:val="0"/>
    <w:qFormat/>
    <w:rPr>
      <w:vertAlign w:val="superscript"/>
    </w:rPr>
  </w:style>
  <w:style w:type="paragraph" w:styleId="810" w:customStyle="1">
    <w:name w:val="正文文本缩进1"/>
    <w:basedOn w:val="811"/>
    <w:next w:val="762"/>
    <w:uiPriority w:val="99"/>
    <w:qFormat/>
    <w:pPr>
      <w:ind w:left="420"/>
      <w:spacing w:after="120"/>
    </w:pPr>
    <w:rPr>
      <w:rFonts w:ascii="Calibri" w:hAnsi="Calibri" w:cs="Calibri"/>
    </w:rPr>
  </w:style>
  <w:style w:type="paragraph" w:styleId="811" w:customStyle="1">
    <w:name w:val="正文11"/>
    <w:uiPriority w:val="99"/>
    <w:qFormat/>
    <w:pPr>
      <w:widowControl w:val="off"/>
    </w:pPr>
    <w:rPr>
      <w:rFonts w:ascii="Times New Roman" w:hAnsi="Times New Roman" w:eastAsia="宋体" w:cs="Times New Roman"/>
      <w:sz w:val="21"/>
      <w:szCs w:val="21"/>
      <w:lang w:val="en-US" w:eastAsia="zh-CN" w:bidi="ar-SA"/>
    </w:rPr>
  </w:style>
  <w:style w:type="character" w:styleId="812" w:customStyle="1">
    <w:name w:val="Heading 1 Char"/>
    <w:basedOn w:val="772"/>
    <w:uiPriority w:val="9"/>
    <w:qFormat/>
    <w:rPr>
      <w:rFonts w:ascii="Arial" w:hAnsi="Arial" w:eastAsia="Arial" w:cs="Arial"/>
      <w:sz w:val="40"/>
      <w:szCs w:val="40"/>
    </w:rPr>
  </w:style>
  <w:style w:type="character" w:styleId="813" w:customStyle="1">
    <w:name w:val="Heading 2 Char"/>
    <w:basedOn w:val="772"/>
    <w:uiPriority w:val="9"/>
    <w:qFormat/>
    <w:rPr>
      <w:rFonts w:ascii="Arial" w:hAnsi="Arial" w:eastAsia="Arial" w:cs="Arial"/>
      <w:sz w:val="34"/>
    </w:rPr>
  </w:style>
  <w:style w:type="character" w:styleId="814" w:customStyle="1">
    <w:name w:val="Heading 3 Char"/>
    <w:basedOn w:val="772"/>
    <w:uiPriority w:val="9"/>
    <w:qFormat/>
    <w:rPr>
      <w:rFonts w:ascii="Arial" w:hAnsi="Arial" w:eastAsia="Arial" w:cs="Arial"/>
      <w:sz w:val="30"/>
      <w:szCs w:val="30"/>
    </w:rPr>
  </w:style>
  <w:style w:type="character" w:styleId="815" w:customStyle="1">
    <w:name w:val="Heading 4 Char"/>
    <w:basedOn w:val="772"/>
    <w:uiPriority w:val="9"/>
    <w:qFormat/>
    <w:rPr>
      <w:rFonts w:ascii="Arial" w:hAnsi="Arial" w:eastAsia="Arial" w:cs="Arial"/>
      <w:b/>
      <w:bCs/>
      <w:sz w:val="26"/>
      <w:szCs w:val="26"/>
    </w:rPr>
  </w:style>
  <w:style w:type="character" w:styleId="816" w:customStyle="1">
    <w:name w:val="Heading 5 Char"/>
    <w:basedOn w:val="772"/>
    <w:uiPriority w:val="9"/>
    <w:qFormat/>
    <w:rPr>
      <w:rFonts w:ascii="Arial" w:hAnsi="Arial" w:eastAsia="Arial" w:cs="Arial"/>
      <w:b/>
      <w:bCs/>
      <w:sz w:val="24"/>
      <w:szCs w:val="24"/>
    </w:rPr>
  </w:style>
  <w:style w:type="character" w:styleId="817" w:customStyle="1">
    <w:name w:val="Heading 6 Char"/>
    <w:basedOn w:val="772"/>
    <w:uiPriority w:val="9"/>
    <w:qFormat/>
    <w:rPr>
      <w:rFonts w:ascii="Arial" w:hAnsi="Arial" w:eastAsia="Arial" w:cs="Arial"/>
      <w:b/>
      <w:bCs/>
      <w:sz w:val="22"/>
      <w:szCs w:val="22"/>
    </w:rPr>
  </w:style>
  <w:style w:type="character" w:styleId="818" w:customStyle="1">
    <w:name w:val="Heading 7 Char"/>
    <w:basedOn w:val="772"/>
    <w:uiPriority w:val="9"/>
    <w:qFormat/>
    <w:rPr>
      <w:rFonts w:ascii="Arial" w:hAnsi="Arial" w:eastAsia="Arial" w:cs="Arial"/>
      <w:b/>
      <w:bCs/>
      <w:i/>
      <w:iCs/>
      <w:sz w:val="22"/>
      <w:szCs w:val="22"/>
    </w:rPr>
  </w:style>
  <w:style w:type="character" w:styleId="819" w:customStyle="1">
    <w:name w:val="Heading 8 Char"/>
    <w:basedOn w:val="772"/>
    <w:uiPriority w:val="9"/>
    <w:qFormat/>
    <w:rPr>
      <w:rFonts w:ascii="Arial" w:hAnsi="Arial" w:eastAsia="Arial" w:cs="Arial"/>
      <w:i/>
      <w:iCs/>
      <w:sz w:val="22"/>
      <w:szCs w:val="22"/>
    </w:rPr>
  </w:style>
  <w:style w:type="character" w:styleId="820" w:customStyle="1">
    <w:name w:val="Heading 9 Char"/>
    <w:basedOn w:val="772"/>
    <w:uiPriority w:val="9"/>
    <w:qFormat/>
    <w:rPr>
      <w:rFonts w:ascii="Arial" w:hAnsi="Arial" w:eastAsia="Arial" w:cs="Arial"/>
      <w:i/>
      <w:iCs/>
      <w:sz w:val="21"/>
      <w:szCs w:val="21"/>
    </w:rPr>
  </w:style>
  <w:style w:type="character" w:styleId="821" w:customStyle="1">
    <w:name w:val="Title Char"/>
    <w:basedOn w:val="772"/>
    <w:uiPriority w:val="10"/>
    <w:qFormat/>
    <w:rPr>
      <w:sz w:val="48"/>
      <w:szCs w:val="48"/>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Header Char"/>
    <w:basedOn w:val="772"/>
    <w:uiPriority w:val="99"/>
    <w:qFormat/>
  </w:style>
  <w:style w:type="character" w:styleId="825" w:customStyle="1">
    <w:name w:val="Footer Char"/>
    <w:basedOn w:val="772"/>
    <w:uiPriority w:val="99"/>
    <w:qFormat/>
  </w:style>
  <w:style w:type="table" w:styleId="826" w:customStyle="1">
    <w:name w:val="无格式表格 11"/>
    <w:basedOn w:val="77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7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7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7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7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7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2" w:customStyle="1">
    <w:name w:val="网格表 21"/>
    <w:basedOn w:val="77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33" w:customStyle="1">
    <w:name w:val="网格表 31"/>
    <w:basedOn w:val="77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7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5" w:customStyle="1">
    <w:name w:val="网格表 5 深色1"/>
    <w:basedOn w:val="77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6" w:customStyle="1">
    <w:name w:val="网格表 6 彩色1"/>
    <w:basedOn w:val="77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7" w:customStyle="1">
    <w:name w:val="网格表 7 彩色1"/>
    <w:basedOn w:val="77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8" w:customStyle="1">
    <w:name w:val="清单表 1 浅色1"/>
    <w:basedOn w:val="773"/>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9" w:customStyle="1">
    <w:name w:val="清单表 21"/>
    <w:basedOn w:val="77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40" w:customStyle="1">
    <w:name w:val="清单表 31"/>
    <w:basedOn w:val="77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1" w:customStyle="1">
    <w:name w:val="清单表 41"/>
    <w:basedOn w:val="77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2" w:customStyle="1">
    <w:name w:val="清单表 5 深色1"/>
    <w:basedOn w:val="77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43" w:customStyle="1">
    <w:name w:val="清单表 6 彩色1"/>
    <w:basedOn w:val="77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44" w:customStyle="1">
    <w:name w:val="清单表 7 彩色1"/>
    <w:basedOn w:val="773"/>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45" w:customStyle="1">
    <w:name w:val="TOC 标题1"/>
    <w:uiPriority w:val="39"/>
    <w:unhideWhenUsed/>
    <w:qFormat/>
    <w:rPr>
      <w:rFonts w:ascii="Times New Roman" w:hAnsi="Times New Roman" w:eastAsia="宋体" w:cs="Times New Roman"/>
      <w:lang w:val="en-US" w:eastAsia="zh-CN" w:bidi="ar-SA"/>
    </w:rPr>
  </w:style>
  <w:style w:type="paragraph" w:styleId="84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7" w:customStyle="1">
    <w:name w:val="正文首行缩进11"/>
    <w:basedOn w:val="848"/>
    <w:uiPriority w:val="99"/>
    <w:unhideWhenUsed/>
    <w:qFormat/>
    <w:pPr>
      <w:ind w:firstLine="420"/>
    </w:pPr>
  </w:style>
  <w:style w:type="paragraph" w:styleId="848" w:customStyle="1">
    <w:name w:val="正文文本12"/>
    <w:basedOn w:val="762"/>
    <w:uiPriority w:val="0"/>
    <w:qFormat/>
    <w:rPr>
      <w:rFonts w:ascii="楷体_GB2312" w:hAnsi="Arial" w:eastAsia="楷体_GB2312"/>
      <w:sz w:val="28"/>
      <w:szCs w:val="28"/>
    </w:rPr>
  </w:style>
  <w:style w:type="paragraph" w:styleId="849" w:customStyle="1">
    <w:name w:val="样式1"/>
    <w:basedOn w:val="850"/>
    <w:next w:val="762"/>
    <w:uiPriority w:val="0"/>
    <w:qFormat/>
    <w:pPr>
      <w:tabs>
        <w:tab w:val="left" w:pos="0" w:leader="none"/>
        <w:tab w:val="left" w:pos="840" w:leader="none"/>
      </w:tabs>
    </w:pPr>
    <w:rPr>
      <w:rFonts w:ascii="Arial" w:hAnsi="Arial" w:eastAsia="幼圆" w:cs="Arial"/>
      <w:sz w:val="24"/>
      <w:szCs w:val="20"/>
    </w:rPr>
  </w:style>
  <w:style w:type="paragraph" w:styleId="850" w:customStyle="1">
    <w:name w:val="列表编号1"/>
    <w:basedOn w:val="762"/>
    <w:uiPriority w:val="0"/>
    <w:qFormat/>
    <w:pPr>
      <w:spacing w:line="360" w:lineRule="auto"/>
      <w:tabs>
        <w:tab w:val="left" w:pos="0" w:leader="none"/>
        <w:tab w:val="left" w:pos="840" w:leader="none"/>
      </w:tabs>
    </w:pPr>
  </w:style>
  <w:style w:type="paragraph" w:styleId="851" w:customStyle="1">
    <w:name w:val="TOC 标题112"/>
    <w:uiPriority w:val="39"/>
    <w:qFormat/>
    <w:rPr>
      <w:rFonts w:ascii="Times New Roman" w:hAnsi="Times New Roman" w:eastAsia="宋体" w:cs="Times New Roman"/>
      <w:lang w:val="en-US" w:eastAsia="zh-CN" w:bidi="ar-SA"/>
    </w:rPr>
  </w:style>
  <w:style w:type="character" w:styleId="852" w:customStyle="1">
    <w:name w:val="Heading 1 Char_434700aa-fe40-4ee6-9069-0a69300fd62b"/>
    <w:basedOn w:val="772"/>
    <w:uiPriority w:val="9"/>
    <w:qFormat/>
    <w:rPr>
      <w:rFonts w:ascii="Arial" w:hAnsi="Arial" w:eastAsia="Arial" w:cs="Arial"/>
      <w:sz w:val="40"/>
      <w:szCs w:val="40"/>
    </w:rPr>
  </w:style>
  <w:style w:type="character" w:styleId="853" w:customStyle="1">
    <w:name w:val="Heading 5 Char_925b8ece-8082-461d-ae29-1d41b41a7251"/>
    <w:basedOn w:val="772"/>
    <w:uiPriority w:val="9"/>
    <w:qFormat/>
    <w:rPr>
      <w:rFonts w:ascii="Arial" w:hAnsi="Arial" w:eastAsia="Arial" w:cs="Arial"/>
      <w:b/>
      <w:bCs/>
      <w:sz w:val="24"/>
      <w:szCs w:val="24"/>
    </w:rPr>
  </w:style>
  <w:style w:type="character" w:styleId="854" w:customStyle="1">
    <w:name w:val="Heading 6 Char_a35ea97a-1ce8-4d9b-8930-2f6c61bf63ec"/>
    <w:basedOn w:val="772"/>
    <w:uiPriority w:val="9"/>
    <w:qFormat/>
    <w:rPr>
      <w:rFonts w:ascii="Arial" w:hAnsi="Arial" w:eastAsia="Arial" w:cs="Arial"/>
      <w:b/>
      <w:bCs/>
      <w:sz w:val="22"/>
      <w:szCs w:val="22"/>
    </w:rPr>
  </w:style>
  <w:style w:type="character" w:styleId="855" w:customStyle="1">
    <w:name w:val="Heading 7 Char_187ddb87-c7bc-4839-9585-67a43c484026"/>
    <w:basedOn w:val="772"/>
    <w:uiPriority w:val="9"/>
    <w:qFormat/>
    <w:rPr>
      <w:rFonts w:ascii="Arial" w:hAnsi="Arial" w:eastAsia="Arial" w:cs="Arial"/>
      <w:b/>
      <w:bCs/>
      <w:i/>
      <w:iCs/>
      <w:sz w:val="22"/>
      <w:szCs w:val="22"/>
    </w:rPr>
  </w:style>
  <w:style w:type="character" w:styleId="856" w:customStyle="1">
    <w:name w:val="Heading 8 Char_f86cc6f1-e07f-46cd-8999-b4d6f395b7ab"/>
    <w:basedOn w:val="772"/>
    <w:uiPriority w:val="9"/>
    <w:qFormat/>
    <w:rPr>
      <w:rFonts w:ascii="Arial" w:hAnsi="Arial" w:eastAsia="Arial" w:cs="Arial"/>
      <w:i/>
      <w:iCs/>
      <w:sz w:val="22"/>
      <w:szCs w:val="22"/>
    </w:rPr>
  </w:style>
  <w:style w:type="character" w:styleId="857" w:customStyle="1">
    <w:name w:val="Heading 9 Char_78d770f5-7fe8-45f8-a379-5ea7765ab889"/>
    <w:basedOn w:val="772"/>
    <w:uiPriority w:val="9"/>
    <w:qFormat/>
    <w:rPr>
      <w:rFonts w:ascii="Arial" w:hAnsi="Arial" w:eastAsia="Arial" w:cs="Arial"/>
      <w:i/>
      <w:iCs/>
      <w:sz w:val="21"/>
      <w:szCs w:val="21"/>
    </w:rPr>
  </w:style>
  <w:style w:type="character" w:styleId="858" w:customStyle="1">
    <w:name w:val="Title Char_cba70f7b-6b0c-40c3-9c1d-79b000d9620e"/>
    <w:basedOn w:val="772"/>
    <w:uiPriority w:val="10"/>
    <w:qFormat/>
    <w:rPr>
      <w:sz w:val="48"/>
      <w:szCs w:val="48"/>
    </w:rPr>
  </w:style>
  <w:style w:type="character" w:styleId="859" w:customStyle="1">
    <w:name w:val="Subtitle Char"/>
    <w:basedOn w:val="772"/>
    <w:uiPriority w:val="11"/>
    <w:qFormat/>
    <w:rPr>
      <w:sz w:val="24"/>
      <w:szCs w:val="24"/>
    </w:rPr>
  </w:style>
  <w:style w:type="character" w:styleId="860" w:customStyle="1">
    <w:name w:val="Quote Char_7b531250-58de-49b9-9d0c-04cfbc5a8719"/>
    <w:uiPriority w:val="29"/>
    <w:qFormat/>
    <w:rPr>
      <w:i/>
    </w:rPr>
  </w:style>
  <w:style w:type="character" w:styleId="861" w:customStyle="1">
    <w:name w:val="Intense Quote Char_0c2ead29-d2a6-4ac5-8f7c-28c2f003bdba"/>
    <w:uiPriority w:val="30"/>
    <w:qFormat/>
    <w:rPr>
      <w:i/>
    </w:rPr>
  </w:style>
  <w:style w:type="character" w:styleId="862" w:customStyle="1">
    <w:name w:val="Caption Char"/>
    <w:uiPriority w:val="99"/>
    <w:qFormat/>
  </w:style>
  <w:style w:type="character" w:styleId="863" w:customStyle="1">
    <w:name w:val="Footnote Text Char"/>
    <w:uiPriority w:val="99"/>
    <w:qFormat/>
    <w:rPr>
      <w:sz w:val="18"/>
    </w:rPr>
  </w:style>
  <w:style w:type="character" w:styleId="864" w:customStyle="1">
    <w:name w:val="Endnote Text Char"/>
    <w:uiPriority w:val="99"/>
    <w:qFormat/>
    <w:rPr>
      <w:sz w:val="20"/>
    </w:rPr>
  </w:style>
  <w:style w:type="paragraph" w:styleId="865" w:customStyle="1">
    <w:name w:val="TOC 标题111"/>
    <w:uiPriority w:val="39"/>
    <w:qFormat/>
    <w:rPr>
      <w:rFonts w:ascii="Times New Roman" w:hAnsi="Times New Roman" w:eastAsia="宋体" w:cs="Times New Roman"/>
      <w:lang w:val="en-US" w:eastAsia="zh-CN" w:bidi="ar-SA"/>
    </w:rPr>
  </w:style>
  <w:style w:type="paragraph" w:styleId="866" w:customStyle="1">
    <w:name w:val="正文文本1"/>
    <w:basedOn w:val="762"/>
    <w:next w:val="762"/>
    <w:link w:val="1001"/>
    <w:uiPriority w:val="0"/>
    <w:qFormat/>
    <w:pPr>
      <w:spacing w:line="60" w:lineRule="auto"/>
    </w:pPr>
    <w:rPr>
      <w:rFonts w:ascii="仿宋_GB2312" w:eastAsia="仿宋_GB2312"/>
      <w:sz w:val="32"/>
    </w:rPr>
  </w:style>
  <w:style w:type="character" w:styleId="867" w:customStyle="1">
    <w:name w:val="标题 1 字符1"/>
    <w:link w:val="763"/>
    <w:uiPriority w:val="9"/>
    <w:qFormat/>
    <w:rPr>
      <w:rFonts w:ascii="宋体" w:hAnsi="宋体" w:eastAsia="Arial" w:cs="宋体"/>
      <w:b/>
      <w:color w:val="000000"/>
      <w:sz w:val="44"/>
      <w:szCs w:val="44"/>
      <w:highlight w:val="none"/>
      <w:lang w:val="en-US" w:eastAsia="zh-CN" w:bidi="ar-SA"/>
    </w:rPr>
  </w:style>
  <w:style w:type="character" w:styleId="868" w:customStyle="1">
    <w:name w:val="标题 5 字符"/>
    <w:link w:val="767"/>
    <w:uiPriority w:val="9"/>
    <w:qFormat/>
    <w:rPr>
      <w:rFonts w:ascii="Arial" w:hAnsi="Arial" w:eastAsia="Arial" w:cs="Arial"/>
      <w:b/>
      <w:bCs/>
      <w:sz w:val="24"/>
      <w:szCs w:val="24"/>
    </w:rPr>
  </w:style>
  <w:style w:type="character" w:styleId="869" w:customStyle="1">
    <w:name w:val="标题 6 字符"/>
    <w:link w:val="768"/>
    <w:uiPriority w:val="9"/>
    <w:qFormat/>
    <w:rPr>
      <w:rFonts w:ascii="Arial" w:hAnsi="Arial" w:eastAsia="Arial" w:cs="Arial"/>
      <w:b/>
      <w:bCs/>
      <w:sz w:val="22"/>
      <w:szCs w:val="22"/>
    </w:rPr>
  </w:style>
  <w:style w:type="character" w:styleId="870" w:customStyle="1">
    <w:name w:val="标题 7 字符"/>
    <w:link w:val="769"/>
    <w:uiPriority w:val="9"/>
    <w:qFormat/>
    <w:rPr>
      <w:rFonts w:ascii="Arial" w:hAnsi="Arial" w:eastAsia="Arial" w:cs="Arial"/>
      <w:b/>
      <w:bCs/>
      <w:i/>
      <w:iCs/>
      <w:sz w:val="22"/>
      <w:szCs w:val="22"/>
    </w:rPr>
  </w:style>
  <w:style w:type="character" w:styleId="871" w:customStyle="1">
    <w:name w:val="标题 8 字符"/>
    <w:link w:val="770"/>
    <w:uiPriority w:val="9"/>
    <w:qFormat/>
    <w:rPr>
      <w:rFonts w:ascii="Arial" w:hAnsi="Arial" w:eastAsia="Arial" w:cs="Arial"/>
      <w:i/>
      <w:iCs/>
      <w:sz w:val="22"/>
      <w:szCs w:val="22"/>
    </w:rPr>
  </w:style>
  <w:style w:type="character" w:styleId="872" w:customStyle="1">
    <w:name w:val="标题 9 字符"/>
    <w:link w:val="771"/>
    <w:uiPriority w:val="9"/>
    <w:qFormat/>
    <w:rPr>
      <w:rFonts w:ascii="Arial" w:hAnsi="Arial" w:eastAsia="Arial" w:cs="Arial"/>
      <w:i/>
      <w:iCs/>
      <w:sz w:val="21"/>
      <w:szCs w:val="21"/>
    </w:rPr>
  </w:style>
  <w:style w:type="paragraph" w:styleId="873">
    <w:name w:val="No Spacing"/>
    <w:uiPriority w:val="1"/>
    <w:qFormat/>
    <w:rPr>
      <w:rFonts w:ascii="Times New Roman" w:hAnsi="Times New Roman" w:eastAsia="宋体" w:cs="Times New Roman"/>
      <w:lang w:val="en-US" w:eastAsia="zh-CN" w:bidi="ar-SA"/>
    </w:rPr>
  </w:style>
  <w:style w:type="character" w:styleId="874" w:customStyle="1">
    <w:name w:val="标题 字符"/>
    <w:link w:val="800"/>
    <w:uiPriority w:val="10"/>
    <w:qFormat/>
    <w:rPr>
      <w:sz w:val="48"/>
      <w:szCs w:val="48"/>
    </w:rPr>
  </w:style>
  <w:style w:type="character" w:styleId="875" w:customStyle="1">
    <w:name w:val="副标题 字符"/>
    <w:link w:val="792"/>
    <w:uiPriority w:val="11"/>
    <w:qFormat/>
    <w:rPr>
      <w:sz w:val="24"/>
      <w:szCs w:val="24"/>
    </w:rPr>
  </w:style>
  <w:style w:type="paragraph" w:styleId="876">
    <w:name w:val="Quote"/>
    <w:basedOn w:val="762"/>
    <w:next w:val="762"/>
    <w:link w:val="877"/>
    <w:uiPriority w:val="29"/>
    <w:qFormat/>
    <w:pPr>
      <w:ind w:left="720" w:right="720"/>
    </w:pPr>
    <w:rPr>
      <w:i/>
    </w:rPr>
  </w:style>
  <w:style w:type="character" w:styleId="877" w:customStyle="1">
    <w:name w:val="引用 字符"/>
    <w:link w:val="876"/>
    <w:uiPriority w:val="29"/>
    <w:qFormat/>
    <w:rPr>
      <w:i/>
    </w:rPr>
  </w:style>
  <w:style w:type="paragraph" w:styleId="878">
    <w:name w:val="Intense Quote"/>
    <w:basedOn w:val="762"/>
    <w:next w:val="762"/>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字符"/>
    <w:link w:val="878"/>
    <w:uiPriority w:val="30"/>
    <w:qFormat/>
    <w:rPr>
      <w:i/>
    </w:rPr>
  </w:style>
  <w:style w:type="character" w:styleId="880" w:customStyle="1">
    <w:name w:val="页脚 字符1"/>
    <w:link w:val="788"/>
    <w:uiPriority w:val="99"/>
    <w:qFormat/>
  </w:style>
  <w:style w:type="table" w:styleId="88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9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9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9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4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5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5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5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5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5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5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5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5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5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5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6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7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8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8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8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8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8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8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87" w:customStyle="1">
    <w:name w:val="脚注文本 字符"/>
    <w:link w:val="793"/>
    <w:uiPriority w:val="0"/>
    <w:qFormat/>
    <w:rPr>
      <w:sz w:val="18"/>
    </w:rPr>
  </w:style>
  <w:style w:type="character" w:styleId="988" w:customStyle="1">
    <w:name w:val="尾注文本 字符"/>
    <w:link w:val="787"/>
    <w:uiPriority w:val="99"/>
    <w:qFormat/>
    <w:rPr>
      <w:sz w:val="20"/>
    </w:rPr>
  </w:style>
  <w:style w:type="paragraph" w:styleId="989" w:customStyle="1">
    <w:name w:val="TOC 标题11"/>
    <w:uiPriority w:val="39"/>
    <w:qFormat/>
    <w:rPr>
      <w:rFonts w:ascii="Times New Roman" w:hAnsi="Times New Roman" w:eastAsia="宋体" w:cs="Times New Roman"/>
      <w:lang w:val="en-US" w:eastAsia="zh-CN" w:bidi="ar-SA"/>
    </w:rPr>
  </w:style>
  <w:style w:type="paragraph" w:styleId="990" w:customStyle="1">
    <w:name w:val="标题 11"/>
    <w:basedOn w:val="762"/>
    <w:next w:val="762"/>
    <w:link w:val="1002"/>
    <w:uiPriority w:val="0"/>
    <w:qFormat/>
    <w:pPr>
      <w:keepLines/>
      <w:keepNext/>
      <w:spacing w:before="340" w:after="330" w:line="576" w:lineRule="auto"/>
      <w:outlineLvl w:val="0"/>
    </w:pPr>
    <w:rPr>
      <w:b/>
      <w:sz w:val="44"/>
      <w:szCs w:val="20"/>
    </w:rPr>
  </w:style>
  <w:style w:type="paragraph" w:styleId="991" w:customStyle="1">
    <w:name w:val="标题 21"/>
    <w:basedOn w:val="762"/>
    <w:next w:val="762"/>
    <w:link w:val="1003"/>
    <w:uiPriority w:val="0"/>
    <w:qFormat/>
    <w:pPr>
      <w:keepLines/>
      <w:keepNext/>
      <w:spacing w:before="260" w:after="260" w:line="413" w:lineRule="auto"/>
      <w:outlineLvl w:val="1"/>
    </w:pPr>
    <w:rPr>
      <w:rFonts w:ascii="Arial" w:hAnsi="Arial" w:eastAsia="黑体"/>
      <w:b/>
      <w:sz w:val="32"/>
      <w:szCs w:val="20"/>
    </w:rPr>
  </w:style>
  <w:style w:type="paragraph" w:styleId="992" w:customStyle="1">
    <w:name w:val="标题 31"/>
    <w:basedOn w:val="762"/>
    <w:next w:val="762"/>
    <w:link w:val="1004"/>
    <w:uiPriority w:val="0"/>
    <w:qFormat/>
    <w:pPr>
      <w:keepLines/>
      <w:keepNext/>
      <w:spacing w:before="260" w:after="260" w:line="413" w:lineRule="auto"/>
      <w:outlineLvl w:val="2"/>
    </w:pPr>
    <w:rPr>
      <w:b/>
      <w:sz w:val="32"/>
      <w:szCs w:val="20"/>
    </w:rPr>
  </w:style>
  <w:style w:type="paragraph" w:styleId="993" w:customStyle="1">
    <w:name w:val="标题 41"/>
    <w:basedOn w:val="762"/>
    <w:next w:val="762"/>
    <w:link w:val="100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94" w:customStyle="1">
    <w:name w:val="标题 51"/>
    <w:basedOn w:val="762"/>
    <w:next w:val="76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5" w:customStyle="1">
    <w:name w:val="标题 61"/>
    <w:basedOn w:val="762"/>
    <w:next w:val="76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6" w:customStyle="1">
    <w:name w:val="标题 71"/>
    <w:basedOn w:val="762"/>
    <w:next w:val="76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7" w:customStyle="1">
    <w:name w:val="标题 81"/>
    <w:basedOn w:val="762"/>
    <w:next w:val="76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8" w:customStyle="1">
    <w:name w:val="标题 91"/>
    <w:basedOn w:val="762"/>
    <w:next w:val="762"/>
    <w:uiPriority w:val="0"/>
    <w:qFormat/>
    <w:pPr>
      <w:jc w:val="center"/>
      <w:keepNext/>
      <w:spacing w:line="600" w:lineRule="exact"/>
      <w:outlineLvl w:val="8"/>
    </w:pPr>
    <w:rPr>
      <w:rFonts w:ascii="仿宋_GB2312" w:eastAsia="仿宋_GB2312"/>
      <w:sz w:val="32"/>
    </w:rPr>
  </w:style>
  <w:style w:type="character" w:styleId="999" w:customStyle="1">
    <w:name w:val="默认段落字体1"/>
    <w:uiPriority w:val="1"/>
    <w:qFormat/>
  </w:style>
  <w:style w:type="table" w:styleId="1000" w:customStyle="1">
    <w:name w:val="普通表格1"/>
    <w:uiPriority w:val="0"/>
    <w:qFormat/>
    <w:tblPr>
      <w:tblCellMar>
        <w:left w:w="0" w:type="dxa"/>
        <w:top w:w="0" w:type="dxa"/>
        <w:right w:w="0" w:type="dxa"/>
        <w:bottom w:w="0" w:type="dxa"/>
      </w:tblCellMar>
    </w:tblPr>
  </w:style>
  <w:style w:type="character" w:styleId="1001" w:customStyle="1">
    <w:name w:val="正文文本 字符"/>
    <w:link w:val="866"/>
    <w:uiPriority w:val="0"/>
    <w:qFormat/>
    <w:rPr>
      <w:rFonts w:ascii="仿宋_GB2312" w:eastAsia="仿宋_GB2312"/>
      <w:sz w:val="32"/>
      <w:szCs w:val="22"/>
    </w:rPr>
  </w:style>
  <w:style w:type="character" w:styleId="1002" w:customStyle="1">
    <w:name w:val="标题 1 字符"/>
    <w:link w:val="990"/>
    <w:uiPriority w:val="0"/>
    <w:qFormat/>
    <w:rPr>
      <w:b/>
      <w:sz w:val="44"/>
    </w:rPr>
  </w:style>
  <w:style w:type="character" w:styleId="1003" w:customStyle="1">
    <w:name w:val="标题 2 字符"/>
    <w:link w:val="991"/>
    <w:uiPriority w:val="0"/>
    <w:qFormat/>
    <w:rPr>
      <w:rFonts w:ascii="Arial" w:hAnsi="Arial" w:eastAsia="黑体"/>
      <w:b/>
      <w:sz w:val="32"/>
    </w:rPr>
  </w:style>
  <w:style w:type="character" w:styleId="1004" w:customStyle="1">
    <w:name w:val="标题 3 字符"/>
    <w:link w:val="992"/>
    <w:uiPriority w:val="0"/>
    <w:qFormat/>
    <w:rPr>
      <w:b/>
      <w:sz w:val="32"/>
    </w:rPr>
  </w:style>
  <w:style w:type="character" w:styleId="1005" w:customStyle="1">
    <w:name w:val="标题 4 字符"/>
    <w:link w:val="993"/>
    <w:uiPriority w:val="0"/>
    <w:qFormat/>
    <w:rPr>
      <w:rFonts w:ascii="宋体" w:eastAsia="宋体"/>
      <w:color w:val="800000"/>
      <w:sz w:val="28"/>
      <w:lang w:val="en-US" w:eastAsia="zh-CN" w:bidi="ar-SA"/>
    </w:rPr>
  </w:style>
  <w:style w:type="paragraph" w:styleId="1006" w:customStyle="1">
    <w:name w:val="目录 71"/>
    <w:basedOn w:val="762"/>
    <w:next w:val="762"/>
    <w:uiPriority w:val="0"/>
    <w:qFormat/>
    <w:pPr>
      <w:ind w:left="1260"/>
      <w:jc w:val="left"/>
    </w:pPr>
    <w:rPr>
      <w:rFonts w:ascii="Calibri" w:hAnsi="Calibri" w:cs="Calibri"/>
      <w:sz w:val="18"/>
      <w:szCs w:val="18"/>
    </w:rPr>
  </w:style>
  <w:style w:type="paragraph" w:styleId="1007" w:customStyle="1">
    <w:name w:val="列表项目符号 41"/>
    <w:basedOn w:val="762"/>
    <w:uiPriority w:val="0"/>
    <w:qFormat/>
    <w:pPr>
      <w:ind w:left="360" w:hanging="360"/>
      <w:spacing w:line="380" w:lineRule="exact"/>
      <w:tabs>
        <w:tab w:val="left" w:pos="360" w:leader="none"/>
      </w:tabs>
    </w:pPr>
    <w:rPr>
      <w:rFonts w:ascii="Calibri" w:hAnsi="Calibri"/>
      <w:sz w:val="28"/>
    </w:rPr>
  </w:style>
  <w:style w:type="paragraph" w:styleId="1008" w:customStyle="1">
    <w:name w:val="索引 81"/>
    <w:basedOn w:val="762"/>
    <w:next w:val="762"/>
    <w:uiPriority w:val="0"/>
    <w:qFormat/>
    <w:pPr>
      <w:ind w:left="1400"/>
    </w:pPr>
    <w:rPr>
      <w:rFonts w:ascii="Calibri" w:hAnsi="Calibri"/>
    </w:rPr>
  </w:style>
  <w:style w:type="paragraph" w:styleId="1009" w:customStyle="1">
    <w:name w:val="正文缩进11"/>
    <w:basedOn w:val="762"/>
    <w:uiPriority w:val="0"/>
    <w:qFormat/>
    <w:pPr>
      <w:ind w:firstLine="420"/>
    </w:pPr>
    <w:rPr>
      <w:rFonts w:ascii="宋体"/>
      <w:color w:val="000000"/>
      <w:sz w:val="24"/>
      <w:szCs w:val="20"/>
    </w:rPr>
  </w:style>
  <w:style w:type="paragraph" w:styleId="1010" w:customStyle="1">
    <w:name w:val="题注1"/>
    <w:basedOn w:val="762"/>
    <w:next w:val="762"/>
    <w:link w:val="1011"/>
    <w:uiPriority w:val="0"/>
    <w:qFormat/>
    <w:pPr>
      <w:spacing w:line="360" w:lineRule="auto"/>
      <w:tabs>
        <w:tab w:val="left" w:pos="0" w:leader="none"/>
      </w:tabs>
    </w:pPr>
    <w:rPr>
      <w:rFonts w:ascii="Arial" w:hAnsi="Arial" w:eastAsia="黑体"/>
      <w:sz w:val="20"/>
      <w:szCs w:val="20"/>
    </w:rPr>
  </w:style>
  <w:style w:type="character" w:styleId="1011" w:customStyle="1">
    <w:name w:val="题注 字符"/>
    <w:link w:val="1010"/>
    <w:uiPriority w:val="0"/>
    <w:qFormat/>
    <w:rPr>
      <w:rFonts w:ascii="Arial" w:hAnsi="Arial" w:eastAsia="黑体" w:cs="Arial"/>
    </w:rPr>
  </w:style>
  <w:style w:type="paragraph" w:styleId="1012" w:customStyle="1">
    <w:name w:val="索引 51"/>
    <w:basedOn w:val="762"/>
    <w:next w:val="762"/>
    <w:uiPriority w:val="0"/>
    <w:qFormat/>
    <w:pPr>
      <w:ind w:left="800"/>
    </w:pPr>
    <w:rPr>
      <w:rFonts w:ascii="Calibri" w:hAnsi="Calibri"/>
    </w:rPr>
  </w:style>
  <w:style w:type="paragraph" w:styleId="1013" w:customStyle="1">
    <w:name w:val="列表项目符号1"/>
    <w:basedOn w:val="762"/>
    <w:uiPriority w:val="0"/>
    <w:qFormat/>
    <w:pPr>
      <w:ind w:left="962" w:hanging="480"/>
      <w:spacing w:line="360" w:lineRule="auto"/>
      <w:tabs>
        <w:tab w:val="left" w:pos="840" w:leader="none"/>
      </w:tabs>
    </w:pPr>
    <w:rPr>
      <w:sz w:val="24"/>
    </w:rPr>
  </w:style>
  <w:style w:type="paragraph" w:styleId="1014" w:customStyle="1">
    <w:name w:val="文档结构图1"/>
    <w:basedOn w:val="762"/>
    <w:uiPriority w:val="0"/>
    <w:qFormat/>
    <w:pPr>
      <w:shd w:val="clear" w:color="auto" w:fill="000080"/>
    </w:pPr>
  </w:style>
  <w:style w:type="paragraph" w:styleId="1015" w:customStyle="1">
    <w:name w:val="批注文字1"/>
    <w:basedOn w:val="762"/>
    <w:link w:val="1016"/>
    <w:uiPriority w:val="99"/>
    <w:qFormat/>
    <w:pPr>
      <w:jc w:val="left"/>
    </w:pPr>
    <w:rPr>
      <w:rFonts w:ascii="Calibri" w:hAnsi="Calibri"/>
      <w:szCs w:val="20"/>
    </w:rPr>
  </w:style>
  <w:style w:type="character" w:styleId="1016" w:customStyle="1">
    <w:name w:val="批注文字 字符"/>
    <w:link w:val="1015"/>
    <w:uiPriority w:val="99"/>
    <w:qFormat/>
    <w:rPr>
      <w:rFonts w:ascii="Calibri" w:hAnsi="Calibri" w:eastAsia="宋体" w:cs="Times New Roman"/>
      <w:sz w:val="21"/>
    </w:rPr>
  </w:style>
  <w:style w:type="paragraph" w:styleId="1017" w:customStyle="1">
    <w:name w:val="索引 61"/>
    <w:basedOn w:val="762"/>
    <w:next w:val="762"/>
    <w:uiPriority w:val="0"/>
    <w:qFormat/>
    <w:pPr>
      <w:ind w:left="1000"/>
    </w:pPr>
    <w:rPr>
      <w:rFonts w:ascii="Calibri" w:hAnsi="Calibri"/>
    </w:rPr>
  </w:style>
  <w:style w:type="paragraph" w:styleId="1018" w:customStyle="1">
    <w:name w:val="正文文本 31"/>
    <w:basedOn w:val="762"/>
    <w:uiPriority w:val="0"/>
    <w:qFormat/>
    <w:rPr>
      <w:color w:val="000000"/>
    </w:rPr>
  </w:style>
  <w:style w:type="paragraph" w:styleId="1019" w:customStyle="1">
    <w:name w:val="列表项目符号 31"/>
    <w:basedOn w:val="762"/>
    <w:uiPriority w:val="0"/>
    <w:qFormat/>
    <w:pPr>
      <w:ind w:left="1200" w:hanging="360"/>
      <w:spacing w:line="380" w:lineRule="exact"/>
      <w:tabs>
        <w:tab w:val="left" w:pos="1200" w:leader="none"/>
      </w:tabs>
    </w:pPr>
    <w:rPr>
      <w:rFonts w:ascii="Calibri" w:hAnsi="Calibri"/>
      <w:sz w:val="28"/>
    </w:rPr>
  </w:style>
  <w:style w:type="paragraph" w:styleId="1020" w:customStyle="1">
    <w:name w:val="正文文本缩进11"/>
    <w:basedOn w:val="762"/>
    <w:uiPriority w:val="0"/>
    <w:qFormat/>
    <w:pPr>
      <w:ind w:firstLine="225"/>
    </w:pPr>
    <w:rPr>
      <w:rFonts w:ascii="仿宋_GB2312" w:eastAsia="仿宋_GB2312"/>
      <w:sz w:val="32"/>
    </w:rPr>
  </w:style>
  <w:style w:type="paragraph" w:styleId="1021" w:customStyle="1">
    <w:name w:val="文本块1"/>
    <w:basedOn w:val="762"/>
    <w:uiPriority w:val="0"/>
    <w:qFormat/>
    <w:pPr>
      <w:ind w:left="1548" w:right="12" w:hanging="2405"/>
      <w:spacing w:line="360" w:lineRule="exact"/>
    </w:pPr>
    <w:rPr>
      <w:rFonts w:ascii="宋体"/>
      <w:bCs/>
      <w:sz w:val="28"/>
    </w:rPr>
  </w:style>
  <w:style w:type="paragraph" w:styleId="1022" w:customStyle="1">
    <w:name w:val="列表项目符号 21"/>
    <w:basedOn w:val="762"/>
    <w:uiPriority w:val="0"/>
    <w:qFormat/>
    <w:pPr>
      <w:ind w:left="720" w:hanging="360"/>
      <w:spacing w:line="360" w:lineRule="auto"/>
      <w:tabs>
        <w:tab w:val="left" w:pos="720" w:leader="none"/>
      </w:tabs>
    </w:pPr>
    <w:rPr>
      <w:sz w:val="24"/>
    </w:rPr>
  </w:style>
  <w:style w:type="paragraph" w:styleId="1023" w:customStyle="1">
    <w:name w:val="HTML 地址1"/>
    <w:basedOn w:val="762"/>
    <w:uiPriority w:val="0"/>
    <w:qFormat/>
    <w:rPr>
      <w:i/>
      <w:iCs/>
    </w:rPr>
  </w:style>
  <w:style w:type="paragraph" w:styleId="1024" w:customStyle="1">
    <w:name w:val="索引 41"/>
    <w:basedOn w:val="762"/>
    <w:next w:val="762"/>
    <w:uiPriority w:val="0"/>
    <w:qFormat/>
    <w:pPr>
      <w:ind w:left="600"/>
    </w:pPr>
    <w:rPr>
      <w:rFonts w:ascii="Calibri" w:hAnsi="Calibri"/>
    </w:rPr>
  </w:style>
  <w:style w:type="paragraph" w:styleId="1025" w:customStyle="1">
    <w:name w:val="目录 51"/>
    <w:basedOn w:val="762"/>
    <w:next w:val="762"/>
    <w:uiPriority w:val="0"/>
    <w:qFormat/>
    <w:pPr>
      <w:ind w:left="840"/>
      <w:jc w:val="left"/>
    </w:pPr>
    <w:rPr>
      <w:rFonts w:ascii="Calibri" w:hAnsi="Calibri" w:cs="Calibri"/>
      <w:sz w:val="18"/>
      <w:szCs w:val="18"/>
    </w:rPr>
  </w:style>
  <w:style w:type="paragraph" w:styleId="1026" w:customStyle="1">
    <w:name w:val="目录 31"/>
    <w:basedOn w:val="762"/>
    <w:next w:val="762"/>
    <w:uiPriority w:val="39"/>
    <w:qFormat/>
    <w:pPr>
      <w:ind w:left="420"/>
      <w:jc w:val="left"/>
    </w:pPr>
    <w:rPr>
      <w:rFonts w:ascii="Calibri" w:hAnsi="Calibri" w:cs="Calibri"/>
      <w:i/>
      <w:iCs/>
      <w:sz w:val="20"/>
      <w:szCs w:val="20"/>
    </w:rPr>
  </w:style>
  <w:style w:type="paragraph" w:styleId="1027" w:customStyle="1">
    <w:name w:val="纯文本11"/>
    <w:basedOn w:val="762"/>
    <w:uiPriority w:val="0"/>
    <w:qFormat/>
    <w:rPr>
      <w:rFonts w:ascii="宋体"/>
      <w:szCs w:val="21"/>
    </w:rPr>
  </w:style>
  <w:style w:type="paragraph" w:styleId="1028" w:customStyle="1">
    <w:name w:val="列表项目符号 51"/>
    <w:basedOn w:val="762"/>
    <w:uiPriority w:val="0"/>
    <w:qFormat/>
    <w:pPr>
      <w:ind w:left="720" w:hanging="360"/>
      <w:spacing w:line="380" w:lineRule="exact"/>
      <w:tabs>
        <w:tab w:val="left" w:pos="720" w:leader="none"/>
      </w:tabs>
    </w:pPr>
    <w:rPr>
      <w:rFonts w:ascii="Calibri" w:hAnsi="Calibri"/>
      <w:sz w:val="28"/>
    </w:rPr>
  </w:style>
  <w:style w:type="paragraph" w:styleId="1029" w:customStyle="1">
    <w:name w:val="目录 81"/>
    <w:basedOn w:val="762"/>
    <w:next w:val="762"/>
    <w:uiPriority w:val="0"/>
    <w:qFormat/>
    <w:pPr>
      <w:ind w:left="1470"/>
      <w:jc w:val="left"/>
    </w:pPr>
    <w:rPr>
      <w:rFonts w:ascii="Calibri" w:hAnsi="Calibri" w:cs="Calibri"/>
      <w:sz w:val="18"/>
      <w:szCs w:val="18"/>
    </w:rPr>
  </w:style>
  <w:style w:type="paragraph" w:styleId="1030" w:customStyle="1">
    <w:name w:val="索引 31"/>
    <w:basedOn w:val="762"/>
    <w:next w:val="762"/>
    <w:uiPriority w:val="0"/>
    <w:qFormat/>
    <w:pPr>
      <w:ind w:left="400"/>
    </w:pPr>
    <w:rPr>
      <w:rFonts w:ascii="Calibri" w:hAnsi="Calibri"/>
    </w:rPr>
  </w:style>
  <w:style w:type="paragraph" w:styleId="1031" w:customStyle="1">
    <w:name w:val="日期1"/>
    <w:basedOn w:val="762"/>
    <w:next w:val="762"/>
    <w:uiPriority w:val="0"/>
    <w:qFormat/>
    <w:pPr>
      <w:ind w:left="2500"/>
    </w:pPr>
  </w:style>
  <w:style w:type="paragraph" w:styleId="1032" w:customStyle="1">
    <w:name w:val="正文文本缩进 21"/>
    <w:basedOn w:val="762"/>
    <w:uiPriority w:val="0"/>
    <w:qFormat/>
    <w:pPr>
      <w:ind w:firstLine="225"/>
      <w:jc w:val="left"/>
      <w:spacing w:line="540" w:lineRule="exact"/>
    </w:pPr>
    <w:rPr>
      <w:rFonts w:ascii="仿宋_GB2312" w:eastAsia="仿宋_GB2312"/>
      <w:sz w:val="32"/>
    </w:rPr>
  </w:style>
  <w:style w:type="paragraph" w:styleId="1033" w:customStyle="1">
    <w:name w:val="尾注文本1"/>
    <w:basedOn w:val="762"/>
    <w:uiPriority w:val="0"/>
    <w:qFormat/>
    <w:pPr>
      <w:jc w:val="left"/>
      <w:widowControl/>
    </w:pPr>
    <w:rPr>
      <w:rFonts w:ascii="宋体"/>
      <w:bCs/>
      <w:szCs w:val="21"/>
    </w:rPr>
  </w:style>
  <w:style w:type="paragraph" w:styleId="1034" w:customStyle="1">
    <w:name w:val="批注框文本1"/>
    <w:basedOn w:val="762"/>
    <w:uiPriority w:val="0"/>
    <w:qFormat/>
    <w:rPr>
      <w:sz w:val="18"/>
      <w:szCs w:val="20"/>
    </w:rPr>
  </w:style>
  <w:style w:type="paragraph" w:styleId="1035" w:customStyle="1">
    <w:name w:val="页脚1"/>
    <w:basedOn w:val="762"/>
    <w:link w:val="1036"/>
    <w:uiPriority w:val="99"/>
    <w:qFormat/>
    <w:pPr>
      <w:jc w:val="left"/>
      <w:tabs>
        <w:tab w:val="center" w:pos="4153" w:leader="none"/>
        <w:tab w:val="right" w:pos="8306" w:leader="none"/>
      </w:tabs>
    </w:pPr>
    <w:rPr>
      <w:rFonts w:ascii="Calibri" w:hAnsi="Calibri"/>
      <w:sz w:val="18"/>
      <w:szCs w:val="18"/>
    </w:rPr>
  </w:style>
  <w:style w:type="character" w:styleId="1036" w:customStyle="1">
    <w:name w:val="页脚 字符"/>
    <w:link w:val="1035"/>
    <w:uiPriority w:val="99"/>
    <w:qFormat/>
    <w:rPr>
      <w:rFonts w:ascii="Calibri" w:hAnsi="Calibri" w:eastAsia="宋体" w:cs="Times New Roman"/>
      <w:sz w:val="18"/>
      <w:szCs w:val="18"/>
    </w:rPr>
  </w:style>
  <w:style w:type="paragraph" w:styleId="1037" w:customStyle="1">
    <w:name w:val="寄信人地址11"/>
    <w:basedOn w:val="762"/>
    <w:uiPriority w:val="0"/>
    <w:qFormat/>
    <w:rPr>
      <w:rFonts w:ascii="Arial" w:hAnsi="Arial"/>
    </w:rPr>
  </w:style>
  <w:style w:type="paragraph" w:styleId="1038" w:customStyle="1">
    <w:name w:val="页眉1"/>
    <w:basedOn w:val="762"/>
    <w:link w:val="1039"/>
    <w:uiPriority w:val="99"/>
    <w:qFormat/>
    <w:pPr>
      <w:jc w:val="center"/>
      <w:tabs>
        <w:tab w:val="center" w:pos="4153" w:leader="none"/>
        <w:tab w:val="right" w:pos="8306" w:leader="none"/>
      </w:tabs>
      <w:pBdr>
        <w:bottom w:val="single" w:color="000000" w:sz="6" w:space="1"/>
      </w:pBdr>
    </w:pPr>
    <w:rPr>
      <w:sz w:val="18"/>
      <w:szCs w:val="18"/>
    </w:rPr>
  </w:style>
  <w:style w:type="character" w:styleId="1039" w:customStyle="1">
    <w:name w:val="页眉 字符"/>
    <w:link w:val="1038"/>
    <w:uiPriority w:val="99"/>
    <w:qFormat/>
    <w:rPr>
      <w:sz w:val="18"/>
      <w:szCs w:val="18"/>
    </w:rPr>
  </w:style>
  <w:style w:type="paragraph" w:styleId="1040" w:customStyle="1">
    <w:name w:val="目录 11"/>
    <w:basedOn w:val="762"/>
    <w:next w:val="762"/>
    <w:uiPriority w:val="39"/>
    <w:qFormat/>
    <w:pPr>
      <w:jc w:val="left"/>
      <w:spacing w:before="120" w:after="120"/>
    </w:pPr>
    <w:rPr>
      <w:rFonts w:ascii="Calibri" w:hAnsi="Calibri" w:cs="Calibri"/>
      <w:b/>
      <w:bCs/>
      <w:caps/>
      <w:sz w:val="20"/>
      <w:szCs w:val="20"/>
    </w:rPr>
  </w:style>
  <w:style w:type="paragraph" w:styleId="1041" w:customStyle="1">
    <w:name w:val="目录 41"/>
    <w:basedOn w:val="762"/>
    <w:next w:val="762"/>
    <w:uiPriority w:val="0"/>
    <w:qFormat/>
    <w:pPr>
      <w:ind w:left="630"/>
      <w:jc w:val="left"/>
    </w:pPr>
    <w:rPr>
      <w:rFonts w:ascii="Calibri" w:hAnsi="Calibri" w:cs="Calibri"/>
      <w:sz w:val="18"/>
      <w:szCs w:val="18"/>
    </w:rPr>
  </w:style>
  <w:style w:type="paragraph" w:styleId="1042" w:customStyle="1">
    <w:name w:val="索引标题1"/>
    <w:basedOn w:val="762"/>
    <w:next w:val="1043"/>
    <w:uiPriority w:val="0"/>
    <w:qFormat/>
    <w:rPr>
      <w:rFonts w:ascii="Calibri" w:hAnsi="Calibri"/>
    </w:rPr>
  </w:style>
  <w:style w:type="paragraph" w:styleId="1043" w:customStyle="1">
    <w:name w:val="索引 11"/>
    <w:basedOn w:val="762"/>
    <w:next w:val="762"/>
    <w:uiPriority w:val="0"/>
    <w:qFormat/>
    <w:rPr>
      <w:rFonts w:ascii="Calibri" w:hAnsi="Calibri"/>
    </w:rPr>
  </w:style>
  <w:style w:type="paragraph" w:styleId="1044" w:customStyle="1">
    <w:name w:val="脚注文本1"/>
    <w:basedOn w:val="762"/>
    <w:uiPriority w:val="0"/>
    <w:qFormat/>
    <w:pPr>
      <w:jc w:val="left"/>
    </w:pPr>
    <w:rPr>
      <w:rFonts w:ascii="宋体"/>
      <w:bCs/>
      <w:sz w:val="18"/>
      <w:szCs w:val="18"/>
    </w:rPr>
  </w:style>
  <w:style w:type="paragraph" w:styleId="1045" w:customStyle="1">
    <w:name w:val="目录 61"/>
    <w:basedOn w:val="762"/>
    <w:next w:val="762"/>
    <w:uiPriority w:val="0"/>
    <w:qFormat/>
    <w:pPr>
      <w:ind w:left="1050"/>
      <w:jc w:val="left"/>
    </w:pPr>
    <w:rPr>
      <w:rFonts w:ascii="Calibri" w:hAnsi="Calibri" w:cs="Calibri"/>
      <w:sz w:val="18"/>
      <w:szCs w:val="18"/>
    </w:rPr>
  </w:style>
  <w:style w:type="paragraph" w:styleId="1046" w:customStyle="1">
    <w:name w:val="正文文本缩进 31"/>
    <w:basedOn w:val="762"/>
    <w:uiPriority w:val="0"/>
    <w:qFormat/>
    <w:pPr>
      <w:ind w:firstLine="213"/>
    </w:pPr>
    <w:rPr>
      <w:rFonts w:ascii="仿宋_GB2312" w:eastAsia="仿宋_GB2312"/>
      <w:sz w:val="30"/>
    </w:rPr>
  </w:style>
  <w:style w:type="paragraph" w:styleId="1047" w:customStyle="1">
    <w:name w:val="索引 71"/>
    <w:basedOn w:val="762"/>
    <w:next w:val="762"/>
    <w:uiPriority w:val="0"/>
    <w:qFormat/>
    <w:pPr>
      <w:ind w:left="1200"/>
    </w:pPr>
    <w:rPr>
      <w:rFonts w:ascii="Calibri" w:hAnsi="Calibri"/>
    </w:rPr>
  </w:style>
  <w:style w:type="paragraph" w:styleId="1048" w:customStyle="1">
    <w:name w:val="索引 91"/>
    <w:basedOn w:val="762"/>
    <w:next w:val="762"/>
    <w:uiPriority w:val="0"/>
    <w:qFormat/>
    <w:pPr>
      <w:ind w:left="1600"/>
    </w:pPr>
    <w:rPr>
      <w:rFonts w:ascii="Calibri" w:hAnsi="Calibri"/>
    </w:rPr>
  </w:style>
  <w:style w:type="paragraph" w:styleId="1049" w:customStyle="1">
    <w:name w:val="图表目录11"/>
    <w:basedOn w:val="762"/>
    <w:next w:val="762"/>
    <w:uiPriority w:val="0"/>
    <w:qFormat/>
    <w:pPr>
      <w:ind w:left="400" w:hanging="200"/>
      <w:jc w:val="left"/>
      <w:widowControl/>
    </w:pPr>
    <w:rPr>
      <w:rFonts w:ascii="宋体"/>
      <w:bCs/>
      <w:szCs w:val="21"/>
    </w:rPr>
  </w:style>
  <w:style w:type="paragraph" w:styleId="1050" w:customStyle="1">
    <w:name w:val="目录 21"/>
    <w:basedOn w:val="762"/>
    <w:next w:val="762"/>
    <w:uiPriority w:val="39"/>
    <w:qFormat/>
    <w:pPr>
      <w:ind w:left="210"/>
      <w:jc w:val="left"/>
    </w:pPr>
    <w:rPr>
      <w:rFonts w:ascii="Calibri" w:hAnsi="Calibri" w:cs="Calibri"/>
      <w:smallCaps/>
      <w:sz w:val="20"/>
      <w:szCs w:val="20"/>
    </w:rPr>
  </w:style>
  <w:style w:type="paragraph" w:styleId="1051" w:customStyle="1">
    <w:name w:val="目录 91"/>
    <w:basedOn w:val="762"/>
    <w:next w:val="762"/>
    <w:uiPriority w:val="0"/>
    <w:qFormat/>
    <w:pPr>
      <w:ind w:left="1680"/>
      <w:jc w:val="left"/>
    </w:pPr>
    <w:rPr>
      <w:rFonts w:ascii="Calibri" w:hAnsi="Calibri" w:cs="Calibri"/>
      <w:sz w:val="18"/>
      <w:szCs w:val="18"/>
    </w:rPr>
  </w:style>
  <w:style w:type="paragraph" w:styleId="1052" w:customStyle="1">
    <w:name w:val="正文文本 21"/>
    <w:basedOn w:val="762"/>
    <w:uiPriority w:val="0"/>
    <w:qFormat/>
    <w:pPr>
      <w:spacing w:line="560" w:lineRule="exact"/>
    </w:pPr>
    <w:rPr>
      <w:rFonts w:ascii="仿宋_GB2312" w:eastAsia="仿宋_GB2312"/>
      <w:sz w:val="28"/>
      <w:szCs w:val="30"/>
    </w:rPr>
  </w:style>
  <w:style w:type="paragraph" w:styleId="1053" w:customStyle="1">
    <w:name w:val="列表接续 21"/>
    <w:basedOn w:val="762"/>
    <w:uiPriority w:val="0"/>
    <w:qFormat/>
    <w:pPr>
      <w:ind w:left="840"/>
      <w:spacing w:after="120"/>
    </w:pPr>
  </w:style>
  <w:style w:type="paragraph" w:styleId="1054" w:customStyle="1">
    <w:name w:val="HTML 预设格式1"/>
    <w:basedOn w:val="7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5" w:customStyle="1">
    <w:name w:val="普通(网站)1"/>
    <w:basedOn w:val="762"/>
    <w:uiPriority w:val="0"/>
    <w:qFormat/>
    <w:pPr>
      <w:jc w:val="left"/>
      <w:spacing w:before="100" w:beforeAutospacing="1" w:after="100" w:afterAutospacing="1"/>
      <w:widowControl/>
    </w:pPr>
    <w:rPr>
      <w:rFonts w:ascii="宋体"/>
      <w:sz w:val="24"/>
      <w:szCs w:val="20"/>
    </w:rPr>
  </w:style>
  <w:style w:type="paragraph" w:styleId="1056" w:customStyle="1">
    <w:name w:val="索引 21"/>
    <w:basedOn w:val="762"/>
    <w:next w:val="762"/>
    <w:uiPriority w:val="0"/>
    <w:qFormat/>
    <w:pPr>
      <w:ind w:left="200"/>
    </w:pPr>
    <w:rPr>
      <w:rFonts w:ascii="Calibri" w:hAnsi="Calibri"/>
    </w:rPr>
  </w:style>
  <w:style w:type="paragraph" w:styleId="1057" w:customStyle="1">
    <w:name w:val="标题1"/>
    <w:basedOn w:val="762"/>
    <w:uiPriority w:val="0"/>
    <w:qFormat/>
    <w:pPr>
      <w:jc w:val="center"/>
      <w:spacing w:before="240" w:after="60"/>
      <w:outlineLvl w:val="0"/>
    </w:pPr>
    <w:rPr>
      <w:rFonts w:ascii="Cambria" w:hAnsi="Cambria"/>
      <w:b/>
      <w:bCs/>
      <w:sz w:val="32"/>
      <w:szCs w:val="32"/>
    </w:rPr>
  </w:style>
  <w:style w:type="paragraph" w:styleId="1058" w:customStyle="1">
    <w:name w:val="批注主题1"/>
    <w:basedOn w:val="1015"/>
    <w:next w:val="1015"/>
    <w:uiPriority w:val="0"/>
    <w:qFormat/>
    <w:rPr>
      <w:b/>
    </w:rPr>
  </w:style>
  <w:style w:type="paragraph" w:styleId="1059" w:customStyle="1">
    <w:name w:val="正文首行缩进1"/>
    <w:basedOn w:val="762"/>
    <w:next w:val="762"/>
    <w:uiPriority w:val="0"/>
    <w:qFormat/>
    <w:pPr>
      <w:ind w:firstLine="100"/>
      <w:spacing w:after="120"/>
    </w:pPr>
  </w:style>
  <w:style w:type="paragraph" w:styleId="1060" w:customStyle="1">
    <w:name w:val="正文首行缩进 21"/>
    <w:basedOn w:val="1020"/>
    <w:link w:val="1061"/>
    <w:uiPriority w:val="0"/>
    <w:qFormat/>
    <w:pPr>
      <w:ind w:left="200" w:firstLine="200"/>
      <w:spacing w:after="120"/>
    </w:pPr>
    <w:rPr>
      <w:rFonts w:ascii="Times New Roman"/>
      <w:sz w:val="24"/>
      <w:szCs w:val="24"/>
    </w:rPr>
  </w:style>
  <w:style w:type="character" w:styleId="1061" w:customStyle="1">
    <w:name w:val="正文文本首行缩进 2 字符"/>
    <w:link w:val="1060"/>
    <w:uiPriority w:val="0"/>
    <w:qFormat/>
    <w:rPr>
      <w:rFonts w:eastAsia="仿宋_GB2312"/>
      <w:sz w:val="24"/>
      <w:szCs w:val="24"/>
      <w:lang w:bidi="ar-SA"/>
    </w:rPr>
  </w:style>
  <w:style w:type="table" w:styleId="1062" w:customStyle="1">
    <w:name w:val="网格型1"/>
    <w:basedOn w:val="1000"/>
    <w:uiPriority w:val="0"/>
    <w:qFormat/>
    <w:tblPr/>
  </w:style>
  <w:style w:type="character" w:styleId="1063" w:customStyle="1">
    <w:name w:val="要点1"/>
    <w:uiPriority w:val="0"/>
    <w:qFormat/>
    <w:rPr>
      <w:b/>
    </w:rPr>
  </w:style>
  <w:style w:type="character" w:styleId="1064" w:customStyle="1">
    <w:name w:val="尾注引用1"/>
    <w:uiPriority w:val="0"/>
    <w:qFormat/>
    <w:rPr>
      <w:vertAlign w:val="superscript"/>
    </w:rPr>
  </w:style>
  <w:style w:type="character" w:styleId="1065" w:customStyle="1">
    <w:name w:val="页码1"/>
    <w:uiPriority w:val="0"/>
    <w:qFormat/>
  </w:style>
  <w:style w:type="character" w:styleId="1066" w:customStyle="1">
    <w:name w:val="已访问的超链接1"/>
    <w:uiPriority w:val="0"/>
    <w:qFormat/>
    <w:rPr>
      <w:color w:val="800080"/>
      <w:u w:val="single"/>
    </w:rPr>
  </w:style>
  <w:style w:type="character" w:styleId="1067" w:customStyle="1">
    <w:name w:val="强调1"/>
    <w:uiPriority w:val="0"/>
    <w:qFormat/>
    <w:rPr>
      <w:color w:val="cc0033"/>
    </w:rPr>
  </w:style>
  <w:style w:type="character" w:styleId="1068" w:customStyle="1">
    <w:name w:val="HTML 打字机1"/>
    <w:uiPriority w:val="0"/>
    <w:qFormat/>
    <w:rPr>
      <w:rFonts w:ascii="宋体" w:eastAsia="宋体" w:cs="宋体"/>
      <w:sz w:val="24"/>
      <w:szCs w:val="24"/>
      <w:lang w:bidi="ar-SA"/>
    </w:rPr>
  </w:style>
  <w:style w:type="character" w:styleId="1069" w:customStyle="1">
    <w:name w:val="超链接1"/>
    <w:uiPriority w:val="99"/>
    <w:qFormat/>
    <w:rPr>
      <w:color w:val="0000ff"/>
      <w:u w:val="single"/>
    </w:rPr>
  </w:style>
  <w:style w:type="character" w:styleId="1070" w:customStyle="1">
    <w:name w:val="批注引用1"/>
    <w:uiPriority w:val="0"/>
    <w:qFormat/>
    <w:rPr>
      <w:sz w:val="21"/>
    </w:rPr>
  </w:style>
  <w:style w:type="character" w:styleId="1071" w:customStyle="1">
    <w:name w:val="脚注引用1"/>
    <w:uiPriority w:val="0"/>
    <w:qFormat/>
    <w:rPr>
      <w:vertAlign w:val="superscript"/>
    </w:rPr>
  </w:style>
  <w:style w:type="paragraph" w:styleId="1072" w:customStyle="1">
    <w:name w:val="样式 正文首行缩进 2 + Arial"/>
    <w:basedOn w:val="762"/>
    <w:next w:val="762"/>
    <w:uiPriority w:val="0"/>
    <w:qFormat/>
    <w:pPr>
      <w:ind w:firstLine="200"/>
      <w:spacing w:after="120" w:line="320" w:lineRule="atLeast"/>
    </w:pPr>
    <w:rPr>
      <w:rFonts w:ascii="Arial" w:hAnsi="Arial"/>
    </w:rPr>
  </w:style>
  <w:style w:type="character" w:styleId="1073" w:customStyle="1">
    <w:name w:val="Comment Text Char"/>
    <w:uiPriority w:val="0"/>
    <w:qFormat/>
    <w:rPr>
      <w:rFonts w:cs="Times New Roman"/>
      <w:sz w:val="21"/>
      <w:szCs w:val="21"/>
      <w:lang w:bidi="ar-SA"/>
    </w:rPr>
  </w:style>
  <w:style w:type="character" w:styleId="1074" w:customStyle="1">
    <w:name w:val="纯文本 Char_0"/>
    <w:link w:val="1075"/>
    <w:uiPriority w:val="0"/>
    <w:qFormat/>
    <w:rPr>
      <w:rFonts w:ascii="宋体" w:hAnsi="Courier New" w:cs="Courier New"/>
      <w:sz w:val="21"/>
      <w:szCs w:val="21"/>
    </w:rPr>
  </w:style>
  <w:style w:type="paragraph" w:styleId="1075" w:customStyle="1">
    <w:name w:val="纯文本_0"/>
    <w:basedOn w:val="1076"/>
    <w:link w:val="1074"/>
    <w:uiPriority w:val="0"/>
    <w:qFormat/>
    <w:rPr>
      <w:rFonts w:ascii="宋体" w:hAnsi="Courier New"/>
      <w:szCs w:val="21"/>
    </w:rPr>
  </w:style>
  <w:style w:type="paragraph" w:styleId="107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77" w:customStyle="1">
    <w:name w:val="ca-51"/>
    <w:uiPriority w:val="0"/>
    <w:qFormat/>
    <w:rPr>
      <w:rFonts w:ascii="楷体_GB2312" w:eastAsia="楷体_GB2312"/>
      <w:b/>
      <w:bCs/>
      <w:spacing w:val="-20"/>
      <w:sz w:val="24"/>
      <w:szCs w:val="24"/>
    </w:rPr>
  </w:style>
  <w:style w:type="character" w:styleId="1078" w:customStyle="1">
    <w:name w:val="Heading 4 Char_de27d71f-764f-47bd-84d1-49c3f4abdbf0"/>
    <w:uiPriority w:val="0"/>
    <w:qFormat/>
    <w:rPr>
      <w:rFonts w:ascii="Cambria" w:hAnsi="Cambria" w:eastAsia="宋体" w:cs="Cambria"/>
      <w:b/>
      <w:bCs/>
      <w:sz w:val="28"/>
      <w:szCs w:val="28"/>
      <w:lang w:bidi="ar-SA"/>
    </w:rPr>
  </w:style>
  <w:style w:type="character" w:styleId="1079" w:customStyle="1">
    <w:name w:val="正文缩进 Char1_0"/>
    <w:link w:val="1080"/>
    <w:uiPriority w:val="0"/>
    <w:qFormat/>
    <w:rPr>
      <w:sz w:val="21"/>
      <w:szCs w:val="22"/>
    </w:rPr>
  </w:style>
  <w:style w:type="paragraph" w:styleId="1080" w:customStyle="1">
    <w:name w:val="正文缩进_0"/>
    <w:basedOn w:val="1076"/>
    <w:link w:val="1079"/>
    <w:uiPriority w:val="0"/>
    <w:qFormat/>
    <w:pPr>
      <w:ind w:firstLine="420"/>
    </w:pPr>
    <w:rPr>
      <w:szCs w:val="22"/>
    </w:rPr>
  </w:style>
  <w:style w:type="character" w:styleId="1081" w:customStyle="1">
    <w:name w:val="Header Char1"/>
    <w:uiPriority w:val="0"/>
    <w:qFormat/>
    <w:rPr>
      <w:rFonts w:cs="Times New Roman"/>
      <w:sz w:val="18"/>
      <w:szCs w:val="18"/>
      <w:lang w:bidi="ar-SA"/>
    </w:rPr>
  </w:style>
  <w:style w:type="character" w:styleId="1082" w:customStyle="1">
    <w:name w:val="正文文本缩进 2 Char"/>
    <w:link w:val="1083"/>
    <w:uiPriority w:val="0"/>
    <w:qFormat/>
    <w:rPr>
      <w:rFonts w:hAnsi="Times New Roman"/>
      <w:sz w:val="21"/>
      <w:szCs w:val="20"/>
    </w:rPr>
  </w:style>
  <w:style w:type="paragraph" w:styleId="1083" w:customStyle="1">
    <w:name w:val="正文文本缩进 2_0"/>
    <w:basedOn w:val="1084"/>
    <w:link w:val="1082"/>
    <w:uiPriority w:val="0"/>
    <w:qFormat/>
    <w:pPr>
      <w:ind w:firstLine="525"/>
      <w:spacing w:line="420" w:lineRule="exact"/>
    </w:pPr>
  </w:style>
  <w:style w:type="paragraph" w:styleId="1084"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85" w:customStyle="1">
    <w:name w:val="Heading 3 Char_a5a6c394-65ab-4144-8017-81f81103df3a"/>
    <w:uiPriority w:val="0"/>
    <w:qFormat/>
    <w:rPr>
      <w:rFonts w:cs="Times New Roman"/>
      <w:b/>
      <w:bCs/>
      <w:sz w:val="32"/>
      <w:szCs w:val="32"/>
      <w:lang w:bidi="ar-SA"/>
    </w:rPr>
  </w:style>
  <w:style w:type="character" w:styleId="1086" w:customStyle="1">
    <w:name w:val="ca-21"/>
    <w:uiPriority w:val="0"/>
    <w:qFormat/>
    <w:rPr>
      <w:rFonts w:ascii="宋体" w:eastAsia="宋体"/>
      <w:sz w:val="21"/>
    </w:rPr>
  </w:style>
  <w:style w:type="character" w:styleId="1087" w:customStyle="1">
    <w:name w:val="Plain Text Char"/>
    <w:uiPriority w:val="0"/>
    <w:qFormat/>
    <w:rPr>
      <w:rFonts w:ascii="宋体" w:eastAsia="宋体"/>
      <w:sz w:val="21"/>
      <w:lang w:val="en-US" w:eastAsia="zh-CN"/>
    </w:rPr>
  </w:style>
  <w:style w:type="character" w:styleId="1088" w:customStyle="1">
    <w:name w:val="maywed421"/>
    <w:uiPriority w:val="0"/>
    <w:qFormat/>
    <w:rPr>
      <w:color w:val="366fb6"/>
      <w:u w:val="none"/>
    </w:rPr>
  </w:style>
  <w:style w:type="character" w:styleId="1089" w:customStyle="1">
    <w:name w:val="纯文本 Char_0_0"/>
    <w:link w:val="1090"/>
    <w:uiPriority w:val="0"/>
    <w:qFormat/>
    <w:rPr>
      <w:rFonts w:ascii="宋体" w:hAnsi="Courier New"/>
      <w:sz w:val="21"/>
      <w:szCs w:val="21"/>
    </w:rPr>
  </w:style>
  <w:style w:type="paragraph" w:styleId="1090" w:customStyle="1">
    <w:name w:val="纯文本_0_0"/>
    <w:basedOn w:val="1091"/>
    <w:link w:val="1089"/>
    <w:uiPriority w:val="0"/>
    <w:qFormat/>
    <w:rPr>
      <w:rFonts w:ascii="宋体" w:hAnsi="Courier New"/>
      <w:szCs w:val="21"/>
    </w:rPr>
  </w:style>
  <w:style w:type="paragraph" w:styleId="109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92" w:customStyle="1">
    <w:name w:val="style15"/>
    <w:uiPriority w:val="0"/>
    <w:qFormat/>
  </w:style>
  <w:style w:type="character" w:styleId="1093" w:customStyle="1">
    <w:name w:val="正文（标记） Char2"/>
    <w:link w:val="1094"/>
    <w:uiPriority w:val="0"/>
    <w:qFormat/>
    <w:rPr>
      <w:sz w:val="24"/>
      <w:szCs w:val="24"/>
    </w:rPr>
  </w:style>
  <w:style w:type="paragraph" w:styleId="1094" w:customStyle="1">
    <w:name w:val="正文（标记）"/>
    <w:basedOn w:val="762"/>
    <w:link w:val="1093"/>
    <w:uiPriority w:val="0"/>
    <w:qFormat/>
    <w:pPr>
      <w:spacing w:before="50" w:after="50"/>
      <w:tabs>
        <w:tab w:val="left" w:pos="0" w:leader="none"/>
        <w:tab w:val="left" w:pos="840" w:leader="none"/>
      </w:tabs>
    </w:pPr>
    <w:rPr>
      <w:sz w:val="24"/>
      <w:szCs w:val="24"/>
    </w:rPr>
  </w:style>
  <w:style w:type="character" w:styleId="1095" w:customStyle="1">
    <w:name w:val="段落 Char"/>
    <w:uiPriority w:val="0"/>
    <w:qFormat/>
    <w:rPr>
      <w:rFonts w:ascii="仿宋_GB2312" w:eastAsia="仿宋_GB2312"/>
      <w:sz w:val="24"/>
      <w:szCs w:val="24"/>
      <w:lang w:val="en-US" w:eastAsia="zh-CN" w:bidi="ar-SA"/>
    </w:rPr>
  </w:style>
  <w:style w:type="character" w:styleId="1096" w:customStyle="1">
    <w:name w:val="Char Char2"/>
    <w:uiPriority w:val="0"/>
    <w:qFormat/>
    <w:rPr>
      <w:sz w:val="18"/>
      <w:szCs w:val="18"/>
    </w:rPr>
  </w:style>
  <w:style w:type="character" w:styleId="1097" w:customStyle="1">
    <w:name w:val="style91"/>
    <w:uiPriority w:val="0"/>
    <w:qFormat/>
    <w:rPr>
      <w:color w:val="2060c0"/>
      <w:sz w:val="24"/>
      <w:szCs w:val="24"/>
    </w:rPr>
  </w:style>
  <w:style w:type="character" w:styleId="1098" w:customStyle="1">
    <w:name w:val="普通文字1 Char"/>
    <w:uiPriority w:val="0"/>
    <w:qFormat/>
    <w:rPr>
      <w:rFonts w:ascii="宋体" w:eastAsia="宋体" w:cs="Courier New"/>
      <w:sz w:val="21"/>
      <w:szCs w:val="21"/>
      <w:lang w:val="en-US" w:eastAsia="zh-CN" w:bidi="ar-SA"/>
    </w:rPr>
  </w:style>
  <w:style w:type="character" w:styleId="1099" w:customStyle="1">
    <w:name w:val="正文文本缩进 Char"/>
    <w:link w:val="1100"/>
    <w:uiPriority w:val="0"/>
    <w:qFormat/>
    <w:rPr>
      <w:rFonts w:hAnsi="Times New Roman"/>
      <w:szCs w:val="20"/>
    </w:rPr>
  </w:style>
  <w:style w:type="paragraph" w:styleId="1100" w:customStyle="1">
    <w:name w:val="正文文本缩进_0"/>
    <w:basedOn w:val="1084"/>
    <w:link w:val="1099"/>
    <w:uiPriority w:val="0"/>
    <w:qFormat/>
    <w:pPr>
      <w:ind w:firstLine="420"/>
      <w:spacing w:line="360" w:lineRule="auto"/>
    </w:pPr>
    <w:rPr>
      <w:sz w:val="20"/>
    </w:rPr>
  </w:style>
  <w:style w:type="character" w:styleId="1101" w:customStyle="1">
    <w:name w:val="Char Char21"/>
    <w:uiPriority w:val="0"/>
    <w:qFormat/>
    <w:rPr>
      <w:sz w:val="18"/>
      <w:szCs w:val="18"/>
    </w:rPr>
  </w:style>
  <w:style w:type="character" w:styleId="1102" w:customStyle="1">
    <w:name w:val="ca-41"/>
    <w:uiPriority w:val="0"/>
    <w:qFormat/>
    <w:rPr>
      <w:rFonts w:ascii="宋体" w:eastAsia="宋体"/>
      <w:b/>
      <w:bCs/>
      <w:color w:val="000000"/>
      <w:spacing w:val="-20"/>
      <w:sz w:val="21"/>
      <w:szCs w:val="21"/>
    </w:rPr>
  </w:style>
  <w:style w:type="character" w:styleId="1103" w:customStyle="1">
    <w:name w:val="question-title"/>
    <w:uiPriority w:val="0"/>
    <w:qFormat/>
  </w:style>
  <w:style w:type="character" w:styleId="1104" w:customStyle="1">
    <w:name w:val="A1"/>
    <w:uiPriority w:val="0"/>
    <w:qFormat/>
    <w:rPr>
      <w:rFonts w:ascii="Univers LT Std 45 Light" w:hAnsi="宋体" w:eastAsia="Univers LT Std 45 Light" w:cs="Univers LT Std 45 Light"/>
      <w:color w:val="221e1f"/>
      <w:sz w:val="10"/>
      <w:szCs w:val="10"/>
    </w:rPr>
  </w:style>
  <w:style w:type="character" w:styleId="1105" w:customStyle="1">
    <w:name w:val="style161"/>
    <w:uiPriority w:val="0"/>
    <w:qFormat/>
    <w:rPr>
      <w:rFonts w:ascii="Verdana" w:hAnsi="Verdana" w:eastAsia="宋体"/>
      <w:b/>
      <w:color w:val="0a246a"/>
      <w:sz w:val="24"/>
      <w:szCs w:val="24"/>
      <w:lang w:val="en-US" w:eastAsia="zh-CN" w:bidi="ar-SA"/>
    </w:rPr>
  </w:style>
  <w:style w:type="character" w:styleId="1106" w:customStyle="1">
    <w:name w:val="ca-31"/>
    <w:uiPriority w:val="0"/>
    <w:qFormat/>
    <w:rPr>
      <w:rFonts w:ascii="宋体" w:eastAsia="宋体"/>
      <w:color w:val="000000"/>
      <w:sz w:val="21"/>
      <w:szCs w:val="21"/>
    </w:rPr>
  </w:style>
  <w:style w:type="character" w:styleId="1107" w:customStyle="1">
    <w:name w:val="apple-converted-space"/>
    <w:uiPriority w:val="0"/>
    <w:qFormat/>
  </w:style>
  <w:style w:type="character" w:styleId="1108" w:customStyle="1">
    <w:name w:val="Footer Char1"/>
    <w:uiPriority w:val="0"/>
    <w:qFormat/>
    <w:rPr>
      <w:rFonts w:cs="Times New Roman"/>
      <w:sz w:val="18"/>
      <w:szCs w:val="18"/>
      <w:lang w:bidi="ar-SA"/>
    </w:rPr>
  </w:style>
  <w:style w:type="character" w:styleId="1109" w:customStyle="1">
    <w:name w:val="A0"/>
    <w:uiPriority w:val="0"/>
    <w:qFormat/>
    <w:rPr>
      <w:rFonts w:ascii=".....?." w:hAnsi="宋体" w:eastAsia=".....?."/>
      <w:color w:val="000000"/>
      <w:sz w:val="22"/>
    </w:rPr>
  </w:style>
  <w:style w:type="character" w:styleId="1110" w:customStyle="1">
    <w:name w:val="Char Char23"/>
    <w:uiPriority w:val="0"/>
    <w:qFormat/>
    <w:rPr>
      <w:sz w:val="24"/>
      <w:szCs w:val="21"/>
      <w:lang w:bidi="ar-SA"/>
    </w:rPr>
  </w:style>
  <w:style w:type="character" w:styleId="1111" w:customStyle="1">
    <w:name w:val="Char Char1"/>
    <w:uiPriority w:val="0"/>
    <w:qFormat/>
    <w:rPr>
      <w:rFonts w:ascii="宋体" w:eastAsia="宋体"/>
      <w:sz w:val="21"/>
      <w:lang w:val="en-US" w:eastAsia="zh-CN"/>
    </w:rPr>
  </w:style>
  <w:style w:type="character" w:styleId="1112" w:customStyle="1">
    <w:name w:val="apple-style-span"/>
    <w:uiPriority w:val="0"/>
    <w:qFormat/>
    <w:rPr>
      <w:rFonts w:ascii="宋体" w:hAnsi="宋体" w:cs="Times New Roman"/>
    </w:rPr>
  </w:style>
  <w:style w:type="character" w:styleId="1113" w:customStyle="1">
    <w:name w:val="无间隔 字符"/>
    <w:link w:val="1114"/>
    <w:uiPriority w:val="0"/>
    <w:qFormat/>
    <w:rPr>
      <w:sz w:val="22"/>
      <w:lang w:val="en-US" w:eastAsia="zh-CN" w:bidi="ar-SA"/>
    </w:rPr>
  </w:style>
  <w:style w:type="paragraph" w:styleId="1114" w:customStyle="1">
    <w:name w:val="无间隔1"/>
    <w:link w:val="1113"/>
    <w:uiPriority w:val="0"/>
    <w:qFormat/>
    <w:rPr>
      <w:rFonts w:ascii="Times New Roman" w:hAnsi="Times New Roman" w:eastAsia="宋体" w:cs="Times New Roman"/>
      <w:sz w:val="22"/>
      <w:lang w:val="en-US" w:eastAsia="zh-CN" w:bidi="ar-SA"/>
    </w:rPr>
  </w:style>
  <w:style w:type="character" w:styleId="1115" w:customStyle="1">
    <w:name w:val="Char Char3"/>
    <w:uiPriority w:val="0"/>
    <w:qFormat/>
    <w:rPr>
      <w:rFonts w:ascii="宋体" w:eastAsia="宋体"/>
      <w:sz w:val="18"/>
      <w:szCs w:val="18"/>
      <w:lang w:val="en-US" w:eastAsia="zh-CN" w:bidi="ar-SA"/>
    </w:rPr>
  </w:style>
  <w:style w:type="character" w:styleId="1116" w:customStyle="1">
    <w:name w:val="z12 style23"/>
    <w:uiPriority w:val="0"/>
    <w:qFormat/>
  </w:style>
  <w:style w:type="character" w:styleId="1117" w:customStyle="1">
    <w:name w:val="font41"/>
    <w:uiPriority w:val="0"/>
    <w:qFormat/>
    <w:rPr>
      <w:rFonts w:hint="eastAsia" w:ascii="宋体" w:hAnsi="宋体" w:eastAsia="宋体" w:cs="宋体"/>
      <w:color w:val="000000"/>
      <w:sz w:val="24"/>
      <w:szCs w:val="24"/>
      <w:u w:val="none"/>
    </w:rPr>
  </w:style>
  <w:style w:type="character" w:styleId="1118" w:customStyle="1">
    <w:name w:val="font11"/>
    <w:uiPriority w:val="0"/>
    <w:qFormat/>
    <w:rPr>
      <w:rFonts w:ascii="Times" w:hAnsi="Times" w:eastAsia="Times" w:cs="Times"/>
      <w:color w:val="000000"/>
      <w:sz w:val="24"/>
      <w:szCs w:val="24"/>
      <w:u w:val="none"/>
    </w:rPr>
  </w:style>
  <w:style w:type="character" w:styleId="1119" w:customStyle="1">
    <w:name w:val="Plain Text Char1"/>
    <w:uiPriority w:val="0"/>
    <w:qFormat/>
    <w:rPr>
      <w:rFonts w:ascii="宋体" w:eastAsia="宋体"/>
      <w:sz w:val="21"/>
      <w:szCs w:val="21"/>
      <w:lang w:val="en-US" w:eastAsia="zh-CN" w:bidi="ar-SA"/>
    </w:rPr>
  </w:style>
  <w:style w:type="character" w:styleId="1120" w:customStyle="1">
    <w:name w:val="Char Char"/>
    <w:uiPriority w:val="0"/>
    <w:qFormat/>
    <w:rPr>
      <w:rFonts w:eastAsia="宋体"/>
      <w:sz w:val="18"/>
      <w:lang w:val="en-US" w:eastAsia="zh-CN"/>
    </w:rPr>
  </w:style>
  <w:style w:type="character" w:styleId="1121" w:customStyle="1">
    <w:name w:val="wj1"/>
    <w:uiPriority w:val="0"/>
    <w:qFormat/>
    <w:rPr>
      <w:color w:val="000000"/>
      <w:sz w:val="18"/>
      <w:szCs w:val="18"/>
      <w:u w:val="none"/>
    </w:rPr>
  </w:style>
  <w:style w:type="character" w:styleId="1122" w:customStyle="1">
    <w:name w:val="Heading 2 Char_e7971b2e-95ff-491d-afd8-0e6cfcc6c1b2"/>
    <w:uiPriority w:val="0"/>
    <w:qFormat/>
    <w:rPr>
      <w:rFonts w:ascii="Arial" w:hAnsi="Arial" w:eastAsia="黑体"/>
      <w:b/>
      <w:bCs/>
      <w:sz w:val="32"/>
      <w:szCs w:val="32"/>
      <w:lang w:val="en-US" w:eastAsia="zh-CN" w:bidi="ar-SA"/>
    </w:rPr>
  </w:style>
  <w:style w:type="character" w:styleId="1123" w:customStyle="1">
    <w:name w:val="z1"/>
    <w:uiPriority w:val="0"/>
    <w:qFormat/>
  </w:style>
  <w:style w:type="character" w:styleId="1124" w:customStyle="1">
    <w:name w:val="font01"/>
    <w:uiPriority w:val="0"/>
    <w:qFormat/>
    <w:rPr>
      <w:rFonts w:hint="eastAsia" w:ascii="宋体" w:hAnsi="宋体" w:eastAsia="宋体" w:cs="宋体"/>
      <w:color w:val="000000"/>
      <w:sz w:val="24"/>
      <w:szCs w:val="24"/>
      <w:u w:val="none"/>
    </w:rPr>
  </w:style>
  <w:style w:type="character" w:styleId="1125" w:customStyle="1">
    <w:name w:val="Footer Char_f0e3e3bf-5b2e-454d-aedf-db4c0b3a23ed"/>
    <w:uiPriority w:val="0"/>
    <w:qFormat/>
    <w:rPr>
      <w:rFonts w:eastAsia="宋体"/>
      <w:sz w:val="18"/>
      <w:lang w:val="en-US" w:eastAsia="zh-CN"/>
    </w:rPr>
  </w:style>
  <w:style w:type="character" w:styleId="1126" w:customStyle="1">
    <w:name w:val="Header Char_9800ef60-2583-47c5-8652-b7f35f90c311"/>
    <w:uiPriority w:val="0"/>
    <w:qFormat/>
    <w:rPr>
      <w:rFonts w:eastAsia="宋体"/>
      <w:sz w:val="18"/>
      <w:lang w:val="en-US" w:eastAsia="zh-CN"/>
    </w:rPr>
  </w:style>
  <w:style w:type="character" w:styleId="1127" w:customStyle="1">
    <w:name w:val="ca-01"/>
    <w:uiPriority w:val="0"/>
    <w:qFormat/>
    <w:rPr>
      <w:rFonts w:ascii="宋体" w:eastAsia="宋体"/>
      <w:b/>
      <w:bCs/>
      <w:spacing w:val="-20"/>
      <w:sz w:val="24"/>
      <w:szCs w:val="24"/>
    </w:rPr>
  </w:style>
  <w:style w:type="character" w:styleId="1128" w:customStyle="1">
    <w:name w:val="font51"/>
    <w:uiPriority w:val="99"/>
    <w:qFormat/>
    <w:rPr>
      <w:rFonts w:ascii="宋体" w:hAnsi="宋体" w:eastAsia="宋体" w:cs="宋体"/>
      <w:color w:val="000000"/>
      <w:sz w:val="22"/>
      <w:szCs w:val="22"/>
    </w:rPr>
  </w:style>
  <w:style w:type="character" w:styleId="1129" w:customStyle="1">
    <w:name w:val="font21"/>
    <w:uiPriority w:val="0"/>
    <w:qFormat/>
    <w:rPr>
      <w:rFonts w:ascii="Times New Roman" w:hAnsi="Times New Roman"/>
      <w:color w:val="000000"/>
      <w:sz w:val="20"/>
      <w:u w:val="none"/>
    </w:rPr>
  </w:style>
  <w:style w:type="character" w:styleId="1130" w:customStyle="1">
    <w:name w:val="font31"/>
    <w:uiPriority w:val="0"/>
    <w:qFormat/>
    <w:rPr>
      <w:rFonts w:ascii="Arial" w:hAnsi="Arial" w:cs="Arial"/>
      <w:color w:val="000000"/>
      <w:sz w:val="22"/>
      <w:szCs w:val="22"/>
      <w:u w:val="none"/>
    </w:rPr>
  </w:style>
  <w:style w:type="character" w:styleId="1131" w:customStyle="1">
    <w:name w:val="正文（编号） Char Char"/>
    <w:link w:val="1132"/>
    <w:uiPriority w:val="0"/>
    <w:qFormat/>
    <w:rPr>
      <w:sz w:val="24"/>
      <w:szCs w:val="24"/>
    </w:rPr>
  </w:style>
  <w:style w:type="paragraph" w:styleId="1132" w:customStyle="1">
    <w:name w:val="正文（编号）"/>
    <w:basedOn w:val="1133"/>
    <w:link w:val="1131"/>
    <w:uiPriority w:val="0"/>
    <w:qFormat/>
    <w:pPr>
      <w:ind w:left="720" w:firstLine="0"/>
      <w:tabs>
        <w:tab w:val="left" w:pos="720" w:leader="none"/>
        <w:tab w:val="left" w:pos="780" w:leader="none"/>
      </w:tabs>
    </w:pPr>
    <w:rPr>
      <w:szCs w:val="24"/>
    </w:rPr>
  </w:style>
  <w:style w:type="paragraph" w:styleId="1133" w:customStyle="1">
    <w:name w:val="正文（缩进）"/>
    <w:basedOn w:val="762"/>
    <w:uiPriority w:val="0"/>
    <w:qFormat/>
    <w:pPr>
      <w:ind w:firstLine="200"/>
      <w:spacing w:before="50" w:after="50" w:line="360" w:lineRule="auto"/>
    </w:pPr>
    <w:rPr>
      <w:sz w:val="24"/>
    </w:rPr>
  </w:style>
  <w:style w:type="character" w:styleId="1134" w:customStyle="1">
    <w:name w:val="marklong"/>
    <w:uiPriority w:val="0"/>
    <w:qFormat/>
  </w:style>
  <w:style w:type="character" w:styleId="1135" w:customStyle="1">
    <w:name w:val="标题 2 Char Char Char"/>
    <w:uiPriority w:val="0"/>
    <w:qFormat/>
    <w:rPr>
      <w:rFonts w:ascii="Arial" w:hAnsi="Arial" w:eastAsia="宋体" w:cs="Arial"/>
      <w:b/>
      <w:bCs/>
      <w:i/>
      <w:iCs/>
      <w:sz w:val="28"/>
      <w:szCs w:val="28"/>
      <w:lang w:val="en-US" w:eastAsia="zh-CN" w:bidi="ar-SA"/>
    </w:rPr>
  </w:style>
  <w:style w:type="character" w:styleId="1136" w:customStyle="1">
    <w:name w:val="ca-1"/>
    <w:uiPriority w:val="0"/>
    <w:qFormat/>
  </w:style>
  <w:style w:type="character" w:styleId="1137" w:customStyle="1">
    <w:name w:val="ca-11"/>
    <w:uiPriority w:val="0"/>
    <w:qFormat/>
    <w:rPr>
      <w:rFonts w:ascii="宋体" w:eastAsia="宋体"/>
      <w:b/>
      <w:bCs/>
      <w:color w:val="000000"/>
      <w:spacing w:val="-20"/>
      <w:sz w:val="28"/>
      <w:szCs w:val="28"/>
    </w:rPr>
  </w:style>
  <w:style w:type="character" w:styleId="1138" w:customStyle="1">
    <w:name w:val="正文（缩进） Char Char"/>
    <w:uiPriority w:val="0"/>
    <w:qFormat/>
    <w:rPr>
      <w:rFonts w:eastAsia="宋体"/>
      <w:sz w:val="24"/>
      <w:szCs w:val="24"/>
      <w:lang w:val="en-US" w:eastAsia="zh-CN" w:bidi="ar-SA"/>
    </w:rPr>
  </w:style>
  <w:style w:type="character" w:styleId="1139" w:customStyle="1">
    <w:name w:val="Char Char31"/>
    <w:uiPriority w:val="0"/>
    <w:qFormat/>
    <w:rPr>
      <w:rFonts w:ascii="Arial" w:hAnsi="Arial" w:eastAsia="黑体" w:cs="Times New Roman"/>
      <w:b/>
      <w:bCs/>
      <w:sz w:val="32"/>
      <w:szCs w:val="32"/>
      <w:lang w:val="en-US" w:eastAsia="zh-CN" w:bidi="ar-SA"/>
    </w:rPr>
  </w:style>
  <w:style w:type="paragraph" w:styleId="1140" w:customStyle="1">
    <w:name w:val="表文1"/>
    <w:basedOn w:val="762"/>
    <w:uiPriority w:val="0"/>
    <w:qFormat/>
    <w:pPr>
      <w:ind w:firstLine="196"/>
      <w:spacing w:line="360" w:lineRule="auto"/>
      <w:widowControl/>
    </w:pPr>
    <w:rPr>
      <w:rFonts w:ascii="宋体"/>
      <w:sz w:val="24"/>
    </w:rPr>
  </w:style>
  <w:style w:type="paragraph" w:styleId="1141" w:customStyle="1">
    <w:name w:val="Normal_6_0"/>
    <w:uiPriority w:val="0"/>
    <w:qFormat/>
    <w:rPr>
      <w:rFonts w:ascii="黑体" w:hAnsi="黑体" w:eastAsia="黑体" w:cs="Times New Roman"/>
      <w:b/>
      <w:sz w:val="32"/>
      <w:szCs w:val="24"/>
      <w:lang w:val="en-US" w:eastAsia="zh-CN" w:bidi="ar-SA"/>
    </w:rPr>
  </w:style>
  <w:style w:type="paragraph" w:styleId="1142" w:customStyle="1">
    <w:name w:val="Char Char Char"/>
    <w:basedOn w:val="762"/>
    <w:uiPriority w:val="0"/>
    <w:qFormat/>
    <w:rPr>
      <w:rFonts w:ascii="Calibri" w:hAnsi="Calibri"/>
      <w:szCs w:val="21"/>
    </w:rPr>
  </w:style>
  <w:style w:type="paragraph" w:styleId="1143" w:customStyle="1">
    <w:name w:val="标题二、"/>
    <w:basedOn w:val="762"/>
    <w:uiPriority w:val="99"/>
    <w:qFormat/>
    <w:pPr>
      <w:ind w:firstLine="200"/>
      <w:spacing w:line="360" w:lineRule="auto"/>
      <w:outlineLvl w:val="2"/>
    </w:pPr>
    <w:rPr>
      <w:rFonts w:ascii="宋体" w:hAnsi="宋体"/>
      <w:b/>
      <w:szCs w:val="21"/>
    </w:rPr>
  </w:style>
  <w:style w:type="paragraph" w:styleId="1144" w:customStyle="1">
    <w:name w:val="无标题正文 Char Char Char Char Char Char Char Char Char Char Char Char Char Char Char Char Char Char Char Char Char Char Char Char Char Char Char1 Char"/>
    <w:basedOn w:val="762"/>
    <w:uiPriority w:val="0"/>
    <w:qFormat/>
    <w:pPr>
      <w:jc w:val="center"/>
      <w:spacing w:after="160" w:line="240" w:lineRule="exact"/>
      <w:widowControl/>
    </w:pPr>
    <w:rPr>
      <w:rFonts w:ascii="Arial" w:hAnsi="Arial"/>
      <w:sz w:val="20"/>
      <w:szCs w:val="20"/>
      <w:lang w:eastAsia="en-US"/>
    </w:rPr>
  </w:style>
  <w:style w:type="paragraph" w:styleId="1145" w:customStyle="1">
    <w:name w:val="xl2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Normal_9_0"/>
    <w:uiPriority w:val="0"/>
    <w:qFormat/>
    <w:rPr>
      <w:rFonts w:ascii="Times New Roman" w:hAnsi="Times New Roman" w:eastAsia="Times New Roman" w:cs="Times New Roman"/>
      <w:sz w:val="24"/>
      <w:szCs w:val="24"/>
      <w:lang w:val="en-US" w:eastAsia="zh-CN" w:bidi="ar-SA"/>
    </w:rPr>
  </w:style>
  <w:style w:type="paragraph" w:styleId="114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48" w:customStyle="1">
    <w:name w:val="pa-6"/>
    <w:basedOn w:val="762"/>
    <w:uiPriority w:val="0"/>
    <w:qFormat/>
    <w:pPr>
      <w:spacing w:line="360" w:lineRule="atLeast"/>
      <w:widowControl/>
    </w:pPr>
    <w:rPr>
      <w:rFonts w:ascii="宋体"/>
      <w:sz w:val="24"/>
      <w:szCs w:val="20"/>
    </w:rPr>
  </w:style>
  <w:style w:type="paragraph" w:styleId="114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5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5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5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前言、引言标题"/>
    <w:next w:val="76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54" w:customStyle="1">
    <w:name w:val="Char Char Char Char Char Char Char Char Char Char"/>
    <w:basedOn w:val="762"/>
    <w:uiPriority w:val="0"/>
    <w:qFormat/>
    <w:rPr>
      <w:rFonts w:ascii="Tahoma" w:hAnsi="Tahoma"/>
      <w:sz w:val="24"/>
      <w:szCs w:val="20"/>
    </w:rPr>
  </w:style>
  <w:style w:type="paragraph" w:styleId="1155" w:customStyle="1">
    <w:name w:val="篇名"/>
    <w:next w:val="99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5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5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59" w:customStyle="1">
    <w:name w:val="WPSOffice手动目录 1"/>
    <w:uiPriority w:val="0"/>
    <w:qFormat/>
    <w:rPr>
      <w:rFonts w:ascii="Times New Roman" w:hAnsi="Times New Roman" w:eastAsia="宋体" w:cs="Times New Roman"/>
      <w:lang w:val="en-US" w:eastAsia="zh-CN" w:bidi="ar-SA"/>
    </w:rPr>
  </w:style>
  <w:style w:type="paragraph" w:styleId="116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61" w:customStyle="1">
    <w:name w:val="参考资料清单+倾斜+蓝色"/>
    <w:basedOn w:val="762"/>
    <w:uiPriority w:val="0"/>
    <w:qFormat/>
    <w:pPr>
      <w:spacing w:line="360" w:lineRule="auto"/>
    </w:pPr>
    <w:rPr>
      <w:rFonts w:ascii="Arial" w:hAnsi="Arial"/>
      <w:i/>
      <w:iCs/>
      <w:color w:val="0000ff"/>
      <w:szCs w:val="21"/>
    </w:rPr>
  </w:style>
  <w:style w:type="paragraph" w:styleId="1162" w:customStyle="1">
    <w:name w:val="Normal_8"/>
    <w:uiPriority w:val="0"/>
    <w:qFormat/>
    <w:rPr>
      <w:rFonts w:ascii="Times New Roman" w:hAnsi="Times New Roman" w:eastAsia="Times New Roman" w:cs="Times New Roman"/>
      <w:sz w:val="24"/>
      <w:szCs w:val="24"/>
      <w:lang w:val="en-US" w:eastAsia="zh-CN" w:bidi="ar-SA"/>
    </w:rPr>
  </w:style>
  <w:style w:type="paragraph" w:styleId="1163" w:customStyle="1">
    <w:name w:val="缩进正文"/>
    <w:basedOn w:val="762"/>
    <w:uiPriority w:val="0"/>
    <w:qFormat/>
    <w:pPr>
      <w:ind w:left="1418" w:firstLine="425"/>
      <w:jc w:val="left"/>
      <w:spacing w:after="200" w:line="400" w:lineRule="exact"/>
      <w:widowControl/>
    </w:pPr>
    <w:rPr>
      <w:rFonts w:ascii="宋体"/>
      <w:sz w:val="24"/>
      <w:szCs w:val="20"/>
    </w:rPr>
  </w:style>
  <w:style w:type="paragraph" w:styleId="1164" w:customStyle="1">
    <w:name w:val="Normal_2"/>
    <w:uiPriority w:val="0"/>
    <w:qFormat/>
    <w:rPr>
      <w:rFonts w:ascii="黑体" w:hAnsi="黑体" w:eastAsia="黑体" w:cs="Times New Roman"/>
      <w:b/>
      <w:sz w:val="32"/>
      <w:szCs w:val="24"/>
      <w:lang w:val="en-US" w:eastAsia="zh-CN" w:bidi="ar-SA"/>
    </w:rPr>
  </w:style>
  <w:style w:type="paragraph" w:styleId="1165" w:customStyle="1">
    <w:name w:val="Normal_1_2"/>
    <w:uiPriority w:val="0"/>
    <w:qFormat/>
    <w:rPr>
      <w:rFonts w:ascii="Times New Roman" w:hAnsi="Times New Roman" w:eastAsia="Times New Roman" w:cs="Times New Roman"/>
      <w:sz w:val="24"/>
      <w:szCs w:val="24"/>
      <w:lang w:val="en-US" w:eastAsia="zh-CN" w:bidi="ar-SA"/>
    </w:rPr>
  </w:style>
  <w:style w:type="paragraph" w:styleId="1166" w:customStyle="1">
    <w:name w:val="默认段落字体 Para Char Char Char Char Char Char Char Char Char1"/>
    <w:basedOn w:val="762"/>
    <w:uiPriority w:val="0"/>
    <w:qFormat/>
    <w:rPr>
      <w:rFonts w:ascii="Tahoma" w:hAnsi="Tahoma"/>
      <w:sz w:val="24"/>
      <w:szCs w:val="20"/>
    </w:rPr>
  </w:style>
  <w:style w:type="paragraph" w:styleId="1167" w:customStyle="1">
    <w:name w:val="样式 序号----------- + 仿宋_GB2312"/>
    <w:basedOn w:val="1168"/>
    <w:uiPriority w:val="0"/>
    <w:qFormat/>
    <w:pPr>
      <w:ind w:firstLine="200"/>
      <w:spacing w:line="360" w:lineRule="auto"/>
    </w:pPr>
    <w:rPr>
      <w:rFonts w:ascii="仿宋_GB2312" w:eastAsia="仿宋_GB2312"/>
      <w:bCs w:val="0"/>
    </w:rPr>
  </w:style>
  <w:style w:type="paragraph" w:styleId="1168" w:customStyle="1">
    <w:name w:val="序号-----------"/>
    <w:basedOn w:val="762"/>
    <w:uiPriority w:val="0"/>
    <w:qFormat/>
    <w:pPr>
      <w:jc w:val="left"/>
      <w:widowControl/>
    </w:pPr>
    <w:rPr>
      <w:rFonts w:ascii="宋体"/>
      <w:bCs/>
      <w:szCs w:val="21"/>
    </w:rPr>
  </w:style>
  <w:style w:type="paragraph" w:styleId="1169" w:customStyle="1">
    <w:name w:val="pa-8"/>
    <w:basedOn w:val="762"/>
    <w:uiPriority w:val="0"/>
    <w:qFormat/>
    <w:pPr>
      <w:ind w:firstLine="480"/>
      <w:spacing w:line="280" w:lineRule="atLeast"/>
      <w:widowControl/>
    </w:pPr>
    <w:rPr>
      <w:rFonts w:ascii="宋体" w:cs="宋体"/>
      <w:sz w:val="24"/>
    </w:rPr>
  </w:style>
  <w:style w:type="paragraph" w:styleId="1170" w:customStyle="1">
    <w:name w:val="Indent Normal"/>
    <w:basedOn w:val="762"/>
    <w:uiPriority w:val="0"/>
    <w:qFormat/>
    <w:pPr>
      <w:ind w:firstLine="150"/>
    </w:pPr>
    <w:rPr>
      <w:sz w:val="24"/>
      <w:szCs w:val="20"/>
    </w:rPr>
  </w:style>
  <w:style w:type="paragraph" w:styleId="1171" w:customStyle="1">
    <w:name w:val="Normal_3"/>
    <w:uiPriority w:val="0"/>
    <w:qFormat/>
    <w:rPr>
      <w:rFonts w:ascii="黑体" w:hAnsi="黑体" w:eastAsia="黑体" w:cs="Times New Roman"/>
      <w:b/>
      <w:sz w:val="32"/>
      <w:szCs w:val="24"/>
      <w:lang w:val="en-US" w:eastAsia="zh-CN" w:bidi="ar-SA"/>
    </w:rPr>
  </w:style>
  <w:style w:type="paragraph" w:styleId="1172" w:customStyle="1">
    <w:name w:val="寄信人地址1"/>
    <w:basedOn w:val="811"/>
    <w:uiPriority w:val="99"/>
    <w:qFormat/>
    <w:rPr>
      <w:rFonts w:ascii="Arial" w:hAnsi="Arial" w:cs="Arial"/>
    </w:rPr>
  </w:style>
  <w:style w:type="paragraph" w:styleId="1173" w:customStyle="1">
    <w:name w:val="标题2"/>
    <w:basedOn w:val="762"/>
    <w:uiPriority w:val="0"/>
    <w:qFormat/>
    <w:pPr>
      <w:tabs>
        <w:tab w:val="left" w:pos="0" w:leader="none"/>
      </w:tabs>
    </w:pPr>
    <w:rPr>
      <w:rFonts w:ascii="黑体" w:eastAsia="黑体"/>
      <w:sz w:val="24"/>
    </w:rPr>
  </w:style>
  <w:style w:type="paragraph" w:styleId="1174" w:customStyle="1">
    <w:name w:val="Normal_10"/>
    <w:uiPriority w:val="0"/>
    <w:qFormat/>
    <w:rPr>
      <w:rFonts w:ascii="黑体" w:hAnsi="黑体" w:eastAsia="黑体" w:cs="Times New Roman"/>
      <w:b/>
      <w:sz w:val="32"/>
      <w:szCs w:val="24"/>
      <w:lang w:val="en-US" w:eastAsia="zh-CN" w:bidi="ar-SA"/>
    </w:rPr>
  </w:style>
  <w:style w:type="paragraph" w:styleId="1175" w:customStyle="1">
    <w:name w:val="样式3"/>
    <w:basedOn w:val="992"/>
    <w:uiPriority w:val="0"/>
    <w:qFormat/>
    <w:pPr>
      <w:spacing w:line="415" w:lineRule="auto"/>
    </w:pPr>
    <w:rPr>
      <w:rFonts w:ascii="Calibri" w:hAnsi="Calibri"/>
      <w:bCs/>
      <w:color w:val="000000"/>
      <w:sz w:val="28"/>
      <w:szCs w:val="28"/>
    </w:rPr>
  </w:style>
  <w:style w:type="paragraph" w:styleId="1176" w:customStyle="1">
    <w:name w:val="样式6"/>
    <w:basedOn w:val="84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77" w:customStyle="1">
    <w:name w:val="Char1 Char Char Char"/>
    <w:basedOn w:val="762"/>
    <w:uiPriority w:val="0"/>
    <w:qFormat/>
    <w:rPr>
      <w:szCs w:val="20"/>
    </w:rPr>
  </w:style>
  <w:style w:type="paragraph" w:styleId="1178" w:customStyle="1">
    <w:name w:val="纯文本2"/>
    <w:basedOn w:val="762"/>
    <w:uiPriority w:val="0"/>
    <w:qFormat/>
    <w:rPr>
      <w:rFonts w:ascii="宋体" w:hAnsi="Courier New" w:eastAsia="楷体_GB2312"/>
      <w:sz w:val="26"/>
      <w:szCs w:val="20"/>
    </w:rPr>
  </w:style>
  <w:style w:type="paragraph" w:styleId="1179" w:customStyle="1">
    <w:name w:val="Normal_4_0"/>
    <w:uiPriority w:val="0"/>
    <w:qFormat/>
    <w:rPr>
      <w:rFonts w:ascii="黑体" w:hAnsi="黑体" w:eastAsia="黑体" w:cs="Times New Roman"/>
      <w:b/>
      <w:sz w:val="32"/>
      <w:szCs w:val="24"/>
      <w:lang w:val="en-US" w:eastAsia="zh-CN" w:bidi="ar-SA"/>
    </w:rPr>
  </w:style>
  <w:style w:type="paragraph" w:styleId="1180" w:customStyle="1">
    <w:name w:val="三级条标题"/>
    <w:basedOn w:val="1181"/>
    <w:next w:val="1183"/>
    <w:uiPriority w:val="0"/>
    <w:qFormat/>
    <w:pPr>
      <w:ind w:left="1050"/>
      <w:outlineLvl w:val="4"/>
    </w:pPr>
  </w:style>
  <w:style w:type="paragraph" w:styleId="1181" w:customStyle="1">
    <w:name w:val="二级条标题"/>
    <w:basedOn w:val="1182"/>
    <w:next w:val="1183"/>
    <w:uiPriority w:val="0"/>
    <w:qFormat/>
    <w:pPr>
      <w:ind w:left="360"/>
      <w:outlineLvl w:val="3"/>
    </w:pPr>
  </w:style>
  <w:style w:type="paragraph" w:styleId="1182" w:customStyle="1">
    <w:name w:val="一级条标题"/>
    <w:next w:val="1183"/>
    <w:uiPriority w:val="0"/>
    <w:qFormat/>
    <w:pPr>
      <w:outlineLvl w:val="2"/>
    </w:pPr>
    <w:rPr>
      <w:rFonts w:ascii="Times New Roman" w:hAnsi="Times New Roman" w:eastAsia="黑体" w:cs="Times New Roman"/>
      <w:sz w:val="21"/>
      <w:lang w:val="en-US" w:eastAsia="zh-CN" w:bidi="ar-SA"/>
    </w:rPr>
  </w:style>
  <w:style w:type="paragraph" w:styleId="1183" w:customStyle="1">
    <w:name w:val="段"/>
    <w:uiPriority w:val="0"/>
    <w:qFormat/>
    <w:pPr>
      <w:ind w:firstLine="200"/>
      <w:jc w:val="both"/>
    </w:pPr>
    <w:rPr>
      <w:rFonts w:ascii="宋体" w:hAnsi="Times New Roman" w:eastAsia="宋体" w:cs="Times New Roman"/>
      <w:sz w:val="21"/>
      <w:lang w:val="en-US" w:eastAsia="zh-CN" w:bidi="ar-SA"/>
    </w:rPr>
  </w:style>
  <w:style w:type="paragraph" w:styleId="1184" w:customStyle="1">
    <w:name w:val="Normal_5_0"/>
    <w:uiPriority w:val="0"/>
    <w:qFormat/>
    <w:rPr>
      <w:rFonts w:ascii="黑体" w:hAnsi="黑体" w:eastAsia="黑体" w:cs="Times New Roman"/>
      <w:b/>
      <w:sz w:val="32"/>
      <w:szCs w:val="24"/>
      <w:lang w:val="en-US" w:eastAsia="zh-CN" w:bidi="ar-SA"/>
    </w:rPr>
  </w:style>
  <w:style w:type="paragraph" w:styleId="1185" w:customStyle="1">
    <w:name w:val="Normal_14_0"/>
    <w:uiPriority w:val="0"/>
    <w:qFormat/>
    <w:rPr>
      <w:rFonts w:ascii="黑体" w:hAnsi="黑体" w:eastAsia="黑体" w:cs="Times New Roman"/>
      <w:b/>
      <w:sz w:val="32"/>
      <w:szCs w:val="24"/>
      <w:lang w:val="en-US" w:eastAsia="zh-CN" w:bidi="ar-SA"/>
    </w:rPr>
  </w:style>
  <w:style w:type="paragraph" w:styleId="1186" w:customStyle="1">
    <w:name w:val="技术方案2"/>
    <w:basedOn w:val="762"/>
    <w:uiPriority w:val="0"/>
    <w:qFormat/>
    <w:pPr>
      <w:spacing w:line="480" w:lineRule="auto"/>
    </w:pPr>
    <w:rPr>
      <w:rFonts w:ascii="宋体"/>
      <w:b/>
      <w:bCs/>
      <w:sz w:val="36"/>
    </w:rPr>
  </w:style>
  <w:style w:type="paragraph" w:styleId="118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88" w:customStyle="1">
    <w:name w:val="Normal_0_0"/>
    <w:uiPriority w:val="0"/>
    <w:qFormat/>
    <w:rPr>
      <w:rFonts w:ascii="黑体" w:hAnsi="黑体" w:eastAsia="黑体" w:cs="Times New Roman"/>
      <w:b/>
      <w:sz w:val="40"/>
      <w:szCs w:val="24"/>
      <w:lang w:val="en-US" w:eastAsia="zh-CN" w:bidi="ar-SA"/>
    </w:rPr>
  </w:style>
  <w:style w:type="paragraph" w:styleId="1189" w:customStyle="1">
    <w:name w:val="表格标题"/>
    <w:basedOn w:val="762"/>
    <w:uiPriority w:val="0"/>
    <w:qFormat/>
    <w:pPr>
      <w:jc w:val="center"/>
    </w:pPr>
    <w:rPr>
      <w:b/>
    </w:rPr>
  </w:style>
  <w:style w:type="paragraph" w:styleId="1190" w:customStyle="1">
    <w:name w:val="表中文字"/>
    <w:basedOn w:val="762"/>
    <w:uiPriority w:val="0"/>
    <w:qFormat/>
    <w:pPr>
      <w:widowControl/>
    </w:pPr>
    <w:rPr>
      <w:rFonts w:ascii="Calibri" w:hAnsi="Calibri"/>
      <w:szCs w:val="20"/>
    </w:rPr>
  </w:style>
  <w:style w:type="paragraph" w:styleId="1191" w:customStyle="1">
    <w:name w:val="Char"/>
    <w:basedOn w:val="762"/>
    <w:uiPriority w:val="0"/>
    <w:qFormat/>
    <w:pPr>
      <w:jc w:val="left"/>
      <w:spacing w:after="160" w:line="240" w:lineRule="exact"/>
      <w:widowControl/>
    </w:pPr>
    <w:rPr>
      <w:rFonts w:ascii="Verdana" w:hAnsi="Verdana"/>
      <w:sz w:val="20"/>
      <w:szCs w:val="20"/>
      <w:lang w:eastAsia="en-US"/>
    </w:rPr>
  </w:style>
  <w:style w:type="paragraph" w:styleId="1192" w:customStyle="1">
    <w:name w:val="pbody"/>
    <w:basedOn w:val="762"/>
    <w:uiPriority w:val="0"/>
    <w:qFormat/>
    <w:pPr>
      <w:jc w:val="left"/>
      <w:spacing w:before="100" w:beforeAutospacing="1" w:after="100" w:afterAutospacing="1" w:line="360" w:lineRule="auto"/>
      <w:widowControl/>
    </w:pPr>
    <w:rPr>
      <w:rFonts w:ascii="宋体" w:cs="宋体"/>
      <w:sz w:val="24"/>
    </w:rPr>
  </w:style>
  <w:style w:type="paragraph" w:styleId="119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Normal_9"/>
    <w:uiPriority w:val="0"/>
    <w:qFormat/>
    <w:rPr>
      <w:rFonts w:ascii="黑体" w:hAnsi="黑体" w:eastAsia="黑体" w:cs="Times New Roman"/>
      <w:b/>
      <w:sz w:val="32"/>
      <w:szCs w:val="24"/>
      <w:lang w:val="en-US" w:eastAsia="zh-CN" w:bidi="ar-SA"/>
    </w:rPr>
  </w:style>
  <w:style w:type="paragraph" w:styleId="1195" w:customStyle="1">
    <w:name w:val="表格正文"/>
    <w:basedOn w:val="762"/>
    <w:uiPriority w:val="0"/>
    <w:qFormat/>
    <w:pPr>
      <w:spacing w:line="300" w:lineRule="auto"/>
      <w:tabs>
        <w:tab w:val="left" w:pos="420" w:leader="none"/>
      </w:tabs>
    </w:pPr>
  </w:style>
  <w:style w:type="paragraph" w:styleId="1196" w:customStyle="1">
    <w:name w:val="目录 1_0"/>
    <w:basedOn w:val="1084"/>
    <w:next w:val="1084"/>
    <w:uiPriority w:val="0"/>
    <w:qFormat/>
    <w:pPr>
      <w:jc w:val="left"/>
    </w:pPr>
    <w:rPr>
      <w:rFonts w:hint="eastAsia" w:ascii="宋体" w:hAnsi="宋体"/>
      <w:b/>
      <w:sz w:val="24"/>
    </w:rPr>
  </w:style>
  <w:style w:type="paragraph" w:styleId="119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9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99" w:customStyle="1">
    <w:name w:val="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20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01" w:customStyle="1">
    <w:name w:val="标书2"/>
    <w:next w:val="1202"/>
    <w:uiPriority w:val="0"/>
    <w:qFormat/>
    <w:rPr>
      <w:rFonts w:ascii="Times New Roman" w:hAnsi="Times New Roman" w:eastAsia="黑体" w:cs="宋体"/>
      <w:b/>
      <w:sz w:val="44"/>
      <w:lang w:val="en-US" w:eastAsia="zh-CN" w:bidi="ar-SA"/>
    </w:rPr>
  </w:style>
  <w:style w:type="paragraph" w:styleId="120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203" w:customStyle="1">
    <w:name w:val="xl38"/>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4" w:customStyle="1">
    <w:name w:val="p0"/>
    <w:basedOn w:val="762"/>
    <w:uiPriority w:val="0"/>
    <w:qFormat/>
    <w:pPr>
      <w:widowControl/>
    </w:pPr>
    <w:rPr>
      <w:szCs w:val="21"/>
    </w:rPr>
  </w:style>
  <w:style w:type="paragraph" w:styleId="1205" w:customStyle="1">
    <w:name w:val="ibm-list-next"/>
    <w:basedOn w:val="762"/>
    <w:uiPriority w:val="0"/>
    <w:qFormat/>
    <w:pPr>
      <w:jc w:val="left"/>
      <w:spacing w:before="100" w:beforeAutospacing="1" w:after="100" w:afterAutospacing="1"/>
      <w:widowControl/>
    </w:pPr>
    <w:rPr>
      <w:rFonts w:ascii="宋体" w:cs="宋体"/>
      <w:sz w:val="24"/>
    </w:rPr>
  </w:style>
  <w:style w:type="paragraph" w:styleId="1206" w:customStyle="1">
    <w:name w:val="WPSOffice手动目录 2"/>
    <w:uiPriority w:val="0"/>
    <w:qFormat/>
    <w:rPr>
      <w:rFonts w:ascii="Times New Roman" w:hAnsi="Times New Roman" w:eastAsia="宋体" w:cs="Times New Roman"/>
      <w:lang w:val="en-US" w:eastAsia="zh-CN" w:bidi="ar-SA"/>
    </w:rPr>
  </w:style>
  <w:style w:type="paragraph" w:styleId="1207" w:customStyle="1">
    <w:name w:val="正文文字缩进 3"/>
    <w:basedOn w:val="762"/>
    <w:uiPriority w:val="0"/>
    <w:qFormat/>
    <w:pPr>
      <w:ind w:left="420" w:firstLine="420"/>
      <w:spacing w:line="312" w:lineRule="auto"/>
    </w:pPr>
    <w:rPr>
      <w:rFonts w:ascii="黑体" w:hAnsi="黑体" w:cs="宋体"/>
      <w:bCs/>
      <w:color w:val="000000"/>
      <w:sz w:val="24"/>
    </w:rPr>
  </w:style>
  <w:style w:type="paragraph" w:styleId="1208" w:customStyle="1">
    <w:name w:val="pa-9"/>
    <w:basedOn w:val="762"/>
    <w:uiPriority w:val="0"/>
    <w:qFormat/>
    <w:pPr>
      <w:jc w:val="center"/>
      <w:spacing w:line="360" w:lineRule="atLeast"/>
      <w:widowControl/>
    </w:pPr>
    <w:rPr>
      <w:rFonts w:ascii="宋体" w:cs="宋体"/>
      <w:sz w:val="24"/>
    </w:rPr>
  </w:style>
  <w:style w:type="paragraph" w:styleId="1209" w:customStyle="1">
    <w:name w:val="表格文字"/>
    <w:basedOn w:val="762"/>
    <w:uiPriority w:val="0"/>
    <w:qFormat/>
    <w:pPr>
      <w:jc w:val="left"/>
    </w:pPr>
    <w:rPr>
      <w:sz w:val="18"/>
    </w:rPr>
  </w:style>
  <w:style w:type="paragraph" w:styleId="1210" w:customStyle="1">
    <w:name w:val="Figure and Table Title"/>
    <w:basedOn w:val="762"/>
    <w:uiPriority w:val="0"/>
    <w:qFormat/>
    <w:pPr>
      <w:ind w:left="2160"/>
      <w:jc w:val="left"/>
      <w:widowControl/>
    </w:pPr>
    <w:rPr>
      <w:rFonts w:ascii="Helvetica-Light" w:hAnsi="Helvetica-Light"/>
      <w:b/>
      <w:bCs/>
      <w:sz w:val="20"/>
      <w:lang w:eastAsia="en-US"/>
    </w:rPr>
  </w:style>
  <w:style w:type="paragraph" w:styleId="121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首页小标题"/>
    <w:next w:val="1214"/>
    <w:uiPriority w:val="0"/>
    <w:qFormat/>
    <w:pPr>
      <w:jc w:val="center"/>
    </w:pPr>
    <w:rPr>
      <w:rFonts w:ascii="Times New Roman" w:hAnsi="Times New Roman" w:eastAsia="宋体" w:cs="宋体"/>
      <w:sz w:val="44"/>
      <w:lang w:val="en-US" w:eastAsia="zh-CN" w:bidi="ar-SA"/>
    </w:rPr>
  </w:style>
  <w:style w:type="paragraph" w:styleId="1214" w:customStyle="1">
    <w:name w:val="首页空格"/>
    <w:uiPriority w:val="0"/>
    <w:qFormat/>
    <w:pPr>
      <w:jc w:val="center"/>
    </w:pPr>
    <w:rPr>
      <w:rFonts w:ascii="Times New Roman" w:hAnsi="Times New Roman" w:eastAsia="宋体" w:cs="宋体"/>
      <w:sz w:val="72"/>
      <w:lang w:val="en-US" w:eastAsia="zh-CN" w:bidi="ar-SA"/>
    </w:rPr>
  </w:style>
  <w:style w:type="paragraph" w:styleId="1215" w:customStyle="1">
    <w:name w:val="纯文本1"/>
    <w:basedOn w:val="762"/>
    <w:uiPriority w:val="0"/>
    <w:qFormat/>
    <w:rPr>
      <w:rFonts w:ascii="宋体" w:hAnsi="Courier New" w:eastAsia="楷体_GB2312"/>
      <w:sz w:val="26"/>
      <w:szCs w:val="20"/>
    </w:rPr>
  </w:style>
  <w:style w:type="paragraph" w:styleId="1216" w:customStyle="1">
    <w:name w:val="xl41"/>
    <w:basedOn w:val="76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7" w:customStyle="1">
    <w:name w:val="表头"/>
    <w:basedOn w:val="1218"/>
    <w:uiPriority w:val="0"/>
    <w:qFormat/>
    <w:pPr>
      <w:ind w:left="0" w:firstLine="0"/>
      <w:spacing w:line="240" w:lineRule="auto"/>
    </w:pPr>
    <w:rPr>
      <w:sz w:val="20"/>
    </w:rPr>
  </w:style>
  <w:style w:type="paragraph" w:styleId="1218" w:customStyle="1">
    <w:name w:val="正文1"/>
    <w:basedOn w:val="762"/>
    <w:uiPriority w:val="0"/>
    <w:qFormat/>
    <w:pPr>
      <w:ind w:left="357" w:firstLine="420"/>
      <w:jc w:val="left"/>
      <w:spacing w:line="360" w:lineRule="auto"/>
      <w:widowControl/>
    </w:pPr>
    <w:rPr>
      <w:rFonts w:cs="Arial"/>
      <w:szCs w:val="20"/>
    </w:rPr>
  </w:style>
  <w:style w:type="paragraph" w:styleId="121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表格序号"/>
    <w:uiPriority w:val="0"/>
    <w:qFormat/>
    <w:rPr>
      <w:rFonts w:ascii="Times New Roman" w:hAnsi="Times New Roman" w:eastAsia="仿宋_GB2312" w:cs="宋体"/>
      <w:sz w:val="21"/>
      <w:lang w:val="en-US" w:eastAsia="zh-CN" w:bidi="ar-SA"/>
    </w:rPr>
  </w:style>
  <w:style w:type="paragraph" w:styleId="122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22" w:customStyle="1">
    <w:name w:val="Normal_15"/>
    <w:uiPriority w:val="0"/>
    <w:qFormat/>
    <w:rPr>
      <w:rFonts w:ascii="黑体" w:hAnsi="黑体" w:eastAsia="黑体" w:cs="Times New Roman"/>
      <w:b/>
      <w:sz w:val="32"/>
      <w:szCs w:val="24"/>
      <w:lang w:val="en-US" w:eastAsia="zh-CN" w:bidi="ar-SA"/>
    </w:rPr>
  </w:style>
  <w:style w:type="paragraph" w:styleId="1223">
    <w:name w:val="List Paragraph"/>
    <w:basedOn w:val="762"/>
    <w:link w:val="1437"/>
    <w:uiPriority w:val="34"/>
    <w:qFormat/>
    <w:pPr>
      <w:ind w:firstLine="200"/>
    </w:pPr>
    <w:rPr>
      <w:rFonts w:ascii="Calibri" w:hAnsi="Calibri"/>
    </w:rPr>
  </w:style>
  <w:style w:type="paragraph" w:styleId="122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25" w:customStyle="1">
    <w:name w:val="正文（首行缩进）"/>
    <w:basedOn w:val="762"/>
    <w:uiPriority w:val="0"/>
    <w:qFormat/>
    <w:pPr>
      <w:ind w:firstLine="482"/>
      <w:spacing w:before="120" w:line="360" w:lineRule="auto"/>
      <w:widowControl/>
    </w:pPr>
    <w:rPr>
      <w:rFonts w:ascii="Calibri" w:hAnsi="Calibri"/>
      <w:sz w:val="24"/>
      <w:szCs w:val="20"/>
    </w:rPr>
  </w:style>
  <w:style w:type="paragraph" w:styleId="122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27" w:customStyle="1">
    <w:name w:val="技术方案3"/>
    <w:basedOn w:val="762"/>
    <w:uiPriority w:val="0"/>
    <w:qFormat/>
    <w:pPr>
      <w:spacing w:line="360" w:lineRule="auto"/>
    </w:pPr>
    <w:rPr>
      <w:rFonts w:ascii="宋体"/>
      <w:b/>
      <w:bCs/>
      <w:sz w:val="32"/>
    </w:rPr>
  </w:style>
  <w:style w:type="paragraph" w:styleId="1228" w:customStyle="1">
    <w:name w:val="默认段落字体 Para Char Char Char Char Char"/>
    <w:basedOn w:val="762"/>
    <w:uiPriority w:val="0"/>
    <w:qFormat/>
    <w:pPr>
      <w:ind w:firstLine="200"/>
      <w:jc w:val="left"/>
      <w:spacing w:before="100" w:beforeAutospacing="1" w:after="100" w:afterAutospacing="1" w:line="360" w:lineRule="auto"/>
    </w:pPr>
    <w:rPr>
      <w:rFonts w:ascii="Arial" w:hAnsi="Arial"/>
      <w:sz w:val="24"/>
      <w:lang w:eastAsia="en-US"/>
    </w:rPr>
  </w:style>
  <w:style w:type="paragraph" w:styleId="122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30" w:customStyle="1">
    <w:name w:val="pa-10"/>
    <w:basedOn w:val="762"/>
    <w:uiPriority w:val="0"/>
    <w:qFormat/>
    <w:pPr>
      <w:spacing w:line="240" w:lineRule="atLeast"/>
      <w:widowControl/>
    </w:pPr>
    <w:rPr>
      <w:rFonts w:ascii="宋体" w:cs="宋体"/>
      <w:sz w:val="24"/>
    </w:rPr>
  </w:style>
  <w:style w:type="paragraph" w:styleId="1231" w:customStyle="1">
    <w:name w:val="pa-5"/>
    <w:basedOn w:val="762"/>
    <w:uiPriority w:val="0"/>
    <w:qFormat/>
    <w:pPr>
      <w:spacing w:line="280" w:lineRule="atLeast"/>
      <w:widowControl/>
    </w:pPr>
    <w:rPr>
      <w:rFonts w:ascii="宋体" w:cs="宋体"/>
      <w:sz w:val="24"/>
    </w:rPr>
  </w:style>
  <w:style w:type="paragraph" w:styleId="123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33" w:customStyle="1">
    <w:name w:val="新段落缩进"/>
    <w:basedOn w:val="762"/>
    <w:uiPriority w:val="0"/>
    <w:qFormat/>
    <w:pPr>
      <w:ind w:firstLine="200"/>
      <w:spacing w:line="400" w:lineRule="exact"/>
    </w:pPr>
    <w:rPr>
      <w:rFonts w:ascii="仿宋_GB2312" w:eastAsia="仿宋_GB2312"/>
      <w:sz w:val="24"/>
    </w:rPr>
  </w:style>
  <w:style w:type="paragraph" w:styleId="123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35" w:customStyle="1">
    <w:name w:val="pa-2"/>
    <w:basedOn w:val="762"/>
    <w:uiPriority w:val="0"/>
    <w:qFormat/>
    <w:pPr>
      <w:spacing w:line="360" w:lineRule="atLeast"/>
      <w:widowControl/>
    </w:pPr>
    <w:rPr>
      <w:rFonts w:ascii="宋体" w:cs="宋体"/>
      <w:sz w:val="24"/>
    </w:rPr>
  </w:style>
  <w:style w:type="paragraph" w:styleId="1236" w:customStyle="1">
    <w:name w:val="列出段落1"/>
    <w:basedOn w:val="762"/>
    <w:uiPriority w:val="99"/>
    <w:qFormat/>
    <w:pPr>
      <w:ind w:firstLine="200"/>
    </w:pPr>
    <w:rPr>
      <w:rFonts w:ascii="Calibri" w:hAnsi="Calibri"/>
    </w:rPr>
  </w:style>
  <w:style w:type="paragraph" w:styleId="1237" w:customStyle="1">
    <w:name w:val="说明书2级标题"/>
    <w:basedOn w:val="762"/>
    <w:next w:val="1238"/>
    <w:uiPriority w:val="0"/>
    <w:qFormat/>
    <w:pPr>
      <w:numPr>
        <w:ilvl w:val="2"/>
        <w:numId w:val="1"/>
      </w:numPr>
      <w:spacing w:before="100"/>
    </w:pPr>
    <w:rPr>
      <w:rFonts w:ascii="Calibri" w:hAnsi="Calibri" w:eastAsia="黑体"/>
      <w:sz w:val="28"/>
      <w:szCs w:val="28"/>
    </w:rPr>
  </w:style>
  <w:style w:type="paragraph" w:styleId="1238" w:customStyle="1">
    <w:name w:val="说明书3级标题"/>
    <w:basedOn w:val="762"/>
    <w:next w:val="762"/>
    <w:uiPriority w:val="0"/>
    <w:qFormat/>
    <w:pPr>
      <w:numPr>
        <w:ilvl w:val="2"/>
        <w:numId w:val="2"/>
      </w:numPr>
      <w:spacing w:line="360" w:lineRule="auto"/>
    </w:pPr>
    <w:rPr>
      <w:rFonts w:ascii="Calibri" w:hAnsi="Calibri" w:eastAsia="黑体"/>
      <w:sz w:val="24"/>
    </w:rPr>
  </w:style>
  <w:style w:type="paragraph" w:styleId="1239" w:customStyle="1">
    <w:name w:val="Char Char1 Char Char Char Char Char Char Char Char"/>
    <w:basedOn w:val="762"/>
    <w:uiPriority w:val="0"/>
    <w:qFormat/>
    <w:pPr>
      <w:jc w:val="left"/>
      <w:spacing w:after="160" w:line="240" w:lineRule="exact"/>
      <w:widowControl/>
    </w:pPr>
  </w:style>
  <w:style w:type="paragraph" w:styleId="1240" w:customStyle="1">
    <w:name w:val="Normal_11_0"/>
    <w:uiPriority w:val="0"/>
    <w:qFormat/>
    <w:rPr>
      <w:rFonts w:ascii="黑体" w:hAnsi="黑体" w:eastAsia="黑体" w:cs="Times New Roman"/>
      <w:b/>
      <w:sz w:val="32"/>
      <w:szCs w:val="24"/>
      <w:lang w:val="en-US" w:eastAsia="zh-CN" w:bidi="ar-SA"/>
    </w:rPr>
  </w:style>
  <w:style w:type="paragraph" w:styleId="1241" w:customStyle="1">
    <w:name w:val="首页标题小初"/>
    <w:uiPriority w:val="0"/>
    <w:qFormat/>
    <w:pPr>
      <w:jc w:val="center"/>
    </w:pPr>
    <w:rPr>
      <w:rFonts w:ascii="黑体" w:hAnsi="Times New Roman" w:eastAsia="黑体" w:cs="宋体"/>
      <w:sz w:val="72"/>
      <w:lang w:val="en-US" w:eastAsia="zh-CN" w:bidi="ar-SA"/>
    </w:rPr>
  </w:style>
  <w:style w:type="paragraph" w:styleId="1242" w:customStyle="1">
    <w:name w:val="xl32"/>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44" w:customStyle="1">
    <w:name w:val="附图标题"/>
    <w:basedOn w:val="1010"/>
    <w:next w:val="1009"/>
    <w:uiPriority w:val="0"/>
    <w:qFormat/>
    <w:pPr>
      <w:ind w:left="780" w:hanging="480"/>
      <w:jc w:val="center"/>
      <w:spacing w:after="100"/>
      <w:tabs>
        <w:tab w:val="left" w:pos="780" w:leader="none"/>
      </w:tabs>
    </w:pPr>
    <w:rPr>
      <w:b/>
      <w:sz w:val="21"/>
    </w:rPr>
  </w:style>
  <w:style w:type="paragraph" w:styleId="1245" w:customStyle="1">
    <w:name w:val="Normal_7"/>
    <w:uiPriority w:val="0"/>
    <w:qFormat/>
    <w:rPr>
      <w:rFonts w:ascii="黑体" w:hAnsi="黑体" w:eastAsia="黑体" w:cs="Times New Roman"/>
      <w:b/>
      <w:sz w:val="32"/>
      <w:szCs w:val="24"/>
      <w:lang w:val="en-US" w:eastAsia="zh-CN" w:bidi="ar-SA"/>
    </w:rPr>
  </w:style>
  <w:style w:type="paragraph" w:styleId="1246"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五级条标题"/>
    <w:basedOn w:val="1248"/>
    <w:next w:val="1183"/>
    <w:uiPriority w:val="0"/>
    <w:qFormat/>
    <w:pPr>
      <w:outlineLvl w:val="6"/>
    </w:pPr>
  </w:style>
  <w:style w:type="paragraph" w:styleId="1248" w:customStyle="1">
    <w:name w:val="四级条标题"/>
    <w:basedOn w:val="1180"/>
    <w:next w:val="1183"/>
    <w:uiPriority w:val="0"/>
    <w:qFormat/>
    <w:pPr>
      <w:ind w:left="0"/>
      <w:outlineLvl w:val="5"/>
    </w:pPr>
  </w:style>
  <w:style w:type="paragraph" w:styleId="124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标准小四"/>
    <w:basedOn w:val="762"/>
    <w:uiPriority w:val="0"/>
    <w:qFormat/>
    <w:pPr>
      <w:ind w:firstLine="200"/>
      <w:spacing w:line="360" w:lineRule="auto"/>
    </w:pPr>
    <w:rPr>
      <w:rFonts w:ascii="Arial" w:hAnsi="Arial"/>
      <w:sz w:val="24"/>
      <w:szCs w:val="21"/>
    </w:rPr>
  </w:style>
  <w:style w:type="paragraph" w:styleId="1252" w:customStyle="1">
    <w:name w:val="图表目录1"/>
    <w:uiPriority w:val="0"/>
    <w:qFormat/>
    <w:pPr>
      <w:ind w:left="840" w:hanging="420"/>
    </w:pPr>
    <w:rPr>
      <w:rFonts w:ascii="Times New Roman" w:hAnsi="Times New Roman" w:eastAsia="宋体" w:cs="宋体"/>
      <w:sz w:val="21"/>
      <w:lang w:val="en-US" w:eastAsia="zh-CN" w:bidi="ar-SA"/>
    </w:rPr>
  </w:style>
  <w:style w:type="paragraph" w:styleId="1253" w:customStyle="1">
    <w:name w:val="Normal_18_0"/>
    <w:uiPriority w:val="0"/>
    <w:qFormat/>
    <w:rPr>
      <w:rFonts w:ascii="黑体" w:hAnsi="黑体" w:eastAsia="黑体" w:cs="Times New Roman"/>
      <w:b/>
      <w:sz w:val="32"/>
      <w:szCs w:val="24"/>
      <w:lang w:val="en-US" w:eastAsia="zh-CN" w:bidi="ar-SA"/>
    </w:rPr>
  </w:style>
  <w:style w:type="paragraph" w:styleId="1254" w:customStyle="1">
    <w:name w:val="a0"/>
    <w:basedOn w:val="762"/>
    <w:uiPriority w:val="0"/>
    <w:qFormat/>
    <w:pPr>
      <w:jc w:val="left"/>
      <w:spacing w:before="100" w:beforeAutospacing="1" w:after="100" w:afterAutospacing="1"/>
      <w:widowControl/>
    </w:pPr>
    <w:rPr>
      <w:rFonts w:ascii="宋体"/>
      <w:sz w:val="24"/>
    </w:rPr>
  </w:style>
  <w:style w:type="paragraph" w:styleId="1255" w:customStyle="1">
    <w:name w:val="正文（黑体）"/>
    <w:basedOn w:val="762"/>
    <w:next w:val="762"/>
    <w:uiPriority w:val="0"/>
    <w:qFormat/>
    <w:pPr>
      <w:ind w:firstLine="200"/>
      <w:spacing w:before="50" w:after="50" w:line="360" w:lineRule="auto"/>
    </w:pPr>
    <w:rPr>
      <w:rFonts w:ascii="黑体" w:eastAsia="黑体"/>
      <w:color w:val="000080"/>
      <w:sz w:val="24"/>
    </w:rPr>
  </w:style>
  <w:style w:type="paragraph" w:styleId="1256"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57" w:customStyle="1">
    <w:name w:val="加点正文缩进"/>
    <w:basedOn w:val="762"/>
    <w:uiPriority w:val="0"/>
    <w:qFormat/>
    <w:pPr>
      <w:ind w:left="962" w:hanging="480"/>
      <w:spacing w:line="300" w:lineRule="auto"/>
      <w:tabs>
        <w:tab w:val="left" w:pos="840" w:leader="none"/>
      </w:tabs>
    </w:pPr>
    <w:rPr>
      <w:sz w:val="24"/>
    </w:rPr>
  </w:style>
  <w:style w:type="paragraph" w:styleId="1258"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Normal_1_1"/>
    <w:uiPriority w:val="0"/>
    <w:qFormat/>
    <w:rPr>
      <w:rFonts w:ascii="黑体" w:hAnsi="黑体" w:eastAsia="黑体" w:cs="Times New Roman"/>
      <w:b/>
      <w:sz w:val="32"/>
      <w:szCs w:val="24"/>
      <w:lang w:val="en-US" w:eastAsia="zh-CN" w:bidi="ar-SA"/>
    </w:rPr>
  </w:style>
  <w:style w:type="paragraph" w:styleId="1260" w:customStyle="1">
    <w:name w:val="技术方案正文样式"/>
    <w:basedOn w:val="762"/>
    <w:uiPriority w:val="0"/>
    <w:qFormat/>
    <w:pPr>
      <w:ind w:firstLine="200"/>
      <w:spacing w:line="400" w:lineRule="exact"/>
    </w:pPr>
    <w:rPr>
      <w:rFonts w:ascii="宋体" w:cs="宋体"/>
      <w:sz w:val="24"/>
      <w:szCs w:val="21"/>
    </w:rPr>
  </w:style>
  <w:style w:type="paragraph" w:styleId="1261" w:customStyle="1">
    <w:name w:val="首页标题 一号"/>
    <w:basedOn w:val="1241"/>
    <w:uiPriority w:val="0"/>
    <w:qFormat/>
    <w:rPr>
      <w:sz w:val="52"/>
    </w:rPr>
  </w:style>
  <w:style w:type="paragraph" w:styleId="1262" w:customStyle="1">
    <w:name w:val="样式 正文2 + 首行缩进:  0 厘米 段后: 1.5 行"/>
    <w:basedOn w:val="762"/>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63" w:customStyle="1">
    <w:name w:val="Table Text/Title"/>
    <w:basedOn w:val="762"/>
    <w:uiPriority w:val="0"/>
    <w:qFormat/>
    <w:pPr>
      <w:jc w:val="left"/>
      <w:widowControl/>
    </w:pPr>
    <w:rPr>
      <w:rFonts w:ascii="宋体"/>
      <w:b/>
      <w:bCs/>
      <w:sz w:val="20"/>
      <w:szCs w:val="20"/>
      <w:lang w:eastAsia="en-US"/>
    </w:rPr>
  </w:style>
  <w:style w:type="paragraph" w:styleId="1264" w:customStyle="1">
    <w:name w:val="样式 序号----------- + 仿宋_GB23121"/>
    <w:basedOn w:val="1168"/>
    <w:uiPriority w:val="0"/>
    <w:qFormat/>
    <w:pPr>
      <w:spacing w:line="360" w:lineRule="auto"/>
    </w:pPr>
    <w:rPr>
      <w:rFonts w:ascii="仿宋_GB2312" w:eastAsia="仿宋_GB2312"/>
      <w:bCs w:val="0"/>
    </w:rPr>
  </w:style>
  <w:style w:type="paragraph" w:styleId="1265" w:customStyle="1">
    <w:name w:val="Char Char Char Char1"/>
    <w:basedOn w:val="762"/>
    <w:uiPriority w:val="0"/>
    <w:qFormat/>
    <w:pPr>
      <w:ind w:firstLine="200"/>
      <w:spacing w:line="360" w:lineRule="auto"/>
    </w:pPr>
    <w:rPr>
      <w:sz w:val="24"/>
      <w:szCs w:val="20"/>
    </w:rPr>
  </w:style>
  <w:style w:type="paragraph" w:styleId="1266"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67" w:customStyle="1">
    <w:name w:val="Char1"/>
    <w:basedOn w:val="762"/>
    <w:uiPriority w:val="0"/>
    <w:qFormat/>
    <w:pPr>
      <w:ind w:left="360" w:right="202" w:firstLine="360"/>
      <w:spacing w:line="480" w:lineRule="auto"/>
      <w:tabs>
        <w:tab w:val="left" w:pos="360" w:leader="none"/>
      </w:tabs>
    </w:pPr>
    <w:rPr>
      <w:sz w:val="24"/>
    </w:rPr>
  </w:style>
  <w:style w:type="paragraph" w:styleId="1268"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章标题"/>
    <w:next w:val="118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70"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71" w:customStyle="1">
    <w:name w:val="Normal_0_1"/>
    <w:uiPriority w:val="0"/>
    <w:qFormat/>
    <w:rPr>
      <w:rFonts w:ascii="黑体" w:hAnsi="黑体" w:eastAsia="黑体" w:cs="Times New Roman"/>
      <w:b/>
      <w:sz w:val="32"/>
      <w:szCs w:val="24"/>
      <w:lang w:val="en-US" w:eastAsia="zh-CN" w:bidi="ar-SA"/>
    </w:rPr>
  </w:style>
  <w:style w:type="paragraph" w:styleId="1272" w:customStyle="1">
    <w:name w:val="列表段落1"/>
    <w:basedOn w:val="762"/>
    <w:uiPriority w:val="34"/>
    <w:qFormat/>
    <w:pPr>
      <w:ind w:firstLine="420"/>
    </w:pPr>
  </w:style>
  <w:style w:type="paragraph" w:styleId="1273" w:customStyle="1">
    <w:name w:val="默认段落字体 Para Char Char Char Char Char Char Char Char Char1 Char Char Char Char Char Char Char Char"/>
    <w:basedOn w:val="1014"/>
    <w:uiPriority w:val="0"/>
    <w:qFormat/>
    <w:rPr>
      <w:rFonts w:ascii="Calibri" w:hAnsi="Calibri"/>
    </w:rPr>
  </w:style>
  <w:style w:type="paragraph" w:styleId="1274" w:customStyle="1">
    <w:name w:val="Normal_7_0"/>
    <w:uiPriority w:val="0"/>
    <w:qFormat/>
    <w:rPr>
      <w:rFonts w:ascii="黑体" w:hAnsi="黑体" w:eastAsia="黑体" w:cs="Times New Roman"/>
      <w:b/>
      <w:sz w:val="32"/>
      <w:szCs w:val="24"/>
      <w:lang w:val="en-US" w:eastAsia="zh-CN" w:bidi="ar-SA"/>
    </w:rPr>
  </w:style>
  <w:style w:type="paragraph" w:styleId="1275" w:customStyle="1">
    <w:name w:val="Char Char Char Char Char 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276"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77" w:customStyle="1">
    <w:name w:val="Normal_12_0"/>
    <w:uiPriority w:val="0"/>
    <w:qFormat/>
    <w:rPr>
      <w:rFonts w:ascii="黑体" w:hAnsi="黑体" w:eastAsia="黑体" w:cs="Times New Roman"/>
      <w:b/>
      <w:sz w:val="32"/>
      <w:szCs w:val="24"/>
      <w:lang w:val="en-US" w:eastAsia="zh-CN" w:bidi="ar-SA"/>
    </w:rPr>
  </w:style>
  <w:style w:type="paragraph" w:styleId="1278" w:customStyle="1">
    <w:name w:val="ul"/>
    <w:basedOn w:val="762"/>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7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81" w:customStyle="1">
    <w:name w:val="Normal_18"/>
    <w:uiPriority w:val="0"/>
    <w:qFormat/>
    <w:rPr>
      <w:rFonts w:ascii="黑体" w:hAnsi="黑体" w:eastAsia="黑体" w:cs="Times New Roman"/>
      <w:b/>
      <w:sz w:val="32"/>
      <w:szCs w:val="24"/>
      <w:lang w:val="en-US" w:eastAsia="zh-CN" w:bidi="ar-SA"/>
    </w:rPr>
  </w:style>
  <w:style w:type="paragraph" w:styleId="1282" w:customStyle="1">
    <w:name w:val="xl34"/>
    <w:basedOn w:val="762"/>
    <w:uiPriority w:val="0"/>
    <w:qFormat/>
    <w:pPr>
      <w:jc w:val="center"/>
      <w:spacing w:before="100" w:beforeAutospacing="1" w:after="100" w:afterAutospacing="1"/>
      <w:widowControl/>
    </w:pPr>
    <w:rPr>
      <w:rFonts w:ascii="Arial Unicode MS" w:hAnsi="Arial Unicode MS" w:eastAsia="Arial Unicode MS"/>
      <w:sz w:val="24"/>
    </w:rPr>
  </w:style>
  <w:style w:type="paragraph" w:styleId="1283" w:customStyle="1">
    <w:name w:val="Normal_0_3"/>
    <w:uiPriority w:val="0"/>
    <w:qFormat/>
    <w:rPr>
      <w:rFonts w:ascii="黑体" w:hAnsi="黑体" w:eastAsia="黑体" w:cs="Times New Roman"/>
      <w:b/>
      <w:sz w:val="32"/>
      <w:szCs w:val="24"/>
      <w:lang w:val="en-US" w:eastAsia="zh-CN" w:bidi="ar-SA"/>
    </w:rPr>
  </w:style>
  <w:style w:type="paragraph" w:styleId="128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修订1"/>
    <w:uiPriority w:val="0"/>
    <w:qFormat/>
    <w:rPr>
      <w:rFonts w:ascii="Times New Roman" w:hAnsi="Times New Roman" w:eastAsia="宋体" w:cs="Times New Roman"/>
      <w:sz w:val="21"/>
      <w:szCs w:val="24"/>
      <w:lang w:val="en-US" w:eastAsia="zh-CN" w:bidi="ar-SA"/>
    </w:rPr>
  </w:style>
  <w:style w:type="paragraph" w:styleId="1286" w:customStyle="1">
    <w:name w:val="Char11"/>
    <w:basedOn w:val="762"/>
    <w:uiPriority w:val="0"/>
    <w:qFormat/>
    <w:rPr>
      <w:szCs w:val="21"/>
    </w:rPr>
  </w:style>
  <w:style w:type="paragraph" w:styleId="1287"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88" w:customStyle="1">
    <w:name w:val="Normal_12"/>
    <w:uiPriority w:val="0"/>
    <w:qFormat/>
    <w:rPr>
      <w:rFonts w:ascii="黑体" w:hAnsi="黑体" w:eastAsia="黑体" w:cs="Times New Roman"/>
      <w:b/>
      <w:sz w:val="32"/>
      <w:szCs w:val="24"/>
      <w:lang w:val="en-US" w:eastAsia="zh-CN" w:bidi="ar-SA"/>
    </w:rPr>
  </w:style>
  <w:style w:type="paragraph" w:styleId="1289" w:customStyle="1">
    <w:name w:val="Normal_8_0"/>
    <w:uiPriority w:val="0"/>
    <w:qFormat/>
    <w:rPr>
      <w:rFonts w:ascii="黑体" w:hAnsi="黑体" w:eastAsia="黑体" w:cs="Times New Roman"/>
      <w:b/>
      <w:sz w:val="32"/>
      <w:szCs w:val="24"/>
      <w:lang w:val="en-US" w:eastAsia="zh-CN" w:bidi="ar-SA"/>
    </w:rPr>
  </w:style>
  <w:style w:type="paragraph" w:styleId="1290" w:customStyle="1">
    <w:name w:val="文档正文"/>
    <w:basedOn w:val="762"/>
    <w:uiPriority w:val="0"/>
    <w:qFormat/>
    <w:rPr>
      <w:rFonts w:ascii="宋体"/>
      <w:szCs w:val="20"/>
    </w:rPr>
  </w:style>
  <w:style w:type="paragraph" w:styleId="1291" w:customStyle="1">
    <w:name w:val="技术方案正文"/>
    <w:basedOn w:val="762"/>
    <w:uiPriority w:val="0"/>
    <w:qFormat/>
    <w:pPr>
      <w:ind w:firstLine="480"/>
      <w:spacing w:line="360" w:lineRule="auto"/>
    </w:pPr>
    <w:rPr>
      <w:rFonts w:ascii="宋体"/>
      <w:sz w:val="24"/>
    </w:rPr>
  </w:style>
  <w:style w:type="paragraph" w:styleId="1292" w:customStyle="1">
    <w:name w:val="xl26"/>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3" w:customStyle="1">
    <w:name w:val="普通正文"/>
    <w:basedOn w:val="762"/>
    <w:uiPriority w:val="0"/>
    <w:qFormat/>
    <w:pPr>
      <w:ind w:firstLine="425"/>
      <w:jc w:val="left"/>
    </w:pPr>
    <w:rPr>
      <w:rFonts w:ascii="宋体"/>
      <w:sz w:val="20"/>
      <w:szCs w:val="20"/>
    </w:rPr>
  </w:style>
  <w:style w:type="paragraph" w:styleId="1294"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95" w:customStyle="1">
    <w:name w:val="Normal_0_2"/>
    <w:uiPriority w:val="0"/>
    <w:qFormat/>
    <w:rPr>
      <w:rFonts w:ascii="黑体" w:hAnsi="黑体" w:eastAsia="黑体" w:cs="Times New Roman"/>
      <w:b/>
      <w:sz w:val="32"/>
      <w:szCs w:val="24"/>
      <w:lang w:val="en-US" w:eastAsia="zh-CN" w:bidi="ar-SA"/>
    </w:rPr>
  </w:style>
  <w:style w:type="paragraph" w:styleId="1296"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样式4"/>
    <w:basedOn w:val="992"/>
    <w:uiPriority w:val="0"/>
    <w:qFormat/>
    <w:pPr>
      <w:spacing w:line="415" w:lineRule="auto"/>
    </w:pPr>
    <w:rPr>
      <w:rFonts w:ascii="Calibri" w:hAnsi="Calibri"/>
      <w:bCs/>
      <w:color w:val="000000"/>
      <w:sz w:val="28"/>
      <w:szCs w:val="28"/>
    </w:rPr>
  </w:style>
  <w:style w:type="paragraph" w:styleId="1299" w:customStyle="1">
    <w:name w:val="pa-4"/>
    <w:basedOn w:val="762"/>
    <w:uiPriority w:val="0"/>
    <w:qFormat/>
    <w:pPr>
      <w:jc w:val="center"/>
      <w:spacing w:line="280" w:lineRule="atLeast"/>
      <w:widowControl/>
    </w:pPr>
    <w:rPr>
      <w:rFonts w:ascii="宋体" w:cs="宋体"/>
      <w:sz w:val="24"/>
    </w:rPr>
  </w:style>
  <w:style w:type="paragraph" w:styleId="1300" w:customStyle="1">
    <w:name w:val="Normal_1"/>
    <w:uiPriority w:val="0"/>
    <w:qFormat/>
    <w:rPr>
      <w:rFonts w:ascii="黑体" w:hAnsi="黑体" w:eastAsia="黑体" w:cs="Times New Roman"/>
      <w:b/>
      <w:sz w:val="32"/>
      <w:szCs w:val="24"/>
      <w:lang w:val="en-US" w:eastAsia="zh-CN" w:bidi="ar-SA"/>
    </w:rPr>
  </w:style>
  <w:style w:type="paragraph" w:styleId="1301" w:customStyle="1">
    <w:name w:val="标书3"/>
    <w:next w:val="1202"/>
    <w:uiPriority w:val="0"/>
    <w:qFormat/>
    <w:pPr>
      <w:jc w:val="center"/>
      <w:widowControl w:val="off"/>
    </w:pPr>
    <w:rPr>
      <w:rFonts w:ascii="Times New Roman" w:hAnsi="Times New Roman" w:eastAsia="黑体" w:cs="Times New Roman"/>
      <w:b/>
      <w:sz w:val="44"/>
      <w:szCs w:val="24"/>
      <w:lang w:val="en-US" w:eastAsia="zh-CN" w:bidi="ar-SA"/>
    </w:rPr>
  </w:style>
  <w:style w:type="paragraph" w:styleId="1302" w:customStyle="1">
    <w:name w:val="Char2"/>
    <w:basedOn w:val="762"/>
    <w:uiPriority w:val="0"/>
    <w:qFormat/>
    <w:pPr>
      <w:tabs>
        <w:tab w:val="left" w:pos="360" w:leader="none"/>
      </w:tabs>
    </w:pPr>
    <w:rPr>
      <w:rFonts w:ascii="仿宋_GB2312" w:eastAsia="仿宋_GB2312"/>
      <w:b/>
      <w:sz w:val="24"/>
    </w:rPr>
  </w:style>
  <w:style w:type="paragraph" w:styleId="1303"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正文（首行缩进两字）"/>
    <w:basedOn w:val="762"/>
    <w:uiPriority w:val="0"/>
    <w:qFormat/>
    <w:pPr>
      <w:spacing w:line="312" w:lineRule="auto"/>
    </w:pPr>
    <w:rPr>
      <w:rFonts w:ascii="宋体" w:cs="宋体"/>
      <w:sz w:val="24"/>
    </w:rPr>
  </w:style>
  <w:style w:type="paragraph" w:styleId="1305" w:customStyle="1">
    <w:name w:val="首页标题"/>
    <w:uiPriority w:val="0"/>
    <w:qFormat/>
    <w:pPr>
      <w:jc w:val="center"/>
    </w:pPr>
    <w:rPr>
      <w:rFonts w:ascii="宋体" w:hAnsi="Times New Roman" w:eastAsia="宋体" w:cs="宋体"/>
      <w:sz w:val="72"/>
      <w:szCs w:val="72"/>
      <w:lang w:val="en-US" w:eastAsia="zh-CN" w:bidi="ar-SA"/>
    </w:rPr>
  </w:style>
  <w:style w:type="paragraph" w:styleId="130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08" w:customStyle="1">
    <w:name w:val="pa-3"/>
    <w:basedOn w:val="762"/>
    <w:uiPriority w:val="0"/>
    <w:qFormat/>
    <w:pPr>
      <w:jc w:val="left"/>
      <w:spacing w:before="150" w:after="150"/>
      <w:widowControl/>
    </w:pPr>
    <w:rPr>
      <w:rFonts w:ascii="宋体" w:cs="宋体"/>
      <w:sz w:val="24"/>
    </w:rPr>
  </w:style>
  <w:style w:type="paragraph" w:styleId="1309" w:customStyle="1">
    <w:name w:val="图号"/>
    <w:basedOn w:val="76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10" w:customStyle="1">
    <w:name w:val="Normal_10_0"/>
    <w:uiPriority w:val="0"/>
    <w:qFormat/>
    <w:rPr>
      <w:rFonts w:ascii="黑体" w:hAnsi="黑体" w:eastAsia="黑体" w:cs="Times New Roman"/>
      <w:b/>
      <w:sz w:val="32"/>
      <w:szCs w:val="24"/>
      <w:lang w:val="en-US" w:eastAsia="zh-CN" w:bidi="ar-SA"/>
    </w:rPr>
  </w:style>
  <w:style w:type="paragraph" w:styleId="1311" w:customStyle="1">
    <w:name w:val="Normal_6"/>
    <w:uiPriority w:val="0"/>
    <w:qFormat/>
    <w:rPr>
      <w:rFonts w:ascii="黑体" w:hAnsi="黑体" w:eastAsia="黑体" w:cs="Times New Roman"/>
      <w:b/>
      <w:sz w:val="32"/>
      <w:szCs w:val="24"/>
      <w:lang w:val="en-US" w:eastAsia="zh-CN" w:bidi="ar-SA"/>
    </w:rPr>
  </w:style>
  <w:style w:type="paragraph" w:styleId="1312" w:customStyle="1">
    <w:name w:val="Char Char Char Char"/>
    <w:basedOn w:val="762"/>
    <w:uiPriority w:val="0"/>
    <w:qFormat/>
    <w:pPr>
      <w:ind w:left="560" w:firstLine="200"/>
      <w:jc w:val="left"/>
      <w:spacing w:after="120" w:line="360" w:lineRule="auto"/>
      <w:widowControl/>
    </w:pPr>
    <w:rPr>
      <w:rFonts w:ascii="Verdana" w:hAnsi="Verdana"/>
      <w:sz w:val="24"/>
    </w:rPr>
  </w:style>
  <w:style w:type="paragraph" w:styleId="1313" w:customStyle="1">
    <w:name w:val="font9"/>
    <w:basedOn w:val="762"/>
    <w:uiPriority w:val="0"/>
    <w:qFormat/>
    <w:pPr>
      <w:jc w:val="left"/>
      <w:spacing w:before="100" w:beforeAutospacing="1" w:after="100" w:afterAutospacing="1"/>
      <w:widowControl/>
    </w:pPr>
    <w:rPr>
      <w:rFonts w:ascii="宋体"/>
      <w:color w:val="000000"/>
      <w:sz w:val="18"/>
      <w:szCs w:val="18"/>
    </w:rPr>
  </w:style>
  <w:style w:type="paragraph" w:styleId="1314" w:customStyle="1">
    <w:name w:val="Body Text First Indent 21"/>
    <w:basedOn w:val="1020"/>
    <w:uiPriority w:val="99"/>
    <w:qFormat/>
    <w:pPr>
      <w:ind w:firstLine="420"/>
    </w:pPr>
  </w:style>
  <w:style w:type="paragraph" w:styleId="1315" w:customStyle="1">
    <w:name w:val="CM17"/>
    <w:basedOn w:val="762"/>
    <w:next w:val="762"/>
    <w:uiPriority w:val="0"/>
    <w:qFormat/>
    <w:pPr>
      <w:jc w:val="left"/>
      <w:spacing w:after="273" w:line="360" w:lineRule="auto"/>
    </w:pPr>
    <w:rPr>
      <w:rFonts w:ascii="宋体"/>
      <w:sz w:val="24"/>
    </w:rPr>
  </w:style>
  <w:style w:type="paragraph" w:styleId="1316" w:customStyle="1">
    <w:name w:val="pa-0"/>
    <w:basedOn w:val="762"/>
    <w:uiPriority w:val="0"/>
    <w:qFormat/>
    <w:pPr>
      <w:ind w:firstLine="480"/>
      <w:spacing w:line="360" w:lineRule="atLeast"/>
      <w:widowControl/>
    </w:pPr>
    <w:rPr>
      <w:rFonts w:ascii="宋体" w:cs="宋体"/>
      <w:sz w:val="24"/>
    </w:rPr>
  </w:style>
  <w:style w:type="paragraph" w:styleId="131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D&amp;L"/>
    <w:basedOn w:val="1038"/>
    <w:uiPriority w:val="0"/>
    <w:qFormat/>
    <w:pPr>
      <w:spacing w:line="240" w:lineRule="atLeast"/>
      <w:pBdr>
        <w:bottom w:val="single" w:color="000000" w:sz="18" w:space="1"/>
      </w:pBdr>
    </w:pPr>
    <w:rPr>
      <w:sz w:val="24"/>
      <w:szCs w:val="20"/>
    </w:rPr>
  </w:style>
  <w:style w:type="paragraph" w:styleId="1319" w:customStyle="1">
    <w:name w:val="Normal_16"/>
    <w:uiPriority w:val="0"/>
    <w:qFormat/>
    <w:rPr>
      <w:rFonts w:ascii="黑体" w:hAnsi="黑体" w:eastAsia="黑体" w:cs="Times New Roman"/>
      <w:b/>
      <w:sz w:val="32"/>
      <w:szCs w:val="24"/>
      <w:lang w:val="en-US" w:eastAsia="zh-CN" w:bidi="ar-SA"/>
    </w:rPr>
  </w:style>
  <w:style w:type="paragraph" w:styleId="1320"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21" w:customStyle="1">
    <w:name w:val="font5"/>
    <w:basedOn w:val="762"/>
    <w:uiPriority w:val="0"/>
    <w:qFormat/>
    <w:pPr>
      <w:jc w:val="left"/>
      <w:spacing w:before="100" w:beforeAutospacing="1" w:after="100" w:afterAutospacing="1"/>
      <w:widowControl/>
    </w:pPr>
    <w:rPr>
      <w:rFonts w:ascii="宋体"/>
      <w:sz w:val="18"/>
      <w:szCs w:val="18"/>
    </w:rPr>
  </w:style>
  <w:style w:type="paragraph" w:styleId="1322"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23" w:customStyle="1">
    <w:name w:val="大汉方案正文 Char"/>
    <w:basedOn w:val="762"/>
    <w:uiPriority w:val="0"/>
    <w:qFormat/>
    <w:pPr>
      <w:ind w:firstLine="200"/>
      <w:spacing w:line="360" w:lineRule="auto"/>
    </w:pPr>
    <w:rPr>
      <w:rFonts w:ascii="Arial" w:hAnsi="Arial"/>
      <w:sz w:val="24"/>
    </w:rPr>
  </w:style>
  <w:style w:type="paragraph" w:styleId="1324" w:customStyle="1">
    <w:name w:val="样式2"/>
    <w:basedOn w:val="992"/>
    <w:uiPriority w:val="0"/>
    <w:qFormat/>
    <w:pPr>
      <w:spacing w:line="415" w:lineRule="auto"/>
    </w:pPr>
    <w:rPr>
      <w:rFonts w:ascii="Calibri" w:hAnsi="Calibri"/>
      <w:bCs/>
      <w:color w:val="000000"/>
      <w:sz w:val="28"/>
      <w:szCs w:val="28"/>
    </w:rPr>
  </w:style>
  <w:style w:type="paragraph" w:styleId="1325" w:customStyle="1">
    <w:name w:val="Normal_2_0"/>
    <w:uiPriority w:val="0"/>
    <w:qFormat/>
    <w:rPr>
      <w:rFonts w:ascii="黑体" w:hAnsi="黑体" w:eastAsia="黑体" w:cs="Times New Roman"/>
      <w:b/>
      <w:sz w:val="32"/>
      <w:szCs w:val="24"/>
      <w:lang w:val="en-US" w:eastAsia="zh-CN" w:bidi="ar-SA"/>
    </w:rPr>
  </w:style>
  <w:style w:type="paragraph" w:styleId="1326" w:customStyle="1">
    <w:name w:val="序号"/>
    <w:next w:val="762"/>
    <w:uiPriority w:val="0"/>
    <w:qFormat/>
    <w:pPr>
      <w:jc w:val="center"/>
    </w:pPr>
    <w:rPr>
      <w:rFonts w:ascii="Times New Roman" w:hAnsi="Times New Roman" w:eastAsia="仿宋_GB2312" w:cs="Times New Roman"/>
      <w:bCs/>
      <w:sz w:val="21"/>
      <w:szCs w:val="44"/>
      <w:lang w:val="en-US" w:eastAsia="zh-CN" w:bidi="ar-SA"/>
    </w:rPr>
  </w:style>
  <w:style w:type="paragraph" w:styleId="1327" w:customStyle="1">
    <w:name w:val="Normal_4"/>
    <w:uiPriority w:val="0"/>
    <w:qFormat/>
    <w:rPr>
      <w:rFonts w:ascii="黑体" w:hAnsi="黑体" w:eastAsia="黑体" w:cs="Times New Roman"/>
      <w:b/>
      <w:sz w:val="32"/>
      <w:szCs w:val="24"/>
      <w:lang w:val="en-US" w:eastAsia="zh-CN" w:bidi="ar-SA"/>
    </w:rPr>
  </w:style>
  <w:style w:type="paragraph" w:styleId="1328" w:customStyle="1">
    <w:name w:val="xl3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9" w:customStyle="1">
    <w:name w:val="txt"/>
    <w:basedOn w:val="762"/>
    <w:uiPriority w:val="0"/>
    <w:qFormat/>
    <w:pPr>
      <w:jc w:val="left"/>
      <w:spacing w:before="100" w:beforeAutospacing="1" w:after="100" w:afterAutospacing="1"/>
      <w:widowControl/>
    </w:pPr>
    <w:rPr>
      <w:rFonts w:ascii="宋体" w:cs="宋体"/>
      <w:sz w:val="24"/>
    </w:rPr>
  </w:style>
  <w:style w:type="paragraph" w:styleId="1330" w:customStyle="1">
    <w:name w:val="样式5"/>
    <w:basedOn w:val="992"/>
    <w:uiPriority w:val="0"/>
    <w:qFormat/>
    <w:pPr>
      <w:spacing w:line="415" w:lineRule="auto"/>
    </w:pPr>
    <w:rPr>
      <w:rFonts w:ascii="Calibri" w:hAnsi="Calibri"/>
      <w:bCs/>
      <w:color w:val="000000"/>
      <w:sz w:val="28"/>
      <w:szCs w:val="28"/>
    </w:rPr>
  </w:style>
  <w:style w:type="paragraph" w:styleId="1331" w:customStyle="1">
    <w:name w:val="font7"/>
    <w:basedOn w:val="762"/>
    <w:uiPriority w:val="0"/>
    <w:qFormat/>
    <w:pPr>
      <w:jc w:val="left"/>
      <w:spacing w:before="100" w:beforeAutospacing="1" w:after="100" w:afterAutospacing="1"/>
      <w:widowControl/>
    </w:pPr>
    <w:rPr>
      <w:rFonts w:ascii="宋体"/>
      <w:sz w:val="20"/>
      <w:szCs w:val="20"/>
    </w:rPr>
  </w:style>
  <w:style w:type="paragraph" w:styleId="1332"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33" w:customStyle="1">
    <w:name w:val="xl37"/>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34" w:customStyle="1">
    <w:name w:val="编号"/>
    <w:basedOn w:val="762"/>
    <w:next w:val="1202"/>
    <w:uiPriority w:val="0"/>
    <w:qFormat/>
    <w:pPr>
      <w:ind w:left="420" w:right="-136" w:hanging="420"/>
      <w:widowControl/>
      <w:tabs>
        <w:tab w:val="left" w:pos="420" w:leader="none"/>
      </w:tabs>
    </w:pPr>
    <w:rPr>
      <w:rFonts w:ascii="仿宋_GB2312" w:eastAsia="仿宋_GB2312"/>
      <w:b/>
      <w:bCs/>
      <w:sz w:val="24"/>
      <w:szCs w:val="21"/>
    </w:rPr>
  </w:style>
  <w:style w:type="paragraph" w:styleId="1335" w:customStyle="1">
    <w:name w:val="TOC 标题2"/>
    <w:basedOn w:val="990"/>
    <w:next w:val="762"/>
    <w:uiPriority w:val="0"/>
    <w:qFormat/>
    <w:pPr>
      <w:spacing w:before="480" w:after="0" w:line="276" w:lineRule="auto"/>
      <w:widowControl/>
      <w:outlineLvl w:val="9"/>
    </w:pPr>
    <w:rPr>
      <w:rFonts w:ascii="Cambria" w:hAnsi="Cambria"/>
      <w:color w:val="365f91"/>
      <w:sz w:val="28"/>
    </w:rPr>
  </w:style>
  <w:style w:type="paragraph" w:styleId="1336" w:customStyle="1">
    <w:name w:val="Sourcetext bullet"/>
    <w:basedOn w:val="76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7" w:customStyle="1">
    <w:name w:val="xl40"/>
    <w:basedOn w:val="76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38" w:customStyle="1">
    <w:name w:val="font8"/>
    <w:basedOn w:val="762"/>
    <w:uiPriority w:val="0"/>
    <w:qFormat/>
    <w:pPr>
      <w:jc w:val="left"/>
      <w:spacing w:before="100" w:beforeAutospacing="1" w:after="100" w:afterAutospacing="1"/>
      <w:widowControl/>
    </w:pPr>
    <w:rPr>
      <w:rFonts w:ascii="Arial" w:hAnsi="Arial" w:cs="Arial"/>
      <w:color w:val="000000"/>
      <w:sz w:val="18"/>
      <w:szCs w:val="18"/>
    </w:rPr>
  </w:style>
  <w:style w:type="paragraph" w:styleId="1339" w:customStyle="1">
    <w:name w:val="Char Char Char Char Char Char Char Char Char Char1"/>
    <w:basedOn w:val="762"/>
    <w:uiPriority w:val="0"/>
    <w:qFormat/>
    <w:rPr>
      <w:rFonts w:ascii="Tahoma" w:hAnsi="Tahoma" w:cs="Tahoma"/>
      <w:sz w:val="24"/>
    </w:rPr>
  </w:style>
  <w:style w:type="paragraph" w:styleId="1340" w:customStyle="1">
    <w:name w:val="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1341" w:customStyle="1">
    <w:name w:val="xl31"/>
    <w:basedOn w:val="76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42"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43" w:customStyle="1">
    <w:name w:val="Normal_11"/>
    <w:uiPriority w:val="0"/>
    <w:qFormat/>
    <w:rPr>
      <w:rFonts w:ascii="黑体" w:hAnsi="黑体" w:eastAsia="黑体" w:cs="Times New Roman"/>
      <w:b/>
      <w:sz w:val="32"/>
      <w:szCs w:val="24"/>
      <w:lang w:val="en-US" w:eastAsia="zh-CN" w:bidi="ar-SA"/>
    </w:rPr>
  </w:style>
  <w:style w:type="paragraph" w:styleId="1344" w:customStyle="1">
    <w:name w:val="Char12"/>
    <w:basedOn w:val="762"/>
    <w:uiPriority w:val="0"/>
    <w:qFormat/>
    <w:pPr>
      <w:ind w:left="360" w:right="202" w:firstLine="360"/>
      <w:spacing w:line="480" w:lineRule="auto"/>
      <w:tabs>
        <w:tab w:val="left" w:pos="360" w:leader="none"/>
      </w:tabs>
    </w:pPr>
    <w:rPr>
      <w:sz w:val="24"/>
    </w:rPr>
  </w:style>
  <w:style w:type="paragraph" w:styleId="1345"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46" w:customStyle="1">
    <w:name w:val="xl3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7"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style42"/>
    <w:basedOn w:val="762"/>
    <w:uiPriority w:val="0"/>
    <w:qFormat/>
    <w:pPr>
      <w:jc w:val="left"/>
      <w:spacing w:before="100" w:beforeAutospacing="1" w:after="100" w:afterAutospacing="1"/>
      <w:widowControl/>
    </w:pPr>
    <w:rPr>
      <w:rFonts w:ascii="宋体" w:cs="宋体"/>
      <w:color w:val="000000"/>
      <w:sz w:val="15"/>
      <w:szCs w:val="15"/>
    </w:rPr>
  </w:style>
  <w:style w:type="paragraph" w:styleId="1349" w:customStyle="1">
    <w:name w:val="样式 标题 2 + Times New Roman 四号 非加粗 段前: 5 磅 段后: 0 磅 行距: 固定值 20..."/>
    <w:basedOn w:val="991"/>
    <w:uiPriority w:val="0"/>
    <w:qFormat/>
    <w:pPr>
      <w:spacing w:before="100" w:after="0" w:line="400" w:lineRule="exact"/>
    </w:pPr>
    <w:rPr>
      <w:rFonts w:ascii="Times New Roman" w:hAnsi="Times New Roman" w:cs="宋体"/>
      <w:b w:val="0"/>
      <w:sz w:val="28"/>
    </w:rPr>
  </w:style>
  <w:style w:type="paragraph" w:styleId="1350" w:customStyle="1">
    <w:name w:val="font6"/>
    <w:basedOn w:val="762"/>
    <w:uiPriority w:val="0"/>
    <w:qFormat/>
    <w:pPr>
      <w:jc w:val="left"/>
      <w:spacing w:before="100" w:beforeAutospacing="1" w:after="100" w:afterAutospacing="1"/>
      <w:widowControl/>
    </w:pPr>
    <w:rPr>
      <w:sz w:val="20"/>
      <w:szCs w:val="20"/>
    </w:rPr>
  </w:style>
  <w:style w:type="paragraph" w:styleId="1351" w:customStyle="1">
    <w:name w:val="样式 正文首行缩进 + 宋体 首行缩进:  0.74 厘米"/>
    <w:basedOn w:val="1059"/>
    <w:uiPriority w:val="0"/>
    <w:qFormat/>
    <w:pPr>
      <w:ind w:firstLine="210"/>
      <w:spacing w:before="120" w:after="0" w:line="380" w:lineRule="exact"/>
    </w:pPr>
    <w:rPr>
      <w:rFonts w:ascii="宋体" w:cs="宋体"/>
      <w:sz w:val="24"/>
      <w:szCs w:val="20"/>
    </w:rPr>
  </w:style>
  <w:style w:type="paragraph" w:styleId="1352"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53" w:customStyle="1">
    <w:name w:val="Normal_17_0"/>
    <w:uiPriority w:val="0"/>
    <w:qFormat/>
    <w:rPr>
      <w:rFonts w:ascii="黑体" w:hAnsi="黑体" w:eastAsia="黑体" w:cs="Times New Roman"/>
      <w:b/>
      <w:sz w:val="32"/>
      <w:szCs w:val="24"/>
      <w:lang w:val="en-US" w:eastAsia="zh-CN" w:bidi="ar-SA"/>
    </w:rPr>
  </w:style>
  <w:style w:type="paragraph" w:styleId="1354" w:customStyle="1">
    <w:name w:val="Char Char Char Char Char Char Char Char Char Char2"/>
    <w:basedOn w:val="762"/>
    <w:uiPriority w:val="0"/>
    <w:qFormat/>
    <w:rPr>
      <w:rFonts w:ascii="Tahoma" w:hAnsi="Tahoma"/>
      <w:sz w:val="24"/>
      <w:szCs w:val="20"/>
    </w:rPr>
  </w:style>
  <w:style w:type="paragraph" w:styleId="135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5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57" w:customStyle="1">
    <w:name w:val="Char Char Char Char Char Char Char1 Char"/>
    <w:basedOn w:val="762"/>
    <w:uiPriority w:val="0"/>
    <w:qFormat/>
    <w:rPr>
      <w:rFonts w:ascii="Tahoma" w:hAnsi="Tahoma"/>
      <w:sz w:val="24"/>
      <w:szCs w:val="20"/>
    </w:rPr>
  </w:style>
  <w:style w:type="paragraph" w:styleId="1358" w:customStyle="1">
    <w:name w:val="Char Char1 Char Char Char Char Char Char"/>
    <w:basedOn w:val="762"/>
    <w:uiPriority w:val="0"/>
    <w:qFormat/>
    <w:pPr>
      <w:jc w:val="center"/>
      <w:widowControl/>
    </w:pPr>
    <w:rPr>
      <w:szCs w:val="20"/>
    </w:rPr>
  </w:style>
  <w:style w:type="paragraph" w:styleId="1359" w:customStyle="1">
    <w:name w:val="Normal Paragraph Char"/>
    <w:basedOn w:val="762"/>
    <w:uiPriority w:val="0"/>
    <w:qFormat/>
    <w:pPr>
      <w:ind w:firstLine="425"/>
      <w:spacing w:before="120" w:line="360" w:lineRule="auto"/>
      <w:widowControl/>
    </w:pPr>
    <w:rPr>
      <w:rFonts w:ascii="Calibri" w:hAnsi="Calibri"/>
      <w:sz w:val="24"/>
    </w:rPr>
  </w:style>
  <w:style w:type="paragraph" w:styleId="1360" w:customStyle="1">
    <w:name w:val="Char Char Char Char Char Char Char Char Char Char Char Char Char1"/>
    <w:basedOn w:val="762"/>
    <w:uiPriority w:val="0"/>
    <w:qFormat/>
    <w:pPr>
      <w:jc w:val="left"/>
      <w:spacing w:after="160" w:line="240" w:lineRule="exact"/>
      <w:widowControl/>
    </w:pPr>
    <w:rPr>
      <w:rFonts w:ascii="Arial" w:hAnsi="Arial" w:eastAsia="Times New Roman" w:cs="Verdana"/>
      <w:b/>
      <w:sz w:val="24"/>
      <w:szCs w:val="32"/>
      <w:lang w:eastAsia="en-US"/>
    </w:rPr>
  </w:style>
  <w:style w:type="paragraph" w:styleId="1361" w:customStyle="1">
    <w:name w:val="默认段落字体 Para Char"/>
    <w:basedOn w:val="762"/>
    <w:uiPriority w:val="0"/>
    <w:qFormat/>
    <w:rPr>
      <w:rFonts w:ascii="宋体"/>
      <w:b/>
      <w:sz w:val="28"/>
      <w:szCs w:val="28"/>
    </w:rPr>
  </w:style>
  <w:style w:type="paragraph" w:styleId="136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63" w:customStyle="1">
    <w:name w:val="Normal_1_0"/>
    <w:uiPriority w:val="0"/>
    <w:qFormat/>
    <w:rPr>
      <w:rFonts w:ascii="Times New Roman" w:hAnsi="Times New Roman" w:eastAsia="Times New Roman" w:cs="Times New Roman"/>
      <w:sz w:val="24"/>
      <w:szCs w:val="24"/>
      <w:lang w:val="en-US" w:eastAsia="zh-CN" w:bidi="ar-SA"/>
    </w:rPr>
  </w:style>
  <w:style w:type="paragraph" w:styleId="1364" w:customStyle="1">
    <w:name w:val="Char Char Char1"/>
    <w:basedOn w:val="762"/>
    <w:uiPriority w:val="0"/>
    <w:qFormat/>
    <w:rPr>
      <w:rFonts w:ascii="Tahoma" w:hAnsi="Tahoma"/>
      <w:sz w:val="24"/>
      <w:szCs w:val="20"/>
    </w:rPr>
  </w:style>
  <w:style w:type="paragraph" w:styleId="1365" w:customStyle="1">
    <w:name w:val="Normal1"/>
    <w:uiPriority w:val="0"/>
    <w:qFormat/>
    <w:rPr>
      <w:rFonts w:ascii="Times New Roman" w:hAnsi="Times New Roman" w:eastAsia="Times New Roman" w:cs="Times New Roman"/>
      <w:sz w:val="24"/>
      <w:szCs w:val="24"/>
      <w:lang w:val="en-US" w:eastAsia="zh-CN" w:bidi="ar-SA"/>
    </w:rPr>
  </w:style>
  <w:style w:type="paragraph" w:styleId="1366" w:customStyle="1">
    <w:name w:val="xl33"/>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7" w:customStyle="1">
    <w:name w:val="表格"/>
    <w:basedOn w:val="762"/>
    <w:uiPriority w:val="0"/>
    <w:qFormat/>
    <w:pPr>
      <w:ind w:firstLine="21"/>
    </w:pPr>
    <w:rPr>
      <w:rFonts w:ascii="宋体"/>
      <w:szCs w:val="20"/>
    </w:rPr>
  </w:style>
  <w:style w:type="paragraph" w:styleId="1368"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71" w:customStyle="1">
    <w:name w:val="xl39"/>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72" w:customStyle="1">
    <w:name w:val="项目"/>
    <w:basedOn w:val="762"/>
    <w:uiPriority w:val="0"/>
    <w:qFormat/>
    <w:pPr>
      <w:ind w:left="840" w:hanging="420"/>
      <w:spacing w:before="60" w:after="60" w:line="360" w:lineRule="auto"/>
      <w:tabs>
        <w:tab w:val="left" w:pos="840" w:leader="none"/>
      </w:tabs>
    </w:pPr>
    <w:rPr>
      <w:rFonts w:ascii="宋体"/>
      <w:szCs w:val="20"/>
    </w:rPr>
  </w:style>
  <w:style w:type="paragraph" w:styleId="137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74" w:customStyle="1">
    <w:name w:val="Bullet"/>
    <w:basedOn w:val="76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75" w:customStyle="1">
    <w:name w:val="保密事宜内容"/>
    <w:basedOn w:val="76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76"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规范正文"/>
    <w:basedOn w:val="762"/>
    <w:uiPriority w:val="0"/>
    <w:qFormat/>
    <w:pPr>
      <w:ind w:left="480"/>
      <w:spacing w:line="360" w:lineRule="auto"/>
    </w:pPr>
    <w:rPr>
      <w:sz w:val="24"/>
      <w:szCs w:val="20"/>
    </w:rPr>
  </w:style>
  <w:style w:type="paragraph" w:styleId="137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9"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80"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8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82"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特点"/>
    <w:basedOn w:val="762"/>
    <w:next w:val="762"/>
    <w:uiPriority w:val="0"/>
    <w:qFormat/>
    <w:pPr>
      <w:jc w:val="center"/>
      <w:spacing w:line="360" w:lineRule="auto"/>
    </w:pPr>
    <w:rPr>
      <w:rFonts w:ascii="Arial" w:hAnsi="Arial"/>
      <w:sz w:val="24"/>
      <w:szCs w:val="20"/>
    </w:rPr>
  </w:style>
  <w:style w:type="paragraph" w:styleId="1384" w:customStyle="1">
    <w:name w:val="正文小四"/>
    <w:basedOn w:val="762"/>
    <w:uiPriority w:val="0"/>
    <w:qFormat/>
    <w:pPr>
      <w:spacing w:line="312" w:lineRule="auto"/>
    </w:pPr>
    <w:rPr>
      <w:rFonts w:ascii="Calibri" w:hAnsi="Calibri"/>
      <w:sz w:val="24"/>
    </w:rPr>
  </w:style>
  <w:style w:type="paragraph" w:styleId="1385" w:customStyle="1">
    <w:name w:val="Normal_15_0"/>
    <w:uiPriority w:val="0"/>
    <w:qFormat/>
    <w:rPr>
      <w:rFonts w:ascii="黑体" w:hAnsi="黑体" w:eastAsia="黑体" w:cs="Times New Roman"/>
      <w:b/>
      <w:sz w:val="32"/>
      <w:szCs w:val="24"/>
      <w:lang w:val="en-US" w:eastAsia="zh-CN" w:bidi="ar-SA"/>
    </w:rPr>
  </w:style>
  <w:style w:type="paragraph" w:styleId="1386" w:customStyle="1">
    <w:name w:val="tabletext"/>
    <w:basedOn w:val="762"/>
    <w:uiPriority w:val="0"/>
    <w:qFormat/>
    <w:pPr>
      <w:jc w:val="left"/>
      <w:spacing w:before="100" w:beforeAutospacing="1" w:after="100" w:afterAutospacing="1"/>
      <w:widowControl/>
    </w:pPr>
    <w:rPr>
      <w:rFonts w:ascii="宋体"/>
      <w:sz w:val="24"/>
    </w:rPr>
  </w:style>
  <w:style w:type="paragraph" w:styleId="1387" w:customStyle="1">
    <w:name w:val="表内容"/>
    <w:basedOn w:val="1218"/>
    <w:uiPriority w:val="0"/>
    <w:qFormat/>
    <w:pPr>
      <w:ind w:left="0" w:firstLine="0"/>
      <w:spacing w:line="320" w:lineRule="exact"/>
    </w:pPr>
    <w:rPr>
      <w:sz w:val="20"/>
    </w:rPr>
  </w:style>
  <w:style w:type="paragraph" w:styleId="1388" w:customStyle="1">
    <w:name w:val="Char13"/>
    <w:basedOn w:val="762"/>
    <w:uiPriority w:val="0"/>
    <w:qFormat/>
  </w:style>
  <w:style w:type="paragraph" w:styleId="1389" w:customStyle="1">
    <w:name w:val="我的样式"/>
    <w:basedOn w:val="762"/>
    <w:uiPriority w:val="0"/>
    <w:qFormat/>
    <w:pPr>
      <w:ind w:firstLine="420"/>
      <w:jc w:val="left"/>
      <w:spacing w:after="120"/>
      <w:widowControl/>
    </w:pPr>
    <w:rPr>
      <w:rFonts w:ascii="宋体"/>
      <w:color w:val="000000"/>
      <w:sz w:val="24"/>
      <w:szCs w:val="16"/>
    </w:rPr>
  </w:style>
  <w:style w:type="paragraph" w:styleId="1390"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91" w:customStyle="1">
    <w:name w:val="编号1"/>
    <w:next w:val="120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92" w:customStyle="1">
    <w:name w:val="Normal_0"/>
    <w:uiPriority w:val="0"/>
    <w:qFormat/>
    <w:rPr>
      <w:rFonts w:ascii="黑体" w:hAnsi="黑体" w:eastAsia="黑体" w:cs="Times New Roman"/>
      <w:b/>
      <w:sz w:val="32"/>
      <w:szCs w:val="24"/>
      <w:lang w:val="en-US" w:eastAsia="zh-CN" w:bidi="ar-SA"/>
    </w:rPr>
  </w:style>
  <w:style w:type="paragraph" w:styleId="1393" w:customStyle="1">
    <w:name w:val="首页单位日期"/>
    <w:basedOn w:val="762"/>
    <w:uiPriority w:val="0"/>
    <w:qFormat/>
    <w:pPr>
      <w:jc w:val="center"/>
      <w:widowControl/>
    </w:pPr>
    <w:rPr>
      <w:rFonts w:ascii="宋体" w:cs="宋体"/>
      <w:bCs/>
      <w:sz w:val="28"/>
      <w:szCs w:val="20"/>
    </w:rPr>
  </w:style>
  <w:style w:type="paragraph" w:styleId="1394" w:customStyle="1">
    <w:name w:val="Normal Paragraph"/>
    <w:basedOn w:val="762"/>
    <w:uiPriority w:val="0"/>
    <w:qFormat/>
    <w:pPr>
      <w:ind w:firstLine="425"/>
      <w:spacing w:before="120" w:line="360" w:lineRule="auto"/>
      <w:widowControl/>
    </w:pPr>
    <w:rPr>
      <w:rFonts w:ascii="Calibri" w:hAnsi="Calibri"/>
      <w:sz w:val="24"/>
      <w:szCs w:val="20"/>
    </w:rPr>
  </w:style>
  <w:style w:type="paragraph" w:styleId="1395" w:customStyle="1">
    <w:name w:val="xl36"/>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96" w:customStyle="1">
    <w:name w:val="È±Ê¡ÎÄ±¾"/>
    <w:basedOn w:val="762"/>
    <w:uiPriority w:val="0"/>
    <w:qFormat/>
    <w:pPr>
      <w:jc w:val="left"/>
      <w:spacing w:line="360" w:lineRule="auto"/>
      <w:widowControl/>
    </w:pPr>
    <w:rPr>
      <w:sz w:val="24"/>
      <w:szCs w:val="20"/>
    </w:rPr>
  </w:style>
  <w:style w:type="paragraph" w:styleId="1397" w:customStyle="1">
    <w:name w:val="Char Char Char Char Char Char Char Char Char Char3"/>
    <w:basedOn w:val="762"/>
    <w:uiPriority w:val="0"/>
    <w:qFormat/>
    <w:rPr>
      <w:rFonts w:ascii="Tahoma" w:hAnsi="Tahoma"/>
      <w:sz w:val="24"/>
      <w:szCs w:val="20"/>
    </w:rPr>
  </w:style>
  <w:style w:type="paragraph" w:styleId="1398" w:customStyle="1">
    <w:name w:val="a1"/>
    <w:basedOn w:val="762"/>
    <w:uiPriority w:val="0"/>
    <w:qFormat/>
    <w:pPr>
      <w:jc w:val="left"/>
      <w:spacing w:before="100" w:beforeAutospacing="1" w:after="100" w:afterAutospacing="1"/>
      <w:widowControl/>
    </w:pPr>
    <w:rPr>
      <w:rFonts w:ascii="宋体"/>
      <w:sz w:val="24"/>
    </w:rPr>
  </w:style>
  <w:style w:type="paragraph" w:styleId="1399"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401" w:customStyle="1">
    <w:name w:val="xl2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02" w:customStyle="1">
    <w:name w:val="正文段"/>
    <w:basedOn w:val="762"/>
    <w:uiPriority w:val="0"/>
    <w:qFormat/>
    <w:pPr>
      <w:ind w:firstLine="425"/>
      <w:spacing w:after="240" w:line="240" w:lineRule="atLeast"/>
      <w:widowControl/>
    </w:pPr>
    <w:rPr>
      <w:sz w:val="24"/>
      <w:szCs w:val="20"/>
    </w:rPr>
  </w:style>
  <w:style w:type="paragraph" w:styleId="1403" w:customStyle="1">
    <w:name w:val="Normal_16_0"/>
    <w:uiPriority w:val="0"/>
    <w:qFormat/>
    <w:rPr>
      <w:rFonts w:ascii="黑体" w:hAnsi="黑体" w:eastAsia="黑体" w:cs="Times New Roman"/>
      <w:b/>
      <w:sz w:val="32"/>
      <w:szCs w:val="24"/>
      <w:lang w:val="en-US" w:eastAsia="zh-CN" w:bidi="ar-SA"/>
    </w:rPr>
  </w:style>
  <w:style w:type="paragraph" w:styleId="1404" w:customStyle="1">
    <w:name w:val="Normal_17"/>
    <w:uiPriority w:val="0"/>
    <w:qFormat/>
    <w:rPr>
      <w:rFonts w:ascii="黑体" w:hAnsi="黑体" w:eastAsia="黑体" w:cs="Times New Roman"/>
      <w:b/>
      <w:sz w:val="32"/>
      <w:szCs w:val="24"/>
      <w:lang w:val="en-US" w:eastAsia="zh-CN" w:bidi="ar-SA"/>
    </w:rPr>
  </w:style>
  <w:style w:type="paragraph" w:styleId="1405" w:customStyle="1">
    <w:name w:val="xl42"/>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06" w:customStyle="1">
    <w:name w:val="列出段落[858D7CFB-ED40-4347-BF05-701D383B685F][858D7CFB-ED40-4347-BF05-701D383B685F]"/>
    <w:basedOn w:val="762"/>
    <w:uiPriority w:val="0"/>
    <w:qFormat/>
    <w:pPr>
      <w:ind w:firstLine="200"/>
    </w:pPr>
    <w:rPr>
      <w:rFonts w:ascii="Calibri" w:hAnsi="Calibri"/>
    </w:rPr>
  </w:style>
  <w:style w:type="paragraph" w:styleId="1407" w:customStyle="1">
    <w:name w:val="缺省文本"/>
    <w:basedOn w:val="762"/>
    <w:uiPriority w:val="0"/>
    <w:qFormat/>
    <w:pPr>
      <w:jc w:val="left"/>
    </w:pPr>
    <w:rPr>
      <w:sz w:val="24"/>
      <w:szCs w:val="20"/>
    </w:rPr>
  </w:style>
  <w:style w:type="paragraph" w:styleId="1408" w:customStyle="1">
    <w:name w:val="Normal_13"/>
    <w:uiPriority w:val="0"/>
    <w:qFormat/>
    <w:rPr>
      <w:rFonts w:ascii="黑体" w:hAnsi="黑体" w:eastAsia="黑体" w:cs="Times New Roman"/>
      <w:b/>
      <w:sz w:val="32"/>
      <w:szCs w:val="24"/>
      <w:lang w:val="en-US" w:eastAsia="zh-CN" w:bidi="ar-SA"/>
    </w:rPr>
  </w:style>
  <w:style w:type="paragraph" w:styleId="140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10" w:customStyle="1">
    <w:name w:val="FA正文+标号"/>
    <w:basedOn w:val="76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11" w:customStyle="1">
    <w:name w:val="附图居中"/>
    <w:basedOn w:val="762"/>
    <w:next w:val="1244"/>
    <w:uiPriority w:val="0"/>
    <w:qFormat/>
    <w:pPr>
      <w:ind w:left="1271" w:hanging="420"/>
      <w:jc w:val="center"/>
      <w:keepNext/>
      <w:spacing w:line="360" w:lineRule="auto"/>
      <w:tabs>
        <w:tab w:val="left" w:pos="0" w:leader="none"/>
      </w:tabs>
    </w:pPr>
    <w:rPr>
      <w:caps/>
      <w:sz w:val="24"/>
    </w:rPr>
  </w:style>
  <w:style w:type="paragraph" w:styleId="1412"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13" w:customStyle="1">
    <w:name w:val="正文 + 宋体"/>
    <w:basedOn w:val="762"/>
    <w:uiPriority w:val="0"/>
    <w:qFormat/>
    <w:pPr>
      <w:ind w:firstLine="250"/>
    </w:pPr>
    <w:rPr>
      <w:rFonts w:ascii="宋体"/>
      <w:szCs w:val="21"/>
    </w:rPr>
  </w:style>
  <w:style w:type="paragraph" w:styleId="1414" w:customStyle="1">
    <w:name w:val="Normal_5"/>
    <w:uiPriority w:val="0"/>
    <w:qFormat/>
    <w:rPr>
      <w:rFonts w:ascii="黑体" w:hAnsi="黑体" w:eastAsia="黑体" w:cs="Times New Roman"/>
      <w:b/>
      <w:sz w:val="32"/>
      <w:szCs w:val="24"/>
      <w:lang w:val="en-US" w:eastAsia="zh-CN" w:bidi="ar-SA"/>
    </w:rPr>
  </w:style>
  <w:style w:type="paragraph" w:styleId="1415" w:customStyle="1">
    <w:name w:val="Normal_13_0"/>
    <w:uiPriority w:val="0"/>
    <w:qFormat/>
    <w:rPr>
      <w:rFonts w:ascii="黑体" w:hAnsi="黑体" w:eastAsia="黑体" w:cs="Times New Roman"/>
      <w:b/>
      <w:sz w:val="32"/>
      <w:szCs w:val="24"/>
      <w:lang w:val="en-US" w:eastAsia="zh-CN" w:bidi="ar-SA"/>
    </w:rPr>
  </w:style>
  <w:style w:type="paragraph" w:styleId="1416" w:customStyle="1">
    <w:name w:val="Normal_14"/>
    <w:uiPriority w:val="0"/>
    <w:qFormat/>
    <w:rPr>
      <w:rFonts w:ascii="黑体" w:hAnsi="黑体" w:eastAsia="黑体" w:cs="Times New Roman"/>
      <w:b/>
      <w:sz w:val="32"/>
      <w:szCs w:val="24"/>
      <w:lang w:val="en-US" w:eastAsia="zh-CN" w:bidi="ar-SA"/>
    </w:rPr>
  </w:style>
  <w:style w:type="paragraph" w:styleId="141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8"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19" w:customStyle="1">
    <w:name w:val="Normal_3_0"/>
    <w:uiPriority w:val="0"/>
    <w:qFormat/>
    <w:rPr>
      <w:rFonts w:ascii="黑体" w:hAnsi="黑体" w:eastAsia="黑体" w:cs="Times New Roman"/>
      <w:b/>
      <w:sz w:val="32"/>
      <w:szCs w:val="24"/>
      <w:lang w:val="en-US" w:eastAsia="zh-CN" w:bidi="ar-SA"/>
    </w:rPr>
  </w:style>
  <w:style w:type="paragraph" w:styleId="1420" w:customStyle="1">
    <w:name w:val="保密事宜格式"/>
    <w:basedOn w:val="101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21" w:customStyle="1">
    <w:name w:val="样式 正文缩进 + (中文) 仿宋_GB2312 小四 Char"/>
    <w:basedOn w:val="1009"/>
    <w:uiPriority w:val="0"/>
    <w:qFormat/>
    <w:pPr>
      <w:ind w:firstLine="200"/>
      <w:spacing w:line="360" w:lineRule="auto"/>
    </w:pPr>
    <w:rPr>
      <w:szCs w:val="24"/>
    </w:rPr>
  </w:style>
  <w:style w:type="paragraph" w:styleId="1422" w:customStyle="1">
    <w:name w:val="默认段落字体 Para Char Char Char Char Char Char Char Char Char Char Char Char Char Char"/>
    <w:basedOn w:val="1014"/>
    <w:uiPriority w:val="0"/>
    <w:qFormat/>
    <w:rPr>
      <w:rFonts w:ascii="Tahoma" w:hAnsi="Tahoma"/>
      <w:sz w:val="24"/>
    </w:rPr>
  </w:style>
  <w:style w:type="character" w:styleId="1423" w:customStyle="1">
    <w:name w:val="font71"/>
    <w:uiPriority w:val="0"/>
    <w:qFormat/>
    <w:rPr>
      <w:rFonts w:hint="eastAsia" w:ascii="宋体" w:hAnsi="宋体" w:eastAsia="宋体" w:cs="宋体"/>
      <w:color w:val="ff0000"/>
      <w:sz w:val="24"/>
      <w:szCs w:val="24"/>
      <w:u w:val="none"/>
    </w:rPr>
  </w:style>
  <w:style w:type="paragraph" w:styleId="1424" w:customStyle="1">
    <w:name w:val="正文缩进1"/>
    <w:basedOn w:val="762"/>
    <w:uiPriority w:val="0"/>
    <w:qFormat/>
    <w:pPr>
      <w:ind w:firstLine="420"/>
    </w:pPr>
    <w:rPr>
      <w:szCs w:val="20"/>
    </w:rPr>
  </w:style>
  <w:style w:type="character" w:styleId="1425" w:customStyle="1">
    <w:name w:val="占位符文本1"/>
    <w:uiPriority w:val="99"/>
    <w:qFormat/>
    <w:rPr>
      <w:color w:val="808080"/>
    </w:rPr>
  </w:style>
  <w:style w:type="paragraph" w:styleId="1426" w:customStyle="1">
    <w:name w:val="B2"/>
    <w:basedOn w:val="762"/>
    <w:uiPriority w:val="0"/>
    <w:qFormat/>
    <w:pPr>
      <w:numPr>
        <w:ilvl w:val="1"/>
        <w:numId w:val="4"/>
      </w:numPr>
      <w:tabs>
        <w:tab w:val="left" w:pos="1418" w:leader="none"/>
      </w:tabs>
      <w:outlineLvl w:val="1"/>
    </w:pPr>
    <w:rPr>
      <w:rFonts w:ascii="Arial Narrow" w:hAnsi="Arial Narrow" w:eastAsia="仿宋"/>
      <w:sz w:val="24"/>
      <w:szCs w:val="24"/>
    </w:rPr>
  </w:style>
  <w:style w:type="paragraph" w:styleId="1427" w:customStyle="1">
    <w:name w:val="B1"/>
    <w:basedOn w:val="762"/>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28" w:customStyle="1">
    <w:name w:val="正文文本11"/>
    <w:basedOn w:val="762"/>
    <w:next w:val="762"/>
    <w:uiPriority w:val="0"/>
    <w:qFormat/>
    <w:rPr>
      <w:rFonts w:ascii="楷体_GB2312" w:hAnsi="Arial" w:eastAsia="楷体_GB2312"/>
      <w:sz w:val="28"/>
      <w:szCs w:val="28"/>
    </w:rPr>
  </w:style>
  <w:style w:type="paragraph" w:styleId="1429" w:customStyle="1">
    <w:name w:val="Table Text"/>
    <w:basedOn w:val="762"/>
    <w:uiPriority w:val="0"/>
    <w:qFormat/>
    <w:rPr>
      <w:rFonts w:ascii="宋体" w:hAnsi="宋体" w:cs="宋体"/>
      <w:sz w:val="17"/>
      <w:szCs w:val="17"/>
      <w:lang w:eastAsia="en-US"/>
    </w:rPr>
  </w:style>
  <w:style w:type="table" w:styleId="1430" w:customStyle="1">
    <w:name w:val="Table Normal"/>
    <w:uiPriority w:val="0"/>
    <w:qFormat/>
    <w:tblPr>
      <w:tblCellMar>
        <w:left w:w="0" w:type="dxa"/>
        <w:top w:w="0" w:type="dxa"/>
        <w:right w:w="0" w:type="dxa"/>
        <w:bottom w:w="0" w:type="dxa"/>
      </w:tblCellMar>
    </w:tblPr>
  </w:style>
  <w:style w:type="character" w:styleId="1431" w:customStyle="1">
    <w:name w:val="mark"/>
    <w:uiPriority w:val="0"/>
    <w:qFormat/>
    <w:rPr>
      <w:rFonts w:ascii="Times New Roman" w:hAnsi="Times New Roman" w:eastAsia="宋体" w:cs="Times New Roman"/>
    </w:rPr>
  </w:style>
  <w:style w:type="paragraph" w:styleId="1432" w:customStyle="1">
    <w:name w:val="标题 311"/>
    <w:basedOn w:val="762"/>
    <w:next w:val="762"/>
    <w:uiPriority w:val="0"/>
    <w:qFormat/>
    <w:pPr>
      <w:keepLines/>
      <w:keepNext/>
      <w:spacing w:before="260" w:after="260" w:line="416" w:lineRule="auto"/>
      <w:outlineLvl w:val="2"/>
    </w:pPr>
    <w:rPr>
      <w:b/>
      <w:sz w:val="32"/>
      <w:szCs w:val="20"/>
    </w:rPr>
  </w:style>
  <w:style w:type="paragraph" w:styleId="1433" w:customStyle="1">
    <w:name w:val="p16"/>
    <w:basedOn w:val="762"/>
    <w:uiPriority w:val="0"/>
    <w:qFormat/>
    <w:pPr>
      <w:widowControl/>
    </w:pPr>
    <w:rPr>
      <w:rFonts w:ascii="宋体" w:hAnsi="宋体" w:cs="宋体"/>
      <w:b/>
      <w:color w:val="000000"/>
      <w:position w:val="-10"/>
      <w:sz w:val="28"/>
      <w:szCs w:val="28"/>
    </w:rPr>
  </w:style>
  <w:style w:type="paragraph" w:styleId="1434" w:customStyle="1">
    <w:name w:val="p19"/>
    <w:basedOn w:val="762"/>
    <w:uiPriority w:val="0"/>
    <w:qFormat/>
    <w:pPr>
      <w:widowControl/>
    </w:pPr>
    <w:rPr>
      <w:rFonts w:ascii="宋体" w:hAnsi="宋体" w:cs="宋体"/>
      <w:b/>
      <w:color w:val="000000"/>
      <w:position w:val="-10"/>
      <w:sz w:val="28"/>
      <w:szCs w:val="28"/>
    </w:rPr>
  </w:style>
  <w:style w:type="paragraph" w:styleId="1435" w:customStyle="1">
    <w:name w:val="修订2"/>
    <w:uiPriority w:val="99"/>
    <w:qFormat/>
    <w:rPr>
      <w:rFonts w:ascii="Times New Roman" w:hAnsi="Times New Roman" w:eastAsia="宋体" w:cs="Times New Roman"/>
      <w:sz w:val="21"/>
      <w:szCs w:val="22"/>
      <w:lang w:val="en-US" w:eastAsia="zh-CN" w:bidi="ar-SA"/>
    </w:rPr>
  </w:style>
  <w:style w:type="character" w:styleId="1436" w:customStyle="1">
    <w:name w:val="日期 字符"/>
    <w:basedOn w:val="772"/>
    <w:link w:val="785"/>
    <w:uiPriority w:val="99"/>
    <w:qFormat/>
    <w:rPr>
      <w:sz w:val="21"/>
      <w:szCs w:val="22"/>
    </w:rPr>
  </w:style>
  <w:style w:type="character" w:styleId="1437" w:customStyle="1">
    <w:name w:val="列表段落 字符"/>
    <w:link w:val="1223"/>
    <w:uiPriority w:val="34"/>
    <w:qFormat/>
    <w:rPr>
      <w:rFonts w:ascii="Calibri" w:hAnsi="Calibri"/>
      <w:sz w:val="21"/>
      <w:szCs w:val="22"/>
    </w:rPr>
  </w:style>
  <w:style w:type="character" w:styleId="1438" w:customStyle="1">
    <w:name w:val="正文文本缩进 字符"/>
    <w:basedOn w:val="772"/>
    <w:link w:val="779"/>
    <w:uiPriority w:val="99"/>
    <w:qFormat/>
    <w:rPr>
      <w:sz w:val="21"/>
      <w:szCs w:val="22"/>
    </w:rPr>
  </w:style>
  <w:style w:type="character" w:styleId="1439" w:customStyle="1">
    <w:name w:val="标题 2 Char"/>
    <w:uiPriority w:val="0"/>
    <w:qFormat/>
    <w:rPr>
      <w:rFonts w:ascii="Cambria" w:hAnsi="Cambria" w:eastAsia="宋体" w:cs="Times New Roman"/>
      <w:b/>
      <w:bCs/>
      <w:sz w:val="32"/>
      <w:szCs w:val="32"/>
    </w:rPr>
  </w:style>
  <w:style w:type="paragraph" w:styleId="1440" w:customStyle="1">
    <w:name w:val="列表段落2"/>
    <w:basedOn w:val="762"/>
    <w:uiPriority w:val="34"/>
    <w:qFormat/>
    <w:pPr>
      <w:ind w:firstLine="420"/>
    </w:pPr>
  </w:style>
  <w:style w:type="paragraph" w:styleId="1441" w:customStyle="1">
    <w:name w:val="RZM投标图片和表格"/>
    <w:basedOn w:val="762"/>
    <w:uiPriority w:val="0"/>
    <w:qFormat/>
  </w:style>
  <w:style w:type="paragraph" w:styleId="1442" w:customStyle="1">
    <w:name w:val="NormalIndent"/>
    <w:basedOn w:val="762"/>
    <w:uiPriority w:val="0"/>
    <w:qFormat/>
    <w:pPr>
      <w:ind w:firstLine="420"/>
    </w:pPr>
  </w:style>
  <w:style w:type="paragraph" w:styleId="1443" w:customStyle="1">
    <w:name w:val="列出段落2"/>
    <w:basedOn w:val="762"/>
    <w:uiPriority w:val="99"/>
    <w:unhideWhenUsed/>
    <w:qFormat/>
    <w:pPr>
      <w:ind w:firstLine="420"/>
    </w:pPr>
  </w:style>
  <w:style w:type="paragraph" w:styleId="1444" w:customStyle="1">
    <w:name w:val="正文2"/>
    <w:uiPriority w:val="0"/>
    <w:qFormat/>
    <w:rPr>
      <w:rFonts w:ascii="Times New Roman" w:hAnsi="Times New Roman" w:eastAsia="Times New Roman" w:cs="Times New Roman"/>
      <w:sz w:val="24"/>
      <w:szCs w:val="24"/>
      <w:lang w:val="en-US" w:eastAsia="zh-CN" w:bidi="ar-SA"/>
    </w:rPr>
  </w:style>
  <w:style w:type="paragraph" w:styleId="1445" w:customStyle="1">
    <w:name w:val="列出段落"/>
    <w:basedOn w:val="762"/>
    <w:uiPriority w:val="0"/>
    <w:qFormat/>
    <w:pPr>
      <w:ind w:firstLine="200"/>
    </w:pPr>
  </w:style>
  <w:style w:type="paragraph" w:styleId="1446" w:customStyle="1">
    <w:name w:val="修订3"/>
    <w:hidden/>
    <w:uiPriority w:val="99"/>
    <w:unhideWhenUsed/>
    <w:qFormat/>
    <w:rPr>
      <w:rFonts w:ascii="Times New Roman" w:hAnsi="Times New Roman" w:eastAsia="宋体" w:cs="Times New Roman"/>
      <w:sz w:val="21"/>
      <w:szCs w:val="22"/>
      <w:lang w:val="en-US" w:eastAsia="zh-CN" w:bidi="ar-SA"/>
    </w:rPr>
  </w:style>
  <w:style w:type="paragraph" w:styleId="1447" w:customStyle="1">
    <w:name w:val="msonormal"/>
    <w:basedOn w:val="762"/>
    <w:uiPriority w:val="0"/>
    <w:qFormat/>
    <w:pPr>
      <w:jc w:val="left"/>
      <w:spacing w:before="100" w:beforeAutospacing="1" w:after="100" w:afterAutospacing="1"/>
      <w:widowControl/>
    </w:pPr>
    <w:rPr>
      <w:rFonts w:ascii="宋体" w:hAnsi="宋体" w:cs="宋体"/>
      <w:sz w:val="24"/>
      <w:szCs w:val="24"/>
    </w:rPr>
  </w:style>
  <w:style w:type="paragraph" w:styleId="1448" w:customStyle="1">
    <w:name w:val="xl65"/>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9" w:customStyle="1">
    <w:name w:val="xl6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450" w:customStyle="1">
    <w:name w:val="xl67"/>
    <w:basedOn w:val="7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ff0000"/>
      <w:sz w:val="24"/>
      <w:szCs w:val="24"/>
    </w:rPr>
  </w:style>
  <w:style w:type="paragraph" w:styleId="1451" w:customStyle="1">
    <w:name w:val="xl68"/>
    <w:basedOn w:val="7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452" w:customStyle="1">
    <w:name w:val="xl69"/>
    <w:basedOn w:val="762"/>
    <w:uiPriority w:val="0"/>
    <w:qFormat/>
    <w:pPr>
      <w:jc w:val="center"/>
      <w:spacing w:before="100" w:beforeAutospacing="1" w:after="100" w:afterAutospacing="1"/>
      <w:widowControl/>
    </w:pPr>
    <w:rPr>
      <w:rFonts w:ascii="宋体" w:hAnsi="宋体" w:cs="宋体"/>
      <w:sz w:val="24"/>
      <w:szCs w:val="24"/>
    </w:rPr>
  </w:style>
  <w:style w:type="paragraph" w:styleId="1453" w:customStyle="1">
    <w:name w:val="修订4"/>
    <w:hidden/>
    <w:uiPriority w:val="99"/>
    <w:unhideWhenUsed/>
    <w:qFormat/>
    <w:rPr>
      <w:rFonts w:ascii="Times New Roman" w:hAnsi="Times New Roman" w:eastAsia="宋体" w:cs="Times New Roman"/>
      <w:sz w:val="21"/>
      <w:szCs w:val="22"/>
      <w:lang w:val="en-US" w:eastAsia="zh-CN" w:bidi="ar-SA"/>
    </w:rPr>
  </w:style>
  <w:style w:type="paragraph" w:styleId="1454" w:customStyle="1">
    <w:name w:val="修订5"/>
    <w:hidden/>
    <w:uiPriority w:val="99"/>
    <w:unhideWhenUsed/>
    <w:qFormat/>
    <w:rPr>
      <w:rFonts w:ascii="Times New Roman" w:hAnsi="Times New Roman" w:eastAsia="宋体" w:cs="Times New Roman"/>
      <w:sz w:val="21"/>
      <w:szCs w:val="22"/>
      <w:lang w:val="en-US" w:eastAsia="zh-CN" w:bidi="ar-SA"/>
    </w:rPr>
  </w:style>
  <w:style w:type="paragraph" w:styleId="1455"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1456"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127</cp:revision>
  <dcterms:created xsi:type="dcterms:W3CDTF">2025-04-14T15:55:00Z</dcterms:created>
  <dcterms:modified xsi:type="dcterms:W3CDTF">2026-09-01T07:37:53Z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0B94298E49904848BC2F1FC6FCF10DA8_13</vt:lpwstr>
  </property>
  <property fmtid="{D5CDD505-2E9C-101B-9397-08002B2CF9AE}" pid="4" name="KSOTemplateDocerSaveRecord">
    <vt:lpwstr>eyJoZGlkIjoiYzQyMzdkOTA4NGFjNTcxZjM5YWQ3NWUxNmJiYmMzN2MiLCJ1c2VySWQiOiIzMTg5MzgxNzEifQ==</vt:lpwstr>
  </property>
</Properties>
</file>