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ind w:firstLine="0"/>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2"/>
        <w:ind w:firstLine="0"/>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2"/>
        <w:ind w:firstLine="0"/>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2"/>
        <w:ind w:firstLine="0"/>
        <w:jc w:val="center"/>
        <w:shd w:val="clear" w:color="auto" w:fill="auto"/>
        <w:rPr>
          <w:rFonts w:hint="eastAsia" w:ascii="宋体" w:hAnsi="宋体" w:eastAsia="宋体" w:cs="宋体"/>
          <w:b/>
          <w:bCs/>
          <w:color w:val="000000"/>
          <w:sz w:val="84"/>
          <w:highlight w:val="none"/>
        </w:rPr>
      </w:pPr>
      <w:r>
        <w:rPr>
          <w:rFonts w:hint="eastAsia" w:ascii="宋体" w:hAnsi="宋体" w:eastAsia="宋体" w:cs="宋体"/>
          <w:color w:val="000000"/>
          <w:highlight w:val="none"/>
        </w:rPr>
        <w:t xml:space="preserve"> </w:t>
      </w:r>
      <w:r>
        <w:rPr>
          <w:rFonts w:hint="eastAsia" w:ascii="宋体" w:hAnsi="宋体" w:eastAsia="宋体" w:cs="宋体"/>
          <w:b/>
          <w:bCs/>
          <w:color w:val="000000"/>
          <w:sz w:val="84"/>
          <w:highlight w:val="none"/>
        </w:rPr>
        <w:t xml:space="preserve">招  标  文  件</w:t>
      </w:r>
      <w:r/>
    </w:p>
    <w:p>
      <w:pPr>
        <w:pStyle w:val="872"/>
        <w:ind w:left="0" w:firstLine="0"/>
        <w:jc w:val="center"/>
        <w:rPr>
          <w:rFonts w:hint="eastAsia" w:ascii="宋体" w:hAnsi="宋体" w:eastAsia="宋体" w:cs="宋体"/>
          <w:b/>
          <w:bCs/>
          <w:caps w:val="0"/>
          <w:color w:val="000000"/>
          <w:sz w:val="32"/>
          <w:highlight w:val="none"/>
        </w:rPr>
      </w:pPr>
      <w:r>
        <w:rPr>
          <w:rFonts w:hint="eastAsia" w:ascii="宋体" w:hAnsi="宋体" w:eastAsia="宋体" w:cs="宋体"/>
          <w:b/>
          <w:bCs/>
          <w:caps w:val="0"/>
          <w:color w:val="000000"/>
          <w:sz w:val="32"/>
          <w:highlight w:val="none"/>
        </w:rPr>
      </w:r>
      <w:r/>
    </w:p>
    <w:p>
      <w:pPr>
        <w:pStyle w:val="872"/>
        <w:ind w:left="0" w:firstLine="0"/>
        <w:jc w:val="center"/>
        <w:rPr>
          <w:rFonts w:hint="eastAsia" w:ascii="宋体" w:hAnsi="宋体" w:eastAsia="宋体" w:cs="宋体"/>
          <w:b/>
          <w:bCs/>
          <w:caps w:val="0"/>
          <w:color w:val="000000"/>
          <w:sz w:val="32"/>
          <w:highlight w:val="none"/>
          <w:lang w:eastAsia="zh-CN"/>
        </w:rPr>
      </w:pPr>
      <w:r>
        <w:rPr>
          <w:rFonts w:hint="eastAsia" w:ascii="宋体" w:hAnsi="宋体" w:eastAsia="宋体" w:cs="宋体"/>
          <w:b/>
          <w:bCs/>
          <w:caps w:val="0"/>
          <w:color w:val="000000"/>
          <w:sz w:val="32"/>
          <w:highlight w:val="none"/>
        </w:rPr>
        <w:t xml:space="preserve">项目名称：</w:t>
      </w:r>
      <w:r>
        <w:rPr>
          <w:rFonts w:hint="eastAsia" w:ascii="宋体" w:hAnsi="宋体" w:eastAsia="宋体" w:cs="宋体"/>
          <w:b/>
          <w:bCs/>
          <w:caps w:val="0"/>
          <w:color w:val="000000"/>
          <w:sz w:val="32"/>
          <w:highlight w:val="none"/>
          <w:lang w:eastAsia="zh-CN"/>
        </w:rPr>
        <w:t xml:space="preserve">宿迁市妇幼保健院新生儿科设备采购</w:t>
      </w:r>
      <w:r/>
    </w:p>
    <w:p>
      <w:pPr>
        <w:jc w:val="center"/>
        <w:rPr>
          <w:rFonts w:hint="eastAsia" w:ascii="宋体" w:hAnsi="宋体" w:eastAsia="宋体" w:cs="宋体"/>
          <w:b/>
          <w:caps w:val="0"/>
          <w:color w:val="000000"/>
          <w:sz w:val="30"/>
          <w:szCs w:val="30"/>
          <w:highlight w:val="none"/>
        </w:rPr>
      </w:pPr>
      <w:r>
        <w:rPr>
          <w:rFonts w:hint="eastAsia" w:ascii="宋体" w:hAnsi="宋体" w:eastAsia="宋体" w:cs="宋体"/>
          <w:b/>
          <w:bCs/>
          <w:caps w:val="0"/>
          <w:color w:val="000000"/>
          <w:sz w:val="32"/>
          <w:highlight w:val="none"/>
        </w:rPr>
        <w:t xml:space="preserve">项目编号：</w:t>
      </w:r>
      <w:r>
        <w:rPr>
          <w:rFonts w:hint="eastAsia" w:ascii="宋体" w:hAnsi="宋体" w:eastAsia="宋体" w:cs="宋体"/>
          <w:b/>
          <w:bCs/>
          <w:caps w:val="0"/>
          <w:color w:val="000000"/>
          <w:sz w:val="32"/>
          <w:highlight w:val="none"/>
          <w:lang w:val="en-US" w:eastAsia="zh-CN"/>
        </w:rPr>
        <w:t xml:space="preserve">JSZC-321300-JYCG-G2026-0002</w:t>
      </w:r>
      <w:r/>
    </w:p>
    <w:p>
      <w:pPr>
        <w:jc w:val="center"/>
        <w:rPr>
          <w:rFonts w:hint="eastAsia" w:ascii="宋体" w:hAnsi="宋体" w:eastAsia="宋体" w:cs="宋体"/>
          <w:b/>
          <w:caps w:val="0"/>
          <w:color w:val="000000"/>
          <w:sz w:val="30"/>
          <w:szCs w:val="30"/>
          <w:highlight w:val="none"/>
        </w:rPr>
      </w:pPr>
      <w:r>
        <w:rPr>
          <w:rFonts w:hint="eastAsia" w:ascii="宋体" w:hAnsi="宋体" w:eastAsia="宋体" w:cs="宋体"/>
          <w:b/>
          <w:caps w:val="0"/>
          <w:color w:val="000000"/>
          <w:sz w:val="30"/>
          <w:szCs w:val="30"/>
          <w:highlight w:val="none"/>
        </w:rPr>
        <w:t xml:space="preserve">（</w:t>
      </w:r>
      <w:r>
        <w:rPr>
          <w:rFonts w:hint="eastAsia" w:ascii="宋体" w:hAnsi="宋体" w:eastAsia="宋体" w:cs="宋体"/>
          <w:b/>
          <w:caps w:val="0"/>
          <w:color w:val="000000"/>
          <w:sz w:val="30"/>
          <w:szCs w:val="30"/>
          <w:highlight w:val="none"/>
          <w:lang w:val="en-US" w:eastAsia="zh-CN"/>
        </w:rPr>
        <w:t xml:space="preserve">货物</w:t>
      </w:r>
      <w:r>
        <w:rPr>
          <w:rFonts w:hint="eastAsia" w:ascii="宋体" w:hAnsi="宋体" w:eastAsia="宋体" w:cs="宋体"/>
          <w:b/>
          <w:caps w:val="0"/>
          <w:color w:val="000000"/>
          <w:sz w:val="30"/>
          <w:szCs w:val="30"/>
          <w:highlight w:val="none"/>
        </w:rPr>
        <w:t xml:space="preserve">类项目）</w:t>
      </w:r>
      <w:r/>
    </w:p>
    <w:p>
      <w:pPr>
        <w:pStyle w:val="872"/>
        <w:ind w:firstLine="0"/>
        <w:jc w:val="center"/>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2"/>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2"/>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2"/>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2"/>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2"/>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2"/>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2"/>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2"/>
        <w:ind w:left="0" w:firstLine="0"/>
        <w:jc w:val="center"/>
        <w:rPr>
          <w:rFonts w:hint="eastAsia" w:ascii="宋体" w:hAnsi="宋体" w:eastAsia="宋体" w:cs="宋体"/>
          <w:b/>
          <w:bCs/>
          <w:caps w:val="0"/>
          <w:color w:val="000000"/>
          <w:sz w:val="32"/>
          <w:highlight w:val="none"/>
          <w:lang w:val="en-US" w:eastAsia="zh-CN"/>
        </w:rPr>
      </w:pPr>
      <w:r>
        <w:rPr>
          <w:rFonts w:hint="eastAsia" w:ascii="宋体" w:hAnsi="宋体" w:eastAsia="宋体" w:cs="宋体"/>
          <w:b/>
          <w:bCs/>
          <w:caps w:val="0"/>
          <w:color w:val="000000"/>
          <w:sz w:val="32"/>
          <w:highlight w:val="none"/>
          <w:lang w:val="en-US" w:eastAsia="zh-CN"/>
        </w:rPr>
        <w:t xml:space="preserve">采购人：宿迁市妇幼保健院</w:t>
      </w:r>
      <w:r/>
    </w:p>
    <w:p>
      <w:pPr>
        <w:pStyle w:val="872"/>
        <w:ind w:left="0" w:firstLine="0"/>
        <w:jc w:val="center"/>
        <w:rPr>
          <w:rFonts w:hint="eastAsia" w:ascii="宋体" w:hAnsi="宋体" w:eastAsia="宋体" w:cs="宋体"/>
          <w:b/>
          <w:bCs/>
          <w:caps w:val="0"/>
          <w:color w:val="000000"/>
          <w:sz w:val="32"/>
          <w:highlight w:val="none"/>
          <w:lang w:val="en-US" w:eastAsia="zh-CN"/>
        </w:rPr>
      </w:pPr>
      <w:r>
        <w:rPr>
          <w:rFonts w:hint="eastAsia" w:ascii="宋体" w:hAnsi="宋体" w:eastAsia="宋体" w:cs="宋体"/>
          <w:b/>
          <w:bCs/>
          <w:caps w:val="0"/>
          <w:color w:val="000000"/>
          <w:sz w:val="32"/>
          <w:highlight w:val="none"/>
          <w:lang w:val="en-US" w:eastAsia="zh-CN"/>
        </w:rPr>
        <w:t xml:space="preserve">采购代理机构：江苏佳跃项目管理有限公司</w:t>
      </w:r>
      <w:r/>
    </w:p>
    <w:p>
      <w:pPr>
        <w:pStyle w:val="872"/>
        <w:ind w:left="0" w:firstLine="0"/>
        <w:jc w:val="center"/>
        <w:rPr>
          <w:rFonts w:hint="eastAsia" w:ascii="宋体" w:hAnsi="宋体" w:eastAsia="宋体" w:cs="宋体"/>
          <w:b/>
          <w:bCs/>
          <w:caps w:val="0"/>
          <w:color w:val="000000"/>
          <w:sz w:val="32"/>
          <w:highlight w:val="none"/>
        </w:rPr>
      </w:pPr>
      <w:r>
        <w:rPr>
          <w:rFonts w:hint="eastAsia" w:ascii="宋体" w:hAnsi="宋体" w:eastAsia="宋体" w:cs="宋体"/>
          <w:b/>
          <w:bCs/>
          <w:caps w:val="0"/>
          <w:color w:val="000000"/>
          <w:sz w:val="32"/>
          <w:highlight w:val="none"/>
          <w:lang w:val="en-US" w:eastAsia="zh-CN"/>
        </w:rPr>
        <w:t xml:space="preserve">2026年9月4日</w:t>
      </w:r>
      <w:r/>
    </w:p>
    <w:p>
      <w:pP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both"/>
        <w:spacing w:line="480" w:lineRule="auto"/>
        <w:shd w:val="clear" w:color="auto" w:fill="auto"/>
        <w:rPr>
          <w:rFonts w:hint="eastAsia" w:ascii="宋体" w:hAnsi="宋体" w:eastAsia="宋体" w:cs="宋体"/>
          <w:b/>
          <w:color w:val="000000"/>
          <w:sz w:val="44"/>
          <w:highlight w:val="none"/>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b/>
          <w:color w:val="000000"/>
          <w:sz w:val="44"/>
          <w:highlight w:val="none"/>
        </w:rPr>
      </w:r>
      <w:r/>
    </w:p>
    <w:p>
      <w:pPr>
        <w:shd w:val="clear" w:color="auto" w:fill="auto"/>
        <w:rPr>
          <w:rFonts w:hint="eastAsia" w:ascii="宋体" w:hAnsi="宋体" w:eastAsia="宋体" w:cs="宋体"/>
          <w:b/>
          <w:bCs/>
          <w:color w:val="000000"/>
          <w:sz w:val="22"/>
          <w:szCs w:val="40"/>
          <w:highlight w:val="none"/>
        </w:rPr>
      </w:pPr>
      <w:r>
        <w:rPr>
          <w:rFonts w:hint="eastAsia" w:ascii="宋体" w:hAnsi="宋体" w:eastAsia="宋体" w:cs="宋体"/>
          <w:b/>
          <w:bCs/>
          <w:color w:val="000000"/>
          <w:sz w:val="22"/>
          <w:szCs w:val="40"/>
          <w:highlight w:val="none"/>
        </w:rPr>
      </w:r>
      <w:r/>
    </w:p>
    <w:p>
      <w:pPr>
        <w:ind w:left="0" w:right="0" w:firstLine="0"/>
        <w:jc w:val="center"/>
        <w:spacing w:before="0" w:after="0" w:line="240" w:lineRule="auto"/>
        <w:rPr>
          <w:color w:val="000000"/>
          <w:highlight w:val="none"/>
        </w:rPr>
      </w:pPr>
      <w:r/>
      <w:bookmarkStart w:id="0" w:name="_Toc15550"/>
      <w:r>
        <w:rPr>
          <w:rFonts w:hint="eastAsia" w:ascii="宋体" w:hAnsi="宋体" w:eastAsia="宋体" w:cs="宋体"/>
          <w:b/>
          <w:color w:val="000000"/>
          <w:sz w:val="44"/>
          <w:highlight w:val="none"/>
        </w:rPr>
        <w:t xml:space="preserve">总  目  录</w:t>
      </w:r>
      <w:r/>
    </w:p>
    <w:p>
      <w:pPr>
        <w:pStyle w:val="841"/>
        <w:shd w:val="clear" w:color="auto" w:fill="auto"/>
        <w:tabs>
          <w:tab w:val="right" w:pos="8953" w:leader="dot"/>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TOC \o "1-1" \h \u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HYPERLINK \l _Toc25191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第一章  投标邀请</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PAGEREF _Toc25191 \h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1</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fldChar w:fldCharType="end"/>
      </w:r>
      <w:r/>
    </w:p>
    <w:p>
      <w:pPr>
        <w:pStyle w:val="841"/>
        <w:shd w:val="clear" w:color="auto" w:fill="auto"/>
        <w:tabs>
          <w:tab w:val="right" w:pos="8953" w:leader="dot"/>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HYPERLINK \l _Toc23832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第二章  投标人须知</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PAGEREF _Toc23832 \h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4</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fldChar w:fldCharType="end"/>
      </w:r>
      <w:r/>
    </w:p>
    <w:p>
      <w:pPr>
        <w:pStyle w:val="841"/>
        <w:shd w:val="clear" w:color="auto" w:fill="auto"/>
        <w:tabs>
          <w:tab w:val="right" w:pos="8953" w:leader="dot"/>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HYPERLINK \l _Toc24251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第三章  合同文本</w:t>
      </w:r>
      <w:r>
        <w:rPr>
          <w:rFonts w:hint="eastAsia" w:ascii="宋体" w:hAnsi="宋体" w:eastAsia="宋体" w:cs="宋体"/>
          <w:b/>
          <w:color w:val="000000"/>
          <w:sz w:val="28"/>
          <w:szCs w:val="28"/>
          <w:highlight w:val="none"/>
          <w:lang w:eastAsia="zh-CN"/>
        </w:rPr>
        <w:t xml:space="preserve">（参考）</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PAGEREF _Toc24251 \h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20</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fldChar w:fldCharType="end"/>
      </w:r>
      <w:r/>
    </w:p>
    <w:p>
      <w:pPr>
        <w:pStyle w:val="841"/>
        <w:shd w:val="clear" w:color="auto" w:fill="auto"/>
        <w:tabs>
          <w:tab w:val="right" w:pos="8953" w:leader="dot"/>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HYPERLINK \l _Toc24413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第四章  采购需求</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PAGEREF _Toc24413 \h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36</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fldChar w:fldCharType="end"/>
      </w:r>
      <w:r/>
    </w:p>
    <w:p>
      <w:pPr>
        <w:pStyle w:val="841"/>
        <w:shd w:val="clear" w:color="auto" w:fill="auto"/>
        <w:tabs>
          <w:tab w:val="right" w:pos="8953" w:leader="dot"/>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HYPERLINK \l _Toc30418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第五章  评标方法与评标标准</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PAGEREF _Toc30418 \h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50</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fldChar w:fldCharType="end"/>
      </w:r>
      <w:r/>
    </w:p>
    <w:p>
      <w:pPr>
        <w:pStyle w:val="841"/>
        <w:shd w:val="clear" w:color="auto" w:fill="auto"/>
        <w:tabs>
          <w:tab w:val="right" w:pos="8953" w:leader="dot"/>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HYPERLINK \l _Toc16717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第六章  投标文件格式</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PAGEREF _Toc16717 \h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63</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fldChar w:fldCharType="end"/>
      </w:r>
      <w:r/>
    </w:p>
    <w:p>
      <w:pPr>
        <w:pStyle w:val="841"/>
        <w:shd w:val="clear" w:color="auto" w:fill="auto"/>
        <w:tabs>
          <w:tab w:val="right" w:pos="8953" w:leader="dot"/>
        </w:tabs>
        <w:rPr>
          <w:rFonts w:hint="eastAsia" w:ascii="宋体" w:hAnsi="宋体" w:eastAsia="宋体" w:cs="宋体"/>
          <w:bCs/>
          <w:color w:val="000000"/>
          <w:sz w:val="40"/>
          <w:szCs w:val="40"/>
          <w:highlight w:val="none"/>
          <w:lang w:val="en-US" w:eastAsia="zh-CN" w:bidi="ar-SA"/>
        </w:rPr>
      </w:pPr>
      <w:r>
        <w:rPr>
          <w:rFonts w:hint="eastAsia" w:ascii="宋体" w:hAnsi="宋体" w:eastAsia="宋体" w:cs="宋体"/>
          <w:b/>
          <w:color w:val="000000"/>
          <w:sz w:val="28"/>
          <w:szCs w:val="28"/>
          <w:highlight w:val="none"/>
        </w:rPr>
        <w:fldChar w:fldCharType="end"/>
      </w:r>
      <w:r/>
    </w:p>
    <w:p>
      <w:pPr>
        <w:rPr>
          <w:rFonts w:hint="eastAsia"/>
          <w:color w:val="000000"/>
          <w:highlight w:val="none"/>
        </w:rPr>
        <w:sectPr>
          <w:footerReference w:type="default" r:id="rId12"/>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color w:val="000000"/>
          <w:highlight w:val="none"/>
        </w:rPr>
      </w:r>
      <w:r/>
    </w:p>
    <w:p>
      <w:pPr>
        <w:pStyle w:val="811"/>
        <w:jc w:val="center"/>
        <w:shd w:val="clear" w:color="auto" w:fill="auto"/>
        <w:rPr>
          <w:rFonts w:hint="eastAsia" w:ascii="宋体" w:hAnsi="宋体" w:eastAsia="宋体" w:cs="宋体"/>
          <w:bCs/>
          <w:color w:val="000000"/>
          <w:sz w:val="44"/>
          <w:szCs w:val="44"/>
          <w:highlight w:val="none"/>
        </w:rPr>
      </w:pPr>
      <w:r/>
      <w:bookmarkStart w:id="1" w:name="_Toc25191"/>
      <w:r>
        <w:rPr>
          <w:rFonts w:hint="eastAsia" w:ascii="宋体" w:hAnsi="宋体" w:eastAsia="宋体" w:cs="宋体"/>
          <w:bCs/>
          <w:color w:val="000000"/>
          <w:sz w:val="44"/>
          <w:highlight w:val="none"/>
        </w:rPr>
        <w:t xml:space="preserve">第一章  投标邀请</w:t>
      </w:r>
      <w:bookmarkEnd w:id="0"/>
      <w:r/>
      <w:bookmarkEnd w:id="1"/>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eastAsia="zh-CN"/>
        </w:rPr>
        <w:t xml:space="preserve">宿迁市妇幼保健院</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eastAsia="zh-CN"/>
        </w:rPr>
        <w:t xml:space="preserve">江苏佳跃项目管理有限公司</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eastAsia="zh-CN"/>
        </w:rPr>
        <w:t xml:space="preserve">宿迁市妇幼保健院新生儿科设备采购</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项目编号：JSZC-321300-JYCG-G2</w:t>
      </w:r>
      <w:r>
        <w:rPr>
          <w:rFonts w:hint="eastAsia" w:ascii="宋体" w:hAnsi="宋体" w:eastAsia="宋体" w:cs="宋体"/>
          <w:b/>
          <w:bCs/>
          <w:color w:val="000000"/>
          <w:sz w:val="24"/>
          <w:szCs w:val="24"/>
          <w:highlight w:val="none"/>
          <w:u w:val="single"/>
          <w:lang w:val="en-US" w:eastAsia="zh-CN"/>
        </w:rPr>
        <w:t xml:space="preserve">026-</w:t>
      </w:r>
      <w:r>
        <w:rPr>
          <w:rFonts w:hint="eastAsia" w:ascii="宋体" w:hAnsi="宋体" w:eastAsia="宋体" w:cs="宋体"/>
          <w:b/>
          <w:bCs/>
          <w:color w:val="000000"/>
          <w:sz w:val="24"/>
          <w:szCs w:val="24"/>
          <w:highlight w:val="none"/>
          <w:u w:val="single"/>
        </w:rPr>
        <w:t xml:space="preserve">0002</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项目进行公开招标采购，欢迎符合条件的投标人投标。</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2"/>
        <w:pageBreakBefore w:val="0"/>
        <w:spacing w:line="400" w:lineRule="exact"/>
        <w:shd w:val="clear" w:color="auto" w:fill="auto"/>
        <w:widowControl/>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eastAsia="zh-CN"/>
        </w:rPr>
        <w:t xml:space="preserve">宿迁市妇幼保健院新生儿科设备采购</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color w:val="000000"/>
          <w:sz w:val="24"/>
          <w:szCs w:val="24"/>
          <w:highlight w:val="none"/>
        </w:rPr>
        <w:t xml:space="preserve">招标项目的潜在投标人应通过</w:t>
      </w:r>
      <w:r>
        <w:rPr>
          <w:rFonts w:hint="eastAsia" w:ascii="宋体" w:hAnsi="宋体" w:eastAsia="宋体" w:cs="宋体"/>
          <w:color w:val="000000"/>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b/>
          <w:bCs/>
          <w:color w:val="000000"/>
          <w:sz w:val="24"/>
          <w:szCs w:val="24"/>
          <w:highlight w:val="none"/>
          <w:u w:val="single"/>
          <w:lang w:eastAsia="zh-CN"/>
        </w:rPr>
        <w:t xml:space="preserve">2026年9月28日</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点</w:t>
      </w:r>
      <w:r>
        <w:rPr>
          <w:rFonts w:hint="eastAsia" w:ascii="宋体" w:hAnsi="宋体" w:eastAsia="宋体" w:cs="宋体"/>
          <w:b/>
          <w:bCs/>
          <w:color w:val="000000"/>
          <w:sz w:val="24"/>
          <w:szCs w:val="24"/>
          <w:highlight w:val="none"/>
          <w:u w:val="single"/>
          <w:lang w:val="en-US" w:eastAsia="zh-CN"/>
        </w:rPr>
        <w:t xml:space="preserve">3</w:t>
      </w:r>
      <w:r>
        <w:rPr>
          <w:rFonts w:hint="eastAsia" w:ascii="宋体" w:hAnsi="宋体" w:eastAsia="宋体" w:cs="宋体"/>
          <w:b/>
          <w:bCs/>
          <w:color w:val="000000"/>
          <w:sz w:val="24"/>
          <w:szCs w:val="24"/>
          <w:highlight w:val="none"/>
          <w:u w:val="single"/>
        </w:rPr>
        <w:t xml:space="preserve">0分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81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bookmarkStart w:id="2" w:name="_Toc28359079"/>
      <w:r/>
      <w:bookmarkStart w:id="3" w:name="_Toc38985263"/>
      <w:r/>
      <w:bookmarkStart w:id="4" w:name="_Toc28359002"/>
      <w:r/>
      <w:bookmarkStart w:id="5" w:name="_Toc35393790"/>
      <w:r/>
      <w:bookmarkStart w:id="6" w:name="_Toc35393621"/>
      <w:r/>
      <w:bookmarkStart w:id="7" w:name="_Hlk24379207"/>
      <w:r>
        <w:rPr>
          <w:rFonts w:hint="eastAsia" w:ascii="宋体" w:hAnsi="宋体" w:eastAsia="宋体" w:cs="宋体"/>
          <w:b/>
          <w:bCs/>
          <w:color w:val="000000"/>
          <w:sz w:val="24"/>
          <w:szCs w:val="24"/>
          <w:highlight w:val="none"/>
        </w:rPr>
        <w:t xml:space="preserve">一、项目基本情况</w:t>
      </w:r>
      <w:bookmarkEnd w:id="2"/>
      <w:r/>
      <w:bookmarkEnd w:id="3"/>
      <w:r/>
      <w:bookmarkEnd w:id="4"/>
      <w:r/>
      <w:bookmarkEnd w:id="5"/>
      <w:r/>
      <w:bookmarkEnd w:id="6"/>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JSZC-321300-JYCG-G2026-0002</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bookmarkEnd w:id="7"/>
      <w:r>
        <w:rPr>
          <w:rFonts w:hint="eastAsia" w:ascii="宋体" w:hAnsi="宋体" w:eastAsia="宋体" w:cs="宋体"/>
          <w:color w:val="000000"/>
          <w:sz w:val="24"/>
          <w:szCs w:val="24"/>
          <w:highlight w:val="none"/>
          <w:lang w:eastAsia="zh-CN"/>
        </w:rPr>
        <w:t xml:space="preserve">宿迁市妇幼保健院新生儿科设备采购</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3.预算金额：</w:t>
      </w:r>
      <w:bookmarkStart w:id="8" w:name="EB5d3d0ac51d7b4c0abb3797d4d4297cdd"/>
      <w:r>
        <w:rPr>
          <w:rFonts w:hint="eastAsia" w:ascii="宋体" w:hAnsi="宋体" w:eastAsia="宋体" w:cs="宋体"/>
          <w:color w:val="000000"/>
          <w:sz w:val="24"/>
          <w:szCs w:val="24"/>
          <w:highlight w:val="none"/>
          <w:lang w:val="en-US" w:eastAsia="zh-CN"/>
        </w:rPr>
        <w:t xml:space="preserve">5个分包</w:t>
      </w:r>
      <w:r>
        <w:rPr>
          <w:rFonts w:hint="eastAsia" w:ascii="宋体" w:hAnsi="宋体" w:eastAsia="宋体" w:cs="宋体"/>
          <w:color w:val="000000"/>
          <w:sz w:val="24"/>
          <w:szCs w:val="24"/>
          <w:highlight w:val="none"/>
        </w:rPr>
        <w:t xml:space="preserve">项目总预算为</w:t>
      </w:r>
      <w:r>
        <w:rPr>
          <w:rFonts w:hint="eastAsia" w:ascii="宋体" w:hAnsi="宋体" w:eastAsia="宋体" w:cs="宋体"/>
          <w:color w:val="000000"/>
          <w:sz w:val="24"/>
          <w:szCs w:val="24"/>
          <w:highlight w:val="none"/>
          <w:lang w:val="en-US" w:eastAsia="zh-CN"/>
        </w:rPr>
        <w:t xml:space="preserve">172万元</w:t>
      </w:r>
      <w:r>
        <w:rPr>
          <w:rFonts w:hint="eastAsia" w:ascii="宋体" w:hAnsi="宋体" w:eastAsia="宋体" w:cs="宋体"/>
          <w:color w:val="000000"/>
          <w:sz w:val="24"/>
          <w:szCs w:val="24"/>
          <w:highlight w:val="none"/>
        </w:rPr>
        <w:t xml:space="preserve">，分包一预算为</w:t>
      </w:r>
      <w:r>
        <w:rPr>
          <w:rFonts w:hint="eastAsia" w:ascii="宋体" w:hAnsi="宋体" w:eastAsia="宋体" w:cs="宋体"/>
          <w:color w:val="000000"/>
          <w:sz w:val="24"/>
          <w:szCs w:val="24"/>
          <w:highlight w:val="none"/>
          <w:lang w:eastAsia="zh-CN"/>
        </w:rPr>
        <w:t xml:space="preserve">14</w:t>
      </w:r>
      <w:r>
        <w:rPr>
          <w:rFonts w:hint="eastAsia" w:ascii="宋体" w:hAnsi="宋体" w:eastAsia="宋体" w:cs="宋体"/>
          <w:color w:val="000000"/>
          <w:sz w:val="24"/>
          <w:szCs w:val="24"/>
          <w:highlight w:val="none"/>
        </w:rPr>
        <w:t xml:space="preserve">万元，分包二预算为</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万元，分包三预算为</w:t>
      </w:r>
      <w:r>
        <w:rPr>
          <w:rFonts w:hint="eastAsia" w:ascii="宋体" w:hAnsi="宋体" w:eastAsia="宋体" w:cs="宋体"/>
          <w:color w:val="000000"/>
          <w:sz w:val="24"/>
          <w:szCs w:val="24"/>
          <w:highlight w:val="none"/>
          <w:lang w:val="en-US" w:eastAsia="zh-CN"/>
        </w:rPr>
        <w:t xml:space="preserve">78</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预算为</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预算为</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万元。</w:t>
      </w:r>
      <w:bookmarkEnd w:id="8"/>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4.本项目</w:t>
      </w:r>
      <w:r>
        <w:rPr>
          <w:rFonts w:hint="eastAsia" w:ascii="宋体" w:hAnsi="宋体" w:eastAsia="宋体" w:cs="宋体"/>
          <w:color w:val="000000"/>
          <w:sz w:val="24"/>
          <w:szCs w:val="24"/>
          <w:highlight w:val="none"/>
          <w:u w:val="none"/>
        </w:rPr>
        <w:t xml:space="preserve">设定</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分包一最高限价为13.24万元，分包二最高限价为</w:t>
      </w: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eastAsia="zh-CN"/>
        </w:rPr>
        <w:t xml:space="preserve">万元，分包三最高限价为</w:t>
      </w:r>
      <w:r>
        <w:rPr>
          <w:rFonts w:hint="eastAsia" w:ascii="宋体" w:hAnsi="宋体" w:eastAsia="宋体" w:cs="宋体"/>
          <w:color w:val="000000"/>
          <w:sz w:val="24"/>
          <w:szCs w:val="24"/>
          <w:highlight w:val="none"/>
          <w:lang w:val="en-US" w:eastAsia="zh-CN"/>
        </w:rPr>
        <w:t xml:space="preserve">77.1</w:t>
      </w:r>
      <w:r>
        <w:rPr>
          <w:rFonts w:hint="eastAsia" w:ascii="宋体" w:hAnsi="宋体" w:eastAsia="宋体" w:cs="宋体"/>
          <w:color w:val="000000"/>
          <w:sz w:val="24"/>
          <w:szCs w:val="24"/>
          <w:highlight w:val="none"/>
          <w:lang w:eastAsia="zh-CN"/>
        </w:rPr>
        <w:t xml:space="preserve">万元，分包四最高限价为</w:t>
      </w:r>
      <w:r>
        <w:rPr>
          <w:rFonts w:hint="eastAsia" w:ascii="宋体" w:hAnsi="宋体" w:eastAsia="宋体" w:cs="宋体"/>
          <w:color w:val="000000"/>
          <w:sz w:val="24"/>
          <w:szCs w:val="24"/>
          <w:highlight w:val="none"/>
          <w:lang w:val="en-US" w:eastAsia="zh-CN"/>
        </w:rPr>
        <w:t xml:space="preserve">22.1</w:t>
      </w:r>
      <w:r>
        <w:rPr>
          <w:rFonts w:hint="eastAsia" w:ascii="宋体" w:hAnsi="宋体" w:eastAsia="宋体" w:cs="宋体"/>
          <w:color w:val="000000"/>
          <w:sz w:val="24"/>
          <w:szCs w:val="24"/>
          <w:highlight w:val="none"/>
          <w:lang w:eastAsia="zh-CN"/>
        </w:rPr>
        <w:t xml:space="preserve">万元，分包</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最高限价为</w:t>
      </w:r>
      <w:r>
        <w:rPr>
          <w:rFonts w:hint="eastAsia" w:ascii="宋体" w:hAnsi="宋体" w:eastAsia="宋体" w:cs="宋体"/>
          <w:color w:val="000000"/>
          <w:sz w:val="24"/>
          <w:szCs w:val="24"/>
          <w:highlight w:val="none"/>
          <w:lang w:val="en-US" w:eastAsia="zh-CN"/>
        </w:rPr>
        <w:t xml:space="preserve">10.9</w:t>
      </w:r>
      <w:r>
        <w:rPr>
          <w:rFonts w:hint="eastAsia" w:ascii="宋体" w:hAnsi="宋体" w:eastAsia="宋体" w:cs="宋体"/>
          <w:color w:val="000000"/>
          <w:sz w:val="24"/>
          <w:szCs w:val="24"/>
          <w:highlight w:val="none"/>
          <w:lang w:eastAsia="zh-CN"/>
        </w:rPr>
        <w:t xml:space="preserve">万元。</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5.采购需求（简介）：本项目共分</w:t>
      </w:r>
      <w:r>
        <w:rPr>
          <w:rFonts w:hint="eastAsia" w:ascii="宋体" w:hAnsi="宋体" w:eastAsia="宋体" w:cs="宋体"/>
          <w:color w:val="000000"/>
          <w:sz w:val="24"/>
          <w:szCs w:val="24"/>
          <w:highlight w:val="none"/>
          <w:lang w:val="en-US" w:eastAsia="zh-CN"/>
        </w:rPr>
        <w:t xml:space="preserve">5个分包</w:t>
      </w:r>
      <w:r>
        <w:rPr>
          <w:rFonts w:hint="eastAsia" w:ascii="宋体" w:hAnsi="宋体" w:eastAsia="宋体" w:cs="宋体"/>
          <w:color w:val="000000"/>
          <w:sz w:val="24"/>
          <w:szCs w:val="24"/>
          <w:highlight w:val="none"/>
        </w:rPr>
        <w:t xml:space="preserve">：</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分包一：采购采购1套新生儿无创呼吸机、4套双通道输液泵、5台单通道注射泵、2套双通道注射泵；</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分包二：采购1套新生儿高频呼吸机；</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分包三：采购1套新生儿T组合复苏器、2台经皮黄疸仪、4台新生儿黄疸治疗箱、1台婴儿辐射保暖台、10套婴儿培养箱、1套婴儿转运培养箱；</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分包四：采购1套新生儿无创呼吸机、8套新生儿专用多参数监护仪；</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分包五：采购1台听力筛查仪。</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lang w:eastAsia="zh-CN"/>
        </w:rPr>
        <w:t xml:space="preserve">。</w:t>
      </w:r>
      <w:r/>
    </w:p>
    <w:p>
      <w:pPr>
        <w:numPr>
          <w:ilvl w:val="0"/>
          <w:numId w:val="0"/>
        </w:numPr>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w:t>
      </w:r>
      <w:bookmarkStart w:id="9" w:name="EBb920db3eebc44049b2d27a5203bb6f6d"/>
      <w:r>
        <w:rPr>
          <w:rFonts w:hint="eastAsia" w:ascii="宋体" w:hAnsi="宋体" w:eastAsia="宋体" w:cs="宋体"/>
          <w:color w:val="000000"/>
          <w:sz w:val="24"/>
          <w:szCs w:val="24"/>
          <w:highlight w:val="none"/>
          <w:lang w:eastAsia="zh-CN"/>
        </w:rPr>
        <w:t xml:space="preserve">合同签订后15日内，交付至甲方指定地点。</w:t>
      </w:r>
      <w:bookmarkEnd w:id="9"/>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w:t>
      </w:r>
      <w:r>
        <w:rPr>
          <w:rFonts w:hint="eastAsia" w:ascii="宋体" w:hAnsi="宋体" w:eastAsia="宋体" w:cs="宋体"/>
          <w:color w:val="000000"/>
          <w:sz w:val="24"/>
          <w:szCs w:val="24"/>
          <w:highlight w:val="none"/>
          <w:u w:val="none"/>
        </w:rPr>
        <w:t xml:space="preserve">不接受</w:t>
      </w:r>
      <w:r>
        <w:rPr>
          <w:rFonts w:hint="eastAsia" w:ascii="宋体" w:hAnsi="宋体" w:eastAsia="宋体" w:cs="宋体"/>
          <w:color w:val="000000"/>
          <w:sz w:val="24"/>
          <w:szCs w:val="24"/>
          <w:highlight w:val="none"/>
        </w:rPr>
        <w:t xml:space="preserve">联合体投标</w:t>
      </w:r>
      <w:r/>
    </w:p>
    <w:p>
      <w:pPr>
        <w:pStyle w:val="81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bookmarkStart w:id="10" w:name="_Toc28359080"/>
      <w:r/>
      <w:bookmarkStart w:id="11" w:name="_Toc35393622"/>
      <w:r/>
      <w:bookmarkStart w:id="12" w:name="_Toc35393791"/>
      <w:r/>
      <w:bookmarkStart w:id="13" w:name="_Toc38985264"/>
      <w:r/>
      <w:bookmarkStart w:id="14" w:name="_Toc28359003"/>
      <w:r>
        <w:rPr>
          <w:rFonts w:hint="eastAsia" w:ascii="宋体" w:hAnsi="宋体" w:eastAsia="宋体" w:cs="宋体"/>
          <w:b/>
          <w:bCs/>
          <w:color w:val="000000"/>
          <w:sz w:val="24"/>
          <w:szCs w:val="24"/>
          <w:highlight w:val="none"/>
        </w:rPr>
        <w:t xml:space="preserve">二、申请人的资格要求：</w:t>
      </w:r>
      <w:bookmarkEnd w:id="10"/>
      <w:r/>
      <w:bookmarkEnd w:id="11"/>
      <w:r/>
      <w:bookmarkEnd w:id="12"/>
      <w:r/>
      <w:bookmarkEnd w:id="13"/>
      <w:r/>
      <w:bookmarkEnd w:id="14"/>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bookmarkStart w:id="15" w:name="_Toc35393792"/>
      <w:r/>
      <w:bookmarkStart w:id="16" w:name="_Toc28359004"/>
      <w:r/>
      <w:bookmarkStart w:id="17" w:name="_Toc38985265"/>
      <w:r/>
      <w:bookmarkStart w:id="18" w:name="_Toc35393623"/>
      <w:r/>
      <w:bookmarkStart w:id="19" w:name="_Toc28359081"/>
      <w:r>
        <w:rPr>
          <w:rFonts w:hint="eastAsia" w:ascii="宋体" w:hAnsi="宋体" w:eastAsia="宋体" w:cs="宋体"/>
          <w:color w:val="000000"/>
          <w:sz w:val="24"/>
          <w:szCs w:val="24"/>
          <w:highlight w:val="none"/>
        </w:rPr>
        <w:t xml:space="preserve">（一）通用资格要求</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3.落实政府采购政策需满足的资格要求：</w:t>
      </w:r>
      <w:r>
        <w:rPr>
          <w:rFonts w:hint="eastAsia" w:ascii="宋体" w:hAnsi="宋体" w:eastAsia="宋体" w:cs="宋体"/>
          <w:color w:val="000000"/>
          <w:sz w:val="24"/>
          <w:szCs w:val="24"/>
          <w:highlight w:val="none"/>
          <w:lang w:val="en-US" w:eastAsia="zh-CN"/>
        </w:rPr>
        <w:t xml:space="preserve">无</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1.根据《医疗器械监督管理条例》（国务院令第739号）及《医疗器械分类目录》的规定，本项目所投产品涉及第二类和第三类医疗器械，投标人须提供以下资质证明之一：</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（1）投标人为经营企业，须提供有效期内的《医疗器械经营许可证》，经营范围须涵盖第三类医疗器械；</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（2）投标人为生产企业，须提供有效期内的《医疗器械生产许可证》，生产范围须涵盖所投产品。</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（3）投标人须提供所投全部产品的《医疗器械注册证》及《医疗器械注册登记表》。</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SimSun" w:hAnsi="SimSun" w:eastAsia="SimSun" w:cs="SimSun"/>
          <w:color w:val="000000"/>
          <w:sz w:val="24"/>
        </w:rPr>
        <w:t xml:space="preserve">投标人自行承诺或提供其他合法有效的供货渠道证明（加盖公章）</w:t>
      </w:r>
      <w:r>
        <w:rPr>
          <w:rFonts w:hint="eastAsia" w:ascii="宋体" w:hAnsi="宋体" w:eastAsia="宋体" w:cs="宋体"/>
          <w:color w:val="000000"/>
          <w:sz w:val="24"/>
          <w:szCs w:val="24"/>
          <w:highlight w:val="none"/>
          <w:lang w:val="en-US" w:eastAsia="zh-CN"/>
        </w:rPr>
        <w:t xml:space="preserve">。</w:t>
      </w:r>
      <w:r/>
    </w:p>
    <w:p>
      <w:pPr>
        <w:ind w:firstLine="480"/>
        <w:pageBreakBefore w:val="0"/>
        <w:spacing w:line="400" w:lineRule="exact"/>
        <w:shd w:val="clear" w:color="auto" w:fill="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2.营业执照。</w:t>
      </w:r>
      <w:r/>
    </w:p>
    <w:p>
      <w:pPr>
        <w:pStyle w:val="81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三、获取招标文件</w:t>
      </w:r>
      <w:bookmarkEnd w:id="15"/>
      <w:r/>
      <w:bookmarkEnd w:id="16"/>
      <w:r/>
      <w:bookmarkEnd w:id="17"/>
      <w:r/>
      <w:bookmarkEnd w:id="18"/>
      <w:r/>
      <w:bookmarkEnd w:id="19"/>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bookmarkStart w:id="20" w:name="_Toc28359005"/>
      <w:r/>
      <w:bookmarkStart w:id="21" w:name="_Toc28359082"/>
      <w:r/>
      <w:bookmarkStart w:id="22" w:name="_Toc35393793"/>
      <w:r/>
      <w:bookmarkStart w:id="23" w:name="_Toc38985266"/>
      <w:r/>
      <w:bookmarkStart w:id="24" w:name="_Toc35393624"/>
      <w:r>
        <w:rPr>
          <w:rFonts w:hint="eastAsia" w:ascii="宋体" w:hAnsi="宋体" w:eastAsia="宋体" w:cs="宋体"/>
          <w:color w:val="000000"/>
          <w:sz w:val="24"/>
          <w:szCs w:val="24"/>
          <w:highlight w:val="none"/>
        </w:rPr>
        <w:t xml:space="preserve">1.获取招标文件时间：自</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文件公告发布之日起5个工作日</w:t>
      </w:r>
      <w:r>
        <w:rPr>
          <w:rFonts w:hint="eastAsia" w:ascii="宋体" w:hAnsi="宋体" w:eastAsia="宋体" w:cs="宋体"/>
          <w:color w:val="000000"/>
          <w:sz w:val="24"/>
          <w:szCs w:val="24"/>
          <w:highlight w:val="none"/>
          <w:lang w:eastAsia="zh-CN"/>
        </w:rPr>
        <w:t xml:space="preserve">。</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bookmarkStart w:id="25"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个包。投标人未按要求获取招标文件导致无法投标的，后果自负（其投标文件不予接受）。</w:t>
      </w:r>
      <w:bookmarkEnd w:id="25"/>
      <w:r/>
      <w:r/>
    </w:p>
    <w:p>
      <w:pPr>
        <w:pStyle w:val="81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w:t>
      </w:r>
      <w:bookmarkEnd w:id="20"/>
      <w:r/>
      <w:bookmarkEnd w:id="21"/>
      <w:r>
        <w:rPr>
          <w:rFonts w:hint="eastAsia" w:ascii="宋体" w:hAnsi="宋体" w:eastAsia="宋体" w:cs="宋体"/>
          <w:b/>
          <w:bCs/>
          <w:color w:val="000000"/>
          <w:sz w:val="24"/>
          <w:szCs w:val="24"/>
          <w:highlight w:val="none"/>
        </w:rPr>
        <w:t xml:space="preserve">截止时间、开标时间和地点</w:t>
      </w:r>
      <w:bookmarkEnd w:id="22"/>
      <w:r/>
      <w:bookmarkEnd w:id="23"/>
      <w:r/>
      <w:bookmarkEnd w:id="24"/>
      <w:r/>
      <w:r/>
    </w:p>
    <w:p>
      <w:pPr>
        <w:ind w:firstLine="480"/>
        <w:pageBreakBefore w:val="0"/>
        <w:spacing w:line="40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提交投标文件截止时间、开标时间：</w:t>
      </w:r>
      <w:r>
        <w:rPr>
          <w:rFonts w:hint="eastAsia" w:ascii="宋体" w:hAnsi="宋体" w:eastAsia="宋体" w:cs="宋体"/>
          <w:color w:val="000000"/>
          <w:sz w:val="24"/>
          <w:szCs w:val="24"/>
          <w:highlight w:val="none"/>
          <w:lang w:eastAsia="zh-CN"/>
        </w:rPr>
        <w:t xml:space="preserve">2026年9月28日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0分</w:t>
      </w:r>
      <w:r>
        <w:rPr>
          <w:rFonts w:hint="eastAsia" w:ascii="宋体" w:hAnsi="宋体" w:eastAsia="宋体" w:cs="宋体"/>
          <w:bCs/>
          <w:color w:val="000000"/>
          <w:sz w:val="24"/>
          <w:szCs w:val="24"/>
          <w:highlight w:val="none"/>
        </w:rPr>
        <w:t xml:space="preserve">（北京时间）</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81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bookmarkStart w:id="26" w:name="_Toc35393794"/>
      <w:r/>
      <w:bookmarkStart w:id="27" w:name="_Toc28359007"/>
      <w:r/>
      <w:bookmarkStart w:id="28" w:name="_Toc38985267"/>
      <w:r/>
      <w:bookmarkStart w:id="29" w:name="_Toc28359084"/>
      <w:r/>
      <w:bookmarkStart w:id="30" w:name="_Toc35393625"/>
      <w:r>
        <w:rPr>
          <w:rFonts w:hint="eastAsia" w:ascii="宋体" w:hAnsi="宋体" w:eastAsia="宋体" w:cs="宋体"/>
          <w:b/>
          <w:bCs/>
          <w:color w:val="000000"/>
          <w:sz w:val="24"/>
          <w:szCs w:val="24"/>
          <w:highlight w:val="none"/>
        </w:rPr>
        <w:t xml:space="preserve">五、公告期限</w:t>
      </w:r>
      <w:bookmarkEnd w:id="26"/>
      <w:r/>
      <w:bookmarkEnd w:id="27"/>
      <w:r/>
      <w:bookmarkEnd w:id="28"/>
      <w:r/>
      <w:bookmarkEnd w:id="29"/>
      <w:r/>
      <w:bookmarkEnd w:id="30"/>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bookmarkStart w:id="31" w:name="_Toc38985268"/>
      <w:r/>
      <w:bookmarkStart w:id="32" w:name="_Toc35393626"/>
      <w:r/>
      <w:bookmarkStart w:id="33" w:name="_Toc35393795"/>
      <w:r>
        <w:rPr>
          <w:rFonts w:hint="eastAsia" w:ascii="宋体" w:hAnsi="宋体" w:eastAsia="宋体" w:cs="宋体"/>
          <w:color w:val="000000"/>
          <w:sz w:val="24"/>
          <w:szCs w:val="24"/>
          <w:highlight w:val="none"/>
        </w:rPr>
        <w:t xml:space="preserve">招标公告及招标文件公告期限为自本公告发布之日起5个工作日。</w:t>
      </w:r>
      <w:r>
        <w:rPr>
          <w:rFonts w:hint="eastAsia" w:ascii="宋体" w:hAnsi="宋体" w:eastAsia="宋体" w:cs="宋体"/>
          <w:bCs/>
          <w:color w:val="000000"/>
          <w:sz w:val="24"/>
          <w:szCs w:val="24"/>
          <w:highlight w:val="none"/>
        </w:rPr>
        <w:t xml:space="preserve">招标公告发布媒体：宿迁市政府采购网、宿迁市公共资源交易平台、江苏省财政部门指定的媒体。</w:t>
      </w:r>
      <w:r/>
    </w:p>
    <w:p>
      <w:pPr>
        <w:pStyle w:val="81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六、其他补充事宜</w:t>
      </w:r>
      <w:bookmarkEnd w:id="31"/>
      <w:r/>
      <w:bookmarkEnd w:id="32"/>
      <w:r/>
      <w:bookmarkEnd w:id="33"/>
      <w:r/>
      <w:r/>
    </w:p>
    <w:p>
      <w:pPr>
        <w:pStyle w:val="813"/>
        <w:ind w:firstLine="465"/>
        <w:pageBreakBefore w:val="0"/>
        <w:spacing w:before="0" w:after="0" w:line="400" w:lineRule="exact"/>
        <w:shd w:val="clear" w:color="auto" w:fill="auto"/>
        <w:widowControl/>
        <w:rPr>
          <w:rFonts w:hint="eastAsia" w:ascii="宋体" w:hAnsi="宋体" w:eastAsia="宋体" w:cs="宋体"/>
          <w:b w:val="0"/>
          <w:bCs w:val="0"/>
          <w:color w:val="000000"/>
          <w:sz w:val="24"/>
          <w:szCs w:val="24"/>
          <w:highlight w:val="none"/>
        </w:rPr>
      </w:pPr>
      <w:r/>
      <w:bookmarkStart w:id="34" w:name="_Toc28359085"/>
      <w:r/>
      <w:bookmarkStart w:id="35" w:name="_Toc28359008"/>
      <w:r/>
      <w:bookmarkStart w:id="36" w:name="_Toc38985269"/>
      <w:r/>
      <w:bookmarkStart w:id="37" w:name="_Toc35393627"/>
      <w:r/>
      <w:bookmarkStart w:id="38" w:name="_Toc35393796"/>
      <w:r>
        <w:rPr>
          <w:rFonts w:hint="eastAsia" w:ascii="宋体" w:hAnsi="宋体" w:eastAsia="宋体" w:cs="宋体"/>
          <w:b w:val="0"/>
          <w:bCs w:val="0"/>
          <w:color w:val="000000"/>
          <w:sz w:val="24"/>
          <w:szCs w:val="24"/>
          <w:highlight w:val="none"/>
        </w:rPr>
        <w:t xml:space="preserve">1.财政部门监督电话：0527-8</w:t>
      </w:r>
      <w:r>
        <w:rPr>
          <w:rFonts w:hint="eastAsia" w:ascii="宋体" w:hAnsi="宋体" w:eastAsia="宋体" w:cs="宋体"/>
          <w:b w:val="0"/>
          <w:bCs w:val="0"/>
          <w:color w:val="000000"/>
          <w:sz w:val="24"/>
          <w:szCs w:val="24"/>
          <w:highlight w:val="none"/>
          <w:lang w:val="en-US" w:eastAsia="zh-CN"/>
        </w:rPr>
        <w:t xml:space="preserve">4363063</w:t>
      </w:r>
      <w:r>
        <w:rPr>
          <w:rFonts w:hint="eastAsia" w:ascii="宋体" w:hAnsi="宋体" w:eastAsia="宋体" w:cs="宋体"/>
          <w:b w:val="0"/>
          <w:bCs w:val="0"/>
          <w:color w:val="000000"/>
          <w:sz w:val="24"/>
          <w:szCs w:val="24"/>
          <w:highlight w:val="none"/>
        </w:rPr>
        <w:t xml:space="preserve">。</w:t>
      </w:r>
      <w:r/>
    </w:p>
    <w:p>
      <w:pPr>
        <w:pStyle w:val="813"/>
        <w:ind w:firstLine="465"/>
        <w:pageBreakBefore w:val="0"/>
        <w:spacing w:before="0" w:after="0" w:line="400" w:lineRule="exact"/>
        <w:shd w:val="clear" w:color="auto" w:fill="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pStyle w:val="813"/>
        <w:ind w:firstLine="465"/>
        <w:pageBreakBefore w:val="0"/>
        <w:spacing w:before="0" w:after="0" w:line="400" w:lineRule="exact"/>
        <w:shd w:val="clear" w:color="auto" w:fill="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3.宿迁地区“苏采云”系统技术支持客服电话：0527-84225125、0519-86722806。</w:t>
      </w:r>
      <w:r/>
    </w:p>
    <w:p>
      <w:pPr>
        <w:pStyle w:val="813"/>
        <w:ind w:firstLine="465"/>
        <w:pageBreakBefore w:val="0"/>
        <w:spacing w:before="0" w:after="0" w:line="400" w:lineRule="exact"/>
        <w:shd w:val="clear" w:color="auto" w:fill="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4.现场勘察及答疑：本项目不组织集中勘察及答疑，</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如对采购需求有疑问，请咨询采购单位联系人。</w:t>
      </w:r>
      <w:r/>
    </w:p>
    <w:p>
      <w:pPr>
        <w:pStyle w:val="81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七、本次招标联系方式</w:t>
      </w:r>
      <w:bookmarkEnd w:id="34"/>
      <w:r/>
      <w:bookmarkEnd w:id="35"/>
      <w:r/>
      <w:bookmarkEnd w:id="36"/>
      <w:r/>
      <w:bookmarkEnd w:id="37"/>
      <w:r/>
      <w:bookmarkEnd w:id="38"/>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1.招标人信息</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bookmarkStart w:id="39" w:name="_Toc28359086"/>
      <w:r/>
      <w:bookmarkStart w:id="40" w:name="_Toc28359009"/>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宿迁市妇幼保健院</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江苏省宿迁市宿城区平安大道88号</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苗地</w:t>
      </w:r>
      <w:r/>
    </w:p>
    <w:p>
      <w:pPr>
        <w:ind w:firstLine="480"/>
        <w:pageBreakBefore w:val="0"/>
        <w:spacing w:line="400" w:lineRule="exact"/>
        <w:shd w:val="clear" w:color="auto" w:fill="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0527-</w:t>
      </w:r>
      <w:r>
        <w:rPr>
          <w:rFonts w:hint="eastAsia" w:ascii="宋体" w:hAnsi="宋体" w:eastAsia="宋体" w:cs="宋体"/>
          <w:color w:val="000000"/>
          <w:sz w:val="24"/>
          <w:szCs w:val="24"/>
          <w:highlight w:val="none"/>
          <w:lang w:val="en-US" w:eastAsia="zh-CN"/>
        </w:rPr>
        <w:t xml:space="preserve">82086380</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End w:id="39"/>
      <w:r/>
      <w:bookmarkEnd w:id="40"/>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采购代理机构信息</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bookmarkStart w:id="41" w:name="_Toc28359010"/>
      <w:r/>
      <w:bookmarkStart w:id="42" w:name="_Toc28359087"/>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江苏佳跃项目管理有限公司</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宿迁市宿城区中豪国际广场</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楼</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陈强</w:t>
      </w:r>
      <w:r/>
    </w:p>
    <w:p>
      <w:pPr>
        <w:pStyle w:val="813"/>
        <w:ind w:firstLine="465"/>
        <w:pageBreakBefore w:val="0"/>
        <w:spacing w:before="0" w:after="0"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w:t>
      </w:r>
      <w:bookmarkEnd w:id="41"/>
      <w:r/>
      <w:bookmarkEnd w:id="42"/>
      <w:r>
        <w:rPr>
          <w:rFonts w:hint="eastAsia" w:ascii="宋体" w:hAnsi="宋体" w:eastAsia="宋体" w:cs="宋体"/>
          <w:color w:val="000000"/>
          <w:sz w:val="24"/>
          <w:szCs w:val="24"/>
          <w:highlight w:val="none"/>
          <w:lang w:eastAsia="zh-CN"/>
        </w:rPr>
        <w:t xml:space="preserve">18052791395</w:t>
      </w:r>
      <w:r/>
    </w:p>
    <w:p>
      <w:pPr>
        <w:pStyle w:val="813"/>
        <w:ind w:firstLine="465"/>
        <w:pageBreakBefore w:val="0"/>
        <w:spacing w:before="0" w:after="0" w:line="400" w:lineRule="exact"/>
        <w:shd w:val="clear" w:color="auto" w:fill="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八、其他</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本次招标不收取投标保证金。</w:t>
      </w:r>
      <w:r/>
    </w:p>
    <w:p>
      <w:pPr>
        <w:pageBreakBefore w:val="0"/>
        <w:spacing w:line="400" w:lineRule="exact"/>
        <w:shd w:val="clear" w:color="auto" w:fill="auto"/>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11"/>
        <w:jc w:val="center"/>
        <w:shd w:val="clear" w:color="auto" w:fill="auto"/>
        <w:rPr>
          <w:rFonts w:hint="eastAsia" w:ascii="宋体" w:hAnsi="宋体" w:eastAsia="宋体" w:cs="宋体"/>
          <w:b/>
          <w:bCs/>
          <w:color w:val="000000"/>
          <w:sz w:val="44"/>
          <w:szCs w:val="44"/>
          <w:highlight w:val="none"/>
        </w:rPr>
      </w:pPr>
      <w:r/>
      <w:bookmarkStart w:id="43" w:name="_Toc23832"/>
      <w:r/>
      <w:bookmarkStart w:id="44" w:name="_Toc6971"/>
      <w:r/>
      <w:r/>
    </w:p>
    <w:p>
      <w:pPr>
        <w:pStyle w:val="811"/>
        <w:jc w:val="center"/>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sz w:val="44"/>
          <w:szCs w:val="44"/>
          <w:highlight w:val="none"/>
        </w:rPr>
        <w:t xml:space="preserve">第二章  </w:t>
      </w:r>
      <w:bookmarkStart w:id="45" w:name="_Toc513029202"/>
      <w:r/>
      <w:bookmarkStart w:id="46" w:name="_Toc16938518"/>
      <w:r/>
      <w:bookmarkStart w:id="47" w:name="_Toc120614213"/>
      <w:r/>
      <w:bookmarkStart w:id="48" w:name="_Toc20823274"/>
      <w:r>
        <w:rPr>
          <w:rFonts w:hint="eastAsia" w:ascii="宋体" w:hAnsi="宋体" w:eastAsia="宋体" w:cs="宋体"/>
          <w:b/>
          <w:bCs/>
          <w:color w:val="000000"/>
          <w:sz w:val="44"/>
          <w:szCs w:val="44"/>
          <w:highlight w:val="none"/>
        </w:rPr>
        <w:t xml:space="preserve">投标人须知</w:t>
      </w:r>
      <w:bookmarkEnd w:id="43"/>
      <w:r/>
      <w:bookmarkEnd w:id="44"/>
      <w:r/>
      <w:bookmarkEnd w:id="45"/>
      <w:r/>
      <w:bookmarkEnd w:id="46"/>
      <w:r/>
      <w:bookmarkEnd w:id="47"/>
      <w:r/>
      <w:bookmarkEnd w:id="48"/>
      <w:r/>
      <w:r/>
    </w:p>
    <w:tbl>
      <w:tblPr>
        <w:tblStyle w:val="787"/>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rPr>
                <w:rFonts w:hint="eastAsia" w:ascii="宋体" w:hAnsi="宋体" w:eastAsia="宋体" w:cs="宋体"/>
                <w:b/>
                <w:color w:val="000000"/>
                <w:sz w:val="24"/>
                <w:szCs w:val="24"/>
                <w:highlight w:val="none"/>
              </w:rPr>
            </w:pPr>
            <w:r/>
            <w:bookmarkStart w:id="49" w:name="_Toc81575154"/>
            <w:r/>
            <w:bookmarkStart w:id="50" w:name="_Toc29262"/>
            <w:r/>
            <w:bookmarkStart w:id="51" w:name="_Toc81575191"/>
            <w:r/>
            <w:bookmarkStart w:id="52" w:name="_Toc120614214"/>
            <w:r/>
            <w:bookmarkStart w:id="53" w:name="_Toc16938519"/>
            <w:r/>
            <w:bookmarkStart w:id="54" w:name="_Toc513029203"/>
            <w:r/>
            <w:bookmarkStart w:id="55" w:name="_Toc20823275"/>
            <w:r>
              <w:rPr>
                <w:rFonts w:hint="eastAsia" w:ascii="宋体" w:hAnsi="宋体" w:eastAsia="宋体" w:cs="宋体"/>
                <w:b/>
                <w:color w:val="000000"/>
                <w:sz w:val="24"/>
                <w:szCs w:val="24"/>
                <w:highlight w:val="none"/>
              </w:rPr>
              <w:t xml:space="preserve">序号</w:t>
            </w:r>
            <w:r/>
          </w:p>
        </w:tc>
        <w:tc>
          <w:tcPr>
            <w:tcW w:w="1772"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p>
        </w:tc>
        <w:tc>
          <w:tcPr>
            <w:tcW w:w="6579"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w:t>
            </w:r>
            <w:r/>
          </w:p>
        </w:tc>
        <w:tc>
          <w:tcPr>
            <w:tcW w:w="6579"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bookmarkStart w:id="56" w:name="EB9a5853ee094f4f0ea6ec3169265f6f2c"/>
            <w:r>
              <w:rPr>
                <w:rFonts w:hint="eastAsia" w:ascii="宋体" w:hAnsi="宋体" w:eastAsia="宋体" w:cs="宋体"/>
                <w:color w:val="000000"/>
                <w:sz w:val="24"/>
                <w:szCs w:val="24"/>
                <w:highlight w:val="none"/>
              </w:rPr>
              <w:t xml:space="preserve">属性按以下第</w:t>
            </w:r>
            <w:bookmarkEnd w:id="56"/>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种确定：</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1.货物</w:t>
            </w:r>
            <w:bookmarkStart w:id="57" w:name="EBd5c6c026f9674c39b21b31ecd0c1e7fa"/>
            <w:r>
              <w:rPr>
                <w:rFonts w:hint="eastAsia" w:ascii="宋体" w:hAnsi="宋体" w:eastAsia="宋体" w:cs="宋体"/>
                <w:color w:val="000000"/>
                <w:sz w:val="24"/>
                <w:szCs w:val="24"/>
                <w:highlight w:val="none"/>
              </w:rPr>
              <w:t xml:space="preserve">采购；2.</w:t>
            </w:r>
            <w:bookmarkEnd w:id="57"/>
            <w:r>
              <w:rPr>
                <w:rFonts w:hint="eastAsia" w:ascii="宋体" w:hAnsi="宋体" w:eastAsia="宋体" w:cs="宋体"/>
                <w:color w:val="000000"/>
                <w:sz w:val="24"/>
                <w:szCs w:val="24"/>
                <w:highlight w:val="none"/>
              </w:rPr>
              <w:t xml:space="preserve">服务</w:t>
            </w:r>
            <w:bookmarkStart w:id="58" w:name="EBf7d2a4f44ecb4166a93ea852e73be69f"/>
            <w:r>
              <w:rPr>
                <w:rFonts w:hint="eastAsia" w:ascii="宋体" w:hAnsi="宋体" w:eastAsia="宋体" w:cs="宋体"/>
                <w:color w:val="000000"/>
                <w:sz w:val="24"/>
                <w:szCs w:val="24"/>
                <w:highlight w:val="none"/>
              </w:rPr>
              <w:t xml:space="preserve">采购；3.</w:t>
            </w:r>
            <w:bookmarkEnd w:id="58"/>
            <w:r>
              <w:rPr>
                <w:rFonts w:hint="eastAsia" w:ascii="宋体" w:hAnsi="宋体" w:eastAsia="宋体" w:cs="宋体"/>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p>
        </w:tc>
        <w:tc>
          <w:tcPr>
            <w:tcW w:w="6579" w:type="dxa"/>
            <w:vAlign w:val="center"/>
            <w:textDirection w:val="lrTb"/>
            <w:noWrap w:val="false"/>
          </w:tcPr>
          <w:p>
            <w:pPr>
              <w:spacing w:line="400" w:lineRule="exact"/>
              <w:rPr>
                <w:rFonts w:hint="eastAsia" w:ascii="宋体" w:hAnsi="宋体" w:eastAsia="宋体" w:cs="宋体"/>
                <w:color w:val="000000"/>
                <w:sz w:val="24"/>
                <w:szCs w:val="24"/>
                <w:highlight w:val="none"/>
              </w:rPr>
            </w:pPr>
            <w:r/>
            <w:bookmarkStart w:id="59" w:name="EBd40b5fb42f2944a3b45e579ce3941f02"/>
            <w:r/>
            <w:bookmarkEnd w:id="59"/>
            <w:r>
              <w:rPr>
                <w:rFonts w:hint="eastAsia" w:ascii="宋体" w:hAnsi="宋体" w:eastAsia="宋体" w:cs="宋体"/>
                <w:color w:val="000000"/>
                <w:sz w:val="24"/>
                <w:szCs w:val="24"/>
                <w:highlight w:val="none"/>
                <w:u w:val="single"/>
              </w:rPr>
              <w:t xml:space="preserve">60</w:t>
            </w:r>
            <w:r>
              <w:rPr>
                <w:rFonts w:hint="eastAsia" w:ascii="宋体" w:hAnsi="宋体" w:eastAsia="宋体" w:cs="宋体"/>
                <w:color w:val="000000"/>
                <w:sz w:val="24"/>
                <w:szCs w:val="24"/>
                <w:highlight w:val="none"/>
              </w:rPr>
              <w:t xml:space="preserve">日（从提交投标文件截止之日起算）</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w:t>
            </w:r>
            <w:r/>
          </w:p>
        </w:tc>
        <w:tc>
          <w:tcPr>
            <w:tcW w:w="6579"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提交加密电子投标文件</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w:t>
            </w:r>
            <w:r/>
          </w:p>
        </w:tc>
        <w:tc>
          <w:tcPr>
            <w:tcW w:w="6579"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进口产品</w:t>
            </w:r>
            <w:r/>
          </w:p>
        </w:tc>
        <w:tc>
          <w:tcPr>
            <w:tcW w:w="6579"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rPr>
              <w:t xml:space="preserve">种方式确定：</w:t>
            </w:r>
            <w:r/>
          </w:p>
          <w:p>
            <w:pP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1.接受进口产品。</w:t>
            </w:r>
            <w:r>
              <w:rPr>
                <w:rFonts w:hint="eastAsia" w:ascii="宋体" w:hAnsi="宋体" w:eastAsia="宋体" w:cs="宋体"/>
                <w:color w:val="000000"/>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000000"/>
                <w:sz w:val="24"/>
                <w:szCs w:val="24"/>
                <w:highlight w:val="none"/>
              </w:rPr>
              <w:t xml:space="preserve">；</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p>
        </w:tc>
        <w:tc>
          <w:tcPr>
            <w:tcW w:w="6579"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具体评标办法详见招标文件第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评标委员会依据招标文件规定的评标办法和标准推荐</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确定中标人</w:t>
            </w:r>
            <w:r/>
          </w:p>
        </w:tc>
        <w:tc>
          <w:tcPr>
            <w:tcW w:w="6579"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分包要求</w:t>
            </w:r>
            <w:r/>
          </w:p>
        </w:tc>
        <w:tc>
          <w:tcPr>
            <w:tcW w:w="6579" w:type="dxa"/>
            <w:vAlign w:val="center"/>
            <w:textDirection w:val="lrTb"/>
            <w:noWrap w:val="false"/>
          </w:tcPr>
          <w:p>
            <w:pPr>
              <w:spacing w:line="400" w:lineRule="exact"/>
              <w:rPr>
                <w:rFonts w:hint="eastAsia" w:ascii="宋体" w:hAnsi="宋体" w:eastAsia="宋体" w:cs="宋体"/>
                <w:color w:val="000000"/>
                <w:sz w:val="24"/>
                <w:szCs w:val="24"/>
                <w:highlight w:val="none"/>
              </w:rPr>
            </w:pPr>
            <w:r/>
            <w:bookmarkStart w:id="60" w:name="EBebac1462c5d9459fbda8a75065c2455d"/>
            <w:r>
              <w:rPr>
                <w:rFonts w:hint="eastAsia" w:ascii="宋体" w:hAnsi="宋体" w:eastAsia="宋体" w:cs="宋体"/>
                <w:color w:val="000000"/>
                <w:sz w:val="24"/>
                <w:szCs w:val="24"/>
                <w:highlight w:val="none"/>
              </w:rPr>
              <w:t xml:space="preserve">本项目的非主体、非关键性工作是否允许分包</w:t>
            </w:r>
            <w:bookmarkEnd w:id="60"/>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种方式确定：</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1.允许分包，</w:t>
            </w:r>
            <w:bookmarkStart w:id="61" w:name="EB512ba06683724173802e2aae54a26079"/>
            <w:r>
              <w:rPr>
                <w:rFonts w:hint="eastAsia" w:ascii="宋体" w:hAnsi="宋体" w:eastAsia="宋体" w:cs="宋体"/>
                <w:color w:val="000000"/>
                <w:sz w:val="24"/>
                <w:szCs w:val="24"/>
                <w:highlight w:val="none"/>
              </w:rPr>
              <w:t xml:space="preserve">允许大中型企业向一家或者多家小微企业分包，分包具体内容、金额或比例：</w:t>
            </w:r>
            <w:bookmarkEnd w:id="61"/>
            <w:r>
              <w:rPr>
                <w:rFonts w:hint="eastAsia" w:ascii="宋体" w:hAnsi="宋体" w:eastAsia="宋体" w:cs="宋体"/>
                <w:color w:val="000000"/>
                <w:sz w:val="24"/>
                <w:szCs w:val="24"/>
                <w:highlight w:val="none"/>
              </w:rPr>
              <w:t xml:space="preserve">无</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bookmarkEnd w:id="49"/>
            <w:r/>
            <w:bookmarkEnd w:id="50"/>
            <w:r/>
            <w:bookmarkEnd w:id="51"/>
            <w:r/>
            <w:r/>
          </w:p>
        </w:tc>
        <w:tc>
          <w:tcPr>
            <w:tcW w:w="6579" w:type="dxa"/>
            <w:vAlign w:val="center"/>
            <w:textDirection w:val="lrTb"/>
            <w:noWrap w:val="false"/>
          </w:tcPr>
          <w:p>
            <w:pPr>
              <w:numPr>
                <w:ilvl w:val="0"/>
                <w:numId w:val="0"/>
              </w:numPr>
              <w:spacing w:line="40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13"/>
        <w:ind w:firstLine="465"/>
        <w:keepLines w:val="0"/>
        <w:keepNext w:val="0"/>
        <w:pageBreakBefore w:val="0"/>
        <w:spacing w:before="0" w:after="0" w:line="400" w:lineRule="exact"/>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一、总则</w:t>
      </w:r>
      <w:bookmarkEnd w:id="52"/>
      <w:r/>
      <w:bookmarkEnd w:id="53"/>
      <w:r/>
      <w:bookmarkEnd w:id="54"/>
      <w:r/>
      <w:bookmarkEnd w:id="55"/>
      <w:r/>
      <w:r/>
    </w:p>
    <w:p>
      <w:pPr>
        <w:pStyle w:val="815"/>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62" w:name="_Hlt16619475"/>
      <w:r/>
      <w:bookmarkEnd w:id="62"/>
      <w:r/>
      <w:bookmarkStart w:id="63" w:name="_Toc458694821"/>
      <w:r/>
      <w:bookmarkStart w:id="64" w:name="_Toc20823276"/>
      <w:r/>
      <w:bookmarkStart w:id="65" w:name="_Toc16938520"/>
      <w:r/>
      <w:bookmarkStart w:id="66" w:name="_Toc513029204"/>
      <w:r>
        <w:rPr>
          <w:rFonts w:hint="eastAsia" w:ascii="宋体" w:hAnsi="宋体" w:eastAsia="宋体" w:cs="宋体"/>
          <w:b w:val="0"/>
          <w:bCs w:val="0"/>
          <w:color w:val="000000"/>
          <w:sz w:val="24"/>
          <w:szCs w:val="24"/>
          <w:highlight w:val="none"/>
          <w:lang w:eastAsia="zh-CN"/>
        </w:rPr>
        <w:t xml:space="preserve">1.</w:t>
      </w:r>
      <w:bookmarkEnd w:id="63"/>
      <w:r>
        <w:rPr>
          <w:rFonts w:hint="eastAsia" w:ascii="宋体" w:hAnsi="宋体" w:eastAsia="宋体" w:cs="宋体"/>
          <w:b w:val="0"/>
          <w:bCs w:val="0"/>
          <w:color w:val="000000"/>
          <w:sz w:val="24"/>
          <w:szCs w:val="24"/>
          <w:highlight w:val="none"/>
        </w:rPr>
        <w:t xml:space="preserve">招标方式</w:t>
      </w:r>
      <w:bookmarkEnd w:id="64"/>
      <w:r/>
      <w:bookmarkEnd w:id="65"/>
      <w:r/>
      <w:bookmarkEnd w:id="66"/>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15"/>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67" w:name="_Toc513029205"/>
      <w:r/>
      <w:bookmarkStart w:id="68" w:name="_Toc20823277"/>
      <w:r/>
      <w:bookmarkStart w:id="69" w:name="_Toc16938521"/>
      <w:r>
        <w:rPr>
          <w:rFonts w:hint="eastAsia" w:ascii="宋体" w:hAnsi="宋体" w:eastAsia="宋体" w:cs="宋体"/>
          <w:b w:val="0"/>
          <w:bCs w:val="0"/>
          <w:color w:val="000000"/>
          <w:sz w:val="24"/>
          <w:szCs w:val="24"/>
          <w:highlight w:val="none"/>
          <w:lang w:eastAsia="zh-CN"/>
        </w:rPr>
        <w:t xml:space="preserve">2.</w:t>
      </w:r>
      <w:r>
        <w:rPr>
          <w:rFonts w:hint="eastAsia" w:ascii="宋体" w:hAnsi="宋体" w:eastAsia="宋体" w:cs="宋体"/>
          <w:b w:val="0"/>
          <w:bCs w:val="0"/>
          <w:color w:val="000000"/>
          <w:sz w:val="24"/>
          <w:szCs w:val="24"/>
          <w:highlight w:val="none"/>
        </w:rPr>
        <w:t xml:space="preserve">合格的投标人</w:t>
      </w:r>
      <w:bookmarkEnd w:id="67"/>
      <w:r/>
      <w:bookmarkEnd w:id="68"/>
      <w:r/>
      <w:bookmarkEnd w:id="69"/>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815"/>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70" w:name="_Toc20823278"/>
      <w:r/>
      <w:bookmarkStart w:id="71" w:name="_Toc16938522"/>
      <w:r/>
      <w:bookmarkStart w:id="72" w:name="_Toc513029206"/>
      <w:r>
        <w:rPr>
          <w:rFonts w:hint="eastAsia" w:ascii="宋体" w:hAnsi="宋体" w:eastAsia="宋体" w:cs="宋体"/>
          <w:b w:val="0"/>
          <w:bCs w:val="0"/>
          <w:color w:val="000000"/>
          <w:sz w:val="24"/>
          <w:szCs w:val="24"/>
          <w:highlight w:val="none"/>
          <w:lang w:eastAsia="zh-CN"/>
        </w:rPr>
        <w:t xml:space="preserve">3.</w:t>
      </w:r>
      <w:r>
        <w:rPr>
          <w:rFonts w:hint="eastAsia" w:ascii="宋体" w:hAnsi="宋体" w:eastAsia="宋体" w:cs="宋体"/>
          <w:b w:val="0"/>
          <w:bCs w:val="0"/>
          <w:color w:val="000000"/>
          <w:sz w:val="24"/>
          <w:szCs w:val="24"/>
          <w:highlight w:val="none"/>
        </w:rPr>
        <w:t xml:space="preserve">适用法律</w:t>
      </w:r>
      <w:bookmarkEnd w:id="70"/>
      <w:r/>
      <w:bookmarkEnd w:id="71"/>
      <w:r/>
      <w:bookmarkEnd w:id="72"/>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815"/>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73" w:name="_Toc20823279"/>
      <w:r/>
      <w:bookmarkStart w:id="74" w:name="_Toc16938523"/>
      <w:r/>
      <w:bookmarkStart w:id="75" w:name="_Toc462564067"/>
      <w:r/>
      <w:bookmarkStart w:id="76" w:name="_Toc513029207"/>
      <w:r>
        <w:rPr>
          <w:rFonts w:hint="eastAsia" w:ascii="宋体" w:hAnsi="宋体" w:eastAsia="宋体" w:cs="宋体"/>
          <w:b w:val="0"/>
          <w:bCs w:val="0"/>
          <w:color w:val="000000"/>
          <w:sz w:val="24"/>
          <w:szCs w:val="24"/>
          <w:highlight w:val="none"/>
          <w:lang w:eastAsia="zh-CN"/>
        </w:rPr>
        <w:t xml:space="preserve">4.</w:t>
      </w:r>
      <w:r>
        <w:rPr>
          <w:rFonts w:hint="eastAsia" w:ascii="宋体" w:hAnsi="宋体" w:eastAsia="宋体" w:cs="宋体"/>
          <w:b w:val="0"/>
          <w:bCs w:val="0"/>
          <w:color w:val="000000"/>
          <w:sz w:val="24"/>
          <w:szCs w:val="24"/>
          <w:highlight w:val="none"/>
        </w:rPr>
        <w:t xml:space="preserve">投标费用</w:t>
      </w:r>
      <w:bookmarkEnd w:id="73"/>
      <w:r/>
      <w:bookmarkEnd w:id="74"/>
      <w:r/>
      <w:bookmarkEnd w:id="75"/>
      <w:r/>
      <w:bookmarkEnd w:id="76"/>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4.2代理费用收取方式及标准：按以下第</w:t>
      </w:r>
      <w:r>
        <w:rPr>
          <w:rFonts w:hint="eastAsia" w:ascii="宋体" w:hAnsi="宋体" w:eastAsia="宋体" w:cs="宋体"/>
          <w:color w:val="000000"/>
          <w:sz w:val="24"/>
          <w:szCs w:val="24"/>
          <w:highlight w:val="none"/>
          <w:u w:val="single"/>
        </w:rPr>
        <w:t xml:space="preserve">4.2.2</w:t>
      </w:r>
      <w:r>
        <w:rPr>
          <w:rFonts w:hint="eastAsia" w:ascii="宋体" w:hAnsi="宋体" w:eastAsia="宋体" w:cs="宋体"/>
          <w:color w:val="000000"/>
          <w:sz w:val="24"/>
          <w:szCs w:val="24"/>
          <w:highlight w:val="none"/>
        </w:rPr>
        <w:t xml:space="preserve">种方式执行</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4.2.1无需支付；</w:t>
      </w:r>
      <w:r/>
    </w:p>
    <w:p>
      <w:pPr>
        <w:pStyle w:val="888"/>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lang w:val="zh-CN"/>
        </w:rPr>
        <w:t xml:space="preserve">4.2.2</w:t>
      </w:r>
      <w:r>
        <w:rPr>
          <w:rFonts w:hint="eastAsia" w:ascii="宋体" w:hAnsi="宋体" w:eastAsia="宋体" w:cs="宋体"/>
          <w:color w:val="000000"/>
          <w:sz w:val="24"/>
          <w:szCs w:val="21"/>
          <w:highlight w:val="none"/>
          <w:lang w:val="zh-CN"/>
        </w:rPr>
        <w:t xml:space="preserve">采购人支付，具体方式及标准为：</w:t>
      </w:r>
      <w:r>
        <w:rPr>
          <w:rFonts w:hint="eastAsia" w:ascii="Times New Roman" w:hAnsi="Times New Roman" w:eastAsia="宋体" w:cs="Times New Roman"/>
          <w:caps w:val="0"/>
          <w:color w:val="000000"/>
          <w:sz w:val="24"/>
          <w:szCs w:val="21"/>
          <w:highlight w:val="none"/>
          <w:u w:val="single"/>
          <w:lang w:val="zh-CN"/>
        </w:rPr>
        <w:t xml:space="preserve">根据中标金额参照“国家计委《关于印发＜招标代理服务收费管理暂行办法＞的通知》”（计价格〔2002〕1980号）文件规定标准向代理单位交纳代理服务费，建议推行数字人民币支付，由采购人支付</w:t>
      </w:r>
      <w:r>
        <w:rPr>
          <w:rFonts w:hint="eastAsia" w:ascii="Times New Roman" w:hAnsi="Times New Roman" w:eastAsia="宋体" w:cs="Times New Roman"/>
          <w:caps w:val="0"/>
          <w:color w:val="000000"/>
          <w:sz w:val="24"/>
          <w:szCs w:val="21"/>
          <w:highlight w:val="none"/>
          <w:u w:val="single"/>
          <w:lang w:val="en-US" w:eastAsia="zh-CN"/>
        </w:rPr>
        <w:t xml:space="preserve">。</w:t>
      </w:r>
      <w:r/>
    </w:p>
    <w:p>
      <w:pPr>
        <w:pStyle w:val="815"/>
        <w:ind w:firstLine="522"/>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5.</w:t>
      </w:r>
      <w:r>
        <w:rPr>
          <w:rFonts w:hint="eastAsia" w:ascii="宋体" w:hAnsi="宋体" w:eastAsia="宋体" w:cs="宋体"/>
          <w:b w:val="0"/>
          <w:bCs w:val="0"/>
          <w:color w:val="000000"/>
          <w:sz w:val="24"/>
          <w:szCs w:val="24"/>
          <w:highlight w:val="none"/>
        </w:rPr>
        <w:t xml:space="preserve">招标文件的约束力</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投标人一旦参加本项目采购活动，即被认为接受了本招标文件的规定和约束。</w:t>
      </w:r>
      <w:r/>
    </w:p>
    <w:p>
      <w:pPr>
        <w:pStyle w:val="813"/>
        <w:ind w:firstLine="300"/>
        <w:keepLines w:val="0"/>
        <w:keepNext w:val="0"/>
        <w:pageBreakBefore w:val="0"/>
        <w:spacing w:before="0" w:after="0" w:line="400" w:lineRule="exact"/>
        <w:shd w:val="clear" w:color="auto" w:fill="auto"/>
        <w:widowControl w:val="off"/>
        <w:rPr>
          <w:rFonts w:hint="eastAsia" w:ascii="宋体" w:hAnsi="宋体" w:eastAsia="宋体" w:cs="宋体"/>
          <w:b/>
          <w:bCs/>
          <w:color w:val="000000"/>
          <w:sz w:val="24"/>
          <w:szCs w:val="24"/>
          <w:highlight w:val="none"/>
        </w:rPr>
      </w:pPr>
      <w:r/>
      <w:bookmarkStart w:id="77" w:name="_Toc513029209"/>
      <w:r/>
      <w:bookmarkStart w:id="78" w:name="_Toc16938525"/>
      <w:r/>
      <w:bookmarkStart w:id="79" w:name="_Toc120614215"/>
      <w:r/>
      <w:bookmarkStart w:id="80" w:name="_Toc20823281"/>
      <w:r>
        <w:rPr>
          <w:rFonts w:hint="eastAsia" w:ascii="宋体" w:hAnsi="宋体" w:eastAsia="宋体" w:cs="宋体"/>
          <w:b/>
          <w:bCs/>
          <w:color w:val="000000"/>
          <w:sz w:val="24"/>
          <w:szCs w:val="24"/>
          <w:highlight w:val="none"/>
        </w:rPr>
        <w:t xml:space="preserve">二、招标文件</w:t>
      </w:r>
      <w:bookmarkEnd w:id="77"/>
      <w:r/>
      <w:bookmarkEnd w:id="78"/>
      <w:r/>
      <w:bookmarkEnd w:id="79"/>
      <w:r/>
      <w:bookmarkEnd w:id="80"/>
      <w:r/>
      <w:r/>
    </w:p>
    <w:p>
      <w:pPr>
        <w:pStyle w:val="815"/>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81" w:name="_Toc20823282"/>
      <w:r/>
      <w:bookmarkStart w:id="82" w:name="_Toc16938526"/>
      <w:r/>
      <w:bookmarkStart w:id="83" w:name="_Toc513029210"/>
      <w:r>
        <w:rPr>
          <w:rFonts w:hint="eastAsia" w:ascii="宋体" w:hAnsi="宋体" w:eastAsia="宋体" w:cs="宋体"/>
          <w:b w:val="0"/>
          <w:bCs w:val="0"/>
          <w:color w:val="000000"/>
          <w:sz w:val="24"/>
          <w:szCs w:val="24"/>
          <w:highlight w:val="none"/>
          <w:lang w:eastAsia="zh-CN"/>
        </w:rPr>
        <w:t xml:space="preserve">6.</w:t>
      </w:r>
      <w:r>
        <w:rPr>
          <w:rFonts w:hint="eastAsia" w:ascii="宋体" w:hAnsi="宋体" w:eastAsia="宋体" w:cs="宋体"/>
          <w:b w:val="0"/>
          <w:bCs w:val="0"/>
          <w:color w:val="000000"/>
          <w:sz w:val="24"/>
          <w:szCs w:val="24"/>
          <w:highlight w:val="none"/>
        </w:rPr>
        <w:t xml:space="preserve">招标文件构成</w:t>
      </w:r>
      <w:bookmarkEnd w:id="81"/>
      <w:r/>
      <w:bookmarkEnd w:id="82"/>
      <w:r/>
      <w:bookmarkEnd w:id="83"/>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招标文件由以下部分组成：</w:t>
      </w:r>
      <w:r/>
    </w:p>
    <w:p>
      <w:pPr>
        <w:ind w:firstLine="36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（1）投标邀请</w:t>
      </w:r>
      <w:r/>
    </w:p>
    <w:p>
      <w:pPr>
        <w:ind w:firstLine="36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p>
    <w:p>
      <w:pPr>
        <w:ind w:firstLine="36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p>
    <w:p>
      <w:pPr>
        <w:ind w:firstLine="36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p>
    <w:p>
      <w:pPr>
        <w:ind w:firstLine="36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p>
    <w:p>
      <w:pPr>
        <w:ind w:firstLine="36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6.2</w:t>
      </w:r>
      <w:r>
        <w:rPr>
          <w:rFonts w:hint="eastAsia" w:ascii="宋体" w:hAnsi="宋体" w:eastAsia="宋体" w:cs="宋体"/>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15"/>
        <w:ind w:firstLine="52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84" w:name="_Toc16938527"/>
      <w:r/>
      <w:bookmarkStart w:id="85" w:name="_Toc513029211"/>
      <w:r/>
      <w:bookmarkStart w:id="86" w:name="_Toc462564070"/>
      <w:r/>
      <w:bookmarkStart w:id="87" w:name="_Toc20823283"/>
      <w:r>
        <w:rPr>
          <w:rFonts w:hint="eastAsia" w:ascii="宋体" w:hAnsi="宋体" w:eastAsia="宋体" w:cs="宋体"/>
          <w:b w:val="0"/>
          <w:bCs w:val="0"/>
          <w:color w:val="000000"/>
          <w:sz w:val="24"/>
          <w:szCs w:val="24"/>
          <w:highlight w:val="none"/>
          <w:lang w:eastAsia="zh-CN"/>
        </w:rPr>
        <w:t xml:space="preserve">7.</w:t>
      </w:r>
      <w:r>
        <w:rPr>
          <w:rFonts w:hint="eastAsia" w:ascii="宋体" w:hAnsi="宋体" w:eastAsia="宋体" w:cs="宋体"/>
          <w:b w:val="0"/>
          <w:bCs w:val="0"/>
          <w:color w:val="000000"/>
          <w:sz w:val="24"/>
          <w:szCs w:val="24"/>
          <w:highlight w:val="none"/>
        </w:rPr>
        <w:t xml:space="preserve">招标文件的澄清</w:t>
      </w:r>
      <w:bookmarkEnd w:id="84"/>
      <w:r/>
      <w:bookmarkEnd w:id="85"/>
      <w:r/>
      <w:bookmarkEnd w:id="86"/>
      <w:r/>
      <w:bookmarkEnd w:id="87"/>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前按招标公告中的通讯地址，以书面形式通知采购代理机构。</w:t>
      </w:r>
      <w:r/>
    </w:p>
    <w:p>
      <w:pPr>
        <w:pStyle w:val="815"/>
        <w:ind w:firstLine="52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88" w:name="_Toc16938528"/>
      <w:r/>
      <w:bookmarkStart w:id="89" w:name="_Toc513029212"/>
      <w:r/>
      <w:bookmarkStart w:id="90" w:name="_Toc462564071"/>
      <w:r/>
      <w:bookmarkStart w:id="91" w:name="_Toc20823284"/>
      <w:r>
        <w:rPr>
          <w:rFonts w:hint="eastAsia" w:ascii="宋体" w:hAnsi="宋体" w:eastAsia="宋体" w:cs="宋体"/>
          <w:b w:val="0"/>
          <w:bCs w:val="0"/>
          <w:color w:val="000000"/>
          <w:sz w:val="24"/>
          <w:szCs w:val="24"/>
          <w:highlight w:val="none"/>
          <w:lang w:eastAsia="zh-CN"/>
        </w:rPr>
        <w:t xml:space="preserve">8.</w:t>
      </w:r>
      <w:r>
        <w:rPr>
          <w:rFonts w:hint="eastAsia" w:ascii="宋体" w:hAnsi="宋体" w:eastAsia="宋体" w:cs="宋体"/>
          <w:b w:val="0"/>
          <w:bCs w:val="0"/>
          <w:color w:val="000000"/>
          <w:sz w:val="24"/>
          <w:szCs w:val="24"/>
          <w:highlight w:val="none"/>
        </w:rPr>
        <w:t xml:space="preserve">招标文件的修改</w:t>
      </w:r>
      <w:bookmarkEnd w:id="88"/>
      <w:r/>
      <w:bookmarkEnd w:id="89"/>
      <w:r/>
      <w:bookmarkEnd w:id="90"/>
      <w:r/>
      <w:bookmarkEnd w:id="91"/>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8.2在投标截止时</w:t>
      </w:r>
      <w:r>
        <w:rPr>
          <w:rFonts w:hint="eastAsia" w:ascii="宋体" w:hAnsi="宋体" w:eastAsia="宋体" w:cs="宋体"/>
          <w:bCs/>
          <w:color w:val="000000"/>
          <w:sz w:val="24"/>
          <w:szCs w:val="24"/>
          <w:highlight w:val="none"/>
          <w:lang w:eastAsia="zh-CN"/>
        </w:rPr>
        <w:t xml:space="preserve">间之</w:t>
      </w:r>
      <w:r>
        <w:rPr>
          <w:rFonts w:hint="eastAsia" w:ascii="宋体" w:hAnsi="宋体" w:eastAsia="宋体" w:cs="宋体"/>
          <w:bCs/>
          <w:color w:val="000000"/>
          <w:sz w:val="24"/>
          <w:szCs w:val="24"/>
          <w:highlight w:val="none"/>
        </w:rPr>
        <w:t xml:space="preserve">前，采购代理机构可以对招标文件进行修改。</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813"/>
        <w:ind w:firstLine="450"/>
        <w:keepLines w:val="0"/>
        <w:keepNext w:val="0"/>
        <w:pageBreakBefore w:val="0"/>
        <w:spacing w:before="0" w:after="0" w:line="400" w:lineRule="exact"/>
        <w:shd w:val="clear" w:color="auto" w:fill="auto"/>
        <w:widowControl w:val="off"/>
        <w:rPr>
          <w:rFonts w:hint="eastAsia" w:ascii="宋体" w:hAnsi="宋体" w:eastAsia="宋体" w:cs="宋体"/>
          <w:b/>
          <w:bCs/>
          <w:color w:val="000000"/>
          <w:sz w:val="24"/>
          <w:szCs w:val="24"/>
          <w:highlight w:val="none"/>
        </w:rPr>
      </w:pPr>
      <w:r/>
      <w:bookmarkStart w:id="92" w:name="_Toc16938529"/>
      <w:r/>
      <w:bookmarkStart w:id="93" w:name="_Toc513029213"/>
      <w:r/>
      <w:bookmarkStart w:id="94" w:name="_Toc120614216"/>
      <w:r/>
      <w:bookmarkStart w:id="95" w:name="_Toc20823285"/>
      <w:r/>
      <w:bookmarkStart w:id="96" w:name="_Toc462564072"/>
      <w:r>
        <w:rPr>
          <w:rFonts w:hint="eastAsia" w:ascii="宋体" w:hAnsi="宋体" w:eastAsia="宋体" w:cs="宋体"/>
          <w:b/>
          <w:bCs/>
          <w:color w:val="000000"/>
          <w:sz w:val="24"/>
          <w:szCs w:val="24"/>
          <w:highlight w:val="none"/>
        </w:rPr>
        <w:t xml:space="preserve">三、投标文件的编制</w:t>
      </w:r>
      <w:bookmarkEnd w:id="92"/>
      <w:r/>
      <w:bookmarkEnd w:id="93"/>
      <w:r/>
      <w:bookmarkEnd w:id="94"/>
      <w:r/>
      <w:bookmarkEnd w:id="95"/>
      <w:r/>
      <w:bookmarkEnd w:id="96"/>
      <w:r/>
      <w:r/>
    </w:p>
    <w:p>
      <w:pPr>
        <w:pStyle w:val="815"/>
        <w:ind w:firstLine="520"/>
        <w:keepLines w:val="0"/>
        <w:keepNext w:val="0"/>
        <w:pageBreakBefore w:val="0"/>
        <w:spacing w:before="0" w:after="0" w:line="400" w:lineRule="exact"/>
        <w:shd w:val="clear" w:color="auto" w:fill="auto"/>
        <w:widowControl w:val="off"/>
        <w:rPr>
          <w:rFonts w:hint="eastAsia" w:ascii="宋体" w:hAnsi="宋体" w:eastAsia="宋体" w:cs="宋体"/>
          <w:bCs w:val="0"/>
          <w:color w:val="000000"/>
          <w:sz w:val="24"/>
          <w:szCs w:val="24"/>
          <w:highlight w:val="none"/>
        </w:rPr>
      </w:pPr>
      <w:r/>
      <w:bookmarkStart w:id="97" w:name="_Toc462564073"/>
      <w:r/>
      <w:bookmarkStart w:id="98" w:name="_Toc16938530"/>
      <w:r/>
      <w:bookmarkStart w:id="99" w:name="_Toc20823286"/>
      <w:r/>
      <w:bookmarkStart w:id="100" w:name="_Toc513029214"/>
      <w:r>
        <w:rPr>
          <w:rFonts w:hint="eastAsia" w:ascii="宋体" w:hAnsi="宋体" w:eastAsia="宋体" w:cs="宋体"/>
          <w:b w:val="0"/>
          <w:bCs w:val="0"/>
          <w:color w:val="000000"/>
          <w:sz w:val="24"/>
          <w:szCs w:val="24"/>
          <w:highlight w:val="none"/>
          <w:lang w:eastAsia="zh-CN"/>
        </w:rPr>
        <w:t xml:space="preserve">9.</w:t>
      </w:r>
      <w:r>
        <w:rPr>
          <w:rFonts w:hint="eastAsia" w:ascii="宋体" w:hAnsi="宋体" w:eastAsia="宋体" w:cs="宋体"/>
          <w:b w:val="0"/>
          <w:bCs w:val="0"/>
          <w:color w:val="000000"/>
          <w:sz w:val="24"/>
          <w:szCs w:val="24"/>
          <w:highlight w:val="none"/>
        </w:rPr>
        <w:t xml:space="preserve">投标文件的语言及度量衡单位</w:t>
      </w:r>
      <w:bookmarkEnd w:id="97"/>
      <w:r/>
      <w:bookmarkEnd w:id="98"/>
      <w:r/>
      <w:bookmarkEnd w:id="99"/>
      <w:r/>
      <w:bookmarkEnd w:id="100"/>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9.2</w:t>
      </w:r>
      <w:r>
        <w:rPr>
          <w:rFonts w:hint="eastAsia" w:ascii="宋体" w:hAnsi="宋体" w:eastAsia="宋体" w:cs="宋体"/>
          <w:color w:val="000000"/>
          <w:sz w:val="24"/>
          <w:szCs w:val="24"/>
          <w:highlight w:val="none"/>
        </w:rPr>
        <w:t xml:space="preserve">除技术性能另有规定外，投标文件所使用的度量衡单位，均须采用国家法定计量单位。</w:t>
      </w:r>
      <w:r/>
    </w:p>
    <w:p>
      <w:pPr>
        <w:pStyle w:val="815"/>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01" w:name="_Toc462564074"/>
      <w:r/>
      <w:bookmarkStart w:id="102" w:name="_Toc20823287"/>
      <w:r/>
      <w:bookmarkStart w:id="103" w:name="_Toc513029215"/>
      <w:r/>
      <w:bookmarkStart w:id="104" w:name="_Toc16938531"/>
      <w:r>
        <w:rPr>
          <w:rFonts w:hint="eastAsia" w:ascii="宋体" w:hAnsi="宋体" w:eastAsia="宋体" w:cs="宋体"/>
          <w:b w:val="0"/>
          <w:bCs w:val="0"/>
          <w:color w:val="000000"/>
          <w:sz w:val="24"/>
          <w:szCs w:val="24"/>
          <w:highlight w:val="none"/>
          <w:lang w:eastAsia="zh-CN"/>
        </w:rPr>
        <w:t xml:space="preserve">10.</w:t>
      </w:r>
      <w:r>
        <w:rPr>
          <w:rFonts w:hint="eastAsia" w:ascii="宋体" w:hAnsi="宋体" w:eastAsia="宋体" w:cs="宋体"/>
          <w:b w:val="0"/>
          <w:bCs w:val="0"/>
          <w:color w:val="000000"/>
          <w:sz w:val="24"/>
          <w:szCs w:val="24"/>
          <w:highlight w:val="none"/>
        </w:rPr>
        <w:t xml:space="preserve">投标文件构成</w:t>
      </w:r>
      <w:bookmarkEnd w:id="101"/>
      <w:r/>
      <w:bookmarkEnd w:id="102"/>
      <w:r/>
      <w:bookmarkEnd w:id="103"/>
      <w:r/>
      <w:bookmarkEnd w:id="104"/>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各投标人在编制投标文件时请按照招标文件第六</w:t>
      </w:r>
      <w:r>
        <w:rPr>
          <w:rFonts w:hint="eastAsia" w:ascii="宋体" w:hAnsi="宋体" w:eastAsia="宋体" w:cs="宋体"/>
          <w:bCs/>
          <w:color w:val="000000"/>
          <w:sz w:val="24"/>
          <w:szCs w:val="24"/>
          <w:highlight w:val="none"/>
        </w:rPr>
        <w:t xml:space="preserve">章</w:t>
      </w:r>
      <w:r>
        <w:rPr>
          <w:rFonts w:hint="eastAsia" w:ascii="宋体" w:hAnsi="宋体" w:eastAsia="宋体" w:cs="宋体"/>
          <w:bCs/>
          <w:color w:val="000000"/>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bookmarkStart w:id="105" w:name="EBc50e2bb832bb43068403b10c1cce6141"/>
      <w:r>
        <w:rPr>
          <w:rFonts w:hint="eastAsia" w:ascii="宋体" w:hAnsi="宋体" w:eastAsia="宋体" w:cs="宋体"/>
          <w:bCs/>
          <w:color w:val="000000"/>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5"/>
      <w:r/>
      <w:r/>
    </w:p>
    <w:p>
      <w:pPr>
        <w:pStyle w:val="815"/>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06" w:name="_Hlt26668975"/>
      <w:r/>
      <w:bookmarkEnd w:id="106"/>
      <w:r/>
      <w:bookmarkStart w:id="107" w:name="_Hlt26954838"/>
      <w:r/>
      <w:bookmarkEnd w:id="107"/>
      <w:r/>
      <w:bookmarkStart w:id="108" w:name="_Hlt26670360"/>
      <w:r/>
      <w:bookmarkEnd w:id="108"/>
      <w:r/>
      <w:bookmarkStart w:id="109" w:name="_Toc513029219"/>
      <w:r/>
      <w:bookmarkStart w:id="110" w:name="_Toc49090507"/>
      <w:r/>
      <w:bookmarkStart w:id="111" w:name="_Toc14577357"/>
      <w:r/>
      <w:bookmarkStart w:id="112" w:name="_Toc49090509"/>
      <w:r/>
      <w:bookmarkStart w:id="113" w:name="_Toc513029216"/>
      <w:r/>
      <w:bookmarkStart w:id="114" w:name="_Toc14577354"/>
      <w:r>
        <w:rPr>
          <w:rFonts w:hint="eastAsia" w:ascii="宋体" w:hAnsi="宋体" w:eastAsia="宋体" w:cs="宋体"/>
          <w:b w:val="0"/>
          <w:bCs w:val="0"/>
          <w:color w:val="000000"/>
          <w:sz w:val="24"/>
          <w:szCs w:val="24"/>
          <w:highlight w:val="none"/>
          <w:lang w:eastAsia="zh-CN"/>
        </w:rPr>
        <w:t xml:space="preserve">11.</w:t>
      </w:r>
      <w:r>
        <w:rPr>
          <w:rFonts w:hint="eastAsia" w:ascii="宋体" w:hAnsi="宋体" w:eastAsia="宋体" w:cs="宋体"/>
          <w:b w:val="0"/>
          <w:bCs w:val="0"/>
          <w:color w:val="000000"/>
          <w:sz w:val="24"/>
          <w:szCs w:val="24"/>
          <w:highlight w:val="none"/>
        </w:rPr>
        <w:t xml:space="preserve">证明投标人及投标标的符合招标文件规定的文件</w:t>
      </w:r>
      <w:bookmarkEnd w:id="109"/>
      <w:r/>
      <w:bookmarkEnd w:id="110"/>
      <w:r/>
      <w:bookmarkEnd w:id="111"/>
      <w:r/>
      <w:bookmarkEnd w:id="112"/>
      <w:r/>
      <w:bookmarkEnd w:id="113"/>
      <w:r/>
      <w:bookmarkEnd w:id="114"/>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bookmarkStart w:id="115" w:name="_Toc14577355"/>
      <w:r/>
      <w:bookmarkStart w:id="116" w:name="_Toc49090508"/>
      <w:r>
        <w:rPr>
          <w:rFonts w:hint="eastAsia" w:ascii="宋体" w:hAnsi="宋体" w:eastAsia="宋体" w:cs="宋体"/>
          <w:color w:val="000000"/>
          <w:sz w:val="24"/>
          <w:szCs w:val="24"/>
          <w:highlight w:val="none"/>
        </w:rPr>
        <w:t xml:space="preserve">11.1投标人应按照</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15"/>
        <w:ind w:firstLine="39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12.</w:t>
      </w:r>
      <w:r>
        <w:rPr>
          <w:rFonts w:hint="eastAsia" w:ascii="宋体" w:hAnsi="宋体" w:eastAsia="宋体" w:cs="宋体"/>
          <w:b w:val="0"/>
          <w:bCs w:val="0"/>
          <w:color w:val="000000"/>
          <w:sz w:val="24"/>
          <w:szCs w:val="24"/>
          <w:highlight w:val="none"/>
        </w:rPr>
        <w:t xml:space="preserve">投标分项报价</w:t>
      </w:r>
      <w:bookmarkEnd w:id="115"/>
      <w:r/>
      <w:bookmarkStart w:id="117" w:name="_Hlt26670373"/>
      <w:r/>
      <w:bookmarkEnd w:id="117"/>
      <w:r>
        <w:rPr>
          <w:rFonts w:hint="eastAsia" w:ascii="宋体" w:hAnsi="宋体" w:eastAsia="宋体" w:cs="宋体"/>
          <w:b w:val="0"/>
          <w:bCs w:val="0"/>
          <w:color w:val="000000"/>
          <w:sz w:val="24"/>
          <w:szCs w:val="24"/>
          <w:highlight w:val="none"/>
        </w:rPr>
        <w:t xml:space="preserve">表</w:t>
      </w:r>
      <w:bookmarkEnd w:id="116"/>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投</w:t>
      </w:r>
      <w:bookmarkStart w:id="118" w:name="_Hlt26954840"/>
      <w:r/>
      <w:bookmarkEnd w:id="118"/>
      <w:r>
        <w:rPr>
          <w:rFonts w:hint="eastAsia" w:ascii="宋体" w:hAnsi="宋体" w:eastAsia="宋体" w:cs="宋体"/>
          <w:color w:val="000000"/>
          <w:sz w:val="24"/>
          <w:szCs w:val="24"/>
          <w:highlight w:val="none"/>
        </w:rPr>
        <w:t xml:space="preserve">标人应按照招标文件规定格式填报投标分项报价表</w:t>
      </w:r>
      <w:bookmarkStart w:id="119" w:name="_Hlt26670399"/>
      <w:r/>
      <w:bookmarkEnd w:id="119"/>
      <w:r>
        <w:rPr>
          <w:rFonts w:hint="eastAsia" w:ascii="宋体" w:hAnsi="宋体" w:eastAsia="宋体" w:cs="宋体"/>
          <w:color w:val="000000"/>
          <w:sz w:val="24"/>
          <w:szCs w:val="24"/>
          <w:highlight w:val="none"/>
        </w:rPr>
        <w:t xml:space="preserve">。</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bCs/>
          <w:color w:val="000000"/>
          <w:sz w:val="24"/>
          <w:szCs w:val="24"/>
          <w:highlight w:val="none"/>
        </w:rPr>
        <w:t xml:space="preserve">投标货币。投标文件中的单价和总价无特殊规定的采用人民币报价，以元为单位标注。</w:t>
      </w:r>
      <w:r>
        <w:rPr>
          <w:rFonts w:hint="eastAsia" w:ascii="宋体" w:hAnsi="宋体" w:eastAsia="宋体" w:cs="宋体"/>
          <w:color w:val="000000"/>
          <w:sz w:val="24"/>
          <w:szCs w:val="24"/>
          <w:highlight w:val="none"/>
        </w:rPr>
        <w:t xml:space="preserve">招标文件中另有规定的按规定执行。</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000000"/>
          <w:sz w:val="24"/>
          <w:szCs w:val="24"/>
          <w:highlight w:val="none"/>
          <w:lang w:eastAsia="zh-CN"/>
        </w:rPr>
        <w:t xml:space="preserve">涉及</w:t>
      </w:r>
      <w:r>
        <w:rPr>
          <w:rFonts w:hint="eastAsia" w:ascii="宋体" w:hAnsi="宋体" w:eastAsia="宋体" w:cs="宋体"/>
          <w:bCs/>
          <w:color w:val="000000"/>
          <w:sz w:val="24"/>
          <w:szCs w:val="24"/>
          <w:highlight w:val="none"/>
        </w:rPr>
        <w:t xml:space="preserve">的一切相关费用。</w:t>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20" w:name="_Hlt26670486"/>
      <w:r/>
      <w:bookmarkEnd w:id="120"/>
      <w:r/>
      <w:bookmarkStart w:id="121" w:name="_Hlt26954848"/>
      <w:r/>
      <w:bookmarkEnd w:id="121"/>
      <w:r/>
      <w:bookmarkStart w:id="122" w:name="_Hlt26670482"/>
      <w:r/>
      <w:bookmarkEnd w:id="122"/>
      <w:r/>
      <w:bookmarkStart w:id="123" w:name="_Hlt26954846"/>
      <w:r/>
      <w:bookmarkEnd w:id="123"/>
      <w:r/>
      <w:bookmarkStart w:id="124" w:name="_Hlt26954842"/>
      <w:r/>
      <w:bookmarkEnd w:id="124"/>
      <w:r/>
      <w:bookmarkStart w:id="125" w:name="_Hlt26668983"/>
      <w:r/>
      <w:bookmarkEnd w:id="125"/>
      <w:r/>
      <w:bookmarkStart w:id="126" w:name="_Hlt26954731"/>
      <w:r/>
      <w:bookmarkEnd w:id="126"/>
      <w:r/>
      <w:bookmarkStart w:id="127" w:name="_Hlt26670425"/>
      <w:r/>
      <w:bookmarkEnd w:id="127"/>
      <w:r/>
      <w:bookmarkStart w:id="128" w:name="_Hlt26954844"/>
      <w:r/>
      <w:bookmarkEnd w:id="128"/>
      <w:r/>
      <w:bookmarkStart w:id="129" w:name="_Hlt26670403"/>
      <w:r/>
      <w:bookmarkEnd w:id="129"/>
      <w:r/>
      <w:bookmarkStart w:id="130" w:name="_Toc49090510"/>
      <w:r/>
      <w:bookmarkStart w:id="131" w:name="_Toc14577359"/>
      <w:r>
        <w:rPr>
          <w:rFonts w:hint="eastAsia" w:ascii="宋体" w:hAnsi="宋体" w:eastAsia="宋体" w:cs="宋体"/>
          <w:b w:val="0"/>
          <w:bCs w:val="0"/>
          <w:color w:val="000000"/>
          <w:sz w:val="24"/>
          <w:szCs w:val="24"/>
          <w:highlight w:val="none"/>
          <w:lang w:eastAsia="zh-CN"/>
        </w:rPr>
        <w:t xml:space="preserve">13.</w:t>
      </w:r>
      <w:r>
        <w:rPr>
          <w:rFonts w:hint="eastAsia" w:ascii="宋体" w:hAnsi="宋体" w:eastAsia="宋体" w:cs="宋体"/>
          <w:b w:val="0"/>
          <w:bCs w:val="0"/>
          <w:color w:val="000000"/>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lang w:val="zh-CN"/>
        </w:rPr>
        <w:t xml:space="preserve">13.1</w:t>
      </w:r>
      <w:r>
        <w:rPr>
          <w:rFonts w:hint="eastAsia" w:ascii="宋体" w:hAnsi="宋体" w:eastAsia="宋体" w:cs="宋体"/>
          <w:color w:val="000000"/>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fill="auto"/>
        <w:widowControl w:val="off"/>
        <w:tabs>
          <w:tab w:val="left" w:pos="103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eastAsia="zh-CN"/>
        </w:rPr>
        <w:t xml:space="preserve">14.</w:t>
      </w:r>
      <w:r>
        <w:rPr>
          <w:rFonts w:hint="eastAsia" w:ascii="宋体" w:hAnsi="宋体" w:eastAsia="宋体" w:cs="宋体"/>
          <w:color w:val="000000"/>
          <w:sz w:val="24"/>
          <w:szCs w:val="24"/>
          <w:highlight w:val="none"/>
        </w:rPr>
        <w:t xml:space="preserve">服务承诺、培训计划、人员安排及其他</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14.1</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14.3投标人需根据招标文件要求提供</w:t>
      </w:r>
      <w:r>
        <w:rPr>
          <w:rFonts w:hint="eastAsia" w:ascii="宋体" w:hAnsi="宋体" w:eastAsia="宋体" w:cs="宋体"/>
          <w:color w:val="000000"/>
          <w:sz w:val="24"/>
          <w:szCs w:val="24"/>
          <w:highlight w:val="none"/>
          <w:lang w:val="zh-CN"/>
        </w:rPr>
        <w:t xml:space="preserve">所投标的的主要组成部分、功能设计、实现思路及关键技术等。</w:t>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15.</w:t>
      </w:r>
      <w:r>
        <w:rPr>
          <w:rFonts w:hint="eastAsia" w:ascii="宋体" w:hAnsi="宋体" w:eastAsia="宋体" w:cs="宋体"/>
          <w:b w:val="0"/>
          <w:bCs w:val="0"/>
          <w:color w:val="000000"/>
          <w:sz w:val="24"/>
          <w:szCs w:val="24"/>
          <w:highlight w:val="none"/>
        </w:rPr>
        <w:t xml:space="preserve">投标声明及承诺函和开标一览表</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15.1</w:t>
      </w:r>
      <w:r>
        <w:rPr>
          <w:rFonts w:hint="eastAsia" w:ascii="宋体" w:hAnsi="宋体" w:eastAsia="宋体" w:cs="宋体"/>
          <w:color w:val="000000"/>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15.2</w:t>
      </w:r>
      <w:r>
        <w:rPr>
          <w:rFonts w:hint="eastAsia" w:ascii="宋体" w:hAnsi="宋体" w:eastAsia="宋体" w:cs="宋体"/>
          <w:color w:val="000000"/>
          <w:sz w:val="24"/>
          <w:szCs w:val="24"/>
          <w:highlight w:val="none"/>
        </w:rPr>
        <w:t xml:space="preserve">对于采用货币报价的项目，</w:t>
      </w:r>
      <w:r>
        <w:rPr>
          <w:rFonts w:hint="eastAsia" w:ascii="宋体" w:hAnsi="宋体" w:eastAsia="宋体" w:cs="宋体"/>
          <w:bCs/>
          <w:color w:val="000000"/>
          <w:sz w:val="24"/>
          <w:szCs w:val="24"/>
          <w:highlight w:val="none"/>
        </w:rPr>
        <w:t xml:space="preserve">开标一览表中的投标总报价应与投标分项报价表中的投标总报价一致，如不一致，</w:t>
      </w:r>
      <w:r>
        <w:rPr>
          <w:rFonts w:hint="eastAsia" w:ascii="宋体" w:hAnsi="宋体" w:eastAsia="宋体" w:cs="宋体"/>
          <w:color w:val="000000"/>
          <w:sz w:val="24"/>
          <w:szCs w:val="24"/>
          <w:highlight w:val="none"/>
        </w:rPr>
        <w:t xml:space="preserve">不作为无效投标处理</w:t>
      </w:r>
      <w:r>
        <w:rPr>
          <w:rFonts w:hint="eastAsia" w:ascii="宋体" w:hAnsi="宋体" w:eastAsia="宋体" w:cs="宋体"/>
          <w:bCs/>
          <w:color w:val="000000"/>
          <w:sz w:val="24"/>
          <w:szCs w:val="24"/>
          <w:highlight w:val="none"/>
        </w:rPr>
        <w:t xml:space="preserve">，但评标时按开标一览表中价格为准</w:t>
      </w:r>
      <w:r>
        <w:rPr>
          <w:rFonts w:hint="eastAsia" w:ascii="宋体" w:hAnsi="宋体" w:eastAsia="宋体" w:cs="宋体"/>
          <w:b/>
          <w:bCs/>
          <w:color w:val="000000"/>
          <w:sz w:val="24"/>
          <w:szCs w:val="24"/>
          <w:highlight w:val="none"/>
        </w:rPr>
        <w:t xml:space="preserve">。</w:t>
      </w:r>
      <w:bookmarkEnd w:id="130"/>
      <w:r/>
      <w:bookmarkEnd w:id="131"/>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32" w:name="_Hlt26954734"/>
      <w:r/>
      <w:bookmarkEnd w:id="132"/>
      <w:r/>
      <w:bookmarkStart w:id="133" w:name="_Hlt26954850"/>
      <w:r/>
      <w:bookmarkEnd w:id="133"/>
      <w:r/>
      <w:bookmarkStart w:id="134" w:name="_Hlt26670489"/>
      <w:r/>
      <w:bookmarkEnd w:id="134"/>
      <w:r/>
      <w:bookmarkStart w:id="135" w:name="_Toc49090511"/>
      <w:r/>
      <w:bookmarkStart w:id="136" w:name="_Toc14577360"/>
      <w:r>
        <w:rPr>
          <w:rFonts w:hint="eastAsia" w:ascii="宋体" w:hAnsi="宋体" w:eastAsia="宋体" w:cs="宋体"/>
          <w:b w:val="0"/>
          <w:bCs w:val="0"/>
          <w:color w:val="000000"/>
          <w:sz w:val="24"/>
          <w:szCs w:val="24"/>
          <w:highlight w:val="none"/>
          <w:lang w:eastAsia="zh-CN"/>
        </w:rPr>
        <w:t xml:space="preserve">16.</w:t>
      </w:r>
      <w:r>
        <w:rPr>
          <w:rFonts w:hint="eastAsia" w:ascii="宋体" w:hAnsi="宋体" w:eastAsia="宋体" w:cs="宋体"/>
          <w:b w:val="0"/>
          <w:bCs w:val="0"/>
          <w:color w:val="000000"/>
          <w:sz w:val="24"/>
          <w:szCs w:val="24"/>
          <w:highlight w:val="none"/>
        </w:rPr>
        <w:t xml:space="preserve">投标有效期</w:t>
      </w:r>
      <w:bookmarkEnd w:id="135"/>
      <w:r/>
      <w:bookmarkEnd w:id="136"/>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16.1</w:t>
      </w:r>
      <w:r>
        <w:rPr>
          <w:rFonts w:hint="eastAsia" w:ascii="宋体" w:hAnsi="宋体" w:eastAsia="宋体" w:cs="宋体"/>
          <w:bCs/>
          <w:color w:val="000000"/>
          <w:sz w:val="24"/>
          <w:szCs w:val="24"/>
          <w:highlight w:val="none"/>
        </w:rPr>
        <w:t xml:space="preserve">投标有效期为开标之日后</w:t>
      </w:r>
      <w:r>
        <w:rPr>
          <w:rFonts w:hint="eastAsia" w:ascii="宋体" w:hAnsi="宋体" w:eastAsia="宋体" w:cs="宋体"/>
          <w:b/>
          <w:color w:val="000000"/>
          <w:sz w:val="24"/>
          <w:szCs w:val="24"/>
          <w:highlight w:val="none"/>
          <w:u w:val="single"/>
        </w:rPr>
        <w:t xml:space="preserve">六十（60）天</w:t>
      </w:r>
      <w:r>
        <w:rPr>
          <w:rFonts w:hint="eastAsia" w:ascii="宋体" w:hAnsi="宋体" w:eastAsia="宋体" w:cs="宋体"/>
          <w:bCs/>
          <w:color w:val="000000"/>
          <w:sz w:val="24"/>
          <w:szCs w:val="24"/>
          <w:highlight w:val="none"/>
        </w:rPr>
        <w:t xml:space="preserve">。投标有效期比规定短的将被视为未实质性响应招标文件而予以拒绝。</w:t>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17.</w:t>
      </w:r>
      <w:r>
        <w:rPr>
          <w:rFonts w:hint="eastAsia" w:ascii="宋体" w:hAnsi="宋体" w:eastAsia="宋体" w:cs="宋体"/>
          <w:b w:val="0"/>
          <w:bCs w:val="0"/>
          <w:color w:val="000000"/>
          <w:sz w:val="24"/>
          <w:szCs w:val="24"/>
          <w:highlight w:val="none"/>
        </w:rPr>
        <w:t xml:space="preserve">投标有效期的延长</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17.1</w:t>
      </w:r>
      <w:r>
        <w:rPr>
          <w:rFonts w:hint="eastAsia" w:ascii="宋体" w:hAnsi="宋体" w:eastAsia="宋体" w:cs="宋体"/>
          <w:bCs/>
          <w:color w:val="000000"/>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同意延长投标有效期的投标人既不能要求也不允许修改其投标文件</w:t>
      </w:r>
      <w:r>
        <w:rPr>
          <w:rFonts w:hint="eastAsia" w:ascii="宋体" w:hAnsi="宋体" w:eastAsia="宋体" w:cs="宋体"/>
          <w:color w:val="000000"/>
          <w:sz w:val="24"/>
          <w:szCs w:val="24"/>
          <w:highlight w:val="none"/>
        </w:rPr>
        <w:t xml:space="preserve">，同时受投标有效期约束的所有权利与义务均延长至新的有效期</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17.2中标人的投标文件作为项目合同的附件，其有效期至中标人全部合同义务履行完毕为止。</w:t>
      </w:r>
      <w:r/>
    </w:p>
    <w:p>
      <w:pPr>
        <w:pStyle w:val="813"/>
        <w:ind w:firstLine="480"/>
        <w:keepLines w:val="0"/>
        <w:keepNext w:val="0"/>
        <w:pageBreakBefore w:val="0"/>
        <w:spacing w:before="0" w:after="0" w:line="400" w:lineRule="exact"/>
        <w:shd w:val="clear" w:color="auto" w:fill="auto"/>
        <w:widowControl w:val="off"/>
        <w:rPr>
          <w:rFonts w:hint="eastAsia" w:ascii="宋体" w:hAnsi="宋体" w:eastAsia="宋体" w:cs="宋体"/>
          <w:b/>
          <w:bCs/>
          <w:color w:val="000000"/>
          <w:sz w:val="24"/>
          <w:szCs w:val="24"/>
          <w:highlight w:val="none"/>
        </w:rPr>
      </w:pPr>
      <w:r/>
      <w:bookmarkStart w:id="137" w:name="_Hlt26954852"/>
      <w:r/>
      <w:bookmarkEnd w:id="137"/>
      <w:r/>
      <w:bookmarkStart w:id="138" w:name="_Hlt26954739"/>
      <w:r/>
      <w:bookmarkEnd w:id="138"/>
      <w:r/>
      <w:bookmarkStart w:id="139" w:name="_Toc16938540"/>
      <w:r/>
      <w:bookmarkStart w:id="140" w:name="_Toc120614217"/>
      <w:r/>
      <w:bookmarkStart w:id="141" w:name="_Toc20823296"/>
      <w:r/>
      <w:bookmarkStart w:id="142" w:name="_Toc513029224"/>
      <w:r>
        <w:rPr>
          <w:rFonts w:hint="eastAsia" w:ascii="宋体" w:hAnsi="宋体" w:eastAsia="宋体" w:cs="宋体"/>
          <w:b/>
          <w:bCs/>
          <w:color w:val="000000"/>
          <w:sz w:val="24"/>
          <w:szCs w:val="24"/>
          <w:highlight w:val="none"/>
        </w:rPr>
        <w:t xml:space="preserve">四、投标文件的递交</w:t>
      </w:r>
      <w:bookmarkEnd w:id="139"/>
      <w:r/>
      <w:bookmarkEnd w:id="140"/>
      <w:r/>
      <w:bookmarkEnd w:id="141"/>
      <w:r/>
      <w:bookmarkEnd w:id="142"/>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43" w:name="_Toc16938541"/>
      <w:r/>
      <w:bookmarkStart w:id="144" w:name="_Toc513029225"/>
      <w:r/>
      <w:bookmarkStart w:id="145" w:name="_Toc20823297"/>
      <w:r/>
      <w:bookmarkStart w:id="146" w:name="_Toc462564084"/>
      <w:r>
        <w:rPr>
          <w:rFonts w:hint="eastAsia" w:ascii="宋体" w:hAnsi="宋体" w:eastAsia="宋体" w:cs="宋体"/>
          <w:b w:val="0"/>
          <w:bCs w:val="0"/>
          <w:color w:val="000000"/>
          <w:sz w:val="24"/>
          <w:szCs w:val="24"/>
          <w:highlight w:val="none"/>
          <w:lang w:eastAsia="zh-CN"/>
        </w:rPr>
        <w:t xml:space="preserve">18.</w:t>
      </w:r>
      <w:r>
        <w:rPr>
          <w:rFonts w:hint="eastAsia" w:ascii="宋体" w:hAnsi="宋体" w:eastAsia="宋体" w:cs="宋体"/>
          <w:b w:val="0"/>
          <w:bCs w:val="0"/>
          <w:color w:val="000000"/>
          <w:sz w:val="24"/>
          <w:szCs w:val="24"/>
          <w:highlight w:val="none"/>
        </w:rPr>
        <w:t xml:space="preserve">投标文件</w:t>
      </w:r>
      <w:bookmarkEnd w:id="143"/>
      <w:r/>
      <w:bookmarkEnd w:id="144"/>
      <w:r/>
      <w:bookmarkEnd w:id="145"/>
      <w:r/>
      <w:bookmarkEnd w:id="146"/>
      <w:r>
        <w:rPr>
          <w:rFonts w:hint="eastAsia" w:ascii="宋体" w:hAnsi="宋体" w:eastAsia="宋体" w:cs="宋体"/>
          <w:b w:val="0"/>
          <w:bCs w:val="0"/>
          <w:color w:val="000000"/>
          <w:sz w:val="24"/>
          <w:szCs w:val="24"/>
          <w:highlight w:val="none"/>
        </w:rPr>
        <w:t xml:space="preserve">的递交</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147" w:name="_Toc16938542"/>
      <w:r/>
      <w:bookmarkStart w:id="148" w:name="_Toc513029226"/>
      <w:r/>
      <w:bookmarkStart w:id="149" w:name="_Toc20823298"/>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19.</w:t>
      </w:r>
      <w:r>
        <w:rPr>
          <w:rFonts w:hint="eastAsia" w:ascii="宋体" w:hAnsi="宋体" w:eastAsia="宋体" w:cs="宋体"/>
          <w:b w:val="0"/>
          <w:color w:val="000000"/>
          <w:sz w:val="24"/>
          <w:szCs w:val="24"/>
          <w:highlight w:val="none"/>
        </w:rPr>
        <w:t xml:space="preserve">投标截止</w:t>
      </w:r>
      <w:bookmarkEnd w:id="147"/>
      <w:r/>
      <w:bookmarkEnd w:id="148"/>
      <w:r/>
      <w:bookmarkEnd w:id="149"/>
      <w:r>
        <w:rPr>
          <w:rFonts w:hint="eastAsia" w:ascii="宋体" w:hAnsi="宋体" w:eastAsia="宋体" w:cs="宋体"/>
          <w:b w:val="0"/>
          <w:color w:val="000000"/>
          <w:sz w:val="24"/>
          <w:szCs w:val="24"/>
          <w:highlight w:val="none"/>
        </w:rPr>
        <w:t xml:space="preserve">时间</w:t>
      </w:r>
      <w:r/>
    </w:p>
    <w:p>
      <w:pPr>
        <w:ind w:firstLine="480"/>
        <w:keepLines w:val="0"/>
        <w:keepNext w:val="0"/>
        <w:pageBreakBefore w:val="0"/>
        <w:spacing w:line="400" w:lineRule="exact"/>
        <w:shd w:val="clear" w:color="auto" w:fill="auto"/>
        <w:widowControl w:val="off"/>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19.2</w:t>
      </w:r>
      <w:r>
        <w:rPr>
          <w:rFonts w:hint="eastAsia" w:ascii="宋体" w:hAnsi="宋体" w:eastAsia="宋体" w:cs="宋体"/>
          <w:bCs/>
          <w:color w:val="000000"/>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50" w:name="_Toc20823299"/>
      <w:r/>
      <w:bookmarkStart w:id="151" w:name="_Toc513029227"/>
      <w:r/>
      <w:bookmarkStart w:id="152" w:name="_Toc16938543"/>
      <w:r>
        <w:rPr>
          <w:rFonts w:hint="eastAsia" w:ascii="宋体" w:hAnsi="宋体" w:eastAsia="宋体" w:cs="宋体"/>
          <w:b w:val="0"/>
          <w:bCs w:val="0"/>
          <w:color w:val="000000"/>
          <w:sz w:val="24"/>
          <w:szCs w:val="24"/>
          <w:highlight w:val="none"/>
          <w:lang w:eastAsia="zh-CN"/>
        </w:rPr>
        <w:t xml:space="preserve">20.</w:t>
      </w:r>
      <w:r>
        <w:rPr>
          <w:rFonts w:hint="eastAsia" w:ascii="宋体" w:hAnsi="宋体" w:eastAsia="宋体" w:cs="宋体"/>
          <w:b w:val="0"/>
          <w:bCs w:val="0"/>
          <w:color w:val="000000"/>
          <w:sz w:val="24"/>
          <w:szCs w:val="24"/>
          <w:highlight w:val="none"/>
        </w:rPr>
        <w:t xml:space="preserve">投标文件</w:t>
      </w:r>
      <w:bookmarkEnd w:id="150"/>
      <w:r/>
      <w:bookmarkEnd w:id="151"/>
      <w:r/>
      <w:bookmarkEnd w:id="152"/>
      <w:r>
        <w:rPr>
          <w:rFonts w:hint="eastAsia" w:ascii="宋体" w:hAnsi="宋体" w:eastAsia="宋体" w:cs="宋体"/>
          <w:b w:val="0"/>
          <w:bCs w:val="0"/>
          <w:color w:val="000000"/>
          <w:sz w:val="24"/>
          <w:szCs w:val="24"/>
          <w:highlight w:val="none"/>
        </w:rPr>
        <w:t xml:space="preserve">的拒收</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20.1</w:t>
      </w:r>
      <w:r>
        <w:rPr>
          <w:rFonts w:hint="eastAsia" w:ascii="宋体" w:hAnsi="宋体" w:eastAsia="宋体" w:cs="宋体"/>
          <w:bCs/>
          <w:color w:val="000000"/>
          <w:sz w:val="24"/>
          <w:szCs w:val="24"/>
          <w:highlight w:val="none"/>
        </w:rPr>
        <w:t xml:space="preserve">采购代理机构拒绝接收在其规定的投标截止时间后上传的任何投标文件。</w:t>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53" w:name="_Toc16938544"/>
      <w:r/>
      <w:bookmarkStart w:id="154" w:name="_Toc20823300"/>
      <w:r/>
      <w:bookmarkStart w:id="155" w:name="_Toc513029228"/>
      <w:r/>
      <w:bookmarkStart w:id="156" w:name="_Toc513029229"/>
      <w:r/>
      <w:bookmarkStart w:id="157" w:name="_Toc20823301"/>
      <w:r/>
      <w:bookmarkStart w:id="158" w:name="_Toc120614218"/>
      <w:r/>
      <w:bookmarkStart w:id="159" w:name="_Toc16938545"/>
      <w:r>
        <w:rPr>
          <w:rFonts w:hint="eastAsia" w:ascii="宋体" w:hAnsi="宋体" w:eastAsia="宋体" w:cs="宋体"/>
          <w:b w:val="0"/>
          <w:bCs w:val="0"/>
          <w:color w:val="000000"/>
          <w:sz w:val="24"/>
          <w:szCs w:val="24"/>
          <w:highlight w:val="none"/>
          <w:lang w:eastAsia="zh-CN"/>
        </w:rPr>
        <w:t xml:space="preserve">21.</w:t>
      </w:r>
      <w:r>
        <w:rPr>
          <w:rFonts w:hint="eastAsia" w:ascii="宋体" w:hAnsi="宋体" w:eastAsia="宋体" w:cs="宋体"/>
          <w:b w:val="0"/>
          <w:bCs w:val="0"/>
          <w:color w:val="000000"/>
          <w:sz w:val="24"/>
          <w:szCs w:val="24"/>
          <w:highlight w:val="none"/>
        </w:rPr>
        <w:t xml:space="preserve">投标文件的撤回和修改</w:t>
      </w:r>
      <w:bookmarkEnd w:id="153"/>
      <w:r/>
      <w:bookmarkEnd w:id="154"/>
      <w:r/>
      <w:bookmarkEnd w:id="155"/>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21.1投标文件的撤回</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21.1.1电子投标文件的撤回</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21.2投标文件的修改</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21.2.2</w:t>
      </w:r>
      <w:r>
        <w:rPr>
          <w:rFonts w:hint="eastAsia" w:ascii="宋体" w:hAnsi="宋体" w:eastAsia="宋体" w:cs="宋体"/>
          <w:bCs/>
          <w:color w:val="000000"/>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21.3</w:t>
      </w:r>
      <w:r>
        <w:rPr>
          <w:rFonts w:hint="eastAsia" w:ascii="宋体" w:hAnsi="宋体" w:eastAsia="宋体" w:cs="宋体"/>
          <w:bCs/>
          <w:color w:val="000000"/>
          <w:sz w:val="24"/>
          <w:szCs w:val="24"/>
          <w:highlight w:val="none"/>
        </w:rPr>
        <w:t xml:space="preserve">在投标截止时间至招标文件中规定的投标有效期满之间的这段时间内，投标人不得撤回其投标。</w:t>
      </w:r>
      <w:r/>
    </w:p>
    <w:p>
      <w:pPr>
        <w:pStyle w:val="813"/>
        <w:ind w:firstLine="480"/>
        <w:keepLines w:val="0"/>
        <w:keepNext w:val="0"/>
        <w:pageBreakBefore w:val="0"/>
        <w:spacing w:before="0" w:after="0" w:line="400" w:lineRule="exact"/>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五、开标与评标</w:t>
      </w:r>
      <w:bookmarkEnd w:id="156"/>
      <w:r/>
      <w:bookmarkEnd w:id="157"/>
      <w:r/>
      <w:bookmarkEnd w:id="158"/>
      <w:r/>
      <w:bookmarkEnd w:id="159"/>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60" w:name="_Toc513029230"/>
      <w:r/>
      <w:bookmarkStart w:id="161" w:name="_Toc16938546"/>
      <w:r/>
      <w:bookmarkStart w:id="162" w:name="_Toc20823302"/>
      <w:r/>
      <w:bookmarkStart w:id="163" w:name="_Toc513029231"/>
      <w:r/>
      <w:bookmarkStart w:id="164" w:name="_Toc20823303"/>
      <w:r/>
      <w:bookmarkStart w:id="165" w:name="_Toc16938547"/>
      <w:r>
        <w:rPr>
          <w:rFonts w:hint="eastAsia" w:ascii="宋体" w:hAnsi="宋体" w:eastAsia="宋体" w:cs="宋体"/>
          <w:b w:val="0"/>
          <w:bCs w:val="0"/>
          <w:color w:val="000000"/>
          <w:sz w:val="24"/>
          <w:szCs w:val="24"/>
          <w:highlight w:val="none"/>
          <w:lang w:eastAsia="zh-CN"/>
        </w:rPr>
        <w:t xml:space="preserve">22.</w:t>
      </w:r>
      <w:r>
        <w:rPr>
          <w:rFonts w:hint="eastAsia" w:ascii="宋体" w:hAnsi="宋体" w:eastAsia="宋体" w:cs="宋体"/>
          <w:b w:val="0"/>
          <w:bCs w:val="0"/>
          <w:color w:val="000000"/>
          <w:sz w:val="24"/>
          <w:szCs w:val="24"/>
          <w:highlight w:val="none"/>
        </w:rPr>
        <w:t xml:space="preserve">开标</w:t>
      </w:r>
      <w:bookmarkEnd w:id="160"/>
      <w:r/>
      <w:bookmarkEnd w:id="161"/>
      <w:r/>
      <w:bookmarkEnd w:id="162"/>
      <w:r/>
      <w:r/>
    </w:p>
    <w:p>
      <w:pPr>
        <w:pStyle w:val="881"/>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采购代理机构将在招标公告中规定的时间和地点组织公开开标</w:t>
      </w:r>
      <w:r>
        <w:rPr>
          <w:rFonts w:hint="eastAsia" w:ascii="宋体" w:hAnsi="宋体" w:eastAsia="宋体" w:cs="宋体"/>
          <w:color w:val="000000"/>
          <w:sz w:val="24"/>
          <w:szCs w:val="24"/>
          <w:highlight w:val="none"/>
          <w:lang w:val="en-US"/>
        </w:rPr>
        <w:t xml:space="preserve">。投标人应当按照《“苏采云”系统</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rPr>
        <w:t xml:space="preserve">操作手册》规定，参加开标活动和在“苏采云”系统规定的时间内对投标文件进行解密。</w:t>
      </w:r>
      <w:r/>
    </w:p>
    <w:p>
      <w:pPr>
        <w:pStyle w:val="881"/>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22.3投标人在开标过程中</w:t>
      </w:r>
      <w:r>
        <w:rPr>
          <w:rFonts w:hint="eastAsia" w:ascii="宋体" w:hAnsi="宋体" w:eastAsia="宋体" w:cs="宋体"/>
          <w:bCs/>
          <w:color w:val="000000"/>
          <w:sz w:val="24"/>
          <w:szCs w:val="24"/>
          <w:highlight w:val="none"/>
          <w:lang w:eastAsia="zh-CN"/>
        </w:rPr>
        <w:t xml:space="preserve">涉及</w:t>
      </w:r>
      <w:r>
        <w:rPr>
          <w:rFonts w:hint="eastAsia" w:ascii="宋体" w:hAnsi="宋体" w:eastAsia="宋体" w:cs="宋体"/>
          <w:bCs/>
          <w:color w:val="000000"/>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eastAsia="zh-CN"/>
        </w:rPr>
        <w:t xml:space="preserve">23.</w:t>
      </w:r>
      <w:r>
        <w:rPr>
          <w:rFonts w:hint="eastAsia" w:ascii="宋体" w:hAnsi="宋体" w:eastAsia="宋体" w:cs="宋体"/>
          <w:color w:val="000000"/>
          <w:sz w:val="24"/>
          <w:szCs w:val="24"/>
          <w:highlight w:val="none"/>
        </w:rPr>
        <w:t xml:space="preserve">评标委员会</w:t>
      </w:r>
      <w:r/>
    </w:p>
    <w:p>
      <w:pPr>
        <w:ind w:firstLine="480"/>
        <w:keepLines w:val="0"/>
        <w:keepNext w:val="0"/>
        <w:pageBreakBefore w:val="0"/>
        <w:spacing w:line="400" w:lineRule="exact"/>
        <w:shd w:val="clear" w:color="auto" w:fill="auto"/>
        <w:widowControl w:val="off"/>
        <w:rPr>
          <w:rFonts w:hint="eastAsia" w:ascii="宋体" w:hAnsi="宋体" w:eastAsia="宋体" w:cs="宋体"/>
          <w:b/>
          <w:color w:val="000000"/>
          <w:sz w:val="24"/>
          <w:szCs w:val="24"/>
          <w:highlight w:val="none"/>
        </w:rPr>
        <w:outlineLvl w:val="3"/>
      </w:pPr>
      <w:r>
        <w:rPr>
          <w:rFonts w:hint="eastAsia" w:ascii="宋体" w:hAnsi="宋体" w:eastAsia="宋体" w:cs="宋体"/>
          <w:color w:val="000000"/>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23.3评委会独立工作，负责评审所有投标文件并确定中标候选人。</w:t>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24.</w:t>
      </w:r>
      <w:r>
        <w:rPr>
          <w:rFonts w:hint="eastAsia" w:ascii="宋体" w:hAnsi="宋体" w:eastAsia="宋体" w:cs="宋体"/>
          <w:b w:val="0"/>
          <w:bCs w:val="0"/>
          <w:color w:val="000000"/>
          <w:sz w:val="24"/>
          <w:szCs w:val="24"/>
          <w:highlight w:val="none"/>
        </w:rPr>
        <w:t xml:space="preserve">评标过程的保密与公正</w:t>
      </w:r>
      <w:bookmarkEnd w:id="163"/>
      <w:r/>
      <w:bookmarkEnd w:id="164"/>
      <w:r/>
      <w:bookmarkEnd w:id="165"/>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24.1</w:t>
      </w:r>
      <w:r>
        <w:rPr>
          <w:rFonts w:hint="eastAsia" w:ascii="宋体" w:hAnsi="宋体" w:eastAsia="宋体" w:cs="宋体"/>
          <w:bCs/>
          <w:color w:val="000000"/>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24.4采用综合评分法的项目，未中标的投标人可于中标结果公告期限届满之日起通过“苏采云”系统查看自己的评审得分及排序情况。</w:t>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66" w:name="_Toc16938548"/>
      <w:r/>
      <w:bookmarkStart w:id="167" w:name="_Toc513029232"/>
      <w:r/>
      <w:bookmarkStart w:id="168" w:name="_Toc20823304"/>
      <w:r>
        <w:rPr>
          <w:rFonts w:hint="eastAsia" w:ascii="宋体" w:hAnsi="宋体" w:eastAsia="宋体" w:cs="宋体"/>
          <w:b w:val="0"/>
          <w:bCs w:val="0"/>
          <w:color w:val="000000"/>
          <w:sz w:val="24"/>
          <w:szCs w:val="24"/>
          <w:highlight w:val="none"/>
          <w:lang w:eastAsia="zh-CN"/>
        </w:rPr>
        <w:t xml:space="preserve">25.</w:t>
      </w:r>
      <w:r>
        <w:rPr>
          <w:rFonts w:hint="eastAsia" w:ascii="宋体" w:hAnsi="宋体" w:eastAsia="宋体" w:cs="宋体"/>
          <w:b w:val="0"/>
          <w:bCs w:val="0"/>
          <w:color w:val="000000"/>
          <w:sz w:val="24"/>
          <w:szCs w:val="24"/>
          <w:highlight w:val="none"/>
        </w:rPr>
        <w:t xml:space="preserve">投标文件的澄清</w:t>
      </w:r>
      <w:bookmarkEnd w:id="166"/>
      <w:r/>
      <w:bookmarkEnd w:id="167"/>
      <w:r/>
      <w:bookmarkEnd w:id="168"/>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评委会并非对每个投标人都做澄清要求。</w:t>
      </w:r>
      <w:r/>
    </w:p>
    <w:p>
      <w:pPr>
        <w:pStyle w:val="881"/>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.2需要投标人进行澄清、说明和补正的，</w:t>
      </w:r>
      <w:r>
        <w:rPr>
          <w:rFonts w:hint="eastAsia" w:ascii="宋体" w:hAnsi="宋体" w:eastAsia="宋体" w:cs="宋体"/>
          <w:color w:val="000000"/>
          <w:sz w:val="24"/>
          <w:szCs w:val="24"/>
          <w:highlight w:val="none"/>
          <w:lang w:val="en-US"/>
        </w:rPr>
        <w:t xml:space="preserve">本项目投标人的澄清、说明或者补正采用线上澄清，</w:t>
      </w:r>
      <w:r>
        <w:rPr>
          <w:rFonts w:hint="eastAsia" w:ascii="宋体" w:hAnsi="宋体" w:eastAsia="宋体" w:cs="宋体"/>
          <w:color w:val="000000"/>
          <w:sz w:val="24"/>
          <w:szCs w:val="24"/>
          <w:highlight w:val="none"/>
        </w:rPr>
        <w:t xml:space="preserve">评委会将通过</w:t>
      </w:r>
      <w:r>
        <w:rPr>
          <w:rFonts w:hint="eastAsia" w:ascii="宋体" w:hAnsi="宋体" w:eastAsia="宋体" w:cs="宋体"/>
          <w:color w:val="000000"/>
          <w:sz w:val="24"/>
          <w:szCs w:val="24"/>
          <w:highlight w:val="none"/>
          <w:lang w:val="en-US"/>
        </w:rPr>
        <w:t xml:space="preserve">“苏采云”系统</w:t>
      </w:r>
      <w:r>
        <w:rPr>
          <w:rFonts w:hint="eastAsia" w:ascii="宋体" w:hAnsi="宋体" w:eastAsia="宋体" w:cs="宋体"/>
          <w:color w:val="000000"/>
          <w:sz w:val="24"/>
          <w:szCs w:val="24"/>
          <w:highlight w:val="none"/>
        </w:rPr>
        <w:t xml:space="preserve">向投标人发出“澄清要求函”，接到“澄清要求函”的投标人应当按照要求</w:t>
      </w:r>
      <w:r>
        <w:rPr>
          <w:rFonts w:hint="eastAsia" w:ascii="宋体" w:hAnsi="宋体" w:eastAsia="宋体" w:cs="宋体"/>
          <w:color w:val="000000"/>
          <w:sz w:val="24"/>
          <w:szCs w:val="24"/>
          <w:highlight w:val="none"/>
          <w:lang w:val="en-US"/>
        </w:rPr>
        <w:t xml:space="preserve">在规定时间内通过“苏采云”系统</w:t>
      </w:r>
      <w:r>
        <w:rPr>
          <w:rFonts w:hint="eastAsia" w:ascii="宋体" w:hAnsi="宋体" w:eastAsia="宋体" w:cs="宋体"/>
          <w:color w:val="000000"/>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bookmarkStart w:id="169" w:name="_Toc16938549"/>
      <w:r/>
      <w:bookmarkStart w:id="170" w:name="_Toc20823305"/>
      <w:r/>
      <w:bookmarkStart w:id="171" w:name="_Toc513029233"/>
      <w:r>
        <w:rPr>
          <w:rFonts w:hint="eastAsia" w:ascii="宋体" w:hAnsi="宋体" w:eastAsia="宋体" w:cs="宋体"/>
          <w:b w:val="0"/>
          <w:bCs w:val="0"/>
          <w:color w:val="000000"/>
          <w:sz w:val="24"/>
          <w:szCs w:val="24"/>
          <w:highlight w:val="none"/>
          <w:lang w:eastAsia="zh-CN"/>
        </w:rPr>
        <w:t xml:space="preserve">26.</w:t>
      </w:r>
      <w:r>
        <w:rPr>
          <w:rFonts w:hint="eastAsia" w:ascii="宋体" w:hAnsi="宋体" w:eastAsia="宋体" w:cs="宋体"/>
          <w:b w:val="0"/>
          <w:bCs w:val="0"/>
          <w:color w:val="000000"/>
          <w:sz w:val="24"/>
          <w:szCs w:val="24"/>
          <w:highlight w:val="none"/>
        </w:rPr>
        <w:t xml:space="preserve">对投标文件的初审</w:t>
      </w:r>
      <w:bookmarkEnd w:id="169"/>
      <w:r/>
      <w:bookmarkEnd w:id="170"/>
      <w:r/>
      <w:bookmarkEnd w:id="171"/>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bCs/>
          <w:color w:val="000000"/>
          <w:sz w:val="24"/>
          <w:szCs w:val="24"/>
          <w:highlight w:val="none"/>
        </w:rPr>
        <w:t xml:space="preserve">投标文件初审分为资格审查和符合性审查。</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26.1.1资格审查：依据法律法规和招标文件的规定，</w:t>
      </w:r>
      <w:r>
        <w:rPr>
          <w:rFonts w:hint="eastAsia" w:ascii="宋体" w:hAnsi="宋体" w:eastAsia="宋体" w:cs="宋体"/>
          <w:color w:val="000000"/>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000000"/>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000000"/>
          <w:sz w:val="24"/>
          <w:szCs w:val="24"/>
          <w:highlight w:val="none"/>
          <w:lang w:eastAsia="zh-CN"/>
        </w:rPr>
        <w:t xml:space="preserve">不符</w:t>
      </w:r>
      <w:r>
        <w:rPr>
          <w:rFonts w:hint="eastAsia" w:ascii="宋体" w:hAnsi="宋体" w:eastAsia="宋体" w:cs="宋体"/>
          <w:color w:val="000000"/>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26.4</w:t>
      </w:r>
      <w:r>
        <w:rPr>
          <w:rFonts w:hint="eastAsia" w:ascii="宋体" w:hAnsi="宋体" w:eastAsia="宋体" w:cs="宋体"/>
          <w:bCs/>
          <w:color w:val="000000"/>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26.5</w:t>
      </w:r>
      <w:r>
        <w:rPr>
          <w:rFonts w:hint="eastAsia" w:ascii="宋体" w:hAnsi="宋体" w:eastAsia="宋体" w:cs="宋体"/>
          <w:bCs/>
          <w:color w:val="000000"/>
          <w:sz w:val="24"/>
          <w:szCs w:val="24"/>
          <w:highlight w:val="none"/>
        </w:rPr>
        <w:t xml:space="preserve">评委会将按上述修正错误的方法调整投标文件中的投标报价，并通过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26.</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评委会认为</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的报价明显低于其他通过符合性审查</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的报价，有可能影响产品质量或者不能诚信履约的，要求其在合理的时间内提供说明，必要时提交相关证明材料</w:t>
      </w:r>
      <w:r>
        <w:rPr>
          <w:rFonts w:hint="eastAsia" w:ascii="宋体" w:hAnsi="宋体" w:eastAsia="宋体" w:cs="宋体"/>
          <w:color w:val="000000"/>
          <w:sz w:val="24"/>
          <w:szCs w:val="24"/>
          <w:highlight w:val="none"/>
        </w:rPr>
        <w:t xml:space="preserve">电子件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投标人</w:t>
      </w:r>
      <w:r>
        <w:rPr>
          <w:rFonts w:hint="eastAsia" w:ascii="宋体" w:hAnsi="宋体" w:eastAsia="宋体" w:cs="宋体"/>
          <w:bCs/>
          <w:color w:val="000000"/>
          <w:sz w:val="24"/>
          <w:highlight w:val="none"/>
        </w:rPr>
        <w:t xml:space="preserve">不能证明其报价合理性的，评委会</w:t>
      </w:r>
      <w:r>
        <w:rPr>
          <w:rFonts w:hint="eastAsia" w:ascii="宋体" w:hAnsi="宋体" w:eastAsia="宋体" w:cs="宋体"/>
          <w:color w:val="000000"/>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异常低价投标审查</w:t>
      </w:r>
      <w:r/>
    </w:p>
    <w:p>
      <w:pPr>
        <w:ind w:firstLine="48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政府采购评审中出现下列情形之一的，评审委员会应当启动异常低价投标（响应）审查程序：</w:t>
      </w:r>
      <w:r/>
    </w:p>
    <w:p>
      <w:pPr>
        <w:ind w:firstLine="48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1投标（响应）报价低于全部通过符合性审查</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投标（响应）报价平均值50%的，即投标（响应）报价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全部通过符合性审查</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投标（响应）报价平均值×50%；</w:t>
      </w:r>
      <w:r/>
    </w:p>
    <w:p>
      <w:pPr>
        <w:ind w:firstLine="48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26.7.</w:t>
      </w:r>
      <w:r>
        <w:rPr>
          <w:rFonts w:hint="eastAsia" w:ascii="宋体" w:hAnsi="宋体" w:eastAsia="宋体" w:cs="宋体"/>
          <w:color w:val="000000"/>
          <w:sz w:val="24"/>
          <w:szCs w:val="24"/>
          <w:highlight w:val="none"/>
        </w:rPr>
        <w:t xml:space="preserve">2投标（响应）报价低于通过符合性审查的次低报价</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投标（响应）报价50%的，即投标（响应）报价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通过符合性审查的次低报价</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投标（响应）报价×50%；</w:t>
      </w:r>
      <w:r/>
    </w:p>
    <w:p>
      <w:pPr>
        <w:ind w:firstLine="48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26.7.3</w:t>
      </w:r>
      <w:r>
        <w:rPr>
          <w:rFonts w:hint="eastAsia" w:ascii="宋体" w:hAnsi="宋体" w:eastAsia="宋体" w:cs="宋体"/>
          <w:color w:val="000000"/>
          <w:sz w:val="24"/>
          <w:szCs w:val="24"/>
          <w:highlight w:val="none"/>
        </w:rPr>
        <w:t xml:space="preserve">投标（响应）报价低于采购项目最高限价45%的，即投标（响应）报价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采购项目最高限价×45%；</w:t>
      </w:r>
      <w:r/>
    </w:p>
    <w:p>
      <w:pPr>
        <w:ind w:firstLine="48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26.7.4</w:t>
      </w:r>
      <w:r>
        <w:rPr>
          <w:rFonts w:hint="eastAsia" w:ascii="宋体" w:hAnsi="宋体" w:eastAsia="宋体" w:cs="宋体"/>
          <w:color w:val="000000"/>
          <w:sz w:val="24"/>
          <w:szCs w:val="24"/>
          <w:highlight w:val="none"/>
        </w:rPr>
        <w:t xml:space="preserve">评审委员会基于专业判断，认为</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报价过低，有可能影响产品质量或者不能诚信履约的其他情形。</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的合理时间一般不少于30分钟。其中，属于第3项情形，</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已随投标（响应）文件一并提交相关书面说明电子件及必要的证明材料电子件的，评审现场可不再重复提交。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bookmarkStart w:id="172" w:name="_Toc20823306"/>
      <w:r/>
      <w:bookmarkStart w:id="173" w:name="_Toc513029234"/>
      <w:r/>
      <w:bookmarkStart w:id="174" w:name="_Toc16938550"/>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投标人在开、评标全过程中应随时保持系统在线，及时在“苏采云”系统查阅、答复相关信息。</w:t>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27.</w:t>
      </w:r>
      <w:bookmarkEnd w:id="172"/>
      <w:r/>
      <w:bookmarkEnd w:id="173"/>
      <w:r/>
      <w:bookmarkEnd w:id="174"/>
      <w:r>
        <w:rPr>
          <w:rFonts w:hint="eastAsia" w:ascii="宋体" w:hAnsi="宋体" w:eastAsia="宋体" w:cs="宋体"/>
          <w:b w:val="0"/>
          <w:bCs w:val="0"/>
          <w:color w:val="000000"/>
          <w:sz w:val="24"/>
          <w:szCs w:val="24"/>
          <w:highlight w:val="none"/>
        </w:rPr>
        <w:t xml:space="preserve">无效投标条款和废标条款</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bookmarkStart w:id="175" w:name="_Toc16938551"/>
      <w:r/>
      <w:bookmarkStart w:id="176" w:name="_Toc513029235"/>
      <w:r/>
      <w:bookmarkStart w:id="177" w:name="_Toc20823307"/>
      <w:r>
        <w:rPr>
          <w:rFonts w:hint="eastAsia" w:ascii="宋体" w:hAnsi="宋体" w:eastAsia="宋体" w:cs="宋体"/>
          <w:bCs/>
          <w:color w:val="000000"/>
          <w:sz w:val="24"/>
          <w:szCs w:val="24"/>
          <w:highlight w:val="none"/>
        </w:rPr>
        <w:t xml:space="preserve">27.1无效投标条款</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27.1.1投标人在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规定的时间内未成功解密电子投标文件的。</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fill="auto"/>
        <w:widowControl w:val="off"/>
        <w:rPr>
          <w:rFonts w:hint="eastAsia" w:ascii="宋体" w:hAnsi="宋体" w:eastAsia="宋体" w:cs="宋体"/>
          <w:bCs/>
          <w:i/>
          <w:color w:val="000000"/>
          <w:sz w:val="24"/>
          <w:szCs w:val="24"/>
          <w:highlight w:val="none"/>
          <w:u w:val="single"/>
        </w:rPr>
      </w:pPr>
      <w:r>
        <w:rPr>
          <w:rFonts w:hint="eastAsia" w:ascii="宋体" w:hAnsi="宋体" w:eastAsia="宋体" w:cs="宋体"/>
          <w:bCs/>
          <w:color w:val="000000"/>
          <w:sz w:val="24"/>
          <w:szCs w:val="24"/>
          <w:highlight w:val="none"/>
        </w:rPr>
        <w:t xml:space="preserve">27.1.6未通过符合性审查的。</w:t>
      </w:r>
      <w:r/>
    </w:p>
    <w:p>
      <w:pPr>
        <w:ind w:firstLine="480"/>
        <w:keepLines w:val="0"/>
        <w:keepNext w:val="0"/>
        <w:pageBreakBefore w:val="0"/>
        <w:spacing w:line="400" w:lineRule="exact"/>
        <w:shd w:val="clear" w:color="auto" w:fill="auto"/>
        <w:widowControl w:val="off"/>
        <w:rPr>
          <w:rFonts w:hint="eastAsia" w:ascii="宋体" w:hAnsi="宋体" w:eastAsia="宋体" w:cs="宋体"/>
          <w:bCs/>
          <w:i/>
          <w:color w:val="000000"/>
          <w:sz w:val="24"/>
          <w:szCs w:val="24"/>
          <w:highlight w:val="none"/>
          <w:u w:val="single"/>
        </w:rPr>
      </w:pPr>
      <w:r>
        <w:rPr>
          <w:rFonts w:hint="eastAsia" w:ascii="宋体" w:hAnsi="宋体" w:eastAsia="宋体" w:cs="宋体"/>
          <w:bCs/>
          <w:color w:val="000000"/>
          <w:sz w:val="24"/>
          <w:szCs w:val="24"/>
          <w:highlight w:val="none"/>
        </w:rPr>
        <w:t xml:space="preserve">27.1.7不符合招标文件中规定的实质性要求和条件的（</w:t>
      </w:r>
      <w:r>
        <w:rPr>
          <w:rFonts w:hint="eastAsia" w:ascii="宋体" w:hAnsi="宋体" w:eastAsia="宋体" w:cs="宋体"/>
          <w:bCs/>
          <w:i/>
          <w:color w:val="000000"/>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所</w:t>
      </w:r>
      <w:r>
        <w:rPr>
          <w:rFonts w:hint="eastAsia" w:ascii="宋体" w:hAnsi="宋体" w:eastAsia="宋体" w:cs="宋体"/>
          <w:color w:val="000000"/>
          <w:sz w:val="24"/>
          <w:szCs w:val="24"/>
          <w:highlight w:val="none"/>
        </w:rPr>
        <w:t xml:space="preserve">投</w:t>
      </w:r>
      <w:r>
        <w:rPr>
          <w:rFonts w:hint="eastAsia" w:ascii="宋体" w:hAnsi="宋体" w:eastAsia="宋体" w:cs="宋体"/>
          <w:color w:val="000000"/>
          <w:sz w:val="24"/>
          <w:szCs w:val="24"/>
          <w:highlight w:val="none"/>
          <w:lang w:val="zh-CN"/>
        </w:rPr>
        <w:t xml:space="preserve">产品不在强制采购范围内的。（</w:t>
      </w:r>
      <w:r>
        <w:rPr>
          <w:rFonts w:hint="eastAsia" w:ascii="宋体" w:hAnsi="宋体" w:eastAsia="宋体" w:cs="宋体"/>
          <w:color w:val="000000"/>
          <w:sz w:val="24"/>
          <w:szCs w:val="24"/>
          <w:highlight w:val="none"/>
        </w:rPr>
        <w:t xml:space="preserve">所投</w:t>
      </w:r>
      <w:r>
        <w:rPr>
          <w:rFonts w:hint="eastAsia" w:ascii="宋体" w:hAnsi="宋体" w:eastAsia="宋体" w:cs="宋体"/>
          <w:color w:val="000000"/>
          <w:sz w:val="24"/>
          <w:szCs w:val="24"/>
          <w:highlight w:val="none"/>
          <w:lang w:val="zh-CN"/>
        </w:rPr>
        <w:t xml:space="preserve">产品如属于政府强制采购节能产品品目清单范围内，</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27.1.13其他</w:t>
      </w:r>
      <w:r>
        <w:rPr>
          <w:rFonts w:hint="eastAsia" w:ascii="宋体" w:hAnsi="宋体" w:eastAsia="宋体" w:cs="宋体"/>
          <w:bCs/>
          <w:color w:val="000000"/>
          <w:sz w:val="24"/>
          <w:szCs w:val="24"/>
          <w:highlight w:val="none"/>
          <w:lang w:eastAsia="zh-CN"/>
        </w:rPr>
        <w:t xml:space="preserve">法律法规</w:t>
      </w:r>
      <w:r>
        <w:rPr>
          <w:rFonts w:hint="eastAsia" w:ascii="宋体" w:hAnsi="宋体" w:eastAsia="宋体" w:cs="宋体"/>
          <w:bCs/>
          <w:color w:val="000000"/>
          <w:sz w:val="24"/>
          <w:szCs w:val="24"/>
          <w:highlight w:val="none"/>
        </w:rPr>
        <w:t xml:space="preserve">及本招标文件规定的属无效投标的27.2废标条款</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27.2.2出现影响采购公正的违法、违规行为的。</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27.2.3因重大变故，采购任务取消的。</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27.2.5因</w:t>
      </w:r>
      <w:r>
        <w:rPr>
          <w:rFonts w:hint="eastAsia" w:ascii="宋体" w:hAnsi="宋体" w:eastAsia="宋体" w:cs="宋体"/>
          <w:color w:val="000000"/>
          <w:sz w:val="24"/>
          <w:szCs w:val="24"/>
          <w:highlight w:val="none"/>
        </w:rPr>
        <w:t xml:space="preserve">“苏采云”系统故障</w:t>
      </w:r>
      <w:r>
        <w:rPr>
          <w:rFonts w:hint="eastAsia" w:ascii="宋体" w:hAnsi="宋体" w:eastAsia="宋体" w:cs="宋体"/>
          <w:bCs/>
          <w:color w:val="000000"/>
          <w:sz w:val="24"/>
          <w:szCs w:val="24"/>
          <w:highlight w:val="none"/>
        </w:rPr>
        <w:t xml:space="preserve">原因造成开标不成功的。</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注：本项目为苏采云系统电子标。因系统原因评标委员会仅可通过苏采云系统向被废标投标人发送被废标的“告知函”，后续将不再向被废标投标人发放纸质版无效标通知书。</w:t>
      </w:r>
      <w:r/>
    </w:p>
    <w:p>
      <w:pPr>
        <w:pStyle w:val="813"/>
        <w:ind w:firstLine="480"/>
        <w:keepLines w:val="0"/>
        <w:keepNext w:val="0"/>
        <w:pageBreakBefore w:val="0"/>
        <w:spacing w:before="0" w:after="0" w:line="400" w:lineRule="exact"/>
        <w:shd w:val="clear" w:color="auto" w:fill="auto"/>
        <w:widowControl w:val="off"/>
        <w:rPr>
          <w:rFonts w:hint="eastAsia" w:ascii="宋体" w:hAnsi="宋体" w:eastAsia="宋体" w:cs="宋体"/>
          <w:b/>
          <w:bCs/>
          <w:color w:val="000000"/>
          <w:sz w:val="24"/>
          <w:szCs w:val="24"/>
          <w:highlight w:val="none"/>
        </w:rPr>
      </w:pPr>
      <w:r/>
      <w:bookmarkStart w:id="178" w:name="_Toc120614219"/>
      <w:r>
        <w:rPr>
          <w:rFonts w:hint="eastAsia" w:ascii="宋体" w:hAnsi="宋体" w:eastAsia="宋体" w:cs="宋体"/>
          <w:b/>
          <w:bCs/>
          <w:color w:val="000000"/>
          <w:sz w:val="24"/>
          <w:szCs w:val="24"/>
          <w:highlight w:val="none"/>
        </w:rPr>
        <w:t xml:space="preserve">六、</w:t>
      </w:r>
      <w:bookmarkEnd w:id="175"/>
      <w:r/>
      <w:bookmarkEnd w:id="176"/>
      <w:r/>
      <w:bookmarkEnd w:id="177"/>
      <w:r>
        <w:rPr>
          <w:rFonts w:hint="eastAsia" w:ascii="宋体" w:hAnsi="宋体" w:eastAsia="宋体" w:cs="宋体"/>
          <w:b/>
          <w:bCs/>
          <w:color w:val="000000"/>
          <w:sz w:val="24"/>
          <w:szCs w:val="24"/>
          <w:highlight w:val="none"/>
        </w:rPr>
        <w:t xml:space="preserve">定标</w:t>
      </w:r>
      <w:bookmarkEnd w:id="178"/>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color w:val="000000"/>
          <w:sz w:val="24"/>
          <w:szCs w:val="24"/>
          <w:highlight w:val="none"/>
        </w:rPr>
      </w:pPr>
      <w:r/>
      <w:bookmarkStart w:id="179" w:name="_Toc513029238"/>
      <w:r/>
      <w:bookmarkStart w:id="180" w:name="_Toc20823310"/>
      <w:r/>
      <w:bookmarkStart w:id="181" w:name="_Toc16938554"/>
      <w:r>
        <w:rPr>
          <w:rFonts w:hint="eastAsia" w:ascii="宋体" w:hAnsi="宋体" w:eastAsia="宋体" w:cs="宋体"/>
          <w:b w:val="0"/>
          <w:color w:val="000000"/>
          <w:sz w:val="24"/>
          <w:szCs w:val="24"/>
          <w:highlight w:val="none"/>
          <w:lang w:eastAsia="zh-CN"/>
        </w:rPr>
        <w:t xml:space="preserve">28.</w:t>
      </w:r>
      <w:bookmarkEnd w:id="179"/>
      <w:r>
        <w:rPr>
          <w:rFonts w:hint="eastAsia" w:ascii="宋体" w:hAnsi="宋体" w:eastAsia="宋体" w:cs="宋体"/>
          <w:b w:val="0"/>
          <w:color w:val="000000"/>
          <w:sz w:val="24"/>
          <w:szCs w:val="24"/>
          <w:highlight w:val="none"/>
        </w:rPr>
        <w:t xml:space="preserve">确定</w:t>
      </w:r>
      <w:bookmarkEnd w:id="180"/>
      <w:r/>
      <w:bookmarkEnd w:id="181"/>
      <w:r>
        <w:rPr>
          <w:rFonts w:hint="eastAsia" w:ascii="宋体" w:hAnsi="宋体" w:eastAsia="宋体" w:cs="宋体"/>
          <w:b w:val="0"/>
          <w:color w:val="000000"/>
          <w:sz w:val="24"/>
          <w:szCs w:val="24"/>
          <w:highlight w:val="none"/>
        </w:rPr>
        <w:t xml:space="preserve">中标单位</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w:t>
      </w: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lang w:val="zh-CN"/>
        </w:rPr>
        <w:t xml:space="preserve">.2按以下第</w:t>
      </w:r>
      <w:r>
        <w:rPr>
          <w:rFonts w:hint="eastAsia" w:ascii="宋体" w:hAnsi="宋体" w:eastAsia="宋体" w:cs="宋体"/>
          <w:bCs/>
          <w:color w:val="000000"/>
          <w:sz w:val="24"/>
          <w:szCs w:val="24"/>
          <w:highlight w:val="none"/>
          <w:u w:val="single"/>
          <w:lang w:val="zh-CN"/>
        </w:rPr>
        <w:t xml:space="preserve">（</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lang w:val="zh-CN"/>
        </w:rPr>
        <w:t xml:space="preserve">）</w:t>
      </w:r>
      <w:r>
        <w:rPr>
          <w:rFonts w:hint="eastAsia" w:ascii="宋体" w:hAnsi="宋体" w:eastAsia="宋体" w:cs="宋体"/>
          <w:bCs/>
          <w:color w:val="000000"/>
          <w:sz w:val="24"/>
          <w:szCs w:val="24"/>
          <w:highlight w:val="none"/>
          <w:lang w:val="zh-CN"/>
        </w:rPr>
        <w:t xml:space="preserve">种方式确定中标人</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zh-CN"/>
        </w:rPr>
        <w:t xml:space="preserve">按第</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zh-CN"/>
        </w:rPr>
        <w:t xml:space="preserve">种方式确定中标人的，</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28.3</w:t>
      </w:r>
      <w:r>
        <w:rPr>
          <w:rFonts w:hint="eastAsia" w:ascii="宋体" w:hAnsi="宋体" w:eastAsia="宋体" w:cs="宋体"/>
          <w:color w:val="000000"/>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28.4.4与招标人或者其他投标人恶意串通的。</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28.4.5采取不正当手段诋毁、排挤其他投标人的。</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bookmarkStart w:id="182" w:name="_Toc200451960"/>
      <w:r>
        <w:rPr>
          <w:rFonts w:hint="eastAsia" w:ascii="宋体" w:hAnsi="宋体" w:eastAsia="宋体" w:cs="宋体"/>
          <w:color w:val="000000"/>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29.</w:t>
      </w:r>
      <w:r>
        <w:rPr>
          <w:rFonts w:hint="eastAsia" w:ascii="宋体" w:hAnsi="宋体" w:eastAsia="宋体" w:cs="宋体"/>
          <w:b w:val="0"/>
          <w:color w:val="000000"/>
          <w:sz w:val="24"/>
          <w:szCs w:val="24"/>
          <w:highlight w:val="none"/>
        </w:rPr>
        <w:t xml:space="preserve">质疑处理</w:t>
      </w:r>
      <w:bookmarkEnd w:id="182"/>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接收质疑函的方式：现场接收或邮寄接收。</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lang w:eastAsia="zh-CN"/>
        </w:rPr>
        <w:t xml:space="preserve">宿迁市妇幼保健院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江苏佳跃项目管理有限公司</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0527-84353970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18052791395</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lang w:eastAsia="zh-CN"/>
        </w:rPr>
        <w:t xml:space="preserve">江苏省宿迁市宿城区平安大道88号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宿迁市宿城区中豪国际广场</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楼</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29.5以下情形的质疑不予受理</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29.5.2超出政府采购法定期限的质疑。</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29.7质疑</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对招标人、采购代理机构的答复不满意，或者招标人、采购代理机构未在规定时间内作出答复的，可以在答复期满后15个工作日内向同级财政部门提起投诉。</w:t>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30.</w:t>
      </w:r>
      <w:r>
        <w:rPr>
          <w:rFonts w:hint="eastAsia" w:ascii="宋体" w:hAnsi="宋体" w:eastAsia="宋体" w:cs="宋体"/>
          <w:b w:val="0"/>
          <w:color w:val="000000"/>
          <w:sz w:val="24"/>
          <w:szCs w:val="24"/>
          <w:highlight w:val="none"/>
        </w:rPr>
        <w:t xml:space="preserve">中标通知书</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bookmarkStart w:id="183" w:name="_Toc120614220"/>
      <w:r/>
      <w:bookmarkStart w:id="184" w:name="_Toc16938552"/>
      <w:r/>
      <w:bookmarkStart w:id="185" w:name="_Toc20823308"/>
      <w:r/>
      <w:bookmarkStart w:id="186" w:name="_Toc513029236"/>
      <w:r>
        <w:rPr>
          <w:rFonts w:hint="eastAsia" w:ascii="宋体" w:hAnsi="宋体" w:eastAsia="宋体" w:cs="宋体"/>
          <w:color w:val="000000"/>
          <w:sz w:val="24"/>
          <w:szCs w:val="24"/>
          <w:highlight w:val="none"/>
        </w:rPr>
        <w:t xml:space="preserve">30.l中标结果确定后，代理机构将向中标人发出中标通知书。请中标人使用CA数字证书登录“苏采云系统”及时下载中标通知书。中标</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可自行下载打印《中标通知书》，《中标通知书》将作为授予合同资格的唯一合法依据。</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813"/>
        <w:ind w:firstLine="480"/>
        <w:keepLines w:val="0"/>
        <w:keepNext w:val="0"/>
        <w:pageBreakBefore w:val="0"/>
        <w:spacing w:before="0" w:after="0" w:line="400" w:lineRule="exact"/>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七、授予合同</w:t>
      </w:r>
      <w:bookmarkEnd w:id="183"/>
      <w:r/>
      <w:bookmarkEnd w:id="184"/>
      <w:r/>
      <w:bookmarkEnd w:id="185"/>
      <w:r/>
      <w:bookmarkEnd w:id="186"/>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color w:val="000000"/>
          <w:sz w:val="24"/>
          <w:szCs w:val="24"/>
          <w:highlight w:val="none"/>
        </w:rPr>
      </w:pPr>
      <w:r/>
      <w:bookmarkStart w:id="187" w:name="_Toc513029237"/>
      <w:r/>
      <w:bookmarkStart w:id="188" w:name="_Toc16938553"/>
      <w:r/>
      <w:bookmarkStart w:id="189" w:name="_Toc20823309"/>
      <w:r>
        <w:rPr>
          <w:rFonts w:hint="eastAsia" w:ascii="宋体" w:hAnsi="宋体" w:eastAsia="宋体" w:cs="宋体"/>
          <w:b w:val="0"/>
          <w:color w:val="000000"/>
          <w:sz w:val="24"/>
          <w:szCs w:val="24"/>
          <w:highlight w:val="none"/>
          <w:lang w:eastAsia="zh-CN"/>
        </w:rPr>
        <w:t xml:space="preserve">31.</w:t>
      </w:r>
      <w:r>
        <w:rPr>
          <w:rFonts w:hint="eastAsia" w:ascii="宋体" w:hAnsi="宋体" w:eastAsia="宋体" w:cs="宋体"/>
          <w:b w:val="0"/>
          <w:color w:val="000000"/>
          <w:sz w:val="24"/>
          <w:szCs w:val="24"/>
          <w:highlight w:val="none"/>
        </w:rPr>
        <w:t xml:space="preserve">签订合同</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31</w:t>
      </w:r>
      <w:r>
        <w:rPr>
          <w:rFonts w:hint="eastAsia" w:ascii="宋体" w:hAnsi="宋体" w:eastAsia="宋体" w:cs="宋体"/>
          <w:color w:val="000000"/>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000000"/>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31.4本项目的非主体、非关键性工作是否允许分包按以下第</w:t>
      </w:r>
      <w:r>
        <w:rPr>
          <w:rFonts w:hint="eastAsia" w:ascii="宋体" w:hAnsi="宋体" w:eastAsia="宋体" w:cs="宋体"/>
          <w:color w:val="000000"/>
          <w:sz w:val="24"/>
          <w:szCs w:val="24"/>
          <w:highlight w:val="none"/>
          <w:u w:val="single"/>
          <w:lang w:val="en-US" w:eastAsia="zh-CN"/>
        </w:rPr>
        <w:t xml:space="preserve"> 2 </w:t>
      </w:r>
      <w:r>
        <w:rPr>
          <w:rFonts w:hint="eastAsia" w:ascii="宋体" w:hAnsi="宋体" w:eastAsia="宋体" w:cs="宋体"/>
          <w:color w:val="000000"/>
          <w:sz w:val="24"/>
          <w:szCs w:val="24"/>
          <w:highlight w:val="none"/>
        </w:rPr>
        <w:t xml:space="preserve">种方式确定：</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1.允许分包，允许大中型企业向一家或者多家小微企业分包，分包具体内容、金额或比例：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31.5履约保证金</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按照以下第</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lang w:val="zh-CN"/>
        </w:rPr>
        <w:t xml:space="preserve">方式确定履约保证收取方式。</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（1）不收取履约保证金。</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000000"/>
          <w:sz w:val="24"/>
          <w:szCs w:val="24"/>
          <w:highlight w:val="none"/>
          <w:u w:val="single"/>
          <w:lang w:val="zh-CN"/>
        </w:rPr>
        <w:t xml:space="preserve">5%</w:t>
      </w:r>
      <w:r>
        <w:rPr>
          <w:rFonts w:hint="eastAsia" w:ascii="宋体" w:hAnsi="宋体" w:eastAsia="宋体" w:cs="宋体"/>
          <w:bCs/>
          <w:color w:val="000000"/>
          <w:sz w:val="24"/>
          <w:szCs w:val="24"/>
          <w:highlight w:val="none"/>
          <w:lang w:val="zh-CN"/>
        </w:rPr>
        <w:t xml:space="preserve">计取。除银行电汇、网上银行、数字人民币外，成交投标人还可选用银行保函、担保公司的保证担保或保险公司的保证保险等多种形式向采购人缴纳，支持和鼓励成交投标人自愿使用履约保函（保险）代替缴纳履约保证金，成交投标人如使用江苏政府采购电子履约保函（保险）的，可按采购合同总价的</w:t>
      </w:r>
      <w:r>
        <w:rPr>
          <w:rFonts w:hint="eastAsia" w:ascii="宋体" w:hAnsi="宋体" w:eastAsia="宋体" w:cs="宋体"/>
          <w:bCs/>
          <w:color w:val="000000"/>
          <w:sz w:val="24"/>
          <w:szCs w:val="24"/>
          <w:highlight w:val="none"/>
          <w:u w:val="single"/>
          <w:lang w:val="en-US" w:eastAsia="zh-CN"/>
        </w:rPr>
        <w:t xml:space="preserve">5</w:t>
      </w:r>
      <w:r>
        <w:rPr>
          <w:rFonts w:hint="eastAsia" w:ascii="宋体" w:hAnsi="宋体" w:eastAsia="宋体" w:cs="宋体"/>
          <w:bCs/>
          <w:color w:val="000000"/>
          <w:sz w:val="24"/>
          <w:szCs w:val="24"/>
          <w:highlight w:val="none"/>
          <w:u w:val="single"/>
          <w:lang w:val="zh-CN"/>
        </w:rPr>
        <w:t xml:space="preserve">%</w:t>
      </w:r>
      <w:r>
        <w:rPr>
          <w:rFonts w:hint="eastAsia" w:ascii="宋体" w:hAnsi="宋体" w:eastAsia="宋体" w:cs="宋体"/>
          <w:bCs/>
          <w:color w:val="000000"/>
          <w:sz w:val="24"/>
          <w:szCs w:val="24"/>
          <w:highlight w:val="none"/>
          <w:lang w:val="zh-CN"/>
        </w:rPr>
        <w:t xml:space="preserve">（履约保证金原提交金额的</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折）提交。办理流程、偿付等内容见江苏省政府采购网“保险保函”模块。</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退还的方式：以银行电汇、网上银行、数字人民币形式缴纳履约保证金的，退回至成交投标人存款账户或成交投标人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履约保证金退还的条件：</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履约保证金退还时间：采购人收到成交投标人退付申请后5个工作日内退还；</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履约保证金不予退还情形：除不可抗力外，成交投标人不履行与采购人订立的采购合同的，履约保证金不予退还，给采购人造成的损失超过履约保证金数额的，还应当对超过部分予以赔偿。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逾期退还履约保证金的违约责任：除应当退还履约保证金外，还应当按中国人民银行同期贷款基准利率上浮20％后的利率支付超期资金占用费，但因成交投标人自身原因导致无法及时退还的除外。</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本项目支持和鼓励投标人使用江苏政府采购电子履约保函（保险）代替缴纳履约保证金。关于办理流程、偿付等内容详见江苏省政府采购网《关于在全省政府采购领域推行电子履约保函（保险）的通知》（苏财购﹝2023﹞150号）</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lang w:eastAsia="zh-CN"/>
        </w:rPr>
        <w:t xml:space="preserve">32.</w:t>
      </w:r>
      <w:r>
        <w:rPr>
          <w:rFonts w:hint="eastAsia" w:ascii="宋体" w:hAnsi="宋体" w:eastAsia="宋体" w:cs="宋体"/>
          <w:bCs/>
          <w:color w:val="000000"/>
          <w:sz w:val="24"/>
          <w:szCs w:val="24"/>
          <w:highlight w:val="none"/>
        </w:rPr>
        <w:t xml:space="preserve">货物（包含与货物相关的服务）的追加</w:t>
      </w:r>
      <w:r/>
    </w:p>
    <w:p>
      <w:pPr>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7"/>
      <w:r/>
      <w:bookmarkEnd w:id="188"/>
      <w:r/>
      <w:bookmarkEnd w:id="189"/>
      <w:r/>
      <w:r/>
    </w:p>
    <w:p>
      <w:pPr>
        <w:pStyle w:val="815"/>
        <w:ind w:firstLine="480"/>
        <w:keepLines w:val="0"/>
        <w:keepNext w:val="0"/>
        <w:pageBreakBefore w:val="0"/>
        <w:spacing w:before="0" w:after="0" w:line="400" w:lineRule="exact"/>
        <w:shd w:val="clear" w:color="auto" w:fill="auto"/>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33.</w:t>
      </w:r>
      <w:r>
        <w:rPr>
          <w:rFonts w:hint="eastAsia" w:ascii="宋体" w:hAnsi="宋体" w:eastAsia="宋体" w:cs="宋体"/>
          <w:b w:val="0"/>
          <w:color w:val="000000"/>
          <w:sz w:val="24"/>
          <w:szCs w:val="24"/>
          <w:highlight w:val="none"/>
        </w:rPr>
        <w:t xml:space="preserve">政府采购履约资金扶持政策</w:t>
      </w:r>
      <w:r/>
    </w:p>
    <w:p>
      <w:pPr>
        <w:pStyle w:val="814"/>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000000"/>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15"/>
        <w:ind w:firstLine="482"/>
        <w:keepLines w:val="0"/>
        <w:keepNext w:val="0"/>
        <w:pageBreakBefore w:val="0"/>
        <w:spacing w:before="0" w:after="0"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34.</w:t>
      </w:r>
      <w:r>
        <w:rPr>
          <w:rFonts w:hint="eastAsia" w:ascii="宋体" w:hAnsi="宋体" w:eastAsia="宋体" w:cs="宋体"/>
          <w:color w:val="000000"/>
          <w:sz w:val="24"/>
          <w:szCs w:val="24"/>
          <w:highlight w:val="none"/>
        </w:rPr>
        <w:t xml:space="preserve">验收及付款</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34.2采购人可以邀请参加本项目的其他投标人或者第三方机构参与验收。参与验收的投标人或者第三方机构的意见作为验收书的参考资料一并存档。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34.3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34.4验收合格的项目，采购人将根据采购合同的约定及时向投标人支付采购资金、退还履约保证金（如有）。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ind w:firstLine="482"/>
        <w:keepLines w:val="0"/>
        <w:keepNext w:val="0"/>
        <w:pageBreakBefore w:val="0"/>
        <w:spacing w:line="400" w:lineRule="exact"/>
        <w:shd w:val="clear" w:color="auto" w:fill="auto"/>
        <w:widowControl w:val="off"/>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lang w:eastAsia="zh-CN"/>
        </w:rPr>
        <w:t xml:space="preserve">35.</w:t>
      </w:r>
      <w:r>
        <w:rPr>
          <w:rFonts w:hint="eastAsia" w:ascii="宋体" w:hAnsi="宋体" w:eastAsia="宋体" w:cs="宋体"/>
          <w:b/>
          <w:color w:val="000000"/>
          <w:sz w:val="24"/>
          <w:szCs w:val="24"/>
          <w:highlight w:val="none"/>
        </w:rPr>
        <w:t xml:space="preserve">付款</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bookmarkStart w:id="190" w:name="EBec7f529f50594afd871ea9378869e456"/>
      <w:r>
        <w:rPr>
          <w:rFonts w:hint="eastAsia" w:ascii="宋体" w:hAnsi="宋体" w:eastAsia="宋体" w:cs="宋体"/>
          <w:bCs/>
          <w:color w:val="000000"/>
          <w:sz w:val="24"/>
          <w:szCs w:val="24"/>
          <w:highlight w:val="none"/>
        </w:rPr>
        <w:t xml:space="preserve">按照以下确定的付款方式，招标人及时办理付款手续。对于满足合同约定支付条件的，自收到发票后15日内将资金支付到合同约定的</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账户或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数字人民币账户。</w:t>
      </w:r>
      <w:bookmarkEnd w:id="190"/>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bookmarkStart w:id="191" w:name="EB11398ec6946f4019bc4c35221e27b04f"/>
      <w:r>
        <w:rPr>
          <w:rFonts w:hint="eastAsia" w:ascii="宋体" w:hAnsi="宋体" w:eastAsia="宋体" w:cs="宋体"/>
          <w:bCs/>
          <w:color w:val="000000"/>
          <w:sz w:val="24"/>
          <w:szCs w:val="24"/>
          <w:highlight w:val="none"/>
          <w:lang w:val="en-US" w:eastAsia="zh-CN"/>
        </w:rPr>
        <w:t xml:space="preserve">预付款：合同金额的30%，合同签订后按规定支付；</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进度款：</w:t>
      </w:r>
      <w:r>
        <w:rPr>
          <w:rStyle w:val="821"/>
          <w:rFonts w:hint="eastAsia" w:ascii="宋体" w:hAnsi="宋体" w:eastAsia="宋体" w:cs="宋体"/>
          <w:color w:val="000000"/>
          <w:sz w:val="24"/>
          <w:szCs w:val="24"/>
          <w:highlight w:val="none"/>
          <w:lang w:val="en-US" w:eastAsia="zh-CN" w:bidi="ar-SA"/>
        </w:rPr>
        <w:t xml:space="preserve">项目建成并验收合格，采购人自收到投标人发票之日起15日内付至合同价款的100%</w:t>
      </w:r>
      <w:bookmarkEnd w:id="191"/>
      <w:r>
        <w:rPr>
          <w:rStyle w:val="821"/>
          <w:rFonts w:hint="eastAsia" w:ascii="宋体" w:hAnsi="宋体" w:eastAsia="宋体" w:cs="宋体"/>
          <w:color w:val="000000"/>
          <w:sz w:val="24"/>
          <w:szCs w:val="24"/>
          <w:highlight w:val="none"/>
          <w:lang w:val="en-US" w:eastAsia="zh-CN" w:bidi="ar-SA"/>
        </w:rPr>
        <w:t xml:space="preserve">；</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资金支付的时间：收到投标人发票</w:t>
      </w:r>
      <w:r>
        <w:rPr>
          <w:rStyle w:val="821"/>
          <w:rFonts w:hint="eastAsia" w:ascii="宋体" w:hAnsi="宋体" w:eastAsia="宋体" w:cs="宋体"/>
          <w:color w:val="000000"/>
          <w:sz w:val="24"/>
          <w:szCs w:val="24"/>
          <w:highlight w:val="none"/>
          <w:lang w:val="en-US" w:eastAsia="zh-CN" w:bidi="ar-SA"/>
        </w:rPr>
        <w:t xml:space="preserve">15日</w:t>
      </w:r>
      <w:r>
        <w:rPr>
          <w:rFonts w:hint="eastAsia" w:ascii="宋体" w:hAnsi="宋体" w:eastAsia="宋体" w:cs="宋体"/>
          <w:bCs/>
          <w:color w:val="000000"/>
          <w:sz w:val="24"/>
          <w:szCs w:val="24"/>
          <w:highlight w:val="none"/>
          <w:lang w:val="en-US" w:eastAsia="zh-CN"/>
        </w:rPr>
        <w:t xml:space="preserve">内；</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资金支付的条件：满足相应阶段的要求且收到投标人发票。</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fill="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36.</w:t>
      </w:r>
      <w:r>
        <w:rPr>
          <w:rFonts w:hint="eastAsia" w:ascii="宋体" w:hAnsi="宋体" w:eastAsia="宋体" w:cs="宋体"/>
          <w:b/>
          <w:bCs w:val="0"/>
          <w:color w:val="000000"/>
          <w:sz w:val="24"/>
          <w:szCs w:val="24"/>
          <w:highlight w:val="none"/>
        </w:rPr>
        <w:t xml:space="preserve">补充救济条款</w:t>
      </w:r>
      <w:r/>
    </w:p>
    <w:p>
      <w:pPr>
        <w:ind w:firstLine="480"/>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合法权益补偿救济机制。在履约过程中因政策变化、规划调整而无法履行合同约定，造成企业合法权益受损的，采购人依据实际情况对</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进行补偿救济。</w:t>
      </w:r>
      <w:r/>
    </w:p>
    <w:p>
      <w:pPr>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p>
    <w:p>
      <w:pPr>
        <w:pStyle w:val="811"/>
        <w:jc w:val="center"/>
        <w:shd w:val="clear" w:color="auto" w:fill="auto"/>
        <w:rPr>
          <w:rFonts w:hint="eastAsia" w:ascii="宋体" w:hAnsi="宋体" w:eastAsia="宋体" w:cs="宋体"/>
          <w:b/>
          <w:bCs w:val="0"/>
          <w:color w:val="000000"/>
          <w:sz w:val="44"/>
          <w:highlight w:val="none"/>
          <w:lang w:eastAsia="zh-CN"/>
        </w:rPr>
      </w:pPr>
      <w:r/>
      <w:bookmarkStart w:id="192" w:name="_Toc8406"/>
      <w:r/>
      <w:bookmarkStart w:id="193" w:name="_Toc24251"/>
      <w:r>
        <w:rPr>
          <w:rFonts w:hint="eastAsia" w:ascii="宋体" w:hAnsi="宋体" w:eastAsia="宋体" w:cs="宋体"/>
          <w:b/>
          <w:bCs w:val="0"/>
          <w:color w:val="000000"/>
          <w:sz w:val="44"/>
          <w:highlight w:val="none"/>
        </w:rPr>
        <w:t xml:space="preserve">第三章  合同文本</w:t>
      </w:r>
      <w:bookmarkEnd w:id="192"/>
      <w:r>
        <w:rPr>
          <w:rFonts w:hint="eastAsia" w:ascii="宋体" w:hAnsi="宋体" w:eastAsia="宋体" w:cs="宋体"/>
          <w:b/>
          <w:bCs w:val="0"/>
          <w:color w:val="000000"/>
          <w:sz w:val="44"/>
          <w:highlight w:val="none"/>
          <w:lang w:eastAsia="zh-CN"/>
        </w:rPr>
        <w:t xml:space="preserve">（参考）</w:t>
      </w:r>
      <w:bookmarkEnd w:id="193"/>
      <w:r/>
      <w:r/>
    </w:p>
    <w:p>
      <w:pPr>
        <w:jc w:val="left"/>
        <w:keepLines w:val="0"/>
        <w:keepNext w:val="0"/>
        <w:pageBreakBefore w:val="0"/>
        <w:spacing w:line="360" w:lineRule="auto"/>
        <w:widowControl w:val="off"/>
        <w:rPr>
          <w:rFonts w:hint="eastAsia" w:ascii="宋体" w:hAnsi="宋体" w:eastAsia="宋体" w:cs="宋体"/>
          <w:color w:val="000000"/>
          <w:sz w:val="30"/>
          <w:szCs w:val="30"/>
          <w:highlight w:val="none"/>
        </w:rPr>
      </w:pPr>
      <w:r/>
      <w:bookmarkStart w:id="194" w:name="_Hlt16619369"/>
      <w:r/>
      <w:bookmarkEnd w:id="194"/>
      <w:r/>
      <w:r/>
    </w:p>
    <w:p>
      <w:pPr>
        <w:jc w:val="center"/>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财政部 政府采购货物买卖合同（试行）</w:t>
      </w:r>
      <w:r/>
    </w:p>
    <w:p>
      <w:pPr>
        <w:jc w:val="center"/>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p>
    <w:p>
      <w:pPr>
        <w:rPr>
          <w:rFonts w:hint="eastAsia" w:ascii="宋体" w:hAnsi="宋体" w:eastAsia="宋体" w:cs="宋体"/>
          <w:b/>
          <w:bCs/>
          <w:color w:val="000000"/>
          <w:spacing w:val="-20"/>
          <w:sz w:val="40"/>
          <w:szCs w:val="40"/>
          <w:highlight w:val="none"/>
        </w:rPr>
      </w:pPr>
      <w:r>
        <w:rPr>
          <w:rFonts w:hint="eastAsia" w:ascii="宋体" w:hAnsi="宋体" w:eastAsia="宋体" w:cs="宋体"/>
          <w:b/>
          <w:bCs/>
          <w:color w:val="000000"/>
          <w:spacing w:val="-20"/>
          <w:sz w:val="40"/>
          <w:szCs w:val="40"/>
          <w:highlight w:val="none"/>
        </w:rPr>
      </w:r>
      <w:r/>
    </w:p>
    <w:p>
      <w:pPr>
        <w:rPr>
          <w:rFonts w:hint="eastAsia" w:ascii="宋体" w:hAnsi="宋体" w:eastAsia="宋体" w:cs="宋体"/>
          <w:b/>
          <w:bCs/>
          <w:color w:val="000000"/>
          <w:spacing w:val="-20"/>
          <w:sz w:val="40"/>
          <w:szCs w:val="40"/>
          <w:highlight w:val="none"/>
        </w:rPr>
      </w:pPr>
      <w:r>
        <w:rPr>
          <w:rFonts w:hint="eastAsia" w:ascii="宋体" w:hAnsi="宋体" w:eastAsia="宋体" w:cs="宋体"/>
          <w:b/>
          <w:bCs/>
          <w:color w:val="000000"/>
          <w:spacing w:val="-20"/>
          <w:sz w:val="40"/>
          <w:szCs w:val="40"/>
          <w:highlight w:val="none"/>
        </w:rPr>
      </w:r>
      <w:r/>
    </w:p>
    <w:p>
      <w:pPr>
        <w:rPr>
          <w:rFonts w:hint="eastAsia" w:ascii="宋体" w:hAnsi="宋体" w:eastAsia="宋体" w:cs="宋体"/>
          <w:b/>
          <w:bCs/>
          <w:color w:val="000000"/>
          <w:spacing w:val="-20"/>
          <w:sz w:val="40"/>
          <w:szCs w:val="40"/>
          <w:highlight w:val="none"/>
        </w:rPr>
      </w:pPr>
      <w:r>
        <w:rPr>
          <w:rFonts w:hint="eastAsia" w:ascii="宋体" w:hAnsi="宋体" w:eastAsia="宋体" w:cs="宋体"/>
          <w:b/>
          <w:bCs/>
          <w:color w:val="000000"/>
          <w:spacing w:val="-20"/>
          <w:sz w:val="40"/>
          <w:szCs w:val="40"/>
          <w:highlight w:val="none"/>
        </w:rPr>
      </w:r>
      <w:r/>
    </w:p>
    <w:p>
      <w:pPr>
        <w:ind w:left="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u w:val="single"/>
        </w:rPr>
        <w:t xml:space="preserve">                             </w:t>
      </w:r>
      <w:r/>
    </w:p>
    <w:p>
      <w:pPr>
        <w:ind w:left="42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合同编号：</w:t>
      </w:r>
      <w:r>
        <w:rPr>
          <w:rFonts w:hint="eastAsia" w:ascii="宋体" w:hAnsi="宋体" w:eastAsia="宋体" w:cs="宋体"/>
          <w:color w:val="000000"/>
          <w:sz w:val="28"/>
          <w:szCs w:val="28"/>
          <w:highlight w:val="none"/>
          <w:u w:val="single"/>
        </w:rPr>
        <w:t xml:space="preserve">                             </w:t>
      </w:r>
      <w:r/>
    </w:p>
    <w:p>
      <w:pPr>
        <w:ind w:left="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    方：</w:t>
      </w:r>
      <w:r>
        <w:rPr>
          <w:rFonts w:hint="eastAsia" w:ascii="宋体" w:hAnsi="宋体" w:eastAsia="宋体" w:cs="宋体"/>
          <w:color w:val="000000"/>
          <w:sz w:val="28"/>
          <w:szCs w:val="28"/>
          <w:highlight w:val="none"/>
          <w:u w:val="single"/>
        </w:rPr>
        <w:t xml:space="preserve">                             </w:t>
      </w:r>
      <w:r/>
    </w:p>
    <w:p>
      <w:pPr>
        <w:ind w:left="42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乙    方：</w:t>
      </w:r>
      <w:r>
        <w:rPr>
          <w:rFonts w:hint="eastAsia" w:ascii="宋体" w:hAnsi="宋体" w:eastAsia="宋体" w:cs="宋体"/>
          <w:color w:val="000000"/>
          <w:sz w:val="28"/>
          <w:szCs w:val="28"/>
          <w:highlight w:val="none"/>
          <w:u w:val="single"/>
        </w:rPr>
        <w:t xml:space="preserve">                             </w:t>
      </w:r>
      <w:r/>
    </w:p>
    <w:p>
      <w:pPr>
        <w:ind w:left="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签订时间：</w:t>
      </w:r>
      <w:r>
        <w:rPr>
          <w:rFonts w:hint="eastAsia" w:ascii="宋体" w:hAnsi="宋体" w:eastAsia="宋体" w:cs="宋体"/>
          <w:color w:val="000000"/>
          <w:sz w:val="28"/>
          <w:szCs w:val="28"/>
          <w:highlight w:val="none"/>
          <w:u w:val="single"/>
        </w:rPr>
        <w:t xml:space="preserve">                             </w:t>
      </w:r>
      <w:r/>
    </w:p>
    <w:p>
      <w:pP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使 用 说 明</w:t>
      </w:r>
      <w:r/>
    </w:p>
    <w:p>
      <w:pPr>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1.本合同标准文本适用于购买现成货物的采购项目，不包括需要</w:t>
      </w:r>
      <w:r>
        <w:rPr>
          <w:rFonts w:hint="eastAsia" w:ascii="宋体" w:hAnsi="宋体" w:eastAsia="宋体" w:cs="宋体"/>
          <w:color w:val="000000"/>
          <w:sz w:val="28"/>
          <w:szCs w:val="28"/>
          <w:highlight w:val="none"/>
          <w:lang w:eastAsia="zh-CN"/>
        </w:rPr>
        <w:t xml:space="preserve">投标人</w:t>
      </w:r>
      <w:r>
        <w:rPr>
          <w:rFonts w:hint="eastAsia" w:ascii="宋体" w:hAnsi="宋体" w:eastAsia="宋体" w:cs="宋体"/>
          <w:color w:val="000000"/>
          <w:sz w:val="28"/>
          <w:szCs w:val="28"/>
          <w:highlight w:val="none"/>
        </w:rPr>
        <w:t xml:space="preserve">定制开发、创新研发的货物采购项目。</w:t>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2.本合同标准文本为政府采购货物买卖合同编制提供参考，可以结合采购项目具体情况，对文本作必要的调整修订后使用。</w:t>
      </w:r>
      <w:r/>
    </w:p>
    <w:p>
      <w:pPr>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3.本合同标准文本各条款中，如涉及填写多家</w:t>
      </w:r>
      <w:r>
        <w:rPr>
          <w:rFonts w:hint="eastAsia" w:ascii="宋体" w:hAnsi="宋体" w:eastAsia="宋体" w:cs="宋体"/>
          <w:color w:val="000000"/>
          <w:sz w:val="28"/>
          <w:szCs w:val="28"/>
          <w:highlight w:val="none"/>
          <w:lang w:eastAsia="zh-CN"/>
        </w:rPr>
        <w:t xml:space="preserve">投标人</w:t>
      </w:r>
      <w:r>
        <w:rPr>
          <w:rFonts w:hint="eastAsia" w:ascii="宋体" w:hAnsi="宋体" w:eastAsia="宋体" w:cs="宋体"/>
          <w:color w:val="000000"/>
          <w:sz w:val="28"/>
          <w:szCs w:val="28"/>
          <w:highlight w:val="none"/>
        </w:rPr>
        <w:t xml:space="preserve">、制造商，多种采购标的、分包主要内容等信息的，可根据采购项目具体情况添加信息项。</w:t>
      </w:r>
      <w:r/>
    </w:p>
    <w:p>
      <w:pPr>
        <w:jc w:val="left"/>
        <w:widowControl/>
        <w:rPr>
          <w:rFonts w:hint="eastAsia" w:ascii="宋体" w:hAnsi="宋体" w:eastAsia="宋体" w:cs="宋体"/>
          <w:color w:val="000000"/>
          <w:sz w:val="44"/>
          <w:szCs w:val="44"/>
          <w:highlight w:val="none"/>
        </w:rPr>
        <w:sectPr>
          <w:footerReference w:type="default" r:id="rId13"/>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color w:val="000000"/>
          <w:sz w:val="44"/>
          <w:szCs w:val="44"/>
          <w:highlight w:val="none"/>
        </w:rPr>
      </w:r>
      <w:r/>
    </w:p>
    <w:p>
      <w:pPr>
        <w:jc w:val="center"/>
        <w:keepLines/>
        <w:keepNext/>
        <w:spacing w:before="260" w:after="260" w:line="400" w:lineRule="exact"/>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第一节 政府采购合同协议书</w:t>
      </w:r>
      <w:r/>
    </w:p>
    <w:p>
      <w:pPr>
        <w:jc w:val="center"/>
        <w:keepLines/>
        <w:keepNext/>
        <w:spacing w:before="260" w:after="260" w:line="400" w:lineRule="exact"/>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（采购人、受采购人委托签订合同的单位或采购文件约定的合同甲方）</w:t>
      </w: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乙方1（全称）：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w:t>
      </w: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乙方2（全称）：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（联合体成员</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或其他合同主体）（如有）</w:t>
      </w: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2"/>
          <w:highlight w:val="none"/>
        </w:rPr>
        <w:t xml:space="preserve">乙方</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2"/>
          <w:highlight w:val="none"/>
        </w:rPr>
        <w:t xml:space="preserve">（全称）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（联合体成员</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或其他合同主体）（如有）</w:t>
      </w:r>
      <w:r/>
    </w:p>
    <w:p>
      <w:pPr>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依据《中华人民共和国民法典</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中华人民共和国政府采购法》等有关的法律法规，以及本采购项目采购文件（征集文件）、乙方的《投标（响应）文件》及《中标（成交）通知书》，甲乙双方同意签订本合同。具体情况及要求如下：     </w:t>
      </w:r>
      <w:r/>
    </w:p>
    <w:p>
      <w:pPr>
        <w:numPr>
          <w:ilvl w:val="0"/>
          <w:numId w:val="3"/>
        </w:numPr>
        <w:ind w:firstLine="422"/>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项目信息</w:t>
      </w:r>
      <w:r/>
    </w:p>
    <w:p>
      <w:pPr>
        <w:numPr>
          <w:ilvl w:val="0"/>
          <w:numId w:val="4"/>
        </w:numPr>
        <w:ind w:firstLine="42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采购项目名称：</w:t>
      </w:r>
      <w:r>
        <w:rPr>
          <w:rFonts w:hint="eastAsia" w:ascii="宋体" w:hAnsi="宋体" w:eastAsia="宋体" w:cs="宋体"/>
          <w:color w:val="000000"/>
          <w:szCs w:val="21"/>
          <w:highlight w:val="none"/>
          <w:u w:val="single"/>
        </w:rPr>
        <w:t xml:space="preserve">                                          </w:t>
      </w:r>
      <w:r/>
    </w:p>
    <w:p>
      <w:pPr>
        <w:spacing w:line="400" w:lineRule="exact"/>
        <w:tabs>
          <w:tab w:val="left" w:pos="99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采购项目编号：</w:t>
      </w:r>
      <w:r>
        <w:rPr>
          <w:rFonts w:hint="eastAsia" w:ascii="宋体" w:hAnsi="宋体" w:eastAsia="宋体" w:cs="宋体"/>
          <w:color w:val="000000"/>
          <w:szCs w:val="21"/>
          <w:highlight w:val="none"/>
          <w:u w:val="single"/>
        </w:rPr>
        <w:t xml:space="preserve">                                          </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（2）采购计划编号：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（3）项目内容：</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采购标的及数量（台/套</w:t>
      </w:r>
      <w:r>
        <w:rPr>
          <w:rFonts w:hint="eastAsia" w:ascii="宋体" w:hAnsi="宋体" w:eastAsia="宋体" w:cs="宋体"/>
          <w:color w:val="000000"/>
          <w:szCs w:val="21"/>
          <w:highlight w:val="none"/>
          <w:lang w:val="en"/>
        </w:rPr>
        <w:t xml:space="preserve">/个/架/组等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p>
    <w:p>
      <w:pPr>
        <w:ind w:firstLine="420"/>
        <w:spacing w:line="400" w:lineRule="exact"/>
        <w:rPr>
          <w:rFonts w:hint="eastAsia" w:ascii="宋体" w:hAnsi="宋体" w:eastAsia="宋体" w:cs="宋体"/>
          <w:color w:val="000000"/>
          <w:szCs w:val="21"/>
          <w:highlight w:val="none"/>
          <w:lang w:val="en"/>
        </w:rPr>
      </w:pPr>
      <w:r>
        <w:rPr>
          <w:rFonts w:hint="eastAsia" w:ascii="宋体" w:hAnsi="宋体" w:eastAsia="宋体" w:cs="宋体"/>
          <w:color w:val="000000"/>
          <w:szCs w:val="21"/>
          <w:highlight w:val="none"/>
        </w:rPr>
        <w:t xml:space="preserve">     品牌：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val="en"/>
        </w:rPr>
        <w:t xml:space="preserve">     </w:t>
      </w:r>
      <w:r>
        <w:rPr>
          <w:rFonts w:hint="eastAsia" w:ascii="宋体" w:hAnsi="宋体" w:eastAsia="宋体" w:cs="宋体"/>
          <w:color w:val="000000"/>
          <w:szCs w:val="21"/>
          <w:highlight w:val="none"/>
        </w:rPr>
        <w:t xml:space="preserve">规格型号：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p>
    <w:p>
      <w:pPr>
        <w:ind w:firstLine="945"/>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采购标的的技术要求、商务要求具体见附件。</w:t>
      </w:r>
      <w:r/>
    </w:p>
    <w:p>
      <w:pPr>
        <w:ind w:firstLine="94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①涉及信息类产品，请填写该产品关键部件的品牌、型号：</w:t>
      </w:r>
      <w:r/>
    </w:p>
    <w:p>
      <w:pPr>
        <w:ind w:firstLine="42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标的名称：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关键部件：</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品牌：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型号：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p>
    <w:p>
      <w:pPr>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关键部件：</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品牌：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型号：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p>
    <w:p>
      <w:pPr>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关键部件：</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品牌：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型号：</w:t>
      </w:r>
      <w:r>
        <w:rPr>
          <w:rFonts w:hint="eastAsia" w:ascii="宋体" w:hAnsi="宋体" w:eastAsia="宋体" w:cs="宋体"/>
          <w:color w:val="000000"/>
          <w:szCs w:val="21"/>
          <w:highlight w:val="none"/>
          <w:u w:val="single"/>
        </w:rPr>
        <w:t xml:space="preserve">       </w:t>
      </w:r>
      <w:r/>
    </w:p>
    <w:p>
      <w:pPr>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②涉及车辆采购，请填写是否属于新能源汽车：</w:t>
      </w:r>
      <w:r/>
    </w:p>
    <w:p>
      <w:pPr>
        <w:jc w:val="left"/>
        <w:spacing w:line="400" w:lineRule="exact"/>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数量：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jc w:val="left"/>
        <w:spacing w:line="400" w:lineRule="exact"/>
        <w:widowControl/>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p>
    <w:p>
      <w:pPr>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
        </w:rPr>
        <w:t xml:space="preserve">4</w:t>
      </w:r>
      <w:r>
        <w:rPr>
          <w:rFonts w:hint="eastAsia" w:ascii="宋体" w:hAnsi="宋体" w:eastAsia="宋体" w:cs="宋体"/>
          <w:color w:val="000000"/>
          <w:szCs w:val="21"/>
          <w:highlight w:val="none"/>
        </w:rPr>
        <w:t xml:space="preserve">）政府采购组织形式：</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政府集中采购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部门集中采购  </w:t>
      </w:r>
      <w:r>
        <w:rPr>
          <w:rFonts w:ascii="Wingdings" w:hAnsi="Wingdings" w:eastAsia="Wingdings" w:cs="Wingdings"/>
          <w:color w:val="000000"/>
          <w:szCs w:val="21"/>
          <w:highlight w:val="none"/>
        </w:rPr>
        <w:t xml:space="preserve">þ</w:t>
      </w:r>
      <w:r>
        <w:rPr>
          <w:rFonts w:hint="eastAsia" w:ascii="宋体" w:hAnsi="宋体" w:eastAsia="宋体" w:cs="宋体"/>
          <w:color w:val="000000"/>
          <w:szCs w:val="21"/>
          <w:highlight w:val="none"/>
        </w:rPr>
        <w:t xml:space="preserve">分散采购</w:t>
      </w:r>
      <w:r/>
    </w:p>
    <w:p>
      <w:pPr>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
        </w:rPr>
        <w:t xml:space="preserve">5</w:t>
      </w:r>
      <w:r>
        <w:rPr>
          <w:rFonts w:hint="eastAsia" w:ascii="宋体" w:hAnsi="宋体" w:eastAsia="宋体" w:cs="宋体"/>
          <w:color w:val="000000"/>
          <w:szCs w:val="21"/>
          <w:highlight w:val="none"/>
        </w:rPr>
        <w:t xml:space="preserve">）政府采购方式：</w:t>
      </w:r>
      <w:r>
        <w:rPr>
          <w:rFonts w:ascii="Wingdings" w:hAnsi="Wingdings" w:eastAsia="Wingdings" w:cs="Wingdings"/>
          <w:color w:val="000000"/>
          <w:szCs w:val="21"/>
          <w:highlight w:val="none"/>
        </w:rPr>
        <w:t xml:space="preserve">þ</w:t>
      </w:r>
      <w:r>
        <w:rPr>
          <w:rFonts w:hint="eastAsia" w:ascii="宋体" w:hAnsi="宋体" w:eastAsia="宋体" w:cs="宋体"/>
          <w:color w:val="000000"/>
          <w:szCs w:val="21"/>
          <w:highlight w:val="none"/>
        </w:rPr>
        <w:t xml:space="preserve">公开招标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邀请招标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竞争性谈判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竞争性磋商</w:t>
      </w:r>
      <w:r/>
    </w:p>
    <w:p>
      <w:pPr>
        <w:ind w:firstLine="420"/>
        <w:jc w:val="left"/>
        <w:spacing w:line="400" w:lineRule="exact"/>
        <w:widowControl/>
        <w:rPr>
          <w:rFonts w:hint="eastAsia" w:ascii="宋体" w:hAnsi="宋体" w:eastAsia="宋体" w:cs="宋体"/>
          <w:color w:val="000000"/>
          <w:szCs w:val="21"/>
          <w:highlight w:val="none"/>
          <w:u w:val="singl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Cs w:val="21"/>
          <w:highlight w:val="none"/>
        </w:rPr>
        <w:t xml:space="preserve"></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询价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单一来源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框架协议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u w:val="single"/>
        </w:rPr>
        <w:t xml:space="preserve">          </w:t>
      </w:r>
      <w:r/>
    </w:p>
    <w:p>
      <w:pPr>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（注：在框架协议采购的第二阶段，可选择使用该合同文本）</w:t>
      </w:r>
      <w:r/>
    </w:p>
    <w:p>
      <w:pPr>
        <w:ind w:firstLine="2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
        </w:rPr>
        <w:t xml:space="preserve">6</w:t>
      </w:r>
      <w:r>
        <w:rPr>
          <w:rFonts w:hint="eastAsia" w:ascii="宋体" w:hAnsi="宋体" w:eastAsia="宋体" w:cs="宋体"/>
          <w:color w:val="000000"/>
          <w:sz w:val="22"/>
          <w:szCs w:val="21"/>
          <w:highlight w:val="none"/>
        </w:rPr>
        <w:t xml:space="preserve">）</w:t>
      </w:r>
      <w:r>
        <w:rPr>
          <w:rFonts w:hint="eastAsia" w:ascii="宋体" w:hAnsi="宋体" w:eastAsia="宋体" w:cs="宋体"/>
          <w:color w:val="000000"/>
          <w:szCs w:val="21"/>
          <w:highlight w:val="none"/>
        </w:rPr>
        <w:t xml:space="preserve">中标（成交）采购标的制造商是否为中小企业：</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否</w:t>
      </w:r>
      <w:r/>
    </w:p>
    <w:p>
      <w:pPr>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        本合同是否为专门面向中小企业的采购合同（中小企业预留合同）：</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否</w:t>
      </w:r>
      <w:r/>
    </w:p>
    <w:p>
      <w:pPr>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szCs w:val="22"/>
          <w:highlight w:val="none"/>
        </w:rPr>
        <w:t xml:space="preserve">        若本项目不专门面向中小企业采购，是否给予小微企业评审优惠：</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否</w:t>
      </w:r>
      <w:r/>
    </w:p>
    <w:p>
      <w:pPr>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szCs w:val="22"/>
          <w:highlight w:val="none"/>
        </w:rPr>
        <w:t xml:space="preserve">        中标（成交）采购标的制造商是否为残疾人福利性单位：</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否</w:t>
      </w:r>
      <w:r/>
    </w:p>
    <w:p>
      <w:pPr>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        中标（成交）采购标的制造商是否为监狱企业：</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否</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
        </w:rPr>
        <w:t xml:space="preserve">7</w:t>
      </w:r>
      <w:r>
        <w:rPr>
          <w:rFonts w:hint="eastAsia" w:ascii="宋体" w:hAnsi="宋体" w:eastAsia="宋体" w:cs="宋体"/>
          <w:color w:val="000000"/>
          <w:szCs w:val="21"/>
          <w:highlight w:val="none"/>
        </w:rPr>
        <w:t xml:space="preserve">）合同是否分包：</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否</w:t>
      </w:r>
      <w:r/>
    </w:p>
    <w:p>
      <w:pPr>
        <w:ind w:firstLine="84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分包主要内容：</w:t>
      </w:r>
      <w:r>
        <w:rPr>
          <w:rFonts w:hint="eastAsia" w:ascii="宋体" w:hAnsi="宋体" w:eastAsia="宋体" w:cs="宋体"/>
          <w:color w:val="000000"/>
          <w:szCs w:val="21"/>
          <w:highlight w:val="none"/>
          <w:u w:val="single"/>
        </w:rPr>
        <w:t xml:space="preserve">                                            </w:t>
      </w:r>
      <w:r/>
    </w:p>
    <w:p>
      <w:pPr>
        <w:ind w:firstLine="84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分包</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/制造商名称（如</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和制造商不同，请分别填写）：</w:t>
      </w:r>
      <w:r/>
    </w:p>
    <w:p>
      <w:pPr>
        <w:ind w:firstLine="84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p>
    <w:p>
      <w:pPr>
        <w:ind w:firstLine="84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分包</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/制造商类型（如果</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和制造商不同，只填写制造商类型）：</w:t>
      </w:r>
      <w:r/>
    </w:p>
    <w:p>
      <w:pPr>
        <w:ind w:firstLine="840"/>
        <w:spacing w:line="40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大型企业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中型企业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小微型企业  </w:t>
      </w:r>
      <w:r/>
    </w:p>
    <w:p>
      <w:pPr>
        <w:ind w:firstLine="840"/>
        <w:spacing w:line="400" w:lineRule="exact"/>
        <w:rPr>
          <w:rFonts w:hint="eastAsia" w:ascii="宋体" w:hAnsi="宋体" w:eastAsia="宋体" w:cs="宋体"/>
          <w:color w:val="000000"/>
          <w:szCs w:val="22"/>
          <w:highlight w:val="none"/>
        </w:rPr>
      </w:pPr>
      <w:r>
        <w:rPr>
          <w:rFonts w:hint="eastAsia" w:ascii="宋体" w:hAnsi="宋体" w:eastAsia="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残疾人福利性单位</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其他</w:t>
      </w:r>
      <w:r/>
    </w:p>
    <w:p>
      <w:pPr>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
        </w:rPr>
        <w:t xml:space="preserve">8</w:t>
      </w:r>
      <w:r>
        <w:rPr>
          <w:rFonts w:hint="eastAsia" w:ascii="宋体" w:hAnsi="宋体" w:eastAsia="宋体" w:cs="宋体"/>
          <w:color w:val="000000"/>
          <w:szCs w:val="21"/>
          <w:highlight w:val="none"/>
        </w:rPr>
        <w:t xml:space="preserve">）中标（成交）</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是否为外商投资企业：</w:t>
      </w:r>
      <w:r>
        <w:rPr>
          <w:rFonts w:ascii="Wingdings" w:hAnsi="Wingdings" w:eastAsia="Wingdings" w:cs="Wingdings"/>
          <w:color w:val="000000"/>
          <w:sz w:val="21"/>
          <w:szCs w:val="21"/>
          <w:highlight w:val="none"/>
          <w:lang w:val="en-US" w:eastAsia="zh-CN" w:bidi="ar-SA"/>
        </w:rPr>
        <w:t xml:space="preserve"></w:t>
      </w:r>
      <w:r>
        <w:rPr>
          <w:rFonts w:hint="eastAsia" w:ascii="宋体" w:hAnsi="宋体" w:eastAsia="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否</w:t>
      </w:r>
      <w:r/>
    </w:p>
    <w:p>
      <w:pPr>
        <w:ind w:firstLine="420"/>
        <w:jc w:val="left"/>
        <w:spacing w:line="400" w:lineRule="exact"/>
        <w:widowControl/>
        <w:tabs>
          <w:tab w:val="left" w:pos="1340" w:leader="none"/>
        </w:tabs>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外商投资企业类型：</w:t>
      </w: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全部由外国投资者投资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部分由外国投资者投资</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
        </w:rPr>
        <w:t xml:space="preserve">9</w:t>
      </w:r>
      <w:r>
        <w:rPr>
          <w:rFonts w:hint="eastAsia" w:ascii="宋体" w:hAnsi="宋体" w:eastAsia="宋体" w:cs="宋体"/>
          <w:color w:val="000000"/>
          <w:szCs w:val="21"/>
          <w:highlight w:val="none"/>
        </w:rPr>
        <w:t xml:space="preserve">）是否涉及进口产品：</w:t>
      </w:r>
      <w:r/>
    </w:p>
    <w:p>
      <w:pPr>
        <w:ind w:firstLine="840"/>
        <w:spacing w:line="400" w:lineRule="exact"/>
        <w:rPr>
          <w:rFonts w:hint="eastAsia" w:ascii="宋体" w:hAnsi="宋体" w:eastAsia="宋体" w:cs="宋体"/>
          <w:color w:val="000000"/>
          <w:szCs w:val="21"/>
          <w:highlight w:val="none"/>
          <w:u w:val="single"/>
        </w:rPr>
      </w:pP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是，《政府采购品目分类目录》底级品目名称：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金额：</w:t>
      </w:r>
      <w:r>
        <w:rPr>
          <w:rFonts w:hint="eastAsia" w:ascii="宋体" w:hAnsi="宋体" w:eastAsia="宋体" w:cs="宋体"/>
          <w:color w:val="000000"/>
          <w:szCs w:val="21"/>
          <w:highlight w:val="none"/>
          <w:u w:val="single"/>
        </w:rPr>
        <w:t xml:space="preserve">        </w:t>
      </w:r>
      <w:r/>
    </w:p>
    <w:p>
      <w:pPr>
        <w:ind w:firstLine="84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国别：</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品牌：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规格型号：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p>
    <w:p>
      <w:pPr>
        <w:ind w:firstLine="840"/>
        <w:spacing w:line="400" w:lineRule="exact"/>
        <w:rPr>
          <w:rFonts w:hint="eastAsia" w:ascii="宋体" w:hAnsi="宋体" w:eastAsia="宋体" w:cs="宋体"/>
          <w:color w:val="000000"/>
          <w:szCs w:val="21"/>
          <w:highlight w:val="none"/>
        </w:rPr>
      </w:pP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否</w:t>
      </w:r>
      <w:r/>
    </w:p>
    <w:p>
      <w:pPr>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w:t>
      </w:r>
      <w:r>
        <w:rPr>
          <w:rFonts w:hint="eastAsia" w:ascii="宋体" w:hAnsi="宋体" w:eastAsia="宋体" w:cs="宋体"/>
          <w:color w:val="000000"/>
          <w:szCs w:val="21"/>
          <w:highlight w:val="none"/>
          <w:lang w:val="en"/>
        </w:rPr>
        <w:t xml:space="preserve">0</w:t>
      </w:r>
      <w:r>
        <w:rPr>
          <w:rFonts w:hint="eastAsia" w:ascii="宋体" w:hAnsi="宋体" w:eastAsia="宋体" w:cs="宋体"/>
          <w:color w:val="000000"/>
          <w:szCs w:val="21"/>
          <w:highlight w:val="none"/>
        </w:rPr>
        <w:t xml:space="preserve">）是否涉及节能产品：</w:t>
      </w:r>
      <w:r/>
    </w:p>
    <w:p>
      <w:pPr>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是，《节能产品政府采购品目清单》的底级品目名称：</w:t>
      </w:r>
      <w:r>
        <w:rPr>
          <w:rFonts w:hint="eastAsia" w:ascii="宋体" w:hAnsi="宋体" w:eastAsia="宋体" w:cs="宋体"/>
          <w:color w:val="000000"/>
          <w:szCs w:val="21"/>
          <w:highlight w:val="none"/>
          <w:u w:val="single"/>
        </w:rPr>
        <w:t xml:space="preserve">         </w:t>
      </w:r>
      <w:r>
        <w:rPr>
          <w:rFonts w:hint="eastAsia" w:ascii="宋体" w:hAnsi="宋体" w:eastAsia="宋体" w:cs="宋体"/>
          <w:iCs/>
          <w:color w:val="000000"/>
          <w:szCs w:val="21"/>
          <w:highlight w:val="none"/>
        </w:rPr>
        <w:t xml:space="preserve">     </w:t>
      </w:r>
      <w:r/>
    </w:p>
    <w:p>
      <w:pPr>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优先采购    </w:t>
      </w:r>
      <w:r/>
    </w:p>
    <w:p>
      <w:pPr>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否</w:t>
      </w:r>
      <w:r/>
    </w:p>
    <w:p>
      <w:pPr>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是否涉及环境标志产品：</w:t>
      </w:r>
      <w:r/>
    </w:p>
    <w:p>
      <w:pPr>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是，《环境标志产品政府采购品目清单》的底级品目名称：</w:t>
      </w:r>
      <w:r>
        <w:rPr>
          <w:rFonts w:hint="eastAsia" w:ascii="宋体" w:hAnsi="宋体" w:eastAsia="宋体" w:cs="宋体"/>
          <w:color w:val="000000"/>
          <w:szCs w:val="21"/>
          <w:highlight w:val="none"/>
          <w:u w:val="single"/>
        </w:rPr>
        <w:t xml:space="preserve">         </w:t>
      </w:r>
      <w:r>
        <w:rPr>
          <w:rFonts w:hint="eastAsia" w:ascii="宋体" w:hAnsi="宋体" w:eastAsia="宋体" w:cs="宋体"/>
          <w:iCs/>
          <w:color w:val="000000"/>
          <w:szCs w:val="21"/>
          <w:highlight w:val="none"/>
        </w:rPr>
        <w:t xml:space="preserve"> </w:t>
      </w:r>
      <w:r/>
    </w:p>
    <w:p>
      <w:pPr>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优先采购    </w:t>
      </w:r>
      <w:r/>
    </w:p>
    <w:p>
      <w:pPr>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否</w:t>
      </w:r>
      <w:r/>
    </w:p>
    <w:p>
      <w:pPr>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是否涉及绿色产品： </w:t>
      </w:r>
      <w:r/>
    </w:p>
    <w:p>
      <w:pPr>
        <w:ind w:firstLine="420"/>
        <w:jc w:val="left"/>
        <w:spacing w:line="400" w:lineRule="exact"/>
        <w:widowControl/>
        <w:rPr>
          <w:rFonts w:hint="eastAsia" w:ascii="宋体" w:hAnsi="宋体" w:eastAsia="宋体" w:cs="宋体"/>
          <w:color w:val="000000"/>
          <w:sz w:val="22"/>
          <w:szCs w:val="21"/>
          <w:highlight w:val="none"/>
          <w:u w:val="single"/>
        </w:rPr>
      </w:pPr>
      <w:r>
        <w:rPr>
          <w:rFonts w:hint="eastAsia" w:ascii="宋体" w:hAnsi="宋体" w:eastAsia="宋体" w:cs="宋体"/>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是，绿色产品政府采购相关政策确定的底级品目名称：</w:t>
      </w:r>
      <w:r>
        <w:rPr>
          <w:rFonts w:hint="eastAsia" w:ascii="宋体" w:hAnsi="宋体" w:eastAsia="宋体" w:cs="宋体"/>
          <w:color w:val="000000"/>
          <w:sz w:val="22"/>
          <w:szCs w:val="21"/>
          <w:highlight w:val="none"/>
          <w:u w:val="single"/>
        </w:rPr>
        <w:t xml:space="preserve">         </w:t>
      </w:r>
      <w:r/>
    </w:p>
    <w:p>
      <w:pPr>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优先采购      </w:t>
      </w:r>
      <w:r/>
    </w:p>
    <w:p>
      <w:pPr>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否</w:t>
      </w: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w:t>
      </w:r>
      <w:r>
        <w:rPr>
          <w:rFonts w:hint="eastAsia" w:ascii="宋体" w:hAnsi="宋体" w:eastAsia="宋体" w:cs="宋体"/>
          <w:color w:val="000000"/>
          <w:szCs w:val="21"/>
          <w:highlight w:val="none"/>
          <w:lang w:val="en"/>
        </w:rPr>
        <w:t xml:space="preserve">1</w:t>
      </w:r>
      <w:r>
        <w:rPr>
          <w:rFonts w:hint="eastAsia" w:ascii="宋体" w:hAnsi="宋体" w:eastAsia="宋体" w:cs="宋体"/>
          <w:color w:val="000000"/>
          <w:szCs w:val="21"/>
          <w:highlight w:val="none"/>
        </w:rPr>
        <w:t xml:space="preserve">）涉及商品包装和快递包装的，是否参考《商品包装政府采购需求标准（试行）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快递包装政府采购需求标准（试行）》明确产品及相关快递服务的具体包装要求：</w:t>
      </w:r>
      <w:r/>
    </w:p>
    <w:p>
      <w:pPr>
        <w:ind w:firstLine="840"/>
        <w:spacing w:line="400" w:lineRule="exact"/>
        <w:rPr>
          <w:rFonts w:hint="eastAsia" w:ascii="宋体" w:hAnsi="宋体" w:eastAsia="宋体" w:cs="宋体"/>
          <w:color w:val="000000"/>
          <w:szCs w:val="21"/>
          <w:highlight w:val="none"/>
        </w:rPr>
      </w:pP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否      </w:t>
      </w: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不涉及</w:t>
      </w:r>
      <w:r/>
    </w:p>
    <w:p>
      <w:pPr>
        <w:numPr>
          <w:ilvl w:val="0"/>
          <w:numId w:val="3"/>
        </w:numPr>
        <w:ind w:firstLine="422"/>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合同金额</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w:t>
      </w:r>
      <w:r>
        <w:rPr>
          <w:rFonts w:hint="eastAsia" w:ascii="宋体" w:hAnsi="宋体" w:eastAsia="宋体" w:cs="宋体"/>
          <w:color w:val="000000"/>
          <w:szCs w:val="21"/>
          <w:highlight w:val="none"/>
          <w:lang w:val="en-US" w:eastAsia="zh-CN"/>
        </w:rPr>
        <w:t xml:space="preserve">含税总</w:t>
      </w:r>
      <w:r>
        <w:rPr>
          <w:rFonts w:hint="eastAsia" w:ascii="宋体" w:hAnsi="宋体" w:eastAsia="宋体" w:cs="宋体"/>
          <w:color w:val="000000"/>
          <w:szCs w:val="21"/>
          <w:highlight w:val="none"/>
        </w:rPr>
        <w:t xml:space="preserve">金额小写：</w:t>
      </w:r>
      <w:r>
        <w:rPr>
          <w:rFonts w:hint="eastAsia" w:ascii="宋体" w:hAnsi="宋体" w:eastAsia="宋体" w:cs="宋体"/>
          <w:color w:val="000000"/>
          <w:szCs w:val="21"/>
          <w:highlight w:val="none"/>
          <w:u w:val="single"/>
        </w:rPr>
        <w:t xml:space="preserve">                           </w:t>
      </w:r>
      <w:r/>
    </w:p>
    <w:p>
      <w:pPr>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大写：</w:t>
      </w:r>
      <w:r>
        <w:rPr>
          <w:rFonts w:hint="eastAsia" w:ascii="宋体" w:hAnsi="宋体" w:eastAsia="宋体" w:cs="宋体"/>
          <w:color w:val="000000"/>
          <w:szCs w:val="21"/>
          <w:highlight w:val="none"/>
          <w:u w:val="single"/>
        </w:rPr>
        <w:t xml:space="preserve">                           </w:t>
      </w: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分包金额（如有）小写：</w:t>
      </w:r>
      <w:r>
        <w:rPr>
          <w:rFonts w:hint="eastAsia" w:ascii="宋体" w:hAnsi="宋体" w:eastAsia="宋体" w:cs="宋体"/>
          <w:color w:val="000000"/>
          <w:szCs w:val="21"/>
          <w:highlight w:val="none"/>
          <w:u w:val="single"/>
        </w:rPr>
        <w:t xml:space="preserve">                   </w:t>
      </w:r>
      <w:r/>
    </w:p>
    <w:p>
      <w:pPr>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大写：</w:t>
      </w:r>
      <w:r>
        <w:rPr>
          <w:rFonts w:hint="eastAsia" w:ascii="宋体" w:hAnsi="宋体" w:eastAsia="宋体" w:cs="宋体"/>
          <w:color w:val="000000"/>
          <w:szCs w:val="21"/>
          <w:highlight w:val="none"/>
          <w:u w:val="single"/>
        </w:rPr>
        <w:t xml:space="preserve">                   </w:t>
      </w: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（注：固定单价合同应填写单价和最高限价）</w:t>
      </w: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（2）合同定价方式（采用组合定价方式的，可以勾选多项）：</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其他</w:t>
      </w:r>
      <w:r>
        <w:rPr>
          <w:rFonts w:hint="eastAsia" w:ascii="宋体" w:hAnsi="宋体" w:eastAsia="宋体" w:cs="宋体"/>
          <w:color w:val="000000"/>
          <w:szCs w:val="21"/>
          <w:highlight w:val="none"/>
          <w:u w:val="single"/>
        </w:rPr>
        <w:t xml:space="preserve">       </w:t>
      </w:r>
      <w:r/>
    </w:p>
    <w:p>
      <w:pPr>
        <w:contextualSpacing/>
        <w:ind w:firstLine="420"/>
        <w:jc w:val="left"/>
        <w:spacing w:line="400" w:lineRule="exact"/>
        <w:widowControl/>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t xml:space="preserve">（3）付款方式（按项目实际勾选填写）：</w:t>
      </w:r>
      <w:r/>
    </w:p>
    <w:p>
      <w:pPr>
        <w:ind w:firstLine="630"/>
        <w:spacing w:line="400" w:lineRule="exact"/>
        <w:rPr>
          <w:rFonts w:hint="eastAsia" w:ascii="宋体" w:hAnsi="宋体" w:eastAsia="宋体" w:cs="宋体"/>
          <w:color w:val="000000"/>
          <w:szCs w:val="21"/>
          <w:highlight w:val="none"/>
          <w:u w:val="single"/>
        </w:rPr>
      </w:pP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全额付款：</w:t>
      </w:r>
      <w:r>
        <w:rPr>
          <w:rFonts w:hint="eastAsia" w:ascii="宋体" w:hAnsi="宋体" w:eastAsia="宋体" w:cs="宋体"/>
          <w:color w:val="000000"/>
          <w:szCs w:val="21"/>
          <w:highlight w:val="none"/>
          <w:u w:val="single"/>
        </w:rPr>
        <w:t xml:space="preserve">  （应明确一次性支付合同款项的条件）                    </w:t>
      </w:r>
      <w:r/>
    </w:p>
    <w:p>
      <w:pPr>
        <w:ind w:firstLine="630"/>
        <w:spacing w:line="400" w:lineRule="exact"/>
        <w:rPr>
          <w:rFonts w:hint="eastAsia" w:ascii="宋体" w:hAnsi="宋体" w:eastAsia="宋体" w:cs="宋体"/>
          <w:color w:val="000000"/>
          <w:szCs w:val="22"/>
          <w:highlight w:val="none"/>
        </w:rPr>
      </w:pP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分期付款：</w:t>
      </w:r>
      <w:r>
        <w:rPr>
          <w:rFonts w:hint="eastAsia" w:ascii="宋体" w:hAnsi="宋体" w:eastAsia="宋体" w:cs="宋体"/>
          <w:color w:val="000000"/>
          <w:szCs w:val="21"/>
          <w:highlight w:val="none"/>
          <w:u w:val="single"/>
        </w:rPr>
        <w:t xml:space="preserve">  （应明确分期支付合同款项的各期比例和支付条件，各期支付条件应与分期履约验收情况挂钩） </w:t>
      </w:r>
      <w:r>
        <w:rPr>
          <w:rFonts w:hint="eastAsia" w:ascii="宋体" w:hAnsi="宋体" w:eastAsia="宋体" w:cs="宋体"/>
          <w:color w:val="000000"/>
          <w:szCs w:val="21"/>
          <w:highlight w:val="none"/>
        </w:rPr>
        <w:t xml:space="preserve">，其中涉及预付款的：</w:t>
      </w:r>
      <w:r>
        <w:rPr>
          <w:rFonts w:hint="eastAsia" w:ascii="宋体" w:hAnsi="宋体" w:eastAsia="宋体" w:cs="宋体"/>
          <w:color w:val="000000"/>
          <w:szCs w:val="21"/>
          <w:highlight w:val="none"/>
          <w:u w:val="single"/>
        </w:rPr>
        <w:t xml:space="preserve"> （应明确预付款的支付比例和支付条件） </w:t>
      </w:r>
      <w:r/>
    </w:p>
    <w:p>
      <w:pPr>
        <w:ind w:firstLine="630"/>
        <w:spacing w:line="400" w:lineRule="exact"/>
        <w:rPr>
          <w:rFonts w:hint="eastAsia" w:ascii="宋体" w:hAnsi="宋体" w:eastAsia="宋体" w:cs="宋体"/>
          <w:color w:val="000000"/>
          <w:szCs w:val="21"/>
          <w:highlight w:val="none"/>
          <w:u w:val="single"/>
        </w:rPr>
      </w:pP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成本补偿：</w:t>
      </w:r>
      <w:r>
        <w:rPr>
          <w:rFonts w:hint="eastAsia" w:ascii="宋体" w:hAnsi="宋体" w:eastAsia="宋体" w:cs="宋体"/>
          <w:color w:val="000000"/>
          <w:szCs w:val="21"/>
          <w:highlight w:val="none"/>
          <w:u w:val="single"/>
        </w:rPr>
        <w:t xml:space="preserve">      （应明确按照成本补偿方式的支付方式和支付条件）   </w:t>
      </w:r>
      <w:r/>
    </w:p>
    <w:p>
      <w:pPr>
        <w:ind w:firstLine="630"/>
        <w:spacing w:line="400" w:lineRule="exact"/>
        <w:rPr>
          <w:rFonts w:hint="eastAsia" w:ascii="宋体" w:hAnsi="宋体" w:eastAsia="宋体" w:cs="宋体"/>
          <w:color w:val="000000"/>
          <w:szCs w:val="21"/>
          <w:highlight w:val="none"/>
          <w:u w:val="single"/>
        </w:rPr>
      </w:pPr>
      <w:r>
        <w:rPr>
          <w:rFonts w:ascii="Wingdings" w:hAnsi="Wingdings" w:eastAsia="Wingdings" w:cs="Wingdings"/>
          <w:iCs/>
          <w:color w:val="000000"/>
          <w:szCs w:val="21"/>
          <w:highlight w:val="none"/>
        </w:rPr>
        <w:t xml:space="preserve"></w:t>
      </w:r>
      <w:r>
        <w:rPr>
          <w:rFonts w:hint="eastAsia" w:ascii="宋体" w:hAnsi="宋体" w:eastAsia="宋体" w:cs="宋体"/>
          <w:color w:val="000000"/>
          <w:szCs w:val="21"/>
          <w:highlight w:val="none"/>
        </w:rPr>
        <w:t xml:space="preserve">绩效激励：</w:t>
      </w:r>
      <w:r>
        <w:rPr>
          <w:rFonts w:hint="eastAsia" w:ascii="宋体" w:hAnsi="宋体" w:eastAsia="宋体" w:cs="宋体"/>
          <w:color w:val="000000"/>
          <w:szCs w:val="21"/>
          <w:highlight w:val="none"/>
          <w:u w:val="single"/>
        </w:rPr>
        <w:t xml:space="preserve">      （应明确按照绩效激励方式的支付方式和支付条件）   </w:t>
      </w:r>
      <w:r/>
    </w:p>
    <w:p>
      <w:pPr>
        <w:numPr>
          <w:ilvl w:val="0"/>
          <w:numId w:val="3"/>
        </w:numPr>
        <w:ind w:firstLine="422"/>
        <w:spacing w:line="400" w:lineRule="exact"/>
        <w:rPr>
          <w:rFonts w:hint="eastAsia" w:ascii="宋体" w:hAnsi="宋体" w:eastAsia="宋体" w:cs="宋体"/>
          <w:b/>
          <w:color w:val="000000"/>
          <w:szCs w:val="21"/>
          <w:highlight w:val="none"/>
          <w:u w:val="single"/>
        </w:rPr>
      </w:pPr>
      <w:r>
        <w:rPr>
          <w:rFonts w:hint="eastAsia" w:ascii="宋体" w:hAnsi="宋体" w:eastAsia="宋体" w:cs="宋体"/>
          <w:b/>
          <w:color w:val="000000"/>
          <w:szCs w:val="21"/>
          <w:highlight w:val="none"/>
        </w:rPr>
        <w:t xml:space="preserve">合同履行</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（1）起始日期：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日，完成日期：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p>
    <w:p>
      <w:pPr>
        <w:ind w:firstLine="42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（2）履约地点</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u w:val="single"/>
        </w:rPr>
        <w:t xml:space="preserve">                             </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（3）履约担保：</w:t>
      </w:r>
      <w:r>
        <w:rPr>
          <w:rFonts w:hint="eastAsia" w:ascii="宋体" w:hAnsi="宋体" w:eastAsia="宋体" w:cs="宋体"/>
          <w:color w:val="000000"/>
          <w:szCs w:val="22"/>
          <w:highlight w:val="none"/>
        </w:rPr>
        <w:t xml:space="preserve">是否收取履约保证金：</w:t>
      </w:r>
      <w:r>
        <w:rPr>
          <w:rFonts w:ascii="Wingdings" w:hAnsi="Wingdings" w:eastAsia="Wingdings" w:cs="Wingdings"/>
          <w:color w:val="000000"/>
          <w:szCs w:val="21"/>
          <w:highlight w:val="none"/>
        </w:rPr>
        <w:t xml:space="preserve">þ</w:t>
      </w:r>
      <w:r>
        <w:rPr>
          <w:rFonts w:hint="eastAsia" w:ascii="宋体" w:hAnsi="宋体" w:eastAsia="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否</w:t>
      </w:r>
      <w:r/>
    </w:p>
    <w:p>
      <w:pPr>
        <w:ind w:firstLine="44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bCs/>
          <w:color w:val="000000"/>
          <w:sz w:val="22"/>
          <w:szCs w:val="21"/>
          <w:highlight w:val="none"/>
        </w:rPr>
        <w:t xml:space="preserve"> </w:t>
      </w:r>
      <w:r>
        <w:rPr>
          <w:rFonts w:hint="eastAsia" w:ascii="宋体" w:hAnsi="宋体" w:eastAsia="宋体" w:cs="宋体"/>
          <w:color w:val="000000"/>
          <w:szCs w:val="21"/>
          <w:highlight w:val="none"/>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jc w:val="left"/>
        <w:spacing w:line="400" w:lineRule="exact"/>
        <w:widowControl/>
        <w:rPr>
          <w:rFonts w:hint="eastAsia" w:ascii="宋体" w:hAnsi="宋体" w:eastAsia="宋体" w:cs="宋体"/>
          <w:bCs/>
          <w:color w:val="000000"/>
          <w:szCs w:val="21"/>
          <w:highlight w:val="none"/>
          <w:u w:val="single"/>
        </w:rPr>
      </w:pPr>
      <w:r>
        <w:rPr>
          <w:rFonts w:hint="eastAsia" w:ascii="宋体" w:hAnsi="宋体" w:eastAsia="宋体" w:cs="宋体"/>
          <w:color w:val="000000"/>
          <w:szCs w:val="21"/>
          <w:highlight w:val="none"/>
        </w:rPr>
        <w:t xml:space="preserve"> 如以履约保函（保险）形式缴纳履约保证金，</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可通过政府采购电子履约保函（保险）平台（www.jsdzbh.com）在线申请履约保函（保险）。</w:t>
      </w:r>
      <w:r>
        <w:rPr>
          <w:rFonts w:hint="eastAsia" w:ascii="宋体" w:hAnsi="宋体" w:eastAsia="宋体" w:cs="宋体"/>
          <w:bCs/>
          <w:color w:val="000000"/>
          <w:szCs w:val="21"/>
          <w:highlight w:val="none"/>
          <w:u w:val="single"/>
        </w:rPr>
        <w:t xml:space="preserve">                            </w:t>
      </w:r>
      <w:r/>
    </w:p>
    <w:p>
      <w:pPr>
        <w:ind w:firstLine="420"/>
        <w:jc w:val="left"/>
        <w:spacing w:line="400" w:lineRule="exact"/>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合同履行结束后，甲方应及时退还交纳的履约保证金。</w:t>
      </w:r>
      <w:r/>
    </w:p>
    <w:p>
      <w:pPr>
        <w:ind w:firstLine="420"/>
        <w:jc w:val="left"/>
        <w:spacing w:line="400" w:lineRule="exact"/>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履约保证金的退还：</w:t>
      </w:r>
      <w:r/>
    </w:p>
    <w:p>
      <w:pPr>
        <w:ind w:firstLine="420"/>
        <w:jc w:val="left"/>
        <w:spacing w:line="400" w:lineRule="exact"/>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（1）方式：退还至乙方缴纳履约保证金的账户。如为保函（保险），在到期时自行失效。</w:t>
      </w:r>
      <w:r/>
    </w:p>
    <w:p>
      <w:pPr>
        <w:ind w:firstLine="420"/>
        <w:jc w:val="left"/>
        <w:spacing w:line="400" w:lineRule="exact"/>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（2）时间：验收合格且甲方收到发票后</w:t>
      </w:r>
      <w:r>
        <w:rPr>
          <w:rFonts w:hint="eastAsia" w:ascii="宋体" w:hAnsi="宋体" w:eastAsia="宋体" w:cs="宋体"/>
          <w:bCs/>
          <w:color w:val="000000"/>
          <w:szCs w:val="21"/>
          <w:highlight w:val="none"/>
          <w:u w:val="single"/>
          <w:lang w:val="en-US" w:eastAsia="zh-CN"/>
        </w:rPr>
        <w:t xml:space="preserve">15</w:t>
      </w:r>
      <w:r>
        <w:rPr>
          <w:rFonts w:hint="eastAsia" w:ascii="宋体" w:hAnsi="宋体" w:eastAsia="宋体" w:cs="宋体"/>
          <w:bCs/>
          <w:color w:val="000000"/>
          <w:szCs w:val="21"/>
          <w:highlight w:val="none"/>
          <w:u w:val="single"/>
        </w:rPr>
        <w:t xml:space="preserve">日内。</w:t>
      </w:r>
      <w:r/>
    </w:p>
    <w:p>
      <w:pPr>
        <w:ind w:firstLine="420"/>
        <w:jc w:val="left"/>
        <w:spacing w:line="400" w:lineRule="exact"/>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（3）条件：按合同要求全部履约完成并经甲方验收合格，且甲方收到乙方出具的发票。</w:t>
      </w:r>
      <w:r/>
    </w:p>
    <w:p>
      <w:pPr>
        <w:ind w:firstLine="420"/>
        <w:jc w:val="left"/>
        <w:spacing w:line="400" w:lineRule="exact"/>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（4）不予退还情形：</w:t>
      </w:r>
      <w:r/>
    </w:p>
    <w:p>
      <w:pPr>
        <w:ind w:firstLine="420"/>
        <w:jc w:val="left"/>
        <w:spacing w:line="400" w:lineRule="exact"/>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除不可抗力情况外，乙方出现下列情形之一的，其履约保证金，甲方将视情节决定不予退还或部分不予退还。</w:t>
      </w:r>
      <w:r/>
    </w:p>
    <w:p>
      <w:pPr>
        <w:ind w:firstLine="420"/>
        <w:jc w:val="left"/>
        <w:spacing w:line="400" w:lineRule="exact"/>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4.1乙方无正当理由拒绝签订合同的，或者在签订合同时向甲方提出附加条件或者更改合同实质性内容要求的；</w:t>
      </w:r>
      <w:r/>
    </w:p>
    <w:p>
      <w:pPr>
        <w:ind w:firstLine="420"/>
        <w:jc w:val="left"/>
        <w:spacing w:line="400" w:lineRule="exact"/>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4.2乙方不履行</w:t>
      </w:r>
      <w:r>
        <w:rPr>
          <w:rFonts w:hint="eastAsia" w:ascii="宋体" w:hAnsi="宋体" w:eastAsia="宋体" w:cs="宋体"/>
          <w:bCs/>
          <w:color w:val="000000"/>
          <w:szCs w:val="21"/>
          <w:highlight w:val="none"/>
          <w:u w:val="single"/>
          <w:lang w:val="en-US" w:eastAsia="zh-CN"/>
        </w:rPr>
        <w:t xml:space="preserve">或未全面履行</w:t>
      </w:r>
      <w:r>
        <w:rPr>
          <w:rFonts w:hint="eastAsia" w:ascii="宋体" w:hAnsi="宋体" w:eastAsia="宋体" w:cs="宋体"/>
          <w:bCs/>
          <w:color w:val="000000"/>
          <w:szCs w:val="21"/>
          <w:highlight w:val="none"/>
          <w:u w:val="single"/>
        </w:rPr>
        <w:t xml:space="preserve">与甲方订立的合同的；</w:t>
      </w:r>
      <w:r/>
    </w:p>
    <w:p>
      <w:pPr>
        <w:ind w:firstLine="420"/>
        <w:jc w:val="left"/>
        <w:spacing w:line="400" w:lineRule="exact"/>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4.3乙方所供货物或服务不符合招标文件规定要求的；</w:t>
      </w:r>
      <w:r/>
    </w:p>
    <w:p>
      <w:pPr>
        <w:ind w:firstLine="420"/>
        <w:jc w:val="left"/>
        <w:spacing w:line="400" w:lineRule="exact"/>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4.4乙方采取欺骗、弄虚作假方式投标的或与其他投标人串通投标的；</w:t>
      </w:r>
      <w:r/>
    </w:p>
    <w:p>
      <w:pPr>
        <w:ind w:firstLine="420"/>
        <w:jc w:val="left"/>
        <w:spacing w:line="400" w:lineRule="exact"/>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4.5乙方将合同内容转包、违法分包的；</w:t>
      </w:r>
      <w:r/>
    </w:p>
    <w:p>
      <w:pPr>
        <w:ind w:firstLine="420"/>
        <w:jc w:val="left"/>
        <w:spacing w:line="400" w:lineRule="exact"/>
        <w:widowControl/>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u w:val="single"/>
        </w:rPr>
        <w:t xml:space="preserve">4.6乙方故意捏造事实或伪造证明材料，进行虚假恶意投诉或反映的。</w:t>
      </w:r>
      <w:r/>
    </w:p>
    <w:p>
      <w:pPr>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收取</w:t>
      </w:r>
      <w:bookmarkStart w:id="195" w:name="OLE_LINK22"/>
      <w:r>
        <w:rPr>
          <w:rFonts w:hint="eastAsia" w:ascii="宋体" w:hAnsi="宋体" w:eastAsia="宋体" w:cs="宋体"/>
          <w:color w:val="000000"/>
          <w:szCs w:val="21"/>
          <w:highlight w:val="none"/>
        </w:rPr>
        <w:t xml:space="preserve">履约保证金金额：</w:t>
      </w:r>
      <w:r>
        <w:rPr>
          <w:rFonts w:hint="eastAsia" w:ascii="宋体" w:hAnsi="宋体" w:eastAsia="宋体" w:cs="宋体"/>
          <w:bCs/>
          <w:color w:val="000000"/>
          <w:szCs w:val="21"/>
          <w:highlight w:val="none"/>
          <w:u w:val="single"/>
        </w:rPr>
        <w:t xml:space="preserve">（合同金额的</w:t>
      </w:r>
      <w:r>
        <w:rPr>
          <w:rFonts w:hint="eastAsia" w:ascii="宋体" w:hAnsi="宋体" w:eastAsia="宋体" w:cs="宋体"/>
          <w:bCs/>
          <w:color w:val="000000"/>
          <w:szCs w:val="21"/>
          <w:highlight w:val="none"/>
          <w:u w:val="single"/>
          <w:lang w:val="en-US" w:eastAsia="zh-CN"/>
        </w:rPr>
        <w:t xml:space="preserve">5</w:t>
      </w:r>
      <w:r>
        <w:rPr>
          <w:rFonts w:hint="eastAsia" w:ascii="宋体" w:hAnsi="宋体" w:eastAsia="宋体" w:cs="宋体"/>
          <w:bCs/>
          <w:color w:val="000000"/>
          <w:szCs w:val="21"/>
          <w:highlight w:val="none"/>
          <w:u w:val="single"/>
        </w:rPr>
        <w:t xml:space="preserve">%）</w:t>
      </w:r>
      <w:bookmarkEnd w:id="195"/>
      <w:r>
        <w:rPr>
          <w:rFonts w:hint="eastAsia" w:ascii="宋体" w:hAnsi="宋体" w:eastAsia="宋体" w:cs="宋体"/>
          <w:bCs/>
          <w:color w:val="000000"/>
          <w:szCs w:val="21"/>
          <w:highlight w:val="none"/>
          <w:u w:val="single"/>
        </w:rPr>
        <w:t xml:space="preserve">                           </w:t>
      </w:r>
      <w:r/>
    </w:p>
    <w:p>
      <w:pPr>
        <w:ind w:firstLine="420"/>
        <w:spacing w:line="400" w:lineRule="exact"/>
        <w:rPr>
          <w:rFonts w:hint="eastAsia" w:ascii="宋体" w:hAnsi="宋体" w:eastAsia="宋体" w:cs="宋体"/>
          <w:color w:val="000000"/>
          <w:szCs w:val="22"/>
          <w:highlight w:val="none"/>
        </w:rPr>
      </w:pPr>
      <w:r>
        <w:rPr>
          <w:rFonts w:hint="eastAsia" w:ascii="宋体" w:hAnsi="宋体" w:eastAsia="宋体" w:cs="宋体"/>
          <w:bCs/>
          <w:color w:val="000000"/>
          <w:szCs w:val="21"/>
          <w:highlight w:val="none"/>
        </w:rPr>
        <w:t xml:space="preserve"> 履约担保期限：</w:t>
      </w:r>
      <w:r>
        <w:rPr>
          <w:rFonts w:hint="eastAsia" w:ascii="宋体" w:hAnsi="宋体" w:eastAsia="宋体" w:cs="宋体"/>
          <w:bCs/>
          <w:color w:val="000000"/>
          <w:szCs w:val="21"/>
          <w:highlight w:val="none"/>
          <w:u w:val="single"/>
        </w:rPr>
        <w:t xml:space="preserve">                                  </w:t>
      </w:r>
      <w:r/>
    </w:p>
    <w:p>
      <w:pPr>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（4）分期履行要求：</w:t>
      </w:r>
      <w:r>
        <w:rPr>
          <w:rFonts w:hint="eastAsia" w:ascii="宋体" w:hAnsi="宋体" w:eastAsia="宋体" w:cs="宋体"/>
          <w:bCs/>
          <w:color w:val="000000"/>
          <w:szCs w:val="21"/>
          <w:highlight w:val="none"/>
          <w:u w:val="single"/>
        </w:rPr>
        <w:t xml:space="preserve">                                                        </w:t>
      </w:r>
      <w:r/>
    </w:p>
    <w:p>
      <w:pPr>
        <w:ind w:firstLine="420"/>
        <w:spacing w:line="400" w:lineRule="exact"/>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（5）风险处置措施和替代方案：</w:t>
      </w:r>
      <w:r>
        <w:rPr>
          <w:rFonts w:hint="eastAsia" w:ascii="宋体" w:hAnsi="宋体" w:eastAsia="宋体" w:cs="宋体"/>
          <w:color w:val="000000"/>
          <w:szCs w:val="21"/>
          <w:highlight w:val="none"/>
          <w:u w:val="single"/>
        </w:rPr>
        <w:t xml:space="preserve">                                                </w:t>
      </w:r>
      <w:r/>
    </w:p>
    <w:p>
      <w:pPr>
        <w:numPr>
          <w:ilvl w:val="0"/>
          <w:numId w:val="3"/>
        </w:numPr>
        <w:ind w:firstLine="422"/>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合同验收</w:t>
      </w:r>
      <w:r/>
    </w:p>
    <w:p>
      <w:pPr>
        <w:numPr>
          <w:ilvl w:val="0"/>
          <w:numId w:val="5"/>
        </w:numPr>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验收组织方式：</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自行组织 </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委托第三方组织</w:t>
      </w:r>
      <w:r/>
    </w:p>
    <w:p>
      <w:pPr>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验收主体：</w:t>
      </w:r>
      <w:r>
        <w:rPr>
          <w:rFonts w:hint="eastAsia" w:ascii="宋体" w:hAnsi="宋体" w:eastAsia="宋体" w:cs="宋体"/>
          <w:bCs/>
          <w:color w:val="000000"/>
          <w:szCs w:val="21"/>
          <w:highlight w:val="none"/>
          <w:u w:val="single"/>
        </w:rPr>
        <w:t xml:space="preserve">                  </w:t>
      </w:r>
      <w:r/>
    </w:p>
    <w:p>
      <w:pPr>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是否邀请本项目的其他</w:t>
      </w:r>
      <w:r>
        <w:rPr>
          <w:rFonts w:hint="eastAsia" w:ascii="宋体" w:hAnsi="宋体" w:eastAsia="宋体" w:cs="宋体"/>
          <w:bCs/>
          <w:color w:val="000000"/>
          <w:szCs w:val="21"/>
          <w:highlight w:val="none"/>
          <w:lang w:eastAsia="zh-CN"/>
        </w:rPr>
        <w:t xml:space="preserve">投标人</w:t>
      </w:r>
      <w:r>
        <w:rPr>
          <w:rFonts w:hint="eastAsia" w:ascii="宋体" w:hAnsi="宋体" w:eastAsia="宋体" w:cs="宋体"/>
          <w:bCs/>
          <w:color w:val="000000"/>
          <w:szCs w:val="21"/>
          <w:highlight w:val="none"/>
        </w:rPr>
        <w:t xml:space="preserve">参加验收：</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否</w:t>
      </w:r>
      <w:r/>
    </w:p>
    <w:p>
      <w:pPr>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是否邀请专家参加验收：</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否</w:t>
      </w:r>
      <w:r/>
    </w:p>
    <w:p>
      <w:pPr>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是否邀请服务对象参加验收：</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否</w:t>
      </w:r>
      <w:r/>
    </w:p>
    <w:p>
      <w:pPr>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是否邀请第三方检测机构参加验收：</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否</w:t>
      </w:r>
      <w:r/>
    </w:p>
    <w:p>
      <w:pPr>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是否进行抽查检测：</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是，抽查比例：</w:t>
      </w:r>
      <w:r>
        <w:rPr>
          <w:rFonts w:hint="eastAsia" w:ascii="宋体" w:hAnsi="宋体" w:eastAsia="宋体" w:cs="宋体"/>
          <w:bCs/>
          <w:color w:val="000000"/>
          <w:szCs w:val="21"/>
          <w:highlight w:val="none"/>
          <w:u w:val="singl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否</w:t>
      </w:r>
      <w:r/>
    </w:p>
    <w:p>
      <w:pPr>
        <w:ind w:firstLine="525"/>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是否存在破坏性检测：</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是，</w:t>
      </w:r>
      <w:r>
        <w:rPr>
          <w:rFonts w:hint="eastAsia" w:ascii="宋体" w:hAnsi="宋体" w:eastAsia="宋体" w:cs="宋体"/>
          <w:bCs/>
          <w:color w:val="000000"/>
          <w:szCs w:val="21"/>
          <w:highlight w:val="none"/>
          <w:u w:val="single"/>
        </w:rPr>
        <w:t xml:space="preserve">（应明确对被破坏的检测产品的处理方式）</w:t>
      </w:r>
      <w:r/>
    </w:p>
    <w:p>
      <w:pPr>
        <w:ind w:firstLine="525"/>
        <w:spacing w:line="400" w:lineRule="exact"/>
        <w:rPr>
          <w:rFonts w:hint="eastAsia" w:ascii="宋体" w:hAnsi="宋体" w:eastAsia="宋体" w:cs="宋体"/>
          <w:bCs/>
          <w:color w:val="000000"/>
          <w:szCs w:val="21"/>
          <w:highlight w:val="none"/>
        </w:rPr>
      </w:pP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否</w:t>
      </w:r>
      <w:r/>
    </w:p>
    <w:p>
      <w:pPr>
        <w:ind w:firstLine="525"/>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验收组织的其他事项：</w:t>
      </w:r>
      <w:r>
        <w:rPr>
          <w:rFonts w:hint="eastAsia" w:ascii="宋体" w:hAnsi="宋体" w:eastAsia="宋体" w:cs="宋体"/>
          <w:bCs/>
          <w:color w:val="000000"/>
          <w:szCs w:val="21"/>
          <w:highlight w:val="none"/>
          <w:u w:val="single"/>
        </w:rPr>
        <w:t xml:space="preserve">                </w:t>
      </w:r>
      <w:r/>
    </w:p>
    <w:p>
      <w:pPr>
        <w:ind w:firstLine="420"/>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（2）履约验收时间：</w:t>
      </w:r>
      <w:r>
        <w:rPr>
          <w:rFonts w:hint="eastAsia" w:ascii="宋体" w:hAnsi="宋体" w:eastAsia="宋体" w:cs="宋体"/>
          <w:bCs/>
          <w:color w:val="000000"/>
          <w:szCs w:val="21"/>
          <w:highlight w:val="none"/>
          <w:u w:val="single"/>
        </w:rPr>
        <w:t xml:space="preserve">（计划于何时验收/</w:t>
      </w:r>
      <w:r>
        <w:rPr>
          <w:rFonts w:hint="eastAsia" w:ascii="宋体" w:hAnsi="宋体" w:eastAsia="宋体" w:cs="宋体"/>
          <w:bCs/>
          <w:color w:val="000000"/>
          <w:szCs w:val="21"/>
          <w:highlight w:val="none"/>
          <w:u w:val="single"/>
          <w:lang w:eastAsia="zh-CN"/>
        </w:rPr>
        <w:t xml:space="preserve">投标人</w:t>
      </w:r>
      <w:r>
        <w:rPr>
          <w:rFonts w:hint="eastAsia" w:ascii="宋体" w:hAnsi="宋体" w:eastAsia="宋体" w:cs="宋体"/>
          <w:bCs/>
          <w:color w:val="000000"/>
          <w:szCs w:val="21"/>
          <w:highlight w:val="none"/>
          <w:u w:val="single"/>
        </w:rPr>
        <w:t xml:space="preserve">提出验收申请之日起   日内组织验收） </w:t>
      </w:r>
      <w:r/>
    </w:p>
    <w:p>
      <w:pPr>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（3）履约验收方式：</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一次性验收         </w:t>
      </w:r>
      <w:r/>
    </w:p>
    <w:p>
      <w:pPr>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分期/分项验收：</w:t>
      </w:r>
      <w:r>
        <w:rPr>
          <w:rFonts w:hint="eastAsia" w:ascii="宋体" w:hAnsi="宋体" w:eastAsia="宋体" w:cs="宋体"/>
          <w:bCs/>
          <w:color w:val="000000"/>
          <w:szCs w:val="21"/>
          <w:highlight w:val="none"/>
          <w:u w:val="single"/>
        </w:rPr>
        <w:t xml:space="preserve"> （应明确分期</w:t>
      </w:r>
      <w:r>
        <w:rPr>
          <w:rFonts w:hint="eastAsia" w:ascii="宋体" w:hAnsi="宋体" w:eastAsia="宋体" w:cs="宋体"/>
          <w:bCs/>
          <w:color w:val="000000"/>
          <w:szCs w:val="21"/>
          <w:highlight w:val="none"/>
          <w:u w:val="single"/>
          <w:lang w:val="en"/>
        </w:rPr>
        <w:t xml:space="preserve">/分项验收的工作安排</w:t>
      </w:r>
      <w:r>
        <w:rPr>
          <w:rFonts w:hint="eastAsia" w:ascii="宋体" w:hAnsi="宋体" w:eastAsia="宋体" w:cs="宋体"/>
          <w:bCs/>
          <w:color w:val="000000"/>
          <w:szCs w:val="21"/>
          <w:highlight w:val="none"/>
          <w:u w:val="single"/>
        </w:rPr>
        <w:t xml:space="preserve">）  </w:t>
      </w:r>
      <w:r/>
    </w:p>
    <w:p>
      <w:pPr>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（4）履约验收程序：</w:t>
      </w:r>
      <w:r>
        <w:rPr>
          <w:rFonts w:hint="eastAsia" w:ascii="宋体" w:hAnsi="宋体" w:eastAsia="宋体" w:cs="宋体"/>
          <w:bCs/>
          <w:color w:val="000000"/>
          <w:szCs w:val="21"/>
          <w:highlight w:val="none"/>
          <w:u w:val="single"/>
        </w:rPr>
        <w:t xml:space="preserve">                                         </w:t>
      </w:r>
      <w:r/>
    </w:p>
    <w:p>
      <w:pPr>
        <w:ind w:firstLine="420"/>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（5）履约验收的内容：</w:t>
      </w:r>
      <w:r>
        <w:rPr>
          <w:rFonts w:hint="eastAsia" w:ascii="宋体" w:hAnsi="宋体" w:eastAsia="宋体" w:cs="宋体"/>
          <w:bCs/>
          <w:color w:val="000000"/>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（6）履约验收标准：</w:t>
      </w:r>
      <w:r>
        <w:rPr>
          <w:rFonts w:hint="eastAsia" w:ascii="宋体" w:hAnsi="宋体" w:eastAsia="宋体" w:cs="宋体"/>
          <w:bCs/>
          <w:color w:val="000000"/>
          <w:szCs w:val="21"/>
          <w:highlight w:val="none"/>
          <w:u w:val="single"/>
        </w:rPr>
        <w:t xml:space="preserve">                                         </w:t>
      </w:r>
      <w:r/>
    </w:p>
    <w:p>
      <w:pPr>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（7）是否以采购活动中</w:t>
      </w:r>
      <w:r>
        <w:rPr>
          <w:rFonts w:hint="eastAsia" w:ascii="宋体" w:hAnsi="宋体" w:eastAsia="宋体" w:cs="宋体"/>
          <w:bCs/>
          <w:color w:val="000000"/>
          <w:szCs w:val="21"/>
          <w:highlight w:val="none"/>
          <w:lang w:eastAsia="zh-CN"/>
        </w:rPr>
        <w:t xml:space="preserve">投标人</w:t>
      </w:r>
      <w:r>
        <w:rPr>
          <w:rFonts w:hint="eastAsia" w:ascii="宋体" w:hAnsi="宋体" w:eastAsia="宋体" w:cs="宋体"/>
          <w:bCs/>
          <w:color w:val="000000"/>
          <w:szCs w:val="21"/>
          <w:highlight w:val="none"/>
        </w:rPr>
        <w:t xml:space="preserve">提供的样品作为参考：</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eastAsia="宋体" w:cs="宋体"/>
          <w:bCs/>
          <w:color w:val="000000"/>
          <w:szCs w:val="21"/>
          <w:highlight w:val="none"/>
        </w:rPr>
        <w:t xml:space="preserve">否</w:t>
      </w:r>
      <w:r/>
    </w:p>
    <w:p>
      <w:pPr>
        <w:ind w:firstLine="420"/>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（8）履约验收其他事项：</w:t>
      </w:r>
      <w:r>
        <w:rPr>
          <w:rFonts w:hint="eastAsia" w:ascii="宋体" w:hAnsi="宋体" w:eastAsia="宋体" w:cs="宋体"/>
          <w:bCs/>
          <w:color w:val="000000"/>
          <w:szCs w:val="21"/>
          <w:highlight w:val="none"/>
          <w:u w:val="single"/>
        </w:rPr>
        <w:t xml:space="preserve">      （产权过户登记等）          </w:t>
      </w:r>
      <w:r/>
    </w:p>
    <w:p>
      <w:pPr>
        <w:numPr>
          <w:ilvl w:val="0"/>
          <w:numId w:val="3"/>
        </w:numPr>
        <w:ind w:firstLine="422"/>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组成合同的文件</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（1）政府采购合同协议书及其变更、补充协议</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（2）政府采购合同专用条款</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（3）政府采购合同通用条款</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（4）中标（成交）通知书</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（5）投标（响应）文件</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（6）采购文件</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（7）有关技术文件，图纸</w:t>
      </w:r>
      <w:r/>
    </w:p>
    <w:p>
      <w:pPr>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（8）国家法律、行政法规和规章制度规定或合同约定的作为合同组成部分的其他文件</w:t>
      </w:r>
      <w:r/>
    </w:p>
    <w:p>
      <w:pPr>
        <w:numPr>
          <w:ilvl w:val="0"/>
          <w:numId w:val="3"/>
        </w:numPr>
        <w:ind w:firstLine="422"/>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合同生效</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本合同自</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生效。</w:t>
      </w:r>
      <w:r/>
    </w:p>
    <w:p>
      <w:pPr>
        <w:numPr>
          <w:ilvl w:val="0"/>
          <w:numId w:val="3"/>
        </w:numPr>
        <w:ind w:firstLine="422"/>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合同份数</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本合同一式</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份，甲方执</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份，乙方执</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份，均具有同等法律效力。</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合同订立时间：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合同订立地点：</w:t>
      </w:r>
      <w:r>
        <w:rPr>
          <w:rFonts w:hint="eastAsia" w:ascii="宋体" w:hAnsi="宋体" w:eastAsia="宋体" w:cs="宋体"/>
          <w:color w:val="000000"/>
          <w:szCs w:val="21"/>
          <w:highlight w:val="none"/>
          <w:u w:val="single"/>
        </w:rPr>
        <w:t xml:space="preserve">                           </w:t>
      </w:r>
      <w:r/>
    </w:p>
    <w:p>
      <w:pPr>
        <w:ind w:firstLine="420"/>
        <w:spacing w:line="400" w:lineRule="exact"/>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附件：具体标的及其技术要求和商务要求、联合协议、分包意向协议等</w:t>
      </w:r>
      <w:r>
        <w:rPr>
          <w:rFonts w:hint="eastAsia" w:ascii="宋体" w:hAnsi="宋体" w:eastAsia="宋体" w:cs="宋体"/>
          <w:color w:val="000000"/>
          <w:szCs w:val="22"/>
          <w:highlight w:val="none"/>
          <w:lang w:val="en"/>
        </w:rPr>
        <w:t xml:space="preserve">   </w:t>
      </w:r>
      <w:r/>
    </w:p>
    <w:p>
      <w:pPr>
        <w:contextualSpacing/>
        <w:ind w:left="720"/>
        <w:jc w:val="left"/>
        <w:widowControl/>
        <w:rPr>
          <w:rFonts w:hint="eastAsia" w:ascii="宋体" w:hAnsi="宋体" w:eastAsia="宋体" w:cs="宋体"/>
          <w:color w:val="000000"/>
          <w:sz w:val="24"/>
          <w:highlight w:val="none"/>
          <w:lang w:bidi="en-US"/>
        </w:rPr>
      </w:pPr>
      <w:r>
        <w:rPr>
          <w:rFonts w:hint="eastAsia" w:ascii="宋体" w:hAnsi="宋体" w:eastAsia="宋体" w:cs="宋体"/>
          <w:color w:val="000000"/>
          <w:sz w:val="24"/>
          <w:highlight w:val="none"/>
          <w:lang w:bidi="en-US"/>
        </w:rPr>
      </w:r>
      <w:r/>
    </w:p>
    <w:tbl>
      <w:tblPr>
        <w:tblStyle w:val="787"/>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3403"/>
        <w:gridCol w:w="1161"/>
        <w:gridCol w:w="3137"/>
      </w:tblGrid>
      <w:tr>
        <w:trPr>
          <w:trHeight w:val="490"/>
        </w:trPr>
        <w:tc>
          <w:tcPr>
            <w:gridSpan w:val="2"/>
            <w:tcW w:w="4629" w:type="dxa"/>
            <w:vAlign w:val="center"/>
            <w:textDirection w:val="lrTb"/>
            <w:noWrap w:val="false"/>
          </w:tcPr>
          <w:p>
            <w:pPr>
              <w:jc w:val="center"/>
              <w:spacing w:line="300" w:lineRule="exact"/>
              <w:rPr>
                <w:rFonts w:hint="eastAsia" w:ascii="宋体" w:hAnsi="宋体" w:eastAsia="宋体" w:cs="宋体"/>
                <w:color w:val="000000"/>
                <w:szCs w:val="22"/>
                <w:highlight w:val="none"/>
              </w:rPr>
            </w:pPr>
            <w:r>
              <w:rPr>
                <w:rFonts w:hint="eastAsia" w:ascii="宋体" w:hAnsi="宋体" w:eastAsia="宋体" w:cs="宋体"/>
                <w:color w:val="000000"/>
                <w:szCs w:val="21"/>
                <w:highlight w:val="none"/>
              </w:rPr>
              <w:t xml:space="preserve">甲方（采购人、受采购人委托签订合同的单位或采购文件约定的合同甲方）</w:t>
            </w:r>
            <w:r/>
          </w:p>
        </w:tc>
        <w:tc>
          <w:tcPr>
            <w:gridSpan w:val="2"/>
            <w:tcW w:w="4406" w:type="dxa"/>
            <w:vAlign w:val="center"/>
            <w:textDirection w:val="lrTb"/>
            <w:noWrap w:val="false"/>
          </w:tcPr>
          <w:p>
            <w:pPr>
              <w:jc w:val="center"/>
              <w:spacing w:line="300" w:lineRule="exact"/>
              <w:rPr>
                <w:rFonts w:hint="eastAsia" w:ascii="宋体" w:hAnsi="宋体" w:eastAsia="宋体" w:cs="宋体"/>
                <w:color w:val="000000"/>
                <w:szCs w:val="22"/>
                <w:highlight w:val="none"/>
                <w:lang w:eastAsia="en-US"/>
              </w:rPr>
            </w:pPr>
            <w:r>
              <w:rPr>
                <w:rFonts w:hint="eastAsia" w:ascii="宋体" w:hAnsi="宋体" w:eastAsia="宋体" w:cs="宋体"/>
                <w:color w:val="000000"/>
                <w:szCs w:val="21"/>
                <w:highlight w:val="none"/>
                <w:lang w:eastAsia="en-US"/>
              </w:rPr>
              <w:t xml:space="preserve">乙方（</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lang w:eastAsia="en-US"/>
              </w:rPr>
              <w:t xml:space="preserve">）</w:t>
            </w:r>
            <w:r/>
          </w:p>
        </w:tc>
      </w:tr>
      <w:tr>
        <w:trPr>
          <w:trHeight w:val="917"/>
        </w:trPr>
        <w:tc>
          <w:tcPr>
            <w:tcW w:w="1126" w:type="dxa"/>
            <w:vAlign w:val="center"/>
            <w:textDirection w:val="lrTb"/>
            <w:noWrap w:val="false"/>
          </w:tcPr>
          <w:p>
            <w:pPr>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单位名称（公章或合同章）</w:t>
            </w:r>
            <w:r/>
          </w:p>
        </w:tc>
        <w:tc>
          <w:tcPr>
            <w:tcW w:w="1436" w:type="dxa"/>
            <w:vAlign w:val="center"/>
            <w:textDirection w:val="lrTb"/>
            <w:noWrap w:val="false"/>
          </w:tcPr>
          <w:p>
            <w:pPr>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单位名称（公章或合同章）</w:t>
            </w:r>
            <w:r/>
          </w:p>
        </w:tc>
        <w:tc>
          <w:tcPr>
            <w:tcW w:w="1259" w:type="dxa"/>
            <w:vAlign w:val="center"/>
            <w:textDirection w:val="lrTb"/>
            <w:noWrap w:val="false"/>
          </w:tcPr>
          <w:p>
            <w:pPr>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1171"/>
        </w:trPr>
        <w:tc>
          <w:tcPr>
            <w:tcW w:w="1126" w:type="dxa"/>
            <w:vAlign w:val="center"/>
            <w:vMerge w:val="restart"/>
            <w:textDirection w:val="lrTb"/>
            <w:noWrap w:val="false"/>
          </w:tcPr>
          <w:p>
            <w:pPr>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p>
          <w:p>
            <w:pPr>
              <w:ind w:firstLine="101"/>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或其委托代理人（签章）</w:t>
            </w:r>
            <w:r/>
          </w:p>
        </w:tc>
        <w:tc>
          <w:tcPr>
            <w:tcW w:w="1436" w:type="dxa"/>
            <w:vAlign w:val="center"/>
            <w:vMerge w:val="restart"/>
            <w:textDirection w:val="lrTb"/>
            <w:noWrap w:val="false"/>
          </w:tcPr>
          <w:p>
            <w:pPr>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p>
          <w:p>
            <w:pPr>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或其委托代理人（签章）</w:t>
            </w:r>
            <w:r/>
          </w:p>
        </w:tc>
        <w:tc>
          <w:tcPr>
            <w:tcW w:w="1259" w:type="dxa"/>
            <w:vAlign w:val="center"/>
            <w:textDirection w:val="lrTb"/>
            <w:noWrap w:val="false"/>
          </w:tcPr>
          <w:p>
            <w:pPr>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3"/>
        </w:trPr>
        <w:tc>
          <w:tcPr>
            <w:tcW w:w="2034"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95" w:type="dxa"/>
            <w:vAlign w:val="center"/>
            <w:vMerge w:val="continue"/>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拥有者性别</w:t>
            </w:r>
            <w:r/>
          </w:p>
        </w:tc>
        <w:tc>
          <w:tcPr>
            <w:tcW w:w="1259" w:type="dxa"/>
            <w:vAlign w:val="center"/>
            <w:textDirection w:val="lrTb"/>
            <w:noWrap w:val="false"/>
          </w:tcPr>
          <w:p>
            <w:pPr>
              <w:jc w:val="center"/>
              <w:spacing w:line="300" w:lineRule="exact"/>
              <w:rPr>
                <w:rFonts w:hint="eastAsia" w:ascii="宋体" w:hAnsi="宋体" w:eastAsia="宋体" w:cs="宋体"/>
                <w:color w:val="000000"/>
                <w:spacing w:val="20"/>
                <w:szCs w:val="21"/>
                <w:highlight w:val="none"/>
                <w:lang w:eastAsia="en-US"/>
              </w:rPr>
            </w:pPr>
            <w:r>
              <w:rPr>
                <w:rFonts w:hint="eastAsia" w:ascii="宋体" w:hAnsi="宋体" w:eastAsia="宋体" w:cs="宋体"/>
                <w:color w:val="000000"/>
                <w:spacing w:val="20"/>
                <w:szCs w:val="21"/>
                <w:highlight w:val="none"/>
                <w:lang w:eastAsia="en-US"/>
              </w:rPr>
            </w:r>
            <w:r/>
          </w:p>
        </w:tc>
      </w:tr>
      <w:tr>
        <w:trPr>
          <w:trHeight w:val="483"/>
        </w:trPr>
        <w:tc>
          <w:tcPr>
            <w:tcW w:w="112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住  所</w:t>
            </w:r>
            <w:r/>
          </w:p>
        </w:tc>
        <w:tc>
          <w:tcPr>
            <w:tcW w:w="143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1178"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住  所</w:t>
            </w:r>
            <w:r/>
          </w:p>
        </w:tc>
        <w:tc>
          <w:tcPr>
            <w:tcW w:w="1259" w:type="dxa"/>
            <w:vAlign w:val="center"/>
            <w:textDirection w:val="lrTb"/>
            <w:noWrap w:val="false"/>
          </w:tcPr>
          <w:p>
            <w:pPr>
              <w:jc w:val="center"/>
              <w:spacing w:line="300" w:lineRule="exact"/>
              <w:rPr>
                <w:rFonts w:hint="eastAsia" w:ascii="宋体" w:hAnsi="宋体" w:eastAsia="宋体" w:cs="宋体"/>
                <w:color w:val="000000"/>
                <w:spacing w:val="20"/>
                <w:szCs w:val="21"/>
                <w:highlight w:val="none"/>
                <w:lang w:eastAsia="en-US"/>
              </w:rPr>
            </w:pPr>
            <w:r>
              <w:rPr>
                <w:rFonts w:hint="eastAsia" w:ascii="宋体" w:hAnsi="宋体" w:eastAsia="宋体" w:cs="宋体"/>
                <w:color w:val="000000"/>
                <w:spacing w:val="20"/>
                <w:szCs w:val="21"/>
                <w:highlight w:val="none"/>
                <w:lang w:eastAsia="en-US"/>
              </w:rPr>
            </w:r>
            <w:r/>
          </w:p>
        </w:tc>
      </w:tr>
      <w:tr>
        <w:trPr>
          <w:trHeight w:val="483"/>
        </w:trPr>
        <w:tc>
          <w:tcPr>
            <w:tcW w:w="112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联 系 人</w:t>
            </w:r>
            <w:r/>
          </w:p>
        </w:tc>
        <w:tc>
          <w:tcPr>
            <w:tcW w:w="143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1178"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联 系 人</w:t>
            </w:r>
            <w:r/>
          </w:p>
        </w:tc>
        <w:tc>
          <w:tcPr>
            <w:tcW w:w="1259" w:type="dxa"/>
            <w:vAlign w:val="center"/>
            <w:textDirection w:val="lrTb"/>
            <w:noWrap w:val="false"/>
          </w:tcPr>
          <w:p>
            <w:pPr>
              <w:jc w:val="center"/>
              <w:spacing w:line="300" w:lineRule="exact"/>
              <w:rPr>
                <w:rFonts w:hint="eastAsia" w:ascii="宋体" w:hAnsi="宋体" w:eastAsia="宋体" w:cs="宋体"/>
                <w:color w:val="000000"/>
                <w:spacing w:val="20"/>
                <w:szCs w:val="21"/>
                <w:highlight w:val="none"/>
                <w:lang w:eastAsia="en-US"/>
              </w:rPr>
            </w:pPr>
            <w:r>
              <w:rPr>
                <w:rFonts w:hint="eastAsia" w:ascii="宋体" w:hAnsi="宋体" w:eastAsia="宋体" w:cs="宋体"/>
                <w:color w:val="000000"/>
                <w:spacing w:val="20"/>
                <w:szCs w:val="21"/>
                <w:highlight w:val="none"/>
                <w:lang w:eastAsia="en-US"/>
              </w:rPr>
            </w:r>
            <w:r/>
          </w:p>
        </w:tc>
      </w:tr>
      <w:tr>
        <w:trPr>
          <w:trHeight w:val="483"/>
        </w:trPr>
        <w:tc>
          <w:tcPr>
            <w:tcW w:w="112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联系电话</w:t>
            </w:r>
            <w:r/>
          </w:p>
        </w:tc>
        <w:tc>
          <w:tcPr>
            <w:tcW w:w="143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1178"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联系电话</w:t>
            </w:r>
            <w:r/>
          </w:p>
        </w:tc>
        <w:tc>
          <w:tcPr>
            <w:tcW w:w="1259" w:type="dxa"/>
            <w:vAlign w:val="center"/>
            <w:textDirection w:val="lrTb"/>
            <w:noWrap w:val="false"/>
          </w:tcPr>
          <w:p>
            <w:pPr>
              <w:jc w:val="center"/>
              <w:spacing w:line="300" w:lineRule="exact"/>
              <w:rPr>
                <w:rFonts w:hint="eastAsia" w:ascii="宋体" w:hAnsi="宋体" w:eastAsia="宋体" w:cs="宋体"/>
                <w:color w:val="000000"/>
                <w:spacing w:val="20"/>
                <w:szCs w:val="21"/>
                <w:highlight w:val="none"/>
                <w:lang w:eastAsia="en-US"/>
              </w:rPr>
            </w:pPr>
            <w:r>
              <w:rPr>
                <w:rFonts w:hint="eastAsia" w:ascii="宋体" w:hAnsi="宋体" w:eastAsia="宋体" w:cs="宋体"/>
                <w:color w:val="000000"/>
                <w:spacing w:val="20"/>
                <w:szCs w:val="21"/>
                <w:highlight w:val="none"/>
                <w:lang w:eastAsia="en-US"/>
              </w:rPr>
            </w:r>
            <w:r/>
          </w:p>
        </w:tc>
      </w:tr>
      <w:tr>
        <w:trPr>
          <w:trHeight w:val="483"/>
        </w:trPr>
        <w:tc>
          <w:tcPr>
            <w:tcW w:w="112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通信地址</w:t>
            </w:r>
            <w:r/>
          </w:p>
        </w:tc>
        <w:tc>
          <w:tcPr>
            <w:tcW w:w="143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1178"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通信地址</w:t>
            </w:r>
            <w:r/>
          </w:p>
        </w:tc>
        <w:tc>
          <w:tcPr>
            <w:tcW w:w="1259" w:type="dxa"/>
            <w:vAlign w:val="center"/>
            <w:textDirection w:val="lrTb"/>
            <w:noWrap w:val="false"/>
          </w:tcPr>
          <w:p>
            <w:pPr>
              <w:jc w:val="center"/>
              <w:spacing w:line="300" w:lineRule="exact"/>
              <w:rPr>
                <w:rFonts w:hint="eastAsia" w:ascii="宋体" w:hAnsi="宋体" w:eastAsia="宋体" w:cs="宋体"/>
                <w:color w:val="000000"/>
                <w:spacing w:val="20"/>
                <w:szCs w:val="21"/>
                <w:highlight w:val="none"/>
                <w:lang w:eastAsia="en-US"/>
              </w:rPr>
            </w:pPr>
            <w:r>
              <w:rPr>
                <w:rFonts w:hint="eastAsia" w:ascii="宋体" w:hAnsi="宋体" w:eastAsia="宋体" w:cs="宋体"/>
                <w:color w:val="000000"/>
                <w:spacing w:val="20"/>
                <w:szCs w:val="21"/>
                <w:highlight w:val="none"/>
                <w:lang w:eastAsia="en-US"/>
              </w:rPr>
            </w:r>
            <w:r/>
          </w:p>
        </w:tc>
      </w:tr>
      <w:tr>
        <w:trPr>
          <w:trHeight w:val="483"/>
        </w:trPr>
        <w:tc>
          <w:tcPr>
            <w:tcW w:w="112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邮政编码</w:t>
            </w:r>
            <w:r/>
          </w:p>
        </w:tc>
        <w:tc>
          <w:tcPr>
            <w:tcW w:w="143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1178"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邮政编码</w:t>
            </w:r>
            <w:r/>
          </w:p>
        </w:tc>
        <w:tc>
          <w:tcPr>
            <w:tcW w:w="1259" w:type="dxa"/>
            <w:vAlign w:val="center"/>
            <w:textDirection w:val="lrTb"/>
            <w:noWrap w:val="false"/>
          </w:tcPr>
          <w:p>
            <w:pPr>
              <w:jc w:val="center"/>
              <w:spacing w:line="300" w:lineRule="exact"/>
              <w:rPr>
                <w:rFonts w:hint="eastAsia" w:ascii="宋体" w:hAnsi="宋体" w:eastAsia="宋体" w:cs="宋体"/>
                <w:color w:val="000000"/>
                <w:spacing w:val="20"/>
                <w:szCs w:val="21"/>
                <w:highlight w:val="none"/>
                <w:lang w:eastAsia="en-US"/>
              </w:rPr>
            </w:pPr>
            <w:r>
              <w:rPr>
                <w:rFonts w:hint="eastAsia" w:ascii="宋体" w:hAnsi="宋体" w:eastAsia="宋体" w:cs="宋体"/>
                <w:color w:val="000000"/>
                <w:spacing w:val="20"/>
                <w:szCs w:val="21"/>
                <w:highlight w:val="none"/>
                <w:lang w:eastAsia="en-US"/>
              </w:rPr>
            </w:r>
            <w:r/>
          </w:p>
        </w:tc>
      </w:tr>
      <w:tr>
        <w:trPr>
          <w:trHeight w:val="483"/>
        </w:trPr>
        <w:tc>
          <w:tcPr>
            <w:tcW w:w="112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电子邮箱</w:t>
            </w:r>
            <w:r/>
          </w:p>
        </w:tc>
        <w:tc>
          <w:tcPr>
            <w:tcW w:w="143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1178"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电子邮箱</w:t>
            </w:r>
            <w:r/>
          </w:p>
        </w:tc>
        <w:tc>
          <w:tcPr>
            <w:tcW w:w="1259" w:type="dxa"/>
            <w:vAlign w:val="center"/>
            <w:textDirection w:val="lrTb"/>
            <w:noWrap w:val="false"/>
          </w:tcPr>
          <w:p>
            <w:pPr>
              <w:jc w:val="center"/>
              <w:spacing w:line="300" w:lineRule="exact"/>
              <w:rPr>
                <w:rFonts w:hint="eastAsia" w:ascii="宋体" w:hAnsi="宋体" w:eastAsia="宋体" w:cs="宋体"/>
                <w:color w:val="000000"/>
                <w:spacing w:val="20"/>
                <w:szCs w:val="21"/>
                <w:highlight w:val="none"/>
                <w:lang w:eastAsia="en-US"/>
              </w:rPr>
            </w:pPr>
            <w:r>
              <w:rPr>
                <w:rFonts w:hint="eastAsia" w:ascii="宋体" w:hAnsi="宋体" w:eastAsia="宋体" w:cs="宋体"/>
                <w:color w:val="000000"/>
                <w:spacing w:val="20"/>
                <w:szCs w:val="21"/>
                <w:highlight w:val="none"/>
                <w:lang w:eastAsia="en-US"/>
              </w:rPr>
            </w:r>
            <w:r/>
          </w:p>
        </w:tc>
      </w:tr>
      <w:tr>
        <w:trPr>
          <w:trHeight w:val="483"/>
        </w:trPr>
        <w:tc>
          <w:tcPr>
            <w:tcW w:w="112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统一社会信用代码</w:t>
            </w:r>
            <w:r/>
          </w:p>
        </w:tc>
        <w:tc>
          <w:tcPr>
            <w:tcW w:w="143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1178"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统一社会信用代码</w:t>
            </w:r>
            <w:r/>
          </w:p>
        </w:tc>
        <w:tc>
          <w:tcPr>
            <w:tcW w:w="1259" w:type="dxa"/>
            <w:vAlign w:val="center"/>
            <w:textDirection w:val="lrTb"/>
            <w:noWrap w:val="false"/>
          </w:tcPr>
          <w:p>
            <w:pPr>
              <w:jc w:val="center"/>
              <w:spacing w:line="300" w:lineRule="exact"/>
              <w:rPr>
                <w:rFonts w:hint="eastAsia" w:ascii="宋体" w:hAnsi="宋体" w:eastAsia="宋体" w:cs="宋体"/>
                <w:color w:val="000000"/>
                <w:spacing w:val="20"/>
                <w:szCs w:val="21"/>
                <w:highlight w:val="none"/>
                <w:lang w:eastAsia="en-US"/>
              </w:rPr>
            </w:pPr>
            <w:r>
              <w:rPr>
                <w:rFonts w:hint="eastAsia" w:ascii="宋体" w:hAnsi="宋体" w:eastAsia="宋体" w:cs="宋体"/>
                <w:color w:val="000000"/>
                <w:spacing w:val="20"/>
                <w:szCs w:val="21"/>
                <w:highlight w:val="none"/>
                <w:lang w:eastAsia="en-US"/>
              </w:rPr>
            </w:r>
            <w:r/>
          </w:p>
        </w:tc>
      </w:tr>
      <w:tr>
        <w:trPr>
          <w:trHeight w:val="483"/>
        </w:trPr>
        <w:tc>
          <w:tcPr>
            <w:tcW w:w="112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143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1178"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开户名称</w:t>
            </w:r>
            <w:r/>
          </w:p>
        </w:tc>
        <w:tc>
          <w:tcPr>
            <w:tcW w:w="1259" w:type="dxa"/>
            <w:vAlign w:val="center"/>
            <w:textDirection w:val="lrTb"/>
            <w:noWrap w:val="false"/>
          </w:tcPr>
          <w:p>
            <w:pPr>
              <w:jc w:val="center"/>
              <w:spacing w:line="300" w:lineRule="exact"/>
              <w:rPr>
                <w:rFonts w:hint="eastAsia" w:ascii="宋体" w:hAnsi="宋体" w:eastAsia="宋体" w:cs="宋体"/>
                <w:color w:val="000000"/>
                <w:spacing w:val="20"/>
                <w:szCs w:val="21"/>
                <w:highlight w:val="none"/>
                <w:lang w:eastAsia="en-US"/>
              </w:rPr>
            </w:pPr>
            <w:r>
              <w:rPr>
                <w:rFonts w:hint="eastAsia" w:ascii="宋体" w:hAnsi="宋体" w:eastAsia="宋体" w:cs="宋体"/>
                <w:color w:val="000000"/>
                <w:spacing w:val="20"/>
                <w:szCs w:val="21"/>
                <w:highlight w:val="none"/>
                <w:lang w:eastAsia="en-US"/>
              </w:rPr>
            </w:r>
            <w:r/>
          </w:p>
        </w:tc>
      </w:tr>
      <w:tr>
        <w:trPr>
          <w:trHeight w:val="483"/>
        </w:trPr>
        <w:tc>
          <w:tcPr>
            <w:tcW w:w="112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143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1178"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开户银行</w:t>
            </w:r>
            <w:r/>
          </w:p>
        </w:tc>
        <w:tc>
          <w:tcPr>
            <w:tcW w:w="1259" w:type="dxa"/>
            <w:vAlign w:val="center"/>
            <w:textDirection w:val="lrTb"/>
            <w:noWrap w:val="false"/>
          </w:tcPr>
          <w:p>
            <w:pPr>
              <w:jc w:val="center"/>
              <w:spacing w:line="300" w:lineRule="exact"/>
              <w:rPr>
                <w:rFonts w:hint="eastAsia" w:ascii="宋体" w:hAnsi="宋体" w:eastAsia="宋体" w:cs="宋体"/>
                <w:color w:val="000000"/>
                <w:spacing w:val="20"/>
                <w:szCs w:val="21"/>
                <w:highlight w:val="none"/>
                <w:lang w:eastAsia="en-US"/>
              </w:rPr>
            </w:pPr>
            <w:r>
              <w:rPr>
                <w:rFonts w:hint="eastAsia" w:ascii="宋体" w:hAnsi="宋体" w:eastAsia="宋体" w:cs="宋体"/>
                <w:color w:val="000000"/>
                <w:spacing w:val="20"/>
                <w:szCs w:val="21"/>
                <w:highlight w:val="none"/>
                <w:lang w:eastAsia="en-US"/>
              </w:rPr>
            </w:r>
            <w:r/>
          </w:p>
        </w:tc>
      </w:tr>
      <w:tr>
        <w:trPr>
          <w:trHeight w:val="483"/>
        </w:trPr>
        <w:tc>
          <w:tcPr>
            <w:tcW w:w="112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1436"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1178" w:type="dxa"/>
            <w:vAlign w:val="center"/>
            <w:textDirection w:val="lrTb"/>
            <w:noWrap w:val="false"/>
          </w:tcPr>
          <w:p>
            <w:pPr>
              <w:jc w:val="center"/>
              <w:spacing w:line="300" w:lineRule="exac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银行账号</w:t>
            </w:r>
            <w:r/>
          </w:p>
        </w:tc>
        <w:tc>
          <w:tcPr>
            <w:tcW w:w="1259" w:type="dxa"/>
            <w:vAlign w:val="center"/>
            <w:textDirection w:val="lrTb"/>
            <w:noWrap w:val="false"/>
          </w:tcPr>
          <w:p>
            <w:pPr>
              <w:jc w:val="center"/>
              <w:spacing w:line="300" w:lineRule="exact"/>
              <w:rPr>
                <w:rFonts w:hint="eastAsia" w:ascii="宋体" w:hAnsi="宋体" w:eastAsia="宋体" w:cs="宋体"/>
                <w:color w:val="000000"/>
                <w:spacing w:val="20"/>
                <w:szCs w:val="21"/>
                <w:highlight w:val="none"/>
                <w:lang w:eastAsia="en-US"/>
              </w:rPr>
            </w:pPr>
            <w:r>
              <w:rPr>
                <w:rFonts w:hint="eastAsia" w:ascii="宋体" w:hAnsi="宋体" w:eastAsia="宋体" w:cs="宋体"/>
                <w:color w:val="000000"/>
                <w:spacing w:val="20"/>
                <w:szCs w:val="21"/>
                <w:highlight w:val="none"/>
                <w:lang w:eastAsia="en-US"/>
              </w:rPr>
            </w:r>
            <w:r/>
          </w:p>
        </w:tc>
      </w:tr>
      <w:tr>
        <w:trPr>
          <w:trHeight w:val="586"/>
        </w:trPr>
        <w:tc>
          <w:tcPr>
            <w:gridSpan w:val="4"/>
            <w:tcW w:w="9035" w:type="dxa"/>
            <w:vAlign w:val="center"/>
            <w:textDirection w:val="lrTb"/>
            <w:noWrap w:val="false"/>
          </w:tcPr>
          <w:p>
            <w:pPr>
              <w:jc w:val="left"/>
              <w:spacing w:before="120" w:line="360" w:lineRule="auto"/>
              <w:rPr>
                <w:rFonts w:hint="eastAsia" w:ascii="宋体" w:hAnsi="宋体" w:eastAsia="宋体" w:cs="宋体"/>
                <w:color w:val="000000"/>
                <w:spacing w:val="20"/>
                <w:szCs w:val="21"/>
                <w:highlight w:val="none"/>
              </w:rPr>
            </w:pPr>
            <w:r>
              <w:rPr>
                <w:rFonts w:hint="eastAsia" w:ascii="宋体" w:hAnsi="宋体" w:eastAsia="宋体" w:cs="宋体"/>
                <w:color w:val="000000"/>
                <w:szCs w:val="21"/>
                <w:highlight w:val="none"/>
              </w:rPr>
              <w:t xml:space="preserve">注：涉及联合体或其他合同主体的信息应按上表格式加列。</w:t>
            </w:r>
            <w:r/>
          </w:p>
        </w:tc>
      </w:tr>
    </w:tbl>
    <w:p>
      <w:pPr>
        <w:jc w:val="center"/>
        <w:keepLines/>
        <w:keepNext/>
        <w:spacing w:before="120" w:after="260" w:line="415" w:lineRule="auto"/>
        <w:rPr>
          <w:rFonts w:hint="eastAsia" w:ascii="宋体" w:hAnsi="宋体" w:eastAsia="宋体" w:cs="宋体"/>
          <w:b/>
          <w:bCs/>
          <w:color w:val="000000"/>
          <w:sz w:val="28"/>
          <w:szCs w:val="28"/>
          <w:highlight w:val="none"/>
        </w:rPr>
        <w:outlineLvl w:val="1"/>
      </w:pPr>
      <w:r>
        <w:rPr>
          <w:rFonts w:hint="eastAsia" w:ascii="宋体" w:hAnsi="宋体" w:eastAsia="宋体" w:cs="宋体"/>
          <w:color w:val="000000"/>
          <w:sz w:val="44"/>
          <w:szCs w:val="21"/>
          <w:highlight w:val="none"/>
          <w:u w:val="single"/>
        </w:rPr>
        <w:br w:type="page" w:clear="all"/>
      </w:r>
      <w:r>
        <w:rPr>
          <w:rFonts w:hint="eastAsia" w:ascii="宋体" w:hAnsi="宋体" w:eastAsia="宋体" w:cs="宋体"/>
          <w:color w:val="000000"/>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eastAsia="宋体" w:cs="宋体"/>
          <w:b/>
          <w:bCs/>
          <w:color w:val="000000"/>
          <w:sz w:val="24"/>
          <w:szCs w:val="22"/>
          <w:highlight w:val="none"/>
        </w:rPr>
      </w:pPr>
      <w:r>
        <w:rPr>
          <w:rFonts w:hint="eastAsia" w:ascii="宋体" w:hAnsi="宋体" w:eastAsia="宋体" w:cs="宋体"/>
          <w:b/>
          <w:color w:val="000000"/>
          <w:sz w:val="24"/>
          <w:szCs w:val="22"/>
          <w:highlight w:val="none"/>
        </w:rPr>
        <w:t xml:space="preserve">1. </w:t>
      </w:r>
      <w:r>
        <w:rPr>
          <w:rFonts w:hint="eastAsia" w:ascii="宋体" w:hAnsi="宋体" w:eastAsia="宋体" w:cs="宋体"/>
          <w:b/>
          <w:bCs/>
          <w:color w:val="000000"/>
          <w:sz w:val="24"/>
          <w:szCs w:val="22"/>
          <w:highlight w:val="none"/>
        </w:rPr>
        <w:t xml:space="preserve">定义</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1.1合同当事人</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（1）采购人（以下称甲方）是指使用财政性资金，通过政府采购方式向</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购买货物及其相关服务的国家机关、事业单位、团体组织。</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（3）其他合同主体是指除采购人和</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1.2本合同下列术语应解释为：</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宋体"/>
          <w:color w:val="000000"/>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（3）“货物”系指乙方根据本合同规定须向甲方提供的各种形态和种类的物品，包括原材料、设备、产品（包括软件）及相关的备品备件、工具、手册及</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技术资料和材料等。</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（4）“相关服务”系指根据合同规定，乙方应提供的与货物有关的技术、管理和</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义务。</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（5）“分包”系指中标（成交）</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按采购文件、投标（响应）文件的规定，根据分包意向协议，将中标（成交）项目中的部分履约内容，分给具有相应资质条件的</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（6）“联合体”系指由两个以上的自然人、法人或者非法人组织组成，以一个</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（7）其他术语解释，见【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p>
    <w:p>
      <w:pPr>
        <w:numPr>
          <w:ilvl w:val="0"/>
          <w:numId w:val="6"/>
        </w:numPr>
        <w:jc w:val="left"/>
        <w:spacing w:line="400" w:lineRule="exact"/>
        <w:rPr>
          <w:rFonts w:hint="eastAsia" w:ascii="宋体" w:hAnsi="宋体" w:eastAsia="宋体" w:cs="宋体"/>
          <w:b/>
          <w:bCs/>
          <w:color w:val="000000"/>
          <w:sz w:val="24"/>
          <w:szCs w:val="22"/>
          <w:highlight w:val="none"/>
        </w:rPr>
      </w:pPr>
      <w:r>
        <w:rPr>
          <w:rFonts w:hint="eastAsia" w:ascii="宋体" w:hAnsi="宋体" w:eastAsia="宋体" w:cs="宋体"/>
          <w:b/>
          <w:color w:val="000000"/>
          <w:sz w:val="24"/>
          <w:szCs w:val="22"/>
          <w:highlight w:val="none"/>
        </w:rPr>
        <w:t xml:space="preserve">合同标的及金额</w:t>
      </w:r>
      <w:r/>
    </w:p>
    <w:p>
      <w:pPr>
        <w:ind w:firstLine="420"/>
        <w:jc w:val="left"/>
        <w:spacing w:line="400" w:lineRule="exac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任何费用。</w:t>
      </w:r>
      <w:r/>
    </w:p>
    <w:p>
      <w:pPr>
        <w:jc w:val="left"/>
        <w:spacing w:line="4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3. 履行合同的时间、地点和方式</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 乙方应当在约定的时间、地点，按照约定方式履行合同。</w:t>
      </w:r>
      <w:r/>
    </w:p>
    <w:p>
      <w:pPr>
        <w:jc w:val="left"/>
        <w:spacing w:line="4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4. 甲方的权利和义务</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 甲方有权要求乙方对缺陷部分予以修复，并按合同约定享有货物保修及其他合同约定的权利。</w:t>
      </w:r>
      <w:r/>
    </w:p>
    <w:p>
      <w:pPr>
        <w:ind w:firstLine="420"/>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1"/>
          <w:highlight w:val="none"/>
        </w:rPr>
        <w:t xml:space="preserve">4.4 甲方应当按照合同约定及时对交付的货物进行验收，未在</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约定的期限内对乙方履约提出任何异议或者向乙方作出任何说明的，视为验收通过。</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4.6 国家法律法规规定及</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约定应由甲方承担的其他义务和责任。</w:t>
      </w:r>
      <w:r/>
    </w:p>
    <w:p>
      <w:pPr>
        <w:jc w:val="left"/>
        <w:spacing w:line="4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5. 乙方的权利和义务</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签署合同后，乙方应确定项目负责人（或项目联系人），负责与本合同有关的事务。</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5.3乙方有权根据合同约定向甲方收取合同价款。</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5.4国家法律法规规定及</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约定应由乙方承担的其他义务和责任。</w:t>
      </w:r>
      <w:r/>
    </w:p>
    <w:p>
      <w:pPr>
        <w:numPr>
          <w:ilvl w:val="0"/>
          <w:numId w:val="7"/>
        </w:numPr>
        <w:jc w:val="left"/>
        <w:spacing w:line="4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合同履行</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甲乙双方应当按照</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约定顺序履行合同义务；如果没有先后顺序的，应当同时履行。</w:t>
      </w:r>
      <w:r/>
    </w:p>
    <w:p>
      <w:pPr>
        <w:ind w:firstLine="420"/>
        <w:jc w:val="left"/>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7. 货物包装、运输、保险和交付要求</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 本合同</w:t>
      </w:r>
      <w:r>
        <w:rPr>
          <w:rFonts w:hint="eastAsia" w:ascii="宋体" w:hAnsi="宋体" w:eastAsia="宋体" w:cs="宋体"/>
          <w:bCs/>
          <w:color w:val="000000"/>
          <w:szCs w:val="21"/>
          <w:highlight w:val="none"/>
        </w:rPr>
        <w:t xml:space="preserve">涉及商品包装、快递包装的，</w:t>
      </w:r>
      <w:r>
        <w:rPr>
          <w:rFonts w:hint="eastAsia" w:ascii="宋体" w:hAnsi="宋体" w:eastAsia="宋体" w:cs="宋体"/>
          <w:color w:val="000000"/>
          <w:szCs w:val="21"/>
          <w:highlight w:val="none"/>
        </w:rPr>
        <w:t xml:space="preserve">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包装应适应远距离运输、防潮、防震、防锈和防野蛮装卸等要求，确保货物安全无损地运抵</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约定的</w:t>
      </w:r>
      <w:r>
        <w:rPr>
          <w:rFonts w:hint="eastAsia" w:ascii="宋体" w:hAnsi="宋体" w:eastAsia="宋体" w:cs="宋体"/>
          <w:color w:val="000000"/>
          <w:szCs w:val="21"/>
          <w:highlight w:val="none"/>
        </w:rPr>
        <w:t xml:space="preserve">指定现场。</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 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 货物保险要求按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规定执行</w:t>
      </w:r>
      <w:r>
        <w:rPr>
          <w:rFonts w:hint="eastAsia" w:ascii="宋体" w:hAnsi="宋体" w:eastAsia="宋体" w:cs="宋体"/>
          <w:color w:val="000000"/>
          <w:szCs w:val="21"/>
          <w:highlight w:val="none"/>
        </w:rPr>
        <w:t xml:space="preserve">。</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 乙方在运输到达之前应提前通知甲方，并提示货物运输装卸的注意事项，甲方配合乙方做好货物的接收工作。</w:t>
      </w:r>
      <w:r/>
    </w:p>
    <w:p>
      <w:pPr>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8. 质量标准和保证</w:t>
      </w:r>
      <w:r/>
    </w:p>
    <w:p>
      <w:pPr>
        <w:ind w:firstLine="420"/>
        <w:jc w:val="left"/>
        <w:spacing w:line="40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8.1 质量标准</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（2）采用中华人民共和国法定计量单位。</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（3）乙方所提供的货物应符合国家有关安全、环保、卫生的规定。</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 保证</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（2）在质量保证期内所发现的缺陷，甲方应尽快以书面形式通知乙方。</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（3）乙方收到通知后，应在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9. 权利瑕疵担保</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 乙方保证对其出售的货物享有合法的权利。</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 </w:t>
      </w:r>
      <w:r>
        <w:rPr>
          <w:rFonts w:hint="eastAsia" w:ascii="宋体" w:hAnsi="宋体" w:eastAsia="宋体" w:cs="宋体"/>
          <w:color w:val="000000"/>
          <w:szCs w:val="15"/>
          <w:highlight w:val="none"/>
        </w:rPr>
        <w:t xml:space="preserve">乙方保证在交付的货物上不存在抵押权等担保物权。</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 如甲方使用上述货物构成对第三人侵权的，则由乙方承担全部责任。</w:t>
      </w:r>
      <w:r/>
    </w:p>
    <w:p>
      <w:pPr>
        <w:jc w:val="left"/>
        <w:spacing w:line="4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10. 知识产权保护</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10.1 乙方对其所销售的货物应当享有知识产权或经权利人合法授权，保证没有侵犯任何第三人的知识产权等权利。</w:t>
      </w:r>
      <w:r>
        <w:rPr>
          <w:rFonts w:hint="eastAsia" w:ascii="宋体" w:hAnsi="宋体" w:eastAsia="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color w:val="000000"/>
          <w:szCs w:val="21"/>
          <w:highlight w:val="none"/>
        </w:rPr>
        <w:t xml:space="preserve">。</w:t>
      </w:r>
      <w:r/>
    </w:p>
    <w:p>
      <w:pPr>
        <w:jc w:val="left"/>
        <w:spacing w:line="4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11. 保密义务</w:t>
      </w:r>
      <w:r/>
    </w:p>
    <w:p>
      <w:pPr>
        <w:ind w:firstLine="420"/>
        <w:jc w:val="left"/>
        <w:spacing w:line="400" w:lineRule="exact"/>
        <w:rPr>
          <w:rFonts w:hint="eastAsia" w:ascii="宋体" w:hAnsi="宋体" w:eastAsia="宋体" w:cs="宋体"/>
          <w:color w:val="000000"/>
          <w:szCs w:val="15"/>
          <w:highlight w:val="none"/>
        </w:rPr>
      </w:pPr>
      <w:r>
        <w:rPr>
          <w:rFonts w:hint="eastAsia" w:ascii="宋体" w:hAnsi="宋体" w:eastAsia="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15"/>
          <w:highlight w:val="none"/>
        </w:rPr>
        <w:t xml:space="preserve">中约定。</w:t>
      </w:r>
      <w:r/>
    </w:p>
    <w:p>
      <w:pPr>
        <w:jc w:val="left"/>
        <w:spacing w:line="4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12. 合同价款支付</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合同价款支付按照国库集中支付制度及财政管理相关规定执行。</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】中约定。</w:t>
      </w:r>
      <w:r/>
    </w:p>
    <w:p>
      <w:pPr>
        <w:jc w:val="left"/>
        <w:spacing w:line="4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13. 履约保证金</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 </w:t>
      </w:r>
      <w:r>
        <w:rPr>
          <w:rFonts w:hint="eastAsia" w:ascii="宋体" w:hAnsi="宋体" w:eastAsia="宋体" w:cs="宋体"/>
          <w:color w:val="000000"/>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13.2 如果乙方出现</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15"/>
          <w:highlight w:val="none"/>
        </w:rPr>
        <w:t xml:space="preserve">约定情形的</w:t>
      </w:r>
      <w:r>
        <w:rPr>
          <w:rFonts w:hint="eastAsia" w:ascii="宋体" w:hAnsi="宋体" w:eastAsia="宋体" w:cs="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1"/>
          <w:highlight w:val="none"/>
        </w:rPr>
        <w:t xml:space="preserve">13.3 甲方在项目通过验收后按照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规定的时间内将履约保证金退还乙方；逾期退还的，乙方可要求甲方支付违约金，违约金按照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规定支付。</w:t>
      </w:r>
      <w:r/>
    </w:p>
    <w:p>
      <w:pPr>
        <w:jc w:val="left"/>
        <w:spacing w:line="400" w:lineRule="exact"/>
        <w:rPr>
          <w:rFonts w:hint="eastAsia" w:ascii="宋体" w:hAnsi="宋体" w:eastAsia="宋体" w:cs="宋体"/>
          <w:b/>
          <w:color w:val="000000"/>
          <w:sz w:val="24"/>
          <w:szCs w:val="22"/>
          <w:highlight w:val="none"/>
        </w:rPr>
      </w:pPr>
      <w:r>
        <w:rPr>
          <w:rFonts w:hint="eastAsia" w:ascii="宋体" w:hAnsi="宋体" w:eastAsia="宋体" w:cs="宋体"/>
          <w:b/>
          <w:bCs/>
          <w:color w:val="000000"/>
          <w:sz w:val="24"/>
          <w:szCs w:val="22"/>
          <w:highlight w:val="none"/>
        </w:rPr>
        <w:t xml:space="preserve">14. </w:t>
      </w:r>
      <w:r>
        <w:rPr>
          <w:rFonts w:hint="eastAsia" w:ascii="宋体" w:hAnsi="宋体" w:eastAsia="宋体" w:cs="宋体"/>
          <w:b/>
          <w:color w:val="000000"/>
          <w:sz w:val="24"/>
          <w:szCs w:val="22"/>
          <w:highlight w:val="none"/>
        </w:rPr>
        <w:t xml:space="preserve">售后服务</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（1）货物的现场移动、安装、调试、启动监督及技术支持；</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（2）提供货物组装和维修所需的专用工具和辅助材料；</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（4）在制造商所在地或指定现场就货物的安装、启动、运营、维护、废弃处置等对甲方操作人员进行培训</w:t>
      </w:r>
      <w:r>
        <w:rPr>
          <w:rFonts w:hint="eastAsia" w:ascii="宋体" w:hAnsi="宋体" w:eastAsia="宋体" w:cs="宋体"/>
          <w:color w:val="000000"/>
          <w:szCs w:val="15"/>
          <w:highlight w:val="none"/>
        </w:rPr>
        <w:t xml:space="preserve">；</w:t>
      </w:r>
      <w:r/>
    </w:p>
    <w:p>
      <w:pPr>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（5）依照法律、行政法规的规定或者按照</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规定由乙方提供的其他服务。</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14.2 乙方提供的售后服务的费用已包含在合同价款中，甲方不再另行支付。</w:t>
      </w:r>
      <w:r/>
    </w:p>
    <w:p>
      <w:pPr>
        <w:jc w:val="left"/>
        <w:spacing w:line="4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15. 违约责任</w:t>
      </w:r>
      <w:r/>
    </w:p>
    <w:p>
      <w:pPr>
        <w:ind w:firstLine="420"/>
        <w:jc w:val="left"/>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15.1质量瑕疵的违约责任</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乙方提供的产品不符合合同约定的质量标准或存在产品质量缺陷，甲方有权要求乙方根据</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要求</w:t>
      </w:r>
      <w:r>
        <w:rPr>
          <w:rFonts w:hint="eastAsia" w:ascii="宋体" w:hAnsi="宋体" w:eastAsia="宋体" w:cs="宋体"/>
          <w:color w:val="000000"/>
          <w:szCs w:val="21"/>
          <w:highlight w:val="none"/>
        </w:rPr>
        <w:t xml:space="preserve">及时修理、重作、更换，并承担由此给甲方造成的损失。</w:t>
      </w:r>
      <w:r/>
    </w:p>
    <w:p>
      <w:pPr>
        <w:ind w:firstLine="420"/>
        <w:jc w:val="left"/>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15.2 迟延交货的违约责任</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15.3 迟延支付的违约责任</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甲方存在迟延支付乙方合同款项的，应当承担</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规定的逾期付款利息。</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15.4其他违约责任根据项目实际需要按</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w:t>
      </w:r>
      <w:r/>
    </w:p>
    <w:p>
      <w:pPr>
        <w:numPr>
          <w:ilvl w:val="0"/>
          <w:numId w:val="8"/>
        </w:numPr>
        <w:jc w:val="left"/>
        <w:spacing w:line="4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合同变更、中止与终止</w:t>
      </w:r>
      <w:r/>
    </w:p>
    <w:p>
      <w:pPr>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16.1合同的变更</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16.2合同的中止</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（1）合同履行过程中因</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就采购文件、采购过程或结果提起投诉的，甲方认为有必要的，可以中止合同的履行。</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cs="宋体"/>
          <w:color w:val="000000"/>
          <w:szCs w:val="22"/>
          <w:highlight w:val="none"/>
        </w:rPr>
      </w:pPr>
      <w:r>
        <w:rPr>
          <w:rFonts w:hint="eastAsia" w:ascii="宋体" w:hAnsi="宋体" w:eastAsia="宋体" w:cs="宋体"/>
          <w:color w:val="000000"/>
          <w:szCs w:val="21"/>
          <w:highlight w:val="none"/>
        </w:rPr>
        <w:t xml:space="preserve">（4）甲方不得以行政区划调整、政府换届、机构或者职能调整以及相关责任人更替为由中止合同。</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16.3合同的终止</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（1）合同因有效期限届满而终止；</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（2）乙方未按合同约定履行，构成根本性违约的，甲方有权终止合同，并追究乙方的违约责任。</w:t>
      </w:r>
      <w:r/>
    </w:p>
    <w:p>
      <w:pPr>
        <w:ind w:firstLine="440"/>
        <w:jc w:val="left"/>
        <w:spacing w:line="400" w:lineRule="exact"/>
        <w:widowControl/>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16.4 </w:t>
      </w:r>
      <w:r>
        <w:rPr>
          <w:rFonts w:hint="eastAsia" w:ascii="宋体" w:hAnsi="宋体" w:eastAsia="宋体" w:cs="宋体"/>
          <w:color w:val="000000"/>
          <w:szCs w:val="21"/>
          <w:highlight w:val="none"/>
        </w:rPr>
        <w:t xml:space="preserve">涉及国家利益、社会公共利益的情形</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17. 合同分包</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 乙方不得将合同转包给其他</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。涉及合同分包的，乙方应根据采购文件和投标（响应）文件规定进行合同分包。</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18. 不可抗力</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19. 解决争议的方法</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19.1 因本合同及合同有关事项发生的争议，由甲乙双方友好协商解决。协商不成时，可以向有关组织申请调解。合同一方或双方不愿调解或调解不成的，</w:t>
      </w:r>
      <w:r>
        <w:rPr>
          <w:rFonts w:hint="eastAsia" w:ascii="宋体" w:hAnsi="宋体" w:eastAsia="宋体" w:cs="宋体"/>
          <w:color w:val="000000"/>
          <w:sz w:val="21"/>
          <w:szCs w:val="21"/>
          <w:highlight w:val="none"/>
        </w:rPr>
        <w:t xml:space="preserve">均可向甲方所在地人民法院提起诉讼</w:t>
      </w:r>
      <w:r>
        <w:rPr>
          <w:rFonts w:hint="eastAsia" w:ascii="宋体" w:hAnsi="宋体" w:eastAsia="宋体" w:cs="宋体"/>
          <w:color w:val="000000"/>
          <w:szCs w:val="21"/>
          <w:highlight w:val="none"/>
        </w:rPr>
        <w:t xml:space="preserve">。</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19.2 选择仲裁的，应在</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中明确仲裁机构及仲裁地；通过诉讼方式解决的，可以在</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宋体"/>
          <w:color w:val="000000"/>
          <w:sz w:val="24"/>
          <w:szCs w:val="22"/>
          <w:highlight w:val="none"/>
        </w:rPr>
      </w:pPr>
      <w:r>
        <w:rPr>
          <w:rFonts w:hint="eastAsia" w:ascii="宋体" w:hAnsi="宋体" w:eastAsia="宋体" w:cs="宋体"/>
          <w:b/>
          <w:color w:val="000000"/>
          <w:sz w:val="24"/>
          <w:szCs w:val="22"/>
          <w:highlight w:val="none"/>
        </w:rPr>
        <w:t xml:space="preserve">20. 政府采购政策</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20.1 </w:t>
      </w:r>
      <w:r>
        <w:rPr>
          <w:rFonts w:hint="eastAsia" w:ascii="宋体" w:hAnsi="宋体" w:eastAsia="宋体" w:cs="宋体"/>
          <w:color w:val="000000"/>
          <w:szCs w:val="22"/>
          <w:highlight w:val="none"/>
          <w:lang w:val="en-GB"/>
        </w:rPr>
        <w:t xml:space="preserve">本合同应当按照规定执行政府采购政策。</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20.2 本合同依法执行政府采购政策的方式和内容，属于合同履约验收的范围。</w:t>
      </w:r>
      <w:r>
        <w:rPr>
          <w:rFonts w:hint="eastAsia" w:ascii="宋体" w:hAnsi="宋体" w:eastAsia="宋体" w:cs="宋体"/>
          <w:color w:val="000000"/>
          <w:szCs w:val="22"/>
          <w:highlight w:val="none"/>
        </w:rPr>
        <w:t xml:space="preserve">甲乙双方</w:t>
      </w:r>
      <w:r>
        <w:rPr>
          <w:rFonts w:hint="eastAsia" w:ascii="宋体" w:hAnsi="宋体" w:eastAsia="宋体" w:cs="宋体"/>
          <w:color w:val="000000"/>
          <w:szCs w:val="22"/>
          <w:highlight w:val="none"/>
          <w:lang w:val="en-GB"/>
        </w:rPr>
        <w:t xml:space="preserve">未按规定要求执行政府采购政策造成损失的</w:t>
      </w:r>
      <w:r>
        <w:rPr>
          <w:rFonts w:hint="eastAsia" w:ascii="宋体" w:hAnsi="宋体" w:eastAsia="宋体" w:cs="宋体"/>
          <w:color w:val="000000"/>
          <w:szCs w:val="21"/>
          <w:highlight w:val="none"/>
        </w:rPr>
        <w:t xml:space="preserve">，有过错的一方应当承担赔偿责任，双方都有过错的，各自承担相应的责任。</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21. 法律适用</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 本合同的订立、生效、解释、履行及与本合同有关的争议解决，均适用法律、行政法规。</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22. 通知</w:t>
      </w:r>
      <w:r/>
    </w:p>
    <w:p>
      <w:pPr>
        <w:ind w:firstLine="420"/>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22.4通知以送达之日或通知书中规定的生效之日起生效，两者中以较迟之日为准。</w:t>
      </w:r>
      <w:r/>
    </w:p>
    <w:p>
      <w:pPr>
        <w:numPr>
          <w:ilvl w:val="0"/>
          <w:numId w:val="9"/>
        </w:numPr>
        <w:jc w:val="left"/>
        <w:spacing w:line="4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合同未尽事项</w:t>
      </w:r>
      <w:r/>
    </w:p>
    <w:p>
      <w:pPr>
        <w:ind w:firstLine="420"/>
        <w:jc w:val="left"/>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23.1合同未尽事项见</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w:t>
      </w:r>
      <w:r/>
    </w:p>
    <w:p>
      <w:pPr>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bCs/>
          <w:color w:val="000000"/>
          <w:szCs w:val="21"/>
          <w:highlight w:val="none"/>
        </w:rPr>
        <w:t xml:space="preserve">    23.2 合同附件与合同正文具有同等的法律效力。</w:t>
      </w:r>
      <w:r/>
    </w:p>
    <w:p>
      <w:pPr>
        <w:jc w:val="center"/>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b/>
          <w:bCs/>
          <w:color w:val="000000"/>
          <w:sz w:val="28"/>
          <w:szCs w:val="28"/>
          <w:highlight w:val="none"/>
        </w:rPr>
        <w:t xml:space="preserve">第三节 政府采购合同专用条款</w:t>
      </w:r>
      <w:r/>
    </w:p>
    <w:tbl>
      <w:tblPr>
        <w:tblStyle w:val="787"/>
        <w:tblW w:w="852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第1.2（6）项</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联合体具体要求</w:t>
            </w:r>
            <w:r/>
          </w:p>
        </w:tc>
        <w:tc>
          <w:tcPr>
            <w:tcW w:w="5170"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04"/>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第1.2（7）项</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其他术语解释</w:t>
            </w:r>
            <w:r/>
          </w:p>
        </w:tc>
        <w:tc>
          <w:tcPr>
            <w:tcW w:w="5170" w:type="dxa"/>
            <w:vAlign w:val="center"/>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736"/>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第4.4款</w:t>
            </w:r>
            <w:r/>
          </w:p>
        </w:tc>
        <w:tc>
          <w:tcPr>
            <w:tcW w:w="1742" w:type="dxa"/>
            <w:vAlign w:val="center"/>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履约验收中甲方提出异议或作出说明的期限</w:t>
            </w:r>
            <w:r/>
          </w:p>
        </w:tc>
        <w:tc>
          <w:tcPr>
            <w:tcW w:w="5170"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第4.6款</w:t>
            </w:r>
            <w:r/>
          </w:p>
        </w:tc>
        <w:tc>
          <w:tcPr>
            <w:tcW w:w="1742" w:type="dxa"/>
            <w:vAlign w:val="center"/>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约定甲方承担的其他义务和责任</w:t>
            </w:r>
            <w:r/>
          </w:p>
        </w:tc>
        <w:tc>
          <w:tcPr>
            <w:tcW w:w="5170"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2"/>
                <w:highlight w:val="none"/>
                <w:lang w:eastAsia="en-US"/>
              </w:rPr>
            </w:pPr>
            <w:r>
              <w:rPr>
                <w:rFonts w:hint="eastAsia" w:ascii="宋体" w:hAnsi="宋体" w:eastAsia="宋体" w:cs="宋体"/>
                <w:color w:val="000000"/>
                <w:szCs w:val="21"/>
                <w:highlight w:val="none"/>
                <w:lang w:eastAsia="en-US"/>
              </w:rPr>
              <w:t xml:space="preserve">第5.4款</w:t>
            </w:r>
            <w:r/>
          </w:p>
        </w:tc>
        <w:tc>
          <w:tcPr>
            <w:tcW w:w="1742" w:type="dxa"/>
            <w:vAlign w:val="center"/>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约定乙方承担的其他义务和责任</w:t>
            </w:r>
            <w:r/>
          </w:p>
        </w:tc>
        <w:tc>
          <w:tcPr>
            <w:tcW w:w="5170" w:type="dxa"/>
            <w:vAlign w:val="center"/>
            <w:textDirection w:val="lrTb"/>
            <w:noWrap w:val="false"/>
          </w:tcPr>
          <w:p>
            <w:pPr>
              <w:jc w:val="left"/>
              <w:widowControl/>
              <w:rPr>
                <w:rFonts w:hint="eastAsia"/>
                <w:highlight w:val="none"/>
                <w:lang w:val="en-US" w:eastAsia="zh-CN"/>
              </w:rPr>
            </w:pPr>
            <w:r>
              <w:rPr>
                <w:rFonts w:hint="eastAsia"/>
                <w:highlight w:val="none"/>
                <w:lang w:val="en-US" w:eastAsia="zh-CN"/>
              </w:rPr>
            </w:r>
            <w:r/>
          </w:p>
        </w:tc>
      </w:tr>
      <w:tr>
        <w:trPr>
          <w:trHeight w:val="736"/>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第6.1款</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履行合同义务的顺序</w:t>
            </w:r>
            <w:r/>
          </w:p>
        </w:tc>
        <w:tc>
          <w:tcPr>
            <w:tcW w:w="5170" w:type="dxa"/>
            <w:vAlign w:val="center"/>
            <w:textDirection w:val="lrTb"/>
            <w:noWrap w:val="false"/>
          </w:tcPr>
          <w:p>
            <w:pP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67"/>
        </w:trPr>
        <w:tc>
          <w:tcPr>
            <w:tcW w:w="1607" w:type="dxa"/>
            <w:vAlign w:val="center"/>
            <w:vMerge w:val="restart"/>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第7.1款</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包装特殊要求</w:t>
            </w:r>
            <w:r/>
          </w:p>
        </w:tc>
        <w:tc>
          <w:tcPr>
            <w:tcW w:w="5170" w:type="dxa"/>
            <w:vAlign w:val="center"/>
            <w:textDirection w:val="lrTb"/>
            <w:noWrap w:val="false"/>
          </w:tcPr>
          <w:p>
            <w:pPr>
              <w:jc w:val="left"/>
              <w:widowControl/>
              <w:rPr>
                <w:rFonts w:hint="eastAsia" w:ascii="宋体" w:hAnsi="宋体" w:eastAsia="宋体" w:cs="宋体"/>
                <w:color w:val="000000"/>
                <w:szCs w:val="22"/>
                <w:highlight w:val="none"/>
                <w:lang w:eastAsia="en-US"/>
              </w:rPr>
            </w:pPr>
            <w:r>
              <w:rPr>
                <w:rFonts w:hint="eastAsia" w:ascii="宋体" w:hAnsi="宋体" w:eastAsia="宋体" w:cs="宋体"/>
                <w:color w:val="000000"/>
                <w:szCs w:val="22"/>
                <w:highlight w:val="none"/>
                <w:lang w:eastAsia="en-US"/>
              </w:rPr>
            </w:r>
            <w:r/>
          </w:p>
        </w:tc>
      </w:tr>
      <w:tr>
        <w:trPr>
          <w:trHeight w:val="667"/>
        </w:trPr>
        <w:tc>
          <w:tcPr>
            <w:tcW w:w="1607" w:type="dxa"/>
            <w:vAlign w:val="center"/>
            <w:vMerge w:val="continue"/>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指定现场</w:t>
            </w:r>
            <w:r/>
          </w:p>
        </w:tc>
        <w:tc>
          <w:tcPr>
            <w:tcW w:w="5170" w:type="dxa"/>
            <w:vAlign w:val="center"/>
            <w:textDirection w:val="lrTb"/>
            <w:noWrap w:val="false"/>
          </w:tcPr>
          <w:p>
            <w:pPr>
              <w:jc w:val="left"/>
              <w:widowControl/>
              <w:rPr>
                <w:rFonts w:hint="eastAsia" w:ascii="宋体" w:hAnsi="宋体" w:eastAsia="宋体" w:cs="宋体"/>
                <w:color w:val="000000"/>
                <w:szCs w:val="22"/>
                <w:highlight w:val="none"/>
                <w:lang w:eastAsia="en-US"/>
              </w:rPr>
            </w:pPr>
            <w:r>
              <w:rPr>
                <w:rFonts w:hint="eastAsia" w:ascii="宋体" w:hAnsi="宋体" w:eastAsia="宋体" w:cs="宋体"/>
                <w:color w:val="000000"/>
                <w:szCs w:val="22"/>
                <w:highlight w:val="none"/>
                <w:lang w:eastAsia="en-US"/>
              </w:rPr>
            </w:r>
            <w:r/>
          </w:p>
        </w:tc>
      </w:tr>
      <w:tr>
        <w:trPr>
          <w:trHeight w:val="772"/>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第7.2款</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运输特殊要求</w:t>
            </w:r>
            <w:r/>
          </w:p>
        </w:tc>
        <w:tc>
          <w:tcPr>
            <w:tcW w:w="5170" w:type="dxa"/>
            <w:vAlign w:val="center"/>
            <w:textDirection w:val="lrTb"/>
            <w:noWrap w:val="false"/>
          </w:tcPr>
          <w:p>
            <w:pPr>
              <w:jc w:val="left"/>
              <w:widowControl/>
              <w:rPr>
                <w:rFonts w:hint="eastAsia" w:ascii="宋体" w:hAnsi="宋体" w:eastAsia="宋体" w:cs="宋体"/>
                <w:color w:val="000000"/>
                <w:szCs w:val="22"/>
                <w:highlight w:val="none"/>
                <w:lang w:eastAsia="en-US"/>
              </w:rPr>
            </w:pPr>
            <w:r>
              <w:rPr>
                <w:rFonts w:hint="eastAsia" w:ascii="宋体" w:hAnsi="宋体" w:eastAsia="宋体" w:cs="宋体"/>
                <w:color w:val="000000"/>
                <w:szCs w:val="22"/>
                <w:highlight w:val="none"/>
                <w:lang w:eastAsia="en-US"/>
              </w:rPr>
            </w:r>
            <w:r/>
          </w:p>
        </w:tc>
      </w:tr>
      <w:tr>
        <w:trPr>
          <w:trHeight w:val="667"/>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第7.3款</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保险要求</w:t>
            </w:r>
            <w:r/>
          </w:p>
        </w:tc>
        <w:tc>
          <w:tcPr>
            <w:tcW w:w="5170" w:type="dxa"/>
            <w:vAlign w:val="center"/>
            <w:textDirection w:val="lrTb"/>
            <w:noWrap w:val="false"/>
          </w:tcPr>
          <w:p>
            <w:pPr>
              <w:jc w:val="left"/>
              <w:widowControl/>
              <w:rPr>
                <w:rFonts w:hint="eastAsia" w:ascii="宋体" w:hAnsi="宋体" w:eastAsia="宋体" w:cs="宋体"/>
                <w:color w:val="000000"/>
                <w:szCs w:val="22"/>
                <w:highlight w:val="none"/>
                <w:lang w:eastAsia="en-US"/>
              </w:rPr>
            </w:pPr>
            <w:r>
              <w:rPr>
                <w:rFonts w:hint="eastAsia" w:ascii="宋体" w:hAnsi="宋体" w:eastAsia="宋体" w:cs="宋体"/>
                <w:color w:val="000000"/>
                <w:szCs w:val="22"/>
                <w:highlight w:val="none"/>
                <w:lang w:eastAsia="en-US"/>
              </w:rPr>
            </w:r>
            <w:r/>
          </w:p>
        </w:tc>
      </w:tr>
      <w:tr>
        <w:trPr>
          <w:trHeight w:val="736"/>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第8.2（1）项</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质量保证期</w:t>
            </w:r>
            <w:r/>
          </w:p>
        </w:tc>
        <w:tc>
          <w:tcPr>
            <w:tcW w:w="5170" w:type="dxa"/>
            <w:vAlign w:val="center"/>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736"/>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第8.2（3）项</w:t>
            </w:r>
            <w:r/>
          </w:p>
        </w:tc>
        <w:tc>
          <w:tcPr>
            <w:tcW w:w="1742" w:type="dxa"/>
            <w:vAlign w:val="center"/>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货物质量缺陷</w:t>
            </w:r>
            <w:r/>
          </w:p>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响应时间</w:t>
            </w:r>
            <w:r/>
          </w:p>
        </w:tc>
        <w:tc>
          <w:tcPr>
            <w:tcW w:w="5170" w:type="dxa"/>
            <w:vAlign w:val="center"/>
            <w:textDirection w:val="lrTb"/>
            <w:noWrap w:val="false"/>
          </w:tcPr>
          <w:p>
            <w:pPr>
              <w:jc w:val="lef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tc>
      </w:tr>
      <w:tr>
        <w:trPr>
          <w:trHeight w:val="736"/>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spacing w:line="400" w:lineRule="exact"/>
              <w:widowControl/>
              <w:rPr>
                <w:rFonts w:hint="eastAsia" w:ascii="宋体" w:hAnsi="宋体" w:eastAsia="宋体" w:cs="宋体"/>
                <w:color w:val="000000"/>
                <w:sz w:val="22"/>
                <w:szCs w:val="21"/>
                <w:highlight w:val="none"/>
                <w:lang w:eastAsia="en-US"/>
              </w:rPr>
            </w:pPr>
            <w:r>
              <w:rPr>
                <w:rFonts w:hint="eastAsia" w:ascii="宋体" w:hAnsi="宋体" w:eastAsia="宋体" w:cs="宋体"/>
                <w:color w:val="000000"/>
                <w:sz w:val="22"/>
                <w:szCs w:val="21"/>
                <w:highlight w:val="none"/>
                <w:lang w:eastAsia="en-US"/>
              </w:rPr>
              <w:t xml:space="preserve">第11.1款</w:t>
            </w:r>
            <w:r/>
          </w:p>
        </w:tc>
        <w:tc>
          <w:tcPr>
            <w:tcW w:w="1742" w:type="dxa"/>
            <w:vAlign w:val="center"/>
            <w:textDirection w:val="lrTb"/>
            <w:noWrap w:val="false"/>
          </w:tcPr>
          <w:p>
            <w:pP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其他应当保密的信息</w:t>
            </w:r>
            <w:r/>
          </w:p>
        </w:tc>
        <w:tc>
          <w:tcPr>
            <w:tcW w:w="5170" w:type="dxa"/>
            <w:vAlign w:val="center"/>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97"/>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第12.2款</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合同价款支付时间</w:t>
            </w:r>
            <w:r/>
          </w:p>
        </w:tc>
        <w:tc>
          <w:tcPr>
            <w:tcW w:w="5170"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97"/>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第13.2款</w:t>
            </w:r>
            <w:r/>
          </w:p>
        </w:tc>
        <w:tc>
          <w:tcPr>
            <w:tcW w:w="1742" w:type="dxa"/>
            <w:vAlign w:val="center"/>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tc>
      </w:tr>
      <w:tr>
        <w:trPr>
          <w:trHeight w:val="736"/>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第13.3款</w:t>
            </w:r>
            <w:r/>
          </w:p>
        </w:tc>
        <w:tc>
          <w:tcPr>
            <w:tcW w:w="1742" w:type="dxa"/>
            <w:vAlign w:val="center"/>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履约保证金退还时间及逾期退还的违约金</w:t>
            </w:r>
            <w:r/>
          </w:p>
        </w:tc>
        <w:tc>
          <w:tcPr>
            <w:tcW w:w="5170" w:type="dxa"/>
            <w:vAlign w:val="center"/>
            <w:textDirection w:val="lrTb"/>
            <w:noWrap w:val="false"/>
          </w:tcPr>
          <w:p>
            <w:p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tc>
      </w:tr>
      <w:tr>
        <w:trPr>
          <w:trHeight w:val="784"/>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第14.1（3）项</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运行监督、维修期限</w:t>
            </w:r>
            <w:r/>
          </w:p>
        </w:tc>
        <w:tc>
          <w:tcPr>
            <w:tcW w:w="5170" w:type="dxa"/>
            <w:vAlign w:val="center"/>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784"/>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第14.1（5）项</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货物回收的约定</w:t>
            </w:r>
            <w:r/>
          </w:p>
        </w:tc>
        <w:tc>
          <w:tcPr>
            <w:tcW w:w="5170" w:type="dxa"/>
            <w:vAlign w:val="center"/>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736"/>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第14.1（6）项</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乙方提供的其他服务</w:t>
            </w:r>
            <w:r/>
          </w:p>
        </w:tc>
        <w:tc>
          <w:tcPr>
            <w:tcW w:w="5170" w:type="dxa"/>
            <w:vAlign w:val="center"/>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736"/>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第15.1款</w:t>
            </w:r>
            <w:r/>
          </w:p>
        </w:tc>
        <w:tc>
          <w:tcPr>
            <w:tcW w:w="1742" w:type="dxa"/>
            <w:vAlign w:val="center"/>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修理、重作、更换相关具体规定</w:t>
            </w:r>
            <w:r/>
          </w:p>
        </w:tc>
        <w:tc>
          <w:tcPr>
            <w:tcW w:w="5170" w:type="dxa"/>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第15.2（2）项</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迟延交货赔偿费</w:t>
            </w:r>
            <w:r/>
          </w:p>
        </w:tc>
        <w:tc>
          <w:tcPr>
            <w:tcW w:w="5170" w:type="dxa"/>
            <w:vAlign w:val="center"/>
            <w:textDirection w:val="lrTb"/>
            <w:noWrap w:val="false"/>
          </w:tcPr>
          <w:p>
            <w:pPr>
              <w:jc w:val="left"/>
              <w:widowControl/>
              <w:rPr>
                <w:rFonts w:hint="eastAsia" w:ascii="宋体" w:hAnsi="宋体" w:eastAsia="宋体" w:cs="宋体"/>
                <w:color w:val="000000"/>
                <w:szCs w:val="21"/>
                <w:highlight w:val="none"/>
                <w:u w:val="single"/>
                <w:lang w:eastAsia="en-US"/>
              </w:rPr>
            </w:pPr>
            <w:r>
              <w:rPr>
                <w:rFonts w:hint="eastAsia" w:ascii="宋体" w:hAnsi="宋体" w:eastAsia="宋体" w:cs="宋体"/>
                <w:color w:val="000000"/>
                <w:szCs w:val="21"/>
                <w:highlight w:val="none"/>
                <w:u w:val="single"/>
                <w:lang w:eastAsia="en-US"/>
              </w:rPr>
            </w:r>
            <w:r/>
          </w:p>
        </w:tc>
      </w:tr>
      <w:tr>
        <w:trPr>
          <w:trHeight w:val="736"/>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第15.3款</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逾期付款利息</w:t>
            </w:r>
            <w:r/>
          </w:p>
        </w:tc>
        <w:tc>
          <w:tcPr>
            <w:tcW w:w="5170" w:type="dxa"/>
            <w:vAlign w:val="center"/>
            <w:textDirection w:val="lrTb"/>
            <w:noWrap w:val="false"/>
          </w:tcPr>
          <w:p>
            <w:pPr>
              <w:jc w:val="left"/>
              <w:widowControl/>
              <w:rPr>
                <w:rFonts w:hint="eastAsia" w:ascii="宋体" w:hAnsi="宋体" w:eastAsia="宋体" w:cs="宋体"/>
                <w:color w:val="000000"/>
                <w:szCs w:val="21"/>
                <w:highlight w:val="none"/>
                <w:u w:val="single"/>
                <w:lang w:eastAsia="en-US"/>
              </w:rPr>
            </w:pPr>
            <w:r>
              <w:rPr>
                <w:rFonts w:hint="eastAsia" w:ascii="宋体" w:hAnsi="宋体" w:eastAsia="宋体" w:cs="宋体"/>
                <w:color w:val="000000"/>
                <w:szCs w:val="21"/>
                <w:highlight w:val="none"/>
                <w:u w:val="single"/>
                <w:lang w:eastAsia="en-US"/>
              </w:rPr>
            </w:r>
            <w:r/>
          </w:p>
        </w:tc>
      </w:tr>
      <w:tr>
        <w:trPr>
          <w:trHeight w:val="876"/>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第15.4款</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其他违约责任</w:t>
            </w:r>
            <w:r/>
          </w:p>
        </w:tc>
        <w:tc>
          <w:tcPr>
            <w:tcW w:w="5170" w:type="dxa"/>
            <w:vAlign w:val="center"/>
            <w:textDirection w:val="lrTb"/>
            <w:noWrap w:val="false"/>
          </w:tcPr>
          <w:p>
            <w:pPr>
              <w:jc w:val="left"/>
              <w:widowControl/>
              <w:rPr>
                <w:rFonts w:hint="eastAsia" w:ascii="宋体" w:hAnsi="宋体" w:eastAsia="宋体" w:cs="宋体"/>
                <w:color w:val="000000"/>
                <w:szCs w:val="21"/>
                <w:highlight w:val="none"/>
                <w:u w:val="single"/>
                <w:lang w:eastAsia="en-US"/>
              </w:rPr>
            </w:pPr>
            <w:r>
              <w:rPr>
                <w:rFonts w:hint="eastAsia" w:ascii="宋体" w:hAnsi="宋体" w:eastAsia="宋体" w:cs="宋体"/>
                <w:color w:val="000000"/>
                <w:szCs w:val="21"/>
                <w:highlight w:val="none"/>
                <w:u w:val="single"/>
                <w:lang w:eastAsia="en-US"/>
              </w:rPr>
            </w:r>
            <w:r/>
          </w:p>
        </w:tc>
      </w:tr>
      <w:tr>
        <w:trPr>
          <w:trHeight w:val="90"/>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第19.2款</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解决争议的方法</w:t>
            </w:r>
            <w:r/>
          </w:p>
        </w:tc>
        <w:tc>
          <w:tcPr>
            <w:tcW w:w="5170" w:type="dxa"/>
            <w:vAlign w:val="center"/>
            <w:textDirection w:val="lrTb"/>
            <w:noWrap w:val="false"/>
          </w:tcPr>
          <w:p>
            <w:pPr>
              <w:jc w:val="lef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tc>
      </w:tr>
      <w:tr>
        <w:trPr>
          <w:trHeight w:val="770"/>
        </w:trPr>
        <w:tc>
          <w:tcPr>
            <w:tcW w:w="1607" w:type="dxa"/>
            <w:vAlign w:val="center"/>
            <w:textDirection w:val="lrTb"/>
            <w:noWrap w:val="false"/>
          </w:tcPr>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第二节</w:t>
            </w:r>
            <w:r/>
          </w:p>
          <w:p>
            <w:pPr>
              <w:jc w:val="center"/>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第23.1款</w:t>
            </w:r>
            <w:r/>
          </w:p>
        </w:tc>
        <w:tc>
          <w:tcPr>
            <w:tcW w:w="1742"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bCs/>
                <w:color w:val="000000"/>
                <w:szCs w:val="21"/>
                <w:highlight w:val="none"/>
                <w:lang w:eastAsia="en-US"/>
              </w:rPr>
              <w:t xml:space="preserve">其他专用条款</w:t>
            </w:r>
            <w:r/>
          </w:p>
        </w:tc>
        <w:tc>
          <w:tcPr>
            <w:tcW w:w="5170" w:type="dxa"/>
            <w:vAlign w:val="center"/>
            <w:textDirection w:val="lrTb"/>
            <w:noWrap w:val="false"/>
          </w:tcPr>
          <w:p>
            <w:pPr>
              <w:jc w:val="left"/>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bl>
    <w:p>
      <w:pPr>
        <w:ind w:firstLine="240"/>
        <w:jc w:val="right"/>
        <w:keepLines w:val="0"/>
        <w:keepNext w:val="0"/>
        <w:pageBreakBefore w:val="0"/>
        <w:spacing w:before="120" w:after="120" w:line="3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811"/>
        <w:jc w:val="center"/>
        <w:shd w:val="clear" w:color="auto" w:fill="auto"/>
        <w:rPr>
          <w:rFonts w:hint="eastAsia" w:ascii="宋体" w:hAnsi="宋体" w:eastAsia="宋体" w:cs="宋体"/>
          <w:b/>
          <w:bCs w:val="0"/>
          <w:color w:val="000000"/>
          <w:sz w:val="44"/>
          <w:highlight w:val="none"/>
        </w:rPr>
      </w:pPr>
      <w:r>
        <w:rPr>
          <w:rFonts w:hint="eastAsia" w:ascii="宋体" w:hAnsi="宋体" w:eastAsia="宋体" w:cs="宋体"/>
          <w:b/>
          <w:bCs w:val="0"/>
          <w:color w:val="000000"/>
          <w:sz w:val="44"/>
          <w:highlight w:val="none"/>
        </w:rPr>
      </w:r>
      <w:r/>
    </w:p>
    <w:p>
      <w:pPr>
        <w:keepLines w:val="0"/>
        <w:keepNext w:val="0"/>
        <w:pageBreakBefore w:val="0"/>
        <w:spacing w:before="120" w:after="120" w:line="400" w:lineRule="exact"/>
        <w:rPr>
          <w:rFonts w:hint="eastAsia" w:ascii="宋体" w:hAnsi="宋体" w:eastAsia="宋体" w:cs="宋体"/>
          <w:b w:val="0"/>
          <w:bCs w:val="0"/>
          <w:color w:val="000000"/>
          <w:sz w:val="24"/>
          <w:szCs w:val="24"/>
          <w:highlight w:val="none"/>
          <w:lang w:val="en-US" w:eastAsia="zh-CN" w:bidi="ar-SA"/>
        </w:rPr>
      </w:pPr>
      <w:r/>
      <w:bookmarkStart w:id="196" w:name="_Hlk166579025"/>
      <w:r/>
      <w:r/>
    </w:p>
    <w:p>
      <w:pPr>
        <w:keepLines w:val="0"/>
        <w:keepNext w:val="0"/>
        <w:pageBreakBefore w:val="0"/>
        <w:spacing w:before="120" w:after="120"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4"/>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4"/>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4"/>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4"/>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94"/>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11"/>
        <w:jc w:val="center"/>
        <w:shd w:val="clear" w:color="auto" w:fill="auto"/>
        <w:rPr>
          <w:rFonts w:hint="eastAsia" w:ascii="宋体" w:hAnsi="宋体" w:eastAsia="宋体" w:cs="宋体"/>
          <w:b/>
          <w:bCs w:val="0"/>
          <w:color w:val="000000"/>
          <w:sz w:val="44"/>
          <w:highlight w:val="none"/>
        </w:rPr>
      </w:pPr>
      <w:r/>
      <w:bookmarkStart w:id="197" w:name="_Toc24413"/>
      <w:r/>
      <w:bookmarkEnd w:id="197"/>
      <w:r/>
    </w:p>
    <w:p>
      <w:pPr>
        <w:keepLines w:val="0"/>
        <w:keepNext w:val="0"/>
        <w:pageBreakBefore w:val="0"/>
        <w:spacing w:line="560" w:lineRule="exact"/>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1"/>
        <w:jc w:val="center"/>
        <w:shd w:val="clear" w:color="auto" w:fill="auto"/>
        <w:rPr>
          <w:rFonts w:hint="eastAsia" w:ascii="宋体" w:hAnsi="宋体" w:eastAsia="宋体" w:cs="宋体"/>
          <w:b/>
          <w:bCs w:val="0"/>
          <w:color w:val="000000"/>
          <w:sz w:val="44"/>
          <w:highlight w:val="none"/>
        </w:rPr>
      </w:pPr>
      <w:r>
        <w:rPr>
          <w:rFonts w:hint="eastAsia" w:ascii="宋体" w:hAnsi="宋体" w:eastAsia="宋体" w:cs="宋体"/>
          <w:b/>
          <w:bCs w:val="0"/>
          <w:color w:val="000000"/>
          <w:sz w:val="44"/>
          <w:highlight w:val="none"/>
        </w:rPr>
        <w:t xml:space="preserve">第四章  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项目属性：货物类项目</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single"/>
          <w:lang w:val="en-US" w:eastAsia="zh-CN"/>
        </w:rPr>
        <w:t xml:space="preserve"> 接受 </w:t>
      </w:r>
      <w:r>
        <w:rPr>
          <w:rFonts w:hint="eastAsia" w:ascii="宋体" w:hAnsi="宋体" w:eastAsia="宋体" w:cs="宋体"/>
          <w:color w:val="000000"/>
          <w:sz w:val="24"/>
          <w:szCs w:val="24"/>
          <w:highlight w:val="none"/>
          <w:lang w:val="en-US" w:eastAsia="zh-CN"/>
        </w:rPr>
        <w:t xml:space="preserve">（接受/不接受）进口产品。</w:t>
      </w:r>
      <w:r/>
    </w:p>
    <w:p>
      <w:pPr>
        <w:numPr>
          <w:ilvl w:val="0"/>
          <w:numId w:val="0"/>
        </w:numPr>
        <w:ind w:firstLine="482"/>
        <w:keepLines w:val="0"/>
        <w:keepNext w:val="0"/>
        <w:pageBreakBefore w:val="0"/>
        <w:spacing w:line="360" w:lineRule="auto"/>
        <w:widowControl/>
        <w:rPr>
          <w:rStyle w:val="821"/>
          <w:rFonts w:hint="eastAsia" w:ascii="宋体" w:hAnsi="宋体" w:eastAsia="宋体" w:cs="宋体"/>
          <w:b/>
          <w:bCs/>
          <w:color w:val="000000"/>
          <w:sz w:val="24"/>
          <w:szCs w:val="22"/>
          <w:highlight w:val="none"/>
          <w:lang w:val="en-US" w:eastAsia="zh-CN" w:bidi="ar-SA"/>
        </w:rPr>
      </w:pPr>
      <w:r/>
      <w:bookmarkStart w:id="198" w:name="_Toc31498"/>
      <w:r/>
      <w:bookmarkStart w:id="199" w:name="_Toc111564910"/>
      <w:r/>
      <w:bookmarkStart w:id="200" w:name="_Toc760"/>
      <w:r/>
      <w:bookmarkStart w:id="201" w:name="_Toc256000014"/>
      <w:r>
        <w:rPr>
          <w:rFonts w:hint="eastAsia" w:ascii="宋体" w:hAnsi="宋体" w:eastAsia="宋体" w:cs="宋体"/>
          <w:b/>
          <w:bCs/>
          <w:color w:val="000000"/>
          <w:sz w:val="24"/>
          <w:szCs w:val="22"/>
          <w:highlight w:val="none"/>
          <w:lang w:val="en-US" w:eastAsia="zh-CN" w:bidi="ar-SA"/>
        </w:rPr>
        <w:t xml:space="preserve">一、</w:t>
      </w:r>
      <w:r>
        <w:rPr>
          <w:rStyle w:val="821"/>
          <w:rFonts w:hint="eastAsia" w:ascii="宋体" w:hAnsi="宋体" w:eastAsia="宋体" w:cs="宋体"/>
          <w:b/>
          <w:bCs/>
          <w:color w:val="000000"/>
          <w:sz w:val="24"/>
          <w:szCs w:val="22"/>
          <w:highlight w:val="none"/>
          <w:lang w:val="en-US" w:eastAsia="zh-CN" w:bidi="ar-SA"/>
        </w:rPr>
        <w:t xml:space="preserve">项目概况</w:t>
      </w:r>
      <w:bookmarkEnd w:id="198"/>
      <w:r/>
      <w:bookmarkEnd w:id="199"/>
      <w:r/>
      <w:bookmarkEnd w:id="200"/>
      <w:r/>
      <w:bookmarkEnd w:id="201"/>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Style w:val="821"/>
          <w:rFonts w:hint="eastAsia" w:ascii="宋体" w:hAnsi="宋体" w:eastAsia="宋体" w:cs="Times New Roman"/>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eastAsia="zh-CN"/>
        </w:rPr>
        <w:t xml:space="preserve">宿迁市妇幼保健院新生儿科设备采购</w:t>
      </w:r>
      <w:r/>
    </w:p>
    <w:p>
      <w:pPr>
        <w:ind w:firstLine="480"/>
        <w:jc w:val="both"/>
        <w:keepLines w:val="0"/>
        <w:keepNext w:val="0"/>
        <w:pageBreakBefore w:val="0"/>
        <w:spacing w:line="360" w:lineRule="auto"/>
        <w:widowControl/>
        <w:rPr>
          <w:rStyle w:val="821"/>
          <w:rFonts w:hint="eastAsia" w:ascii="宋体" w:hAnsi="宋体" w:eastAsia="宋体" w:cs="Times New Roman"/>
          <w:b w:val="0"/>
          <w:bCs/>
          <w:color w:val="000000"/>
          <w:sz w:val="24"/>
          <w:szCs w:val="24"/>
          <w:highlight w:val="none"/>
          <w:lang w:val="en-US" w:eastAsia="zh-CN" w:bidi="ar-SA"/>
        </w:rPr>
      </w:pPr>
      <w:r>
        <w:rPr>
          <w:rStyle w:val="821"/>
          <w:rFonts w:hint="eastAsia" w:ascii="宋体" w:hAnsi="宋体" w:eastAsia="宋体" w:cs="Times New Roman"/>
          <w:b w:val="0"/>
          <w:bCs/>
          <w:color w:val="000000"/>
          <w:sz w:val="24"/>
          <w:szCs w:val="24"/>
          <w:highlight w:val="none"/>
          <w:lang w:val="en-US" w:eastAsia="zh-CN" w:bidi="ar-SA"/>
        </w:rPr>
        <w:t xml:space="preserve">分包一：采购采购1套新生儿无创呼吸机、4套双通道输液泵、5台单通道注射泵、2套双通道注射泵；</w:t>
      </w:r>
      <w:r/>
    </w:p>
    <w:p>
      <w:pPr>
        <w:ind w:firstLine="480"/>
        <w:jc w:val="both"/>
        <w:keepLines w:val="0"/>
        <w:keepNext w:val="0"/>
        <w:pageBreakBefore w:val="0"/>
        <w:spacing w:line="360" w:lineRule="auto"/>
        <w:widowControl/>
        <w:rPr>
          <w:rStyle w:val="821"/>
          <w:rFonts w:hint="eastAsia" w:ascii="宋体" w:hAnsi="宋体" w:eastAsia="宋体" w:cs="Times New Roman"/>
          <w:b w:val="0"/>
          <w:bCs/>
          <w:color w:val="000000"/>
          <w:sz w:val="24"/>
          <w:szCs w:val="24"/>
          <w:highlight w:val="none"/>
          <w:lang w:val="en-US" w:eastAsia="zh-CN" w:bidi="ar-SA"/>
        </w:rPr>
      </w:pPr>
      <w:r>
        <w:rPr>
          <w:rStyle w:val="821"/>
          <w:rFonts w:hint="eastAsia" w:ascii="宋体" w:hAnsi="宋体" w:eastAsia="宋体" w:cs="Times New Roman"/>
          <w:b w:val="0"/>
          <w:bCs/>
          <w:color w:val="000000"/>
          <w:sz w:val="24"/>
          <w:szCs w:val="24"/>
          <w:highlight w:val="none"/>
          <w:lang w:val="en-US" w:eastAsia="zh-CN" w:bidi="ar-SA"/>
        </w:rPr>
        <w:t xml:space="preserve">分包二：采购1套新生儿高频呼吸机；</w:t>
      </w:r>
      <w:r/>
    </w:p>
    <w:p>
      <w:pPr>
        <w:ind w:firstLine="480"/>
        <w:jc w:val="both"/>
        <w:keepLines w:val="0"/>
        <w:keepNext w:val="0"/>
        <w:pageBreakBefore w:val="0"/>
        <w:spacing w:line="360" w:lineRule="auto"/>
        <w:widowControl/>
        <w:rPr>
          <w:rStyle w:val="821"/>
          <w:rFonts w:hint="eastAsia" w:ascii="宋体" w:hAnsi="宋体" w:eastAsia="宋体" w:cs="Times New Roman"/>
          <w:b w:val="0"/>
          <w:bCs/>
          <w:color w:val="000000"/>
          <w:sz w:val="24"/>
          <w:szCs w:val="24"/>
          <w:highlight w:val="none"/>
          <w:lang w:val="en-US" w:eastAsia="zh-CN" w:bidi="ar-SA"/>
        </w:rPr>
      </w:pPr>
      <w:r>
        <w:rPr>
          <w:rStyle w:val="821"/>
          <w:rFonts w:hint="eastAsia" w:ascii="宋体" w:hAnsi="宋体" w:eastAsia="宋体" w:cs="Times New Roman"/>
          <w:b w:val="0"/>
          <w:bCs/>
          <w:color w:val="000000"/>
          <w:sz w:val="24"/>
          <w:szCs w:val="24"/>
          <w:highlight w:val="none"/>
          <w:lang w:val="en-US" w:eastAsia="zh-CN" w:bidi="ar-SA"/>
        </w:rPr>
        <w:t xml:space="preserve">分包三：采购1套新生儿T组合复苏器、2台经皮黄疸仪、4台新生儿黄疸治疗箱、1台婴儿辐射保暖台、10套婴儿培养箱、1套婴儿转运培养箱；</w:t>
      </w:r>
      <w:r/>
    </w:p>
    <w:p>
      <w:pPr>
        <w:ind w:firstLine="480"/>
        <w:jc w:val="both"/>
        <w:keepLines w:val="0"/>
        <w:keepNext w:val="0"/>
        <w:pageBreakBefore w:val="0"/>
        <w:spacing w:line="360" w:lineRule="auto"/>
        <w:widowControl/>
        <w:rPr>
          <w:rStyle w:val="821"/>
          <w:rFonts w:hint="eastAsia" w:ascii="宋体" w:hAnsi="宋体" w:eastAsia="宋体" w:cs="Times New Roman"/>
          <w:b w:val="0"/>
          <w:bCs/>
          <w:color w:val="000000"/>
          <w:sz w:val="24"/>
          <w:szCs w:val="24"/>
          <w:highlight w:val="none"/>
          <w:lang w:val="en-US" w:eastAsia="zh-CN" w:bidi="ar-SA"/>
        </w:rPr>
      </w:pPr>
      <w:r>
        <w:rPr>
          <w:rStyle w:val="821"/>
          <w:rFonts w:hint="eastAsia" w:ascii="宋体" w:hAnsi="宋体" w:eastAsia="宋体" w:cs="Times New Roman"/>
          <w:b w:val="0"/>
          <w:bCs/>
          <w:color w:val="000000"/>
          <w:sz w:val="24"/>
          <w:szCs w:val="24"/>
          <w:highlight w:val="none"/>
          <w:lang w:val="en-US" w:eastAsia="zh-CN" w:bidi="ar-SA"/>
        </w:rPr>
        <w:t xml:space="preserve">分包四：采购1套新生儿无创呼吸机、8套新生儿专用多参数监护仪；</w:t>
      </w:r>
      <w:r/>
    </w:p>
    <w:p>
      <w:pPr>
        <w:ind w:firstLine="480"/>
        <w:jc w:val="both"/>
        <w:keepLines w:val="0"/>
        <w:keepNext w:val="0"/>
        <w:pageBreakBefore w:val="0"/>
        <w:spacing w:line="360" w:lineRule="auto"/>
        <w:widowControl/>
        <w:rPr>
          <w:rStyle w:val="821"/>
          <w:rFonts w:hint="eastAsia" w:ascii="宋体" w:hAnsi="宋体" w:eastAsia="宋体" w:cs="Times New Roman"/>
          <w:b w:val="0"/>
          <w:bCs/>
          <w:color w:val="000000"/>
          <w:sz w:val="24"/>
          <w:szCs w:val="24"/>
          <w:highlight w:val="none"/>
          <w:lang w:val="en-US" w:eastAsia="zh-CN" w:bidi="ar-SA"/>
        </w:rPr>
      </w:pPr>
      <w:r>
        <w:rPr>
          <w:rStyle w:val="821"/>
          <w:rFonts w:hint="eastAsia" w:ascii="宋体" w:hAnsi="宋体" w:eastAsia="宋体" w:cs="Times New Roman"/>
          <w:b w:val="0"/>
          <w:bCs/>
          <w:color w:val="000000"/>
          <w:sz w:val="24"/>
          <w:szCs w:val="24"/>
          <w:highlight w:val="none"/>
          <w:lang w:val="en-US" w:eastAsia="zh-CN" w:bidi="ar-SA"/>
        </w:rPr>
        <w:t xml:space="preserve">分包五：采购1台听力筛查仪。</w:t>
      </w:r>
      <w:r/>
    </w:p>
    <w:p>
      <w:pPr>
        <w:ind w:firstLine="480"/>
        <w:jc w:val="both"/>
        <w:keepLines w:val="0"/>
        <w:keepNext w:val="0"/>
        <w:pageBreakBefore w:val="0"/>
        <w:spacing w:line="360" w:lineRule="auto"/>
        <w:widowControl/>
        <w:rPr>
          <w:rStyle w:val="821"/>
          <w:rFonts w:ascii="宋体" w:hAnsi="宋体" w:eastAsia="宋体" w:cs="Times New Roman"/>
          <w:b w:val="0"/>
          <w:bCs/>
          <w:color w:val="000000"/>
          <w:sz w:val="24"/>
          <w:szCs w:val="24"/>
          <w:highlight w:val="none"/>
          <w:lang w:val="en-US" w:eastAsia="zh-CN" w:bidi="ar-SA"/>
        </w:rPr>
      </w:pPr>
      <w:r>
        <w:rPr>
          <w:rStyle w:val="821"/>
          <w:rFonts w:hint="eastAsia" w:ascii="宋体" w:hAnsi="宋体" w:eastAsia="宋体" w:cs="Times New Roman"/>
          <w:b w:val="0"/>
          <w:bCs/>
          <w:color w:val="000000"/>
          <w:sz w:val="24"/>
          <w:szCs w:val="24"/>
          <w:highlight w:val="none"/>
          <w:lang w:val="en-US" w:eastAsia="zh-CN" w:bidi="ar-SA"/>
        </w:rPr>
        <w:t xml:space="preserve">（二）招标内容：采购、安装、维保。</w:t>
      </w:r>
      <w:r/>
    </w:p>
    <w:p>
      <w:pPr>
        <w:numPr>
          <w:ilvl w:val="0"/>
          <w:numId w:val="0"/>
        </w:numPr>
        <w:ind w:firstLine="482"/>
        <w:keepLines w:val="0"/>
        <w:keepNext w:val="0"/>
        <w:pageBreakBefore w:val="0"/>
        <w:spacing w:line="360" w:lineRule="auto"/>
        <w:widowControl/>
        <w:rPr>
          <w:rFonts w:hint="eastAsia" w:ascii="宋体" w:hAnsi="宋体" w:eastAsia="宋体" w:cs="宋体"/>
          <w:b/>
          <w:bCs/>
          <w:color w:val="000000"/>
          <w:sz w:val="24"/>
          <w:szCs w:val="22"/>
          <w:highlight w:val="none"/>
          <w:lang w:val="en-US" w:eastAsia="zh-CN" w:bidi="ar-SA"/>
        </w:rPr>
      </w:pPr>
      <w:r/>
      <w:bookmarkStart w:id="202" w:name="_Toc12084"/>
      <w:r/>
      <w:bookmarkStart w:id="203" w:name="_Toc256000038"/>
      <w:r/>
      <w:bookmarkStart w:id="204" w:name="_Toc536788500"/>
      <w:r/>
      <w:bookmarkStart w:id="205" w:name="_Toc111564911"/>
      <w:r/>
      <w:bookmarkStart w:id="206" w:name="_Toc495673448"/>
      <w:r/>
      <w:bookmarkStart w:id="207" w:name="_Toc105493079"/>
      <w:r/>
      <w:bookmarkStart w:id="208" w:name="_Toc514426469"/>
      <w:r/>
      <w:bookmarkStart w:id="209" w:name="_Toc5123"/>
      <w:r/>
      <w:bookmarkStart w:id="210" w:name="_Toc256000015"/>
      <w:r/>
      <w:bookmarkStart w:id="211" w:name="_Toc510533529"/>
      <w:r/>
      <w:bookmarkStart w:id="212" w:name="_Toc462997022"/>
      <w:r/>
      <w:bookmarkStart w:id="213" w:name="_Toc514921155"/>
      <w:r/>
      <w:bookmarkStart w:id="214" w:name="_Toc18066"/>
      <w:r>
        <w:rPr>
          <w:rFonts w:hint="eastAsia" w:ascii="宋体" w:hAnsi="宋体" w:eastAsia="宋体" w:cs="宋体"/>
          <w:b/>
          <w:bCs/>
          <w:color w:val="000000"/>
          <w:sz w:val="24"/>
          <w:szCs w:val="22"/>
          <w:highlight w:val="none"/>
          <w:lang w:val="en-US" w:eastAsia="zh-CN" w:bidi="ar-SA"/>
        </w:rPr>
        <w:t xml:space="preserve">二、采购清单</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hint="eastAsia" w:ascii="宋体" w:hAnsi="宋体" w:eastAsia="宋体" w:cs="宋体"/>
          <w:b/>
          <w:bCs/>
          <w:color w:val="000000"/>
          <w:sz w:val="24"/>
          <w:szCs w:val="22"/>
          <w:highlight w:val="none"/>
          <w:lang w:val="en-US" w:eastAsia="zh-CN" w:bidi="ar-SA"/>
        </w:rPr>
        <w:t xml:space="preserve">及技术参数</w:t>
      </w:r>
      <w:r/>
    </w:p>
    <w:p>
      <w:pPr>
        <w:ind w:firstLine="482"/>
        <w:keepLines w:val="0"/>
        <w:keepNext w:val="0"/>
        <w:pageBreakBefore w:val="0"/>
        <w:spacing w:line="360" w:lineRule="auto"/>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分包一：</w:t>
      </w:r>
      <w:r/>
    </w:p>
    <w:tbl>
      <w:tblPr>
        <w:tblStyle w:val="787"/>
        <w:tblW w:w="513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0"/>
        <w:gridCol w:w="426"/>
        <w:gridCol w:w="7341"/>
        <w:gridCol w:w="567"/>
        <w:gridCol w:w="531"/>
      </w:tblGrid>
      <w:tr>
        <w:trPr>
          <w:trHeight w:val="20"/>
        </w:trPr>
        <w:tc>
          <w:tcPr>
            <w:gridSpan w:val="5"/>
            <w:tcW w:w="9195" w:type="dxa"/>
            <w:vAlign w:val="top"/>
            <w:textDirection w:val="lrTb"/>
            <w:noWrap w:val="false"/>
          </w:tcPr>
          <w:p>
            <w:pPr>
              <w:jc w:val="both"/>
              <w:spacing w:line="360" w:lineRule="auto"/>
              <w:widowControl w:val="off"/>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（一）通用要求</w:t>
            </w:r>
            <w:r/>
          </w:p>
        </w:tc>
      </w:tr>
      <w:tr>
        <w:trPr>
          <w:trHeight w:val="20"/>
        </w:trPr>
        <w:tc>
          <w:tcPr>
            <w:gridSpan w:val="5"/>
            <w:tcW w:w="9195" w:type="dxa"/>
            <w:vAlign w:val="center"/>
            <w:textDirection w:val="lrTb"/>
            <w:noWrap w:val="false"/>
          </w:tcPr>
          <w:p>
            <w:pPr>
              <w:pStyle w:val="897"/>
              <w:jc w:val="both"/>
              <w:spacing w:line="360" w:lineRule="auto"/>
              <w:rPr>
                <w:rFonts w:hint="eastAsia" w:ascii="黑体" w:hAnsi="黑体" w:eastAsia="黑体" w:cs="黑体"/>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1.验收通过之日起提供五年原厂免费维保，合同签订前提供原厂质保函；</w:t>
            </w:r>
            <w:r/>
          </w:p>
          <w:p>
            <w:pPr>
              <w:pStyle w:val="897"/>
              <w:jc w:val="both"/>
              <w:spacing w:line="360" w:lineRule="auto"/>
              <w:rPr>
                <w:rFonts w:hint="eastAsia" w:ascii="黑体" w:hAnsi="黑体" w:eastAsia="黑体" w:cs="黑体"/>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2.保证设备维保期内开机率高于95%，如设备故障停机率超过5%（一年按365天计算，每年18天），每超过一天，维保期延长两周；</w:t>
            </w:r>
            <w:r/>
          </w:p>
          <w:p>
            <w:pPr>
              <w:pStyle w:val="897"/>
              <w:jc w:val="both"/>
              <w:spacing w:line="360" w:lineRule="auto"/>
              <w:rPr>
                <w:rFonts w:hint="eastAsia" w:ascii="黑体" w:hAnsi="黑体" w:eastAsia="黑体" w:cs="黑体"/>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3.免费维保期内，应在接到故障通知2小时内作出有效响应，并在24小时内到达现场免费予以排除故障、修复或更换零部件。如3个工作日内不能修复必须提供备用机使用，确保甲方能正常开展工作，设备在设计有用周期内，保证更换到原厂配件；</w:t>
            </w:r>
            <w:r/>
          </w:p>
          <w:p>
            <w:pPr>
              <w:pStyle w:val="897"/>
              <w:jc w:val="both"/>
              <w:spacing w:line="360" w:lineRule="auto"/>
              <w:rPr>
                <w:rFonts w:hint="eastAsia" w:ascii="Calibri" w:hAnsi="Calibri"/>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4.在安装过程中或安装结束后，对我院工程师和操作人员进行现场维修、保养、操作培训并提供快捷操作指南。</w:t>
            </w:r>
            <w:r/>
          </w:p>
        </w:tc>
      </w:tr>
      <w:tr>
        <w:trPr>
          <w:trHeight w:val="20"/>
        </w:trPr>
        <w:tc>
          <w:tcPr>
            <w:gridSpan w:val="5"/>
            <w:tcW w:w="9195" w:type="dxa"/>
            <w:vAlign w:val="center"/>
            <w:textDirection w:val="lrTb"/>
            <w:noWrap w:val="false"/>
          </w:tcPr>
          <w:p>
            <w:pPr>
              <w:pStyle w:val="897"/>
              <w:jc w:val="both"/>
              <w:rPr>
                <w:rFonts w:hint="eastAsia" w:ascii="Calibri" w:hAnsi="Calibri"/>
                <w:color w:val="000000"/>
                <w:sz w:val="21"/>
                <w:szCs w:val="22"/>
                <w:highlight w:val="none"/>
                <w:lang w:val="en-US" w:eastAsia="zh-CN" w:bidi="ar-SA"/>
              </w:rPr>
            </w:pP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二</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参数要求</w:t>
            </w:r>
            <w:r/>
          </w:p>
        </w:tc>
      </w:tr>
      <w:tr>
        <w:trPr>
          <w:trHeight w:val="20"/>
        </w:trPr>
        <w:tc>
          <w:tcPr>
            <w:tcW w:w="33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W w:w="42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新生儿无创呼吸机</w:t>
            </w:r>
            <w:r/>
          </w:p>
        </w:tc>
        <w:tc>
          <w:tcPr>
            <w:tcW w:w="7341" w:type="dxa"/>
            <w:vAlign w:val="top"/>
            <w:textDirection w:val="lrTb"/>
            <w:noWrap w:val="false"/>
          </w:tcPr>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1.≥12.1寸LED彩色电容屏，分辨率≥1280*800像素，触控操作，参数显示；</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呼末正压、峰值压、平均压、流量、氧浓度、自主呼吸频率、呼气时间、吸呼比、可以选配泄漏率、血氧饱和度、血氧饱和度/吸入氧浓度、氧饱和度指数、氧浓度与平均压乘积，图形显示：压力－时间波形、流量柱状图；</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3.内置氧传感器，监测范围0-100%，精度±2%，氧传感器自动校准，且校准程序无需手动启动；</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4.提供压力发生器，提供近鼻端压力监测；</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5.★通气模式：NCPAP，NIPPV，SNIPPV，HFNC等；</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6.NCPAP模式：不需要额外传感器即可支持窒息监测及窒息唤醒功能等；</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直接设定气道压力值：1cmH2O-15cmH2O；</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窒息唤醒2cmH2O-30cmH2O，窒息时间：OFF，1s–60s；</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7.NIPPV模式：呼末正压PEEP：1cmH2O-15cmH2O；吸气压力Pinsp：2cmH2O-30cmH2O；呼吸频率：1bpm-120bpm；吸气时间：0.1s-15s；</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8.SNIPPV模式：要求具有窒息监测以及备用通气功能；呼末正压PEEP：1cmH2O-15cmH2O。；吸气压力Pinsp：2cmH2O-30cmH2O呼吸频率：1bpm-120bpm；吸气时间：0.1s-15s；后备频率：1bpm-120bpm；</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9.HFNC高流量氧疗模式：流量0.5L/min-20L/min可调，具有压力监测功能；</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10.配备氧反馈调节功能，可以通过设置氧浓度调节范围和目标血氧饱和度范围实现氧反馈功能。用于在设定范围内调节氧浓度使血氧饱和度达到目标范围；</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11.提供增氧功能：</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通气持续时间可调，最长时间120s，增氧氧浓度22%-100%连续可调；</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12.提供手动通气功能，通气时间1s-15s可调，气道压力2cmH2O-30cmH2O；</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13.具备自动泄漏补偿功能，同时可显示泄漏率；</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14.报警：具有手动/自动设置报警上下限功能；</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15.提供系统自检功能，图形化提示操作流程；</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16.数据存储：可以显示至少连续120小时的趋势数据，最多可以存储10000条事件日志，可以提供截屏功能，最多可以缓存50张截屏图片。</w:t>
            </w:r>
            <w:r/>
          </w:p>
        </w:tc>
        <w:tc>
          <w:tcPr>
            <w:tcW w:w="567" w:type="dxa"/>
            <w:vAlign w:val="center"/>
            <w:textDirection w:val="lrTb"/>
            <w:noWrap w:val="false"/>
          </w:tcPr>
          <w:p>
            <w:pPr>
              <w:pStyle w:val="8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套</w:t>
            </w:r>
            <w:r/>
          </w:p>
        </w:tc>
        <w:tc>
          <w:tcPr>
            <w:tcW w:w="531"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0"/>
        </w:trPr>
        <w:tc>
          <w:tcPr>
            <w:tcW w:w="33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tcW w:w="42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双通道输液泵</w:t>
            </w:r>
            <w:r/>
          </w:p>
        </w:tc>
        <w:tc>
          <w:tcPr>
            <w:tcW w:w="7341" w:type="dxa"/>
            <w:vAlign w:val="center"/>
            <w:textDirection w:val="lrTb"/>
            <w:noWrap w:val="false"/>
          </w:tcPr>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1.输液精度≤±5%；</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2.可自动统计四种累计量：24h累计量、最近累计量、自定义时间段累计量、定时间隔累计量；</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3.8种输液模式：速度模式、时间模式、体重模式、梯度模式、序列模式、剂量时间模式、和间断给药模式、点滴模式；</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4.支持药物库；</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5.具备气泡报警功能，支持最小50μL的单个气泡报警；</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6.信息储存：可存储5000条的历史记录。</w:t>
            </w:r>
            <w:r/>
          </w:p>
        </w:tc>
        <w:tc>
          <w:tcPr>
            <w:tcW w:w="567" w:type="dxa"/>
            <w:vAlign w:val="center"/>
            <w:textDirection w:val="lrTb"/>
            <w:noWrap w:val="false"/>
          </w:tcPr>
          <w:p>
            <w:pPr>
              <w:pStyle w:val="8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套</w:t>
            </w:r>
            <w:r/>
          </w:p>
        </w:tc>
        <w:tc>
          <w:tcPr>
            <w:tcW w:w="531"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20"/>
        </w:trPr>
        <w:tc>
          <w:tcPr>
            <w:tcW w:w="33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tcW w:w="42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单通道注射泵</w:t>
            </w:r>
            <w:r/>
          </w:p>
        </w:tc>
        <w:tc>
          <w:tcPr>
            <w:tcW w:w="7341" w:type="dxa"/>
            <w:vAlign w:val="center"/>
            <w:textDirection w:val="lrTb"/>
            <w:noWrap w:val="false"/>
          </w:tcPr>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1.注射精度≤±2%，机械精度≤±0.5%；</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2.可自动统计四种累计量：24h累计量、最近累计量、自定义时间段累计量、定时间隔累计量；</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3.支持注射器规格：5ml、10ml、20ml、30ml、50/60ml；</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4.8种注射模式：速度模式、时间模式、体重模式、梯度模式、序列模式、剂量时间模式、间断给药模式、TIVA模式等；</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5.不小于3.5英寸彩色显示屏，电容触摸屏技术；</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6.支持药物库，可储存5000种药物信息。</w:t>
            </w:r>
            <w:r/>
          </w:p>
        </w:tc>
        <w:tc>
          <w:tcPr>
            <w:tcW w:w="567" w:type="dxa"/>
            <w:vAlign w:val="center"/>
            <w:textDirection w:val="lrTb"/>
            <w:noWrap w:val="false"/>
          </w:tcPr>
          <w:p>
            <w:pPr>
              <w:pStyle w:val="8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台</w:t>
            </w:r>
            <w:r/>
          </w:p>
        </w:tc>
        <w:tc>
          <w:tcPr>
            <w:tcW w:w="531"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20"/>
        </w:trPr>
        <w:tc>
          <w:tcPr>
            <w:tcW w:w="33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p>
        </w:tc>
        <w:tc>
          <w:tcPr>
            <w:tcW w:w="42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双通道注射泵</w:t>
            </w:r>
            <w:r/>
          </w:p>
        </w:tc>
        <w:tc>
          <w:tcPr>
            <w:tcW w:w="7341" w:type="dxa"/>
            <w:vAlign w:val="center"/>
            <w:textDirection w:val="lrTb"/>
            <w:noWrap w:val="false"/>
          </w:tcPr>
          <w:p>
            <w:pPr>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1.注射精度≤±2%，机械精度≤±0.5%；</w:t>
            </w:r>
            <w:r/>
          </w:p>
          <w:p>
            <w:pPr>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2.速率范围：0.01-2000ml/h, 最小起始流速和步进流速均为0.01ml/h；</w:t>
            </w:r>
            <w:r/>
          </w:p>
          <w:p>
            <w:pPr>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3.支持注射器规格：5ml、10ml、20ml、30ml、50/60ml；</w:t>
            </w:r>
            <w:r/>
          </w:p>
          <w:p>
            <w:pPr>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 8种注射模式：速度模式、时间模式、体重模式、梯度模式、序列模式、剂量时间模式、间断给药模式、TIVA模式等；</w:t>
            </w:r>
            <w:r/>
          </w:p>
          <w:p>
            <w:pPr>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5.不小于3.5英寸彩色显示屏，电容触摸屏技术；</w:t>
            </w:r>
            <w:r/>
          </w:p>
          <w:p>
            <w:pPr>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6.支持药物库，可储存5000种药物信息；</w:t>
            </w:r>
            <w:r/>
          </w:p>
          <w:p>
            <w:pPr>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7.信息储存：可存储5000条的历史记录；</w:t>
            </w:r>
            <w:r/>
          </w:p>
          <w:p>
            <w:pPr>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8.电池工作时间≥6.5小时。</w:t>
            </w:r>
            <w:r/>
          </w:p>
        </w:tc>
        <w:tc>
          <w:tcPr>
            <w:tcW w:w="567" w:type="dxa"/>
            <w:vAlign w:val="center"/>
            <w:textDirection w:val="lrTb"/>
            <w:noWrap w:val="false"/>
          </w:tcPr>
          <w:p>
            <w:pPr>
              <w:pStyle w:val="8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套</w:t>
            </w:r>
            <w:r/>
          </w:p>
        </w:tc>
        <w:tc>
          <w:tcPr>
            <w:tcW w:w="531"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bl>
    <w:p>
      <w:pPr>
        <w:pStyle w:val="832"/>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分包二：</w:t>
      </w:r>
      <w:r/>
    </w:p>
    <w:p>
      <w:pPr>
        <w:pStyle w:val="832"/>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r>
      <w:r/>
    </w:p>
    <w:tbl>
      <w:tblPr>
        <w:tblStyle w:val="787"/>
        <w:tblW w:w="513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1"/>
        <w:gridCol w:w="450"/>
        <w:gridCol w:w="7206"/>
        <w:gridCol w:w="551"/>
        <w:gridCol w:w="556"/>
      </w:tblGrid>
      <w:tr>
        <w:trPr>
          <w:trHeight w:val="20"/>
        </w:trPr>
        <w:tc>
          <w:tcPr>
            <w:gridSpan w:val="5"/>
            <w:tcW w:w="9417" w:type="dxa"/>
            <w:vAlign w:val="top"/>
            <w:textDirection w:val="lrTb"/>
            <w:noWrap w:val="false"/>
          </w:tcPr>
          <w:p>
            <w:pPr>
              <w:spacing w:line="360" w:lineRule="auto"/>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（一）通用要求</w:t>
            </w:r>
            <w:r/>
          </w:p>
        </w:tc>
      </w:tr>
      <w:tr>
        <w:trPr>
          <w:trHeight w:val="20"/>
        </w:trPr>
        <w:tc>
          <w:tcPr>
            <w:gridSpan w:val="5"/>
            <w:tcW w:w="9417" w:type="dxa"/>
            <w:vAlign w:val="center"/>
            <w:textDirection w:val="lrTb"/>
            <w:noWrap w:val="false"/>
          </w:tcPr>
          <w:p>
            <w:pPr>
              <w:pStyle w:val="897"/>
              <w:jc w:val="both"/>
              <w:spacing w:line="360" w:lineRule="auto"/>
              <w:rPr>
                <w:rFonts w:hint="eastAsia" w:ascii="黑体" w:hAnsi="黑体" w:eastAsia="黑体" w:cs="黑体"/>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1</w:t>
            </w:r>
            <w:r>
              <w:rPr>
                <w:rFonts w:hint="eastAsia" w:cs="黑体"/>
                <w:color w:val="000000"/>
                <w:sz w:val="21"/>
                <w:szCs w:val="22"/>
                <w:highlight w:val="none"/>
                <w:lang w:val="en-US" w:eastAsia="zh-CN" w:bidi="ar-SA"/>
              </w:rPr>
              <w:t xml:space="preserve">.</w:t>
            </w:r>
            <w:r>
              <w:rPr>
                <w:rFonts w:hint="eastAsia" w:ascii="黑体" w:hAnsi="黑体" w:eastAsia="黑体" w:cs="黑体"/>
                <w:color w:val="000000"/>
                <w:sz w:val="21"/>
                <w:szCs w:val="22"/>
                <w:highlight w:val="none"/>
                <w:lang w:val="en-US" w:eastAsia="zh-CN" w:bidi="ar-SA"/>
              </w:rPr>
              <w:t xml:space="preserve">自合同生效之日起提供≥五年原厂免费质保，合同签订前提供原厂出具的正式质保函；</w:t>
            </w:r>
            <w:r/>
          </w:p>
          <w:p>
            <w:pPr>
              <w:pStyle w:val="897"/>
              <w:jc w:val="both"/>
              <w:spacing w:line="360" w:lineRule="auto"/>
              <w:rPr>
                <w:rFonts w:hint="eastAsia" w:ascii="黑体" w:hAnsi="黑体" w:eastAsia="黑体" w:cs="黑体"/>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2</w:t>
            </w:r>
            <w:r>
              <w:rPr>
                <w:rFonts w:hint="eastAsia" w:cs="黑体"/>
                <w:color w:val="000000"/>
                <w:sz w:val="21"/>
                <w:szCs w:val="22"/>
                <w:highlight w:val="none"/>
                <w:lang w:val="en-US" w:eastAsia="zh-CN" w:bidi="ar-SA"/>
              </w:rPr>
              <w:t xml:space="preserve">.</w:t>
            </w:r>
            <w:r>
              <w:rPr>
                <w:rFonts w:hint="eastAsia" w:ascii="黑体" w:hAnsi="黑体" w:eastAsia="黑体" w:cs="黑体"/>
                <w:color w:val="000000"/>
                <w:sz w:val="21"/>
                <w:szCs w:val="22"/>
                <w:highlight w:val="none"/>
                <w:lang w:val="en-US" w:eastAsia="zh-CN" w:bidi="ar-SA"/>
              </w:rPr>
              <w:t xml:space="preserve">质保期内免费提供设备维修、配件更换、软件升级、不收取任何额外费用；</w:t>
            </w:r>
            <w:r/>
          </w:p>
          <w:p>
            <w:pPr>
              <w:pStyle w:val="897"/>
              <w:jc w:val="both"/>
              <w:spacing w:line="360" w:lineRule="auto"/>
              <w:rPr>
                <w:rFonts w:hint="eastAsia" w:ascii="黑体" w:hAnsi="黑体" w:eastAsia="黑体" w:cs="黑体"/>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3</w:t>
            </w:r>
            <w:r>
              <w:rPr>
                <w:rFonts w:hint="eastAsia" w:cs="黑体"/>
                <w:color w:val="000000"/>
                <w:sz w:val="21"/>
                <w:szCs w:val="22"/>
                <w:highlight w:val="none"/>
                <w:lang w:val="en-US" w:eastAsia="zh-CN" w:bidi="ar-SA"/>
              </w:rPr>
              <w:t xml:space="preserve">.</w:t>
            </w:r>
            <w:r>
              <w:rPr>
                <w:rFonts w:hint="eastAsia" w:ascii="黑体" w:hAnsi="黑体" w:eastAsia="黑体" w:cs="黑体"/>
                <w:color w:val="000000"/>
                <w:sz w:val="21"/>
                <w:szCs w:val="22"/>
                <w:highlight w:val="none"/>
                <w:lang w:val="en-US" w:eastAsia="zh-CN" w:bidi="ar-SA"/>
              </w:rPr>
              <w:t xml:space="preserve">承诺24小时应急响应，48小时内到场维修，72小时内无法修复的，免费提供同型号备用机；</w:t>
            </w:r>
            <w:r/>
          </w:p>
          <w:p>
            <w:pPr>
              <w:pStyle w:val="897"/>
              <w:jc w:val="both"/>
              <w:spacing w:line="360" w:lineRule="auto"/>
              <w:rPr>
                <w:rFonts w:hint="eastAsia" w:ascii="Calibri" w:hAnsi="Calibri" w:eastAsia="宋体" w:cs="Times New Roman"/>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4</w:t>
            </w:r>
            <w:r>
              <w:rPr>
                <w:rFonts w:hint="eastAsia" w:cs="黑体"/>
                <w:color w:val="000000"/>
                <w:sz w:val="21"/>
                <w:szCs w:val="22"/>
                <w:highlight w:val="none"/>
                <w:lang w:val="en-US" w:eastAsia="zh-CN" w:bidi="ar-SA"/>
              </w:rPr>
              <w:t xml:space="preserve">.</w:t>
            </w:r>
            <w:r>
              <w:rPr>
                <w:rFonts w:hint="eastAsia" w:ascii="黑体" w:hAnsi="黑体" w:eastAsia="黑体" w:cs="黑体"/>
                <w:color w:val="000000"/>
                <w:sz w:val="21"/>
                <w:szCs w:val="22"/>
                <w:highlight w:val="none"/>
                <w:lang w:val="en-US" w:eastAsia="zh-CN" w:bidi="ar-SA"/>
              </w:rPr>
              <w:t xml:space="preserve">质保期届满后，提供终身维修服务，配件价格不高于市场同期价格。</w:t>
            </w:r>
            <w:r/>
          </w:p>
        </w:tc>
      </w:tr>
      <w:tr>
        <w:trPr>
          <w:trHeight w:val="20"/>
        </w:trPr>
        <w:tc>
          <w:tcPr>
            <w:gridSpan w:val="5"/>
            <w:tcW w:w="9417" w:type="dxa"/>
            <w:vAlign w:val="center"/>
            <w:textDirection w:val="lrTb"/>
            <w:noWrap w:val="false"/>
          </w:tcPr>
          <w:p>
            <w:pPr>
              <w:pStyle w:val="897"/>
              <w:jc w:val="both"/>
              <w:rPr>
                <w:rFonts w:ascii="Calibri" w:hAnsi="Calibri" w:eastAsia="黑体" w:cs="Times New Roman"/>
                <w:b w:val="0"/>
                <w:color w:val="000000"/>
                <w:sz w:val="21"/>
                <w:szCs w:val="22"/>
                <w:highlight w:val="none"/>
                <w:lang w:val="en-US" w:eastAsia="zh-CN" w:bidi="ar-SA"/>
              </w:rPr>
            </w:pPr>
            <w:r>
              <w:rPr>
                <w:rFonts w:hint="eastAsia" w:ascii="宋体" w:hAnsi="宋体" w:eastAsia="Times New Roman" w:cs="Times New Roman"/>
                <w:b/>
                <w:color w:val="000000"/>
                <w:sz w:val="24"/>
                <w:szCs w:val="24"/>
                <w:highlight w:val="none"/>
                <w:lang w:eastAsia="zh-CN"/>
              </w:rPr>
              <w:t xml:space="preserve">（</w:t>
            </w:r>
            <w:r>
              <w:rPr>
                <w:rFonts w:hint="eastAsia" w:ascii="宋体" w:hAnsi="宋体" w:eastAsia="Times New Roman" w:cs="Times New Roman"/>
                <w:b/>
                <w:color w:val="000000"/>
                <w:sz w:val="24"/>
                <w:szCs w:val="24"/>
                <w:highlight w:val="none"/>
                <w:lang w:val="en-US" w:eastAsia="zh-CN"/>
              </w:rPr>
              <w:t xml:space="preserve">二</w:t>
            </w:r>
            <w:r>
              <w:rPr>
                <w:rFonts w:hint="eastAsia" w:ascii="宋体" w:hAnsi="宋体" w:eastAsia="Times New Roman" w:cs="Times New Roman"/>
                <w:b/>
                <w:color w:val="000000"/>
                <w:sz w:val="24"/>
                <w:szCs w:val="24"/>
                <w:highlight w:val="none"/>
                <w:lang w:eastAsia="zh-CN"/>
              </w:rPr>
              <w:t xml:space="preserve">）</w:t>
            </w:r>
            <w:r>
              <w:rPr>
                <w:rFonts w:hint="eastAsia" w:ascii="宋体" w:hAnsi="宋体" w:eastAsia="Times New Roman" w:cs="Times New Roman"/>
                <w:b/>
                <w:color w:val="000000"/>
                <w:sz w:val="24"/>
                <w:szCs w:val="24"/>
                <w:highlight w:val="none"/>
              </w:rPr>
              <w:t xml:space="preserve">参数要求</w:t>
            </w:r>
            <w:r/>
          </w:p>
        </w:tc>
      </w:tr>
      <w:tr>
        <w:trPr>
          <w:trHeight w:val="20"/>
        </w:trPr>
        <w:tc>
          <w:tcPr>
            <w:tcW w:w="229"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r/>
          </w:p>
        </w:tc>
        <w:tc>
          <w:tcPr>
            <w:tcW w:w="244"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Style w:val="821"/>
                <w:rFonts w:hint="eastAsia" w:ascii="宋体" w:hAnsi="宋体" w:eastAsia="宋体" w:cs="宋体"/>
                <w:b w:val="0"/>
                <w:bCs/>
                <w:color w:val="000000"/>
                <w:sz w:val="21"/>
                <w:szCs w:val="21"/>
                <w:highlight w:val="none"/>
                <w:lang w:val="en-US" w:eastAsia="zh-CN" w:bidi="ar-SA"/>
              </w:rPr>
              <w:t xml:space="preserve">新生儿高频呼吸机</w:t>
            </w:r>
            <w:r/>
          </w:p>
        </w:tc>
        <w:tc>
          <w:tcPr>
            <w:tcW w:w="3923" w:type="dxa"/>
            <w:vAlign w:val="center"/>
            <w:textDirection w:val="lrTb"/>
            <w:noWrap w:val="false"/>
          </w:tcPr>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1.≥15寸彩色触摸屏，通过触摸屏操作，屏幕和主机可分离，屏幕可以灵活固定，可置于推车、吊塔上；</w:t>
            </w:r>
            <w:r/>
          </w:p>
          <w:p>
            <w:pPr>
              <w:jc w:val="both"/>
              <w:widowControl/>
              <w:rPr>
                <w:rFonts w:hint="eastAsia" w:ascii="宋体" w:hAnsi="宋体" w:eastAsia="宋体" w:cs="宋体"/>
                <w:color w:val="000000"/>
                <w:sz w:val="21"/>
                <w:szCs w:val="21"/>
                <w:highlight w:val="none"/>
                <w:lang w:val="en-US" w:eastAsia="zh-CN" w:bidi="ar-SA"/>
              </w:rPr>
            </w:pPr>
            <w:r/>
            <w:bookmarkStart w:id="215" w:name="_Hlk37246564"/>
            <w:r>
              <w:rPr>
                <w:rFonts w:hint="eastAsia" w:ascii="宋体" w:hAnsi="宋体" w:eastAsia="宋体" w:cs="宋体"/>
                <w:color w:val="000000"/>
                <w:sz w:val="21"/>
                <w:szCs w:val="21"/>
                <w:highlight w:val="none"/>
                <w:lang w:val="en-US" w:eastAsia="zh-CN" w:bidi="ar-SA"/>
              </w:rPr>
              <w:t xml:space="preserve">2.个性化配置操作界面，自由组合波形，趋势，呼吸环和参数，用于不同的通气操作；可同屏显示≥3个以上呼吸波形和趋势，具备设置≥6种操作界面，进行屏幕显示切换，用于临床医护人员按实际病情进行相关操作与监测；</w:t>
            </w:r>
            <w:bookmarkEnd w:id="215"/>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3.兼顾有创通气，高流量氧疗（标配），无创通气；</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4.近端热丝式流速传感器；</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5.中文操作界面，报警信息以中文显示，提供在线操作手册；</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6.内部蓄电池支持断电操作≥30分钟；</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7.呼吸模式</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（1）★一般通气模式：</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PC-CMV（指令通气） 、PC-AC（辅助控制通气）、PC-SIMV（同步间歇指令通气）、PC-PSV（压力支持通气）、PC-MMV（分钟指令通气）、SPN-CPAP/PS（持续气道正压+压力支持）、SPN-CPAP/VS（持续气道正压+容量支持）等；</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（2）特殊通气模式：</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①容量保证：可与所有触发模式相结合，PC-CMV，PC-AC，PC-SIMV，PC-PSV；</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②高频振荡通气PC-HFO；</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③可与叹息结合；</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④频率5~20HZ；</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⑤I:E为1:1~1:3可调节；</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⑥HFO-VG与容量相结合，VThf 0.2-40ml；</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8.通气频率可调:0.5~150次/分；</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9.吸气时间可调： 0.1~3秒；</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10.潮气量：新生儿2~100mL，儿童20~300mL；</w:t>
            </w:r>
            <w:r/>
          </w:p>
          <w:p>
            <w:pPr>
              <w:jc w:val="both"/>
              <w:widowControl/>
              <w:rPr>
                <w:rFonts w:hint="eastAsia" w:ascii="宋体" w:hAnsi="宋体" w:eastAsia="宋体" w:cs="宋体"/>
                <w:color w:val="000000"/>
                <w:sz w:val="21"/>
                <w:szCs w:val="21"/>
                <w:highlight w:val="none"/>
                <w:lang w:val="it-IT" w:eastAsia="zh-CN" w:bidi="ar-SA"/>
              </w:rPr>
            </w:pPr>
            <w:r>
              <w:rPr>
                <w:rFonts w:hint="eastAsia" w:ascii="宋体" w:hAnsi="宋体" w:eastAsia="宋体" w:cs="宋体"/>
                <w:color w:val="000000"/>
                <w:sz w:val="21"/>
                <w:szCs w:val="21"/>
                <w:highlight w:val="none"/>
                <w:lang w:val="en-US" w:eastAsia="zh-CN" w:bidi="ar-SA"/>
              </w:rPr>
              <w:t xml:space="preserve">11.压力上升时间可调：新生儿0~1.5秒，儿童0~2秒；</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12.具有叹息功能，间断性复张肺，且可叠加与高频通气模式；</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13.近端流速监测（0~30L/min）：包含泄漏校正后的分钟通气量MV、自主呼吸的分钟通气量MVespon、分钟通气泄漏量MVleak及分钟泄漏百分比%Leak等多个参数监测，全面监测患者通气情况；</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14.潮气量监测（0~1000ml）：VTi（吸入潮气量）、VTe（呼出潮气量）、VT(肺内潮气量)，VTispon（自主呼吸吸入潮气量），并以VT（肺内潮气量）作为容量保证通气的目标；</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15.呼吸频率监测（0~300/min）：总呼吸频率，指令呼吸频率，自主呼吸频率；</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16.FiO2：18%~100% 氧浓度监测使用顺磁氧电池，无需更换；</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17.可以区分监测自主呼吸频率和总频率，自主呼吸分钟通气量和总分钟通气量，显示自主通气比例%MVspon；</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18.≥3个呼吸环和3道波形：环和波形可以冻结并有测量值显示，提供P-V，F-V，P-F环以及隆突压Ptrach-V和Ptrach-F环；</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19.最多可记录≥30天的趋势参数，并通过USB导出；</w:t>
            </w:r>
            <w:r/>
          </w:p>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20.日志功能，可记录7天内的发生的更改、事件和报警信息。</w:t>
            </w:r>
            <w:r/>
          </w:p>
        </w:tc>
        <w:tc>
          <w:tcPr>
            <w:tcW w:w="299" w:type="dxa"/>
            <w:vAlign w:val="center"/>
            <w:textDirection w:val="lrTb"/>
            <w:noWrap w:val="false"/>
          </w:tcPr>
          <w:p>
            <w:pPr>
              <w:pStyle w:val="897"/>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rPr>
              <w:t xml:space="preserve">套</w:t>
            </w:r>
            <w:r/>
          </w:p>
        </w:tc>
        <w:tc>
          <w:tcPr>
            <w:tcW w:w="302" w:type="dxa"/>
            <w:vAlign w:val="center"/>
            <w:textDirection w:val="lrTb"/>
            <w:noWrap w:val="false"/>
          </w:tcPr>
          <w:p>
            <w:pPr>
              <w:pStyle w:val="897"/>
              <w:jc w:val="cente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rPr>
              <w:t xml:space="preserve">1</w:t>
            </w:r>
            <w:r/>
          </w:p>
        </w:tc>
      </w:tr>
    </w:tbl>
    <w:p>
      <w:pPr>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r>
      <w:r/>
    </w:p>
    <w:p>
      <w:pPr>
        <w:pStyle w:val="832"/>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分包三：</w:t>
      </w:r>
      <w:r/>
    </w:p>
    <w:p>
      <w:pPr>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r>
      <w:r/>
    </w:p>
    <w:tbl>
      <w:tblPr>
        <w:tblStyle w:val="787"/>
        <w:tblW w:w="513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1"/>
        <w:gridCol w:w="450"/>
        <w:gridCol w:w="7178"/>
        <w:gridCol w:w="565"/>
        <w:gridCol w:w="570"/>
      </w:tblGrid>
      <w:tr>
        <w:trPr>
          <w:trHeight w:val="20"/>
        </w:trPr>
        <w:tc>
          <w:tcPr>
            <w:gridSpan w:val="5"/>
            <w:tcW w:w="9417" w:type="dxa"/>
            <w:vAlign w:val="top"/>
            <w:textDirection w:val="lrTb"/>
            <w:noWrap w:val="false"/>
          </w:tcPr>
          <w:p>
            <w:pPr>
              <w:spacing w:line="360" w:lineRule="auto"/>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（一）通用要求</w:t>
            </w:r>
            <w:r/>
          </w:p>
        </w:tc>
      </w:tr>
      <w:tr>
        <w:trPr>
          <w:trHeight w:val="20"/>
        </w:trPr>
        <w:tc>
          <w:tcPr>
            <w:gridSpan w:val="5"/>
            <w:tcW w:w="9417" w:type="dxa"/>
            <w:vAlign w:val="center"/>
            <w:textDirection w:val="lrTb"/>
            <w:noWrap w:val="false"/>
          </w:tcPr>
          <w:p>
            <w:pPr>
              <w:pStyle w:val="897"/>
              <w:jc w:val="both"/>
              <w:spacing w:line="360" w:lineRule="auto"/>
              <w:rPr>
                <w:rFonts w:hint="eastAsia" w:ascii="黑体" w:hAnsi="黑体" w:eastAsia="黑体" w:cs="黑体"/>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1.验收通过之日起提供五年原厂免费维保，合同签订前提供原厂质保函；</w:t>
            </w:r>
            <w:r/>
          </w:p>
          <w:p>
            <w:pPr>
              <w:pStyle w:val="897"/>
              <w:jc w:val="both"/>
              <w:spacing w:line="360" w:lineRule="auto"/>
              <w:rPr>
                <w:rFonts w:hint="eastAsia" w:ascii="黑体" w:hAnsi="黑体" w:eastAsia="黑体" w:cs="黑体"/>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2.保证设备维保期内开机率高于95%，如设备故障停机率超过5%（一年按365天计算，每年18天），每超过一天，维保期延长两周；</w:t>
            </w:r>
            <w:r/>
          </w:p>
          <w:p>
            <w:pPr>
              <w:pStyle w:val="897"/>
              <w:jc w:val="both"/>
              <w:spacing w:line="360" w:lineRule="auto"/>
              <w:rPr>
                <w:rFonts w:hint="eastAsia" w:ascii="黑体" w:hAnsi="黑体" w:eastAsia="黑体" w:cs="黑体"/>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3.免费维保期内，应在接到故障通知2小时内作出有效响应，并在24小时内到达现场免费予以排除故障、修复或更换零部件。如3个工作日内不能修复必须提供备用机使用，确保甲方能正常开展工作，设备在设计有用周期内，保证更换到原厂配件；</w:t>
            </w:r>
            <w:r/>
          </w:p>
          <w:p>
            <w:pPr>
              <w:pStyle w:val="897"/>
              <w:jc w:val="both"/>
              <w:spacing w:line="360" w:lineRule="auto"/>
              <w:rPr>
                <w:rFonts w:hint="eastAsia" w:ascii="Calibri" w:hAnsi="Calibri" w:eastAsia="宋体" w:cs="Times New Roman"/>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4.在安装过程中或安装结束后，对我院工程师和操作人员进行现场维修、保养、操作培训并提供快捷操作指南。</w:t>
            </w:r>
            <w:r/>
          </w:p>
        </w:tc>
      </w:tr>
      <w:tr>
        <w:trPr>
          <w:trHeight w:val="20"/>
        </w:trPr>
        <w:tc>
          <w:tcPr>
            <w:gridSpan w:val="5"/>
            <w:tcW w:w="9417" w:type="dxa"/>
            <w:vAlign w:val="center"/>
            <w:textDirection w:val="lrTb"/>
            <w:noWrap w:val="false"/>
          </w:tcPr>
          <w:p>
            <w:pPr>
              <w:pStyle w:val="897"/>
              <w:jc w:val="both"/>
              <w:rPr>
                <w:rFonts w:ascii="Calibri" w:hAnsi="Calibri" w:eastAsia="黑体" w:cs="Times New Roman"/>
                <w:b w:val="0"/>
                <w:color w:val="000000"/>
                <w:sz w:val="21"/>
                <w:szCs w:val="22"/>
                <w:highlight w:val="none"/>
                <w:lang w:val="en-US" w:eastAsia="zh-CN" w:bidi="ar-SA"/>
              </w:rPr>
            </w:pPr>
            <w:r>
              <w:rPr>
                <w:rFonts w:hint="eastAsia" w:ascii="宋体" w:hAnsi="宋体" w:eastAsia="Times New Roman" w:cs="Times New Roman"/>
                <w:b/>
                <w:color w:val="000000"/>
                <w:sz w:val="24"/>
                <w:szCs w:val="24"/>
                <w:highlight w:val="none"/>
                <w:lang w:eastAsia="zh-CN"/>
              </w:rPr>
              <w:t xml:space="preserve">（</w:t>
            </w:r>
            <w:r>
              <w:rPr>
                <w:rFonts w:hint="eastAsia" w:ascii="宋体" w:hAnsi="宋体" w:eastAsia="Times New Roman" w:cs="Times New Roman"/>
                <w:b/>
                <w:color w:val="000000"/>
                <w:sz w:val="24"/>
                <w:szCs w:val="24"/>
                <w:highlight w:val="none"/>
                <w:lang w:val="en-US" w:eastAsia="zh-CN"/>
              </w:rPr>
              <w:t xml:space="preserve">二</w:t>
            </w:r>
            <w:r>
              <w:rPr>
                <w:rFonts w:hint="eastAsia" w:ascii="宋体" w:hAnsi="宋体" w:eastAsia="Times New Roman" w:cs="Times New Roman"/>
                <w:b/>
                <w:color w:val="000000"/>
                <w:sz w:val="24"/>
                <w:szCs w:val="24"/>
                <w:highlight w:val="none"/>
                <w:lang w:eastAsia="zh-CN"/>
              </w:rPr>
              <w:t xml:space="preserve">）</w:t>
            </w:r>
            <w:r>
              <w:rPr>
                <w:rFonts w:hint="eastAsia" w:ascii="宋体" w:hAnsi="宋体" w:eastAsia="Times New Roman" w:cs="Times New Roman"/>
                <w:b/>
                <w:color w:val="000000"/>
                <w:sz w:val="24"/>
                <w:szCs w:val="24"/>
                <w:highlight w:val="none"/>
              </w:rPr>
              <w:t xml:space="preserve">参数要求</w:t>
            </w:r>
            <w:r/>
          </w:p>
        </w:tc>
      </w:tr>
      <w:tr>
        <w:trPr>
          <w:trHeight w:val="20"/>
        </w:trPr>
        <w:tc>
          <w:tcPr>
            <w:tcW w:w="229"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r/>
          </w:p>
        </w:tc>
        <w:tc>
          <w:tcPr>
            <w:tcW w:w="244"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新生儿T组合复苏器</w:t>
            </w:r>
            <w:r/>
          </w:p>
        </w:tc>
        <w:tc>
          <w:tcPr>
            <w:tcW w:w="3908" w:type="dxa"/>
            <w:vAlign w:val="top"/>
            <w:textDirection w:val="lrTb"/>
            <w:noWrap w:val="false"/>
          </w:tcPr>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1.适用复苏对象：体重≤10Kg的婴儿；</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2.复苏气体氧浓度：21~100%（依据气源供应氧浓度）；</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3.★复苏气体流量范围:5~15L/min（要求气源可设置该流量范围）；</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4.总体质量（包含附件）：≤2Kg；</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5.尺寸（mm）：190（W）×100（D）×263（H）；</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6.压力表量程：-10~80cmH2O；精度：±2%满刻度；</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7.最大安全压力（Pmax）设置范围：在规定气源输入流量范围内，设置范围为：1~60cmH2O；出厂默认40cmH2O；</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8.吸气峰压（PIP）设置范围：</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当流量为5L/min时，1~57cmH2O；</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当流量为8L/min时，2~58cmH2O；</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当流量为10L/min时，3~59cmH2O；</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当流量为15L/min时，5~60cmH2O；</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9.呼气末正压（PEEP）设置范围：</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当流量为5L/min时，0~8cmH2O；</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当流量为8L/min时，0.2~17cmH2O；</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当流量为10L/min时，0.5~23cmH2O；</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当流量为15L/min时，1~28cmH2O；</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10.工作适用时间（400L，50%空氧混合压缩气体）</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当流量为5L/min时，75min；</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当流量为10L/min时，38min；</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当流量为15L/min时，26min。</w:t>
            </w:r>
            <w:r/>
          </w:p>
        </w:tc>
        <w:tc>
          <w:tcPr>
            <w:tcW w:w="307"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套</w:t>
            </w:r>
            <w:r/>
          </w:p>
        </w:tc>
        <w:tc>
          <w:tcPr>
            <w:tcW w:w="310"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r/>
          </w:p>
        </w:tc>
      </w:tr>
      <w:tr>
        <w:trPr>
          <w:trHeight w:val="20"/>
        </w:trPr>
        <w:tc>
          <w:tcPr>
            <w:tcW w:w="229"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w:t>
            </w:r>
            <w:r/>
          </w:p>
        </w:tc>
        <w:tc>
          <w:tcPr>
            <w:tcW w:w="244"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经皮黄疸仪</w:t>
            </w:r>
            <w:r/>
          </w:p>
        </w:tc>
        <w:tc>
          <w:tcPr>
            <w:tcW w:w="3908" w:type="dxa"/>
            <w:vAlign w:val="top"/>
            <w:textDirection w:val="lrTb"/>
            <w:noWrap w:val="false"/>
          </w:tcPr>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1.网电源供电时，设备的额定电压和频率：AC220V/50Hz；</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2.网电源供电时，设备输入功率：30VA；</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3.内部电源供电时，主机电源类型：额定电压7.4V (锂电池)；</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4.底座输出：8.4V/1A；</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5.光源: 氙闪光灯；</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6.声音设置：触摸屏按键音可设置为开关；</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7.其他：底座内置检查屏，主机放回底座自动充电；</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8.最大显示值：≥25.0 mg/dL (425μmol/L)；</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9.准确度：± 1.5 mg/dL （±25.5μmol/L）；</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10.时间设置：可实现时间日期的修改；</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11.信息提示：低电压提示；</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12.检查屏(波长为550nm和461nm光谱的透过率之比为)；</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13.预定值为“0”的检查屏为1±0.1；</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14.预定值为“20”的检查屏为5±0.5；</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15.平均测量功能：可设置1～5次平均测量方式；</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16.单次充满电可测量≥2000次；</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17.重复性：≤3%；</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18.光源寿命：不低于150000次；</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19.亮度调节：屏幕亮度≥5级调节；</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20.测量单位：测量单位可在mg/dL和μmol/L间切换；</w:t>
            </w:r>
            <w:r/>
          </w:p>
        </w:tc>
        <w:tc>
          <w:tcPr>
            <w:tcW w:w="307"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台</w:t>
            </w:r>
            <w:r/>
          </w:p>
        </w:tc>
        <w:tc>
          <w:tcPr>
            <w:tcW w:w="310"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w:t>
            </w:r>
            <w:r/>
          </w:p>
        </w:tc>
      </w:tr>
      <w:tr>
        <w:trPr>
          <w:trHeight w:val="20"/>
        </w:trPr>
        <w:tc>
          <w:tcPr>
            <w:tcW w:w="229"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w:t>
            </w:r>
            <w:r/>
          </w:p>
        </w:tc>
        <w:tc>
          <w:tcPr>
            <w:tcW w:w="244"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新生儿黄疸治疗箱</w:t>
            </w:r>
            <w:r/>
          </w:p>
        </w:tc>
        <w:tc>
          <w:tcPr>
            <w:tcW w:w="3908" w:type="dxa"/>
            <w:vAlign w:val="top"/>
            <w:textDirection w:val="lrTb"/>
            <w:noWrap w:val="false"/>
          </w:tcPr>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1.箱温控制，肤温监测，提供温度适宜的光照治疗环境；</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2.具有双面辐照功能，上灯箱光源为内置一体的LED光源,下灯箱光源为内置一体的LED光源高效退黄；</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3.光照治疗时间计时功能；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4.抽拉式水箱，方便拆卸，清洁消毒；</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5.正门双重保险设计，双重防护避免正门意外打开；</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6.采用无刷直流电机驱动热循环，能有效的控制温度；</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7.黄疸治疗装置上方可放置监护仪、泵等小型医疗器械；</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8.电源要求：AC220V/50Hz，输入功率：600VA；</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9.温度控制范围：25℃～34℃；</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10.黄疸箱温度显示的平均值与实际黄疸箱温度平均值之差（恒温状态下）：≤±0.8℃；</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11.床面温度均匀性：≤0.8℃；</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12.皮肤温度显示范围：10℃～60℃；</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13.皮肤温度传感器精度：±0.2℃内；</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14.上灯箱内置蓝光LED光源,上灯箱床面上有效表面内胆红素总辐照度平均值：≥1.5mW/cm2； 上灯箱床面上有效表面内总辐照度：≥2.0mW/cm2</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上灯箱床面上有效表面内胆红素总辐照度最大值：2.2mW/cm2；</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15.下灯箱内置蓝光LED光源,下灯箱床面上有效表面内胆红素总辐照度平均值：≥2.5mW/cm2，下灯箱床面上有效表面内总辐照度：≥3.0mW/cm2</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下灯箱床面上有效表面内胆红素总辐照度最大值：3.5mW/cm2；</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16.床面上有效表面内的胆红素总辐照度均匀性：＞0.4；</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17.报警项目：超温报警、断电报警、传感器报警、偏差报警、风机报警、系统故障报警；</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18.开机自检功能，多种故障报警提示。</w:t>
            </w:r>
            <w:r/>
          </w:p>
        </w:tc>
        <w:tc>
          <w:tcPr>
            <w:tcW w:w="307"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台</w:t>
            </w:r>
            <w:r/>
          </w:p>
        </w:tc>
        <w:tc>
          <w:tcPr>
            <w:tcW w:w="310"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w:t>
            </w:r>
            <w:r/>
          </w:p>
        </w:tc>
      </w:tr>
      <w:tr>
        <w:trPr>
          <w:trHeight w:val="20"/>
        </w:trPr>
        <w:tc>
          <w:tcPr>
            <w:tcW w:w="229"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w:t>
            </w:r>
            <w:r/>
          </w:p>
        </w:tc>
        <w:tc>
          <w:tcPr>
            <w:tcW w:w="244"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婴儿辐射保暖台</w:t>
            </w:r>
            <w:r/>
          </w:p>
        </w:tc>
        <w:tc>
          <w:tcPr>
            <w:tcW w:w="3908" w:type="dxa"/>
            <w:vAlign w:val="top"/>
            <w:textDirection w:val="lrTb"/>
            <w:noWrap w:val="false"/>
          </w:tcPr>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1.预热、手动、肤温三种温度控制模式等；</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2.具有肤温控制功能，肤温控制范围32.0℃—37.0℃，37.1℃～38.0℃（跨越模式）；肤温传感器精度±0.2℃，肤温控制精度≤0.5℃；</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3.肤温模式的温度显示范围：10℃～60℃；</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4.具有APGAR评分计时功能和CPR 计时功能；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5.配置称重装置，重量显示范围：200g~8000g；</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6.具备脉搏血氧监测功能；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7.具备T型复苏功能；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8.具备空氧混合功能；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9.具备负压吸引功能；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10.具备新生儿无创血压监测功能；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11.三重独立超温保护，多路传感器监测，及时启动声光报警提示，提供多重安全防护；</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12.支持患者添加信息录入；</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13.三面缓降门板，无需手扶，静音落下；</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14.产品有效使用寿命，不低于10年；</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15.双热敏电阻肤温传感器，提供安全保障；</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16.辐射头支持水平120°转动，≥5档可调节，便于临床X光拍摄，也保证持续不间断的体温调节；</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17.释压防水床垫，采用TPU材质，柔软透气，提高新生儿舒适度，保护皮肤完整性。床垫尺寸：≥520*730mm；</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18.★婴儿床具有倾斜角度电动调节装置，床体最大倾斜角度≥14°；</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19.LCD显示屏可同步显示和调节床体倾斜角度，支持床体一键调平功能，方便临床观察操作；</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20.双向抽拉式储物抽屉，可收纳多种小型医疗器械，外置储物篮能妥善安置电缆线等配件；</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21.≥10.4英寸TFT彩色液晶触摸屏，1024*768高分辨率大字符；</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22.显示屏具备屏幕亮度自动可调功能；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23.可设置夜间模式，减少光亮刺激对新生儿的影响；</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24.照明灯亮度无极可调，可提供覆盖床垫的均匀光线，即使在黑暗环境中仍可帮助医护人员进行观察护理；</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25.婴儿床下可放置X光射线拍片盒，无需移动新生儿；</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26.具备摄像功能，实现图片的采集和视频录制，支持回看。</w:t>
            </w:r>
            <w:r/>
          </w:p>
        </w:tc>
        <w:tc>
          <w:tcPr>
            <w:tcW w:w="307"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台</w:t>
            </w:r>
            <w:r/>
          </w:p>
        </w:tc>
        <w:tc>
          <w:tcPr>
            <w:tcW w:w="310"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r/>
          </w:p>
        </w:tc>
      </w:tr>
      <w:tr>
        <w:trPr>
          <w:trHeight w:val="20"/>
        </w:trPr>
        <w:tc>
          <w:tcPr>
            <w:tcW w:w="229"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5</w:t>
            </w:r>
            <w:r/>
          </w:p>
        </w:tc>
        <w:tc>
          <w:tcPr>
            <w:tcW w:w="244"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婴儿培养箱</w:t>
            </w:r>
            <w:r/>
          </w:p>
        </w:tc>
        <w:tc>
          <w:tcPr>
            <w:tcW w:w="3908" w:type="dxa"/>
            <w:vAlign w:val="top"/>
            <w:textDirection w:val="lrTb"/>
            <w:noWrap w:val="false"/>
          </w:tcPr>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1.具有箱温和肤温等温度控制模式；</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2.具有湿度显示功能、湿度控制功能等；</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3.设置温度、箱内温度、皮肤温度、湿度等分屏显示；</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4.独立的超温保护系统；</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5.产品具有自检功能，多种故障报警提示；</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6.嵌入式集成传感器盒、抽屉式水箱；</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7.具有肤温传感器脱落报警提示功能；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8.具备数据储存和RS-232接口；</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9.抽屉式水箱，可以直接拿出采用“高温高压”法消毒等；</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10.故障报警：传感器盒放置错误、水箱放置错误、缺水、系统故障等；</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11.婴儿床倾斜角度：无级可调；</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12.工作电源：AC220V/50Hz，输入功率：≤1000 VA；</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13.箱温控制范围：20℃～37℃（跨越模式：37.1℃～39℃）；</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14.肤温控制范围：32℃～37℃（跨越模式：37.1℃～38℃）；</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15.箱温和肤温显示温度范围：5～65℃；</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16.升温时间：≤30min；</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17.皮肤温度传感器精度：±0.2℃内；</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18.婴儿舱内噪声：≤45dB(A)（稳定温度状态下）；</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19.湿度显示范围：0%RH—99%RH，控制范围：0%RH—99%RH；</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20.湿度控制精度：±5%RH，湿度显示精度：±5%RH；</w:t>
            </w:r>
            <w:r/>
          </w:p>
        </w:tc>
        <w:tc>
          <w:tcPr>
            <w:tcW w:w="307"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套</w:t>
            </w:r>
            <w:r/>
          </w:p>
        </w:tc>
        <w:tc>
          <w:tcPr>
            <w:tcW w:w="310"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10</w:t>
            </w:r>
            <w:r/>
          </w:p>
        </w:tc>
      </w:tr>
      <w:tr>
        <w:trPr>
          <w:trHeight w:val="20"/>
        </w:trPr>
        <w:tc>
          <w:tcPr>
            <w:tcW w:w="229"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6</w:t>
            </w:r>
            <w:r/>
          </w:p>
        </w:tc>
        <w:tc>
          <w:tcPr>
            <w:tcW w:w="244"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婴儿转运培养箱</w:t>
            </w:r>
            <w:r/>
          </w:p>
        </w:tc>
        <w:tc>
          <w:tcPr>
            <w:tcW w:w="3908" w:type="dxa"/>
            <w:vAlign w:val="top"/>
            <w:textDirection w:val="lrTb"/>
            <w:noWrap w:val="false"/>
          </w:tcPr>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1.交流工作电源：AC220V/ 50HZ，直流工作电源：DC12V/10A或DC24V/6A，输入功率：≤400VA；</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2.控温方式：箱温和肤温两种温度控制；</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3.箱温控制范围：25℃～37℃；</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4.肤温控制范围：34℃～37℃；</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5.升温时间：≤30min；</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6.培养箱温度与平均培养箱温度之差（稳定温度状态下）：≤1℃；</w:t>
            </w:r>
            <w:r/>
          </w:p>
          <w:p>
            <w:pPr>
              <w:jc w:val="left"/>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7.平均培养箱温度与控制温度之差：≤±1.5℃（环境温度为10℃～20℃）≤±1.0℃（环境温度为20℃～30℃）；</w:t>
            </w:r>
            <w:r/>
          </w:p>
          <w:p>
            <w:pPr>
              <w:jc w:val="left"/>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8.温度均匀性（床垫处于水平位置）：≤1.5℃；</w:t>
            </w:r>
            <w:r/>
          </w:p>
          <w:p>
            <w:pPr>
              <w:jc w:val="left"/>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9.皮肤温度传感器精度：±0.2℃内；</w:t>
            </w:r>
            <w:r/>
          </w:p>
          <w:p>
            <w:pPr>
              <w:jc w:val="left"/>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10.婴儿舱内噪声：≤52dB（A）[环境噪音在42dB（A）以下]；</w:t>
            </w:r>
            <w:r/>
          </w:p>
          <w:p>
            <w:pPr>
              <w:jc w:val="left"/>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11.故障报警：断电、风机、传感器、超温、偏差、低压、系统等；</w:t>
            </w:r>
            <w:r/>
          </w:p>
          <w:p>
            <w:pPr>
              <w:jc w:val="left"/>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12.蓄电池连续工作时间：90min(1个蓄电池)。</w:t>
            </w:r>
            <w:r/>
          </w:p>
        </w:tc>
        <w:tc>
          <w:tcPr>
            <w:tcW w:w="307"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套</w:t>
            </w:r>
            <w:r/>
          </w:p>
        </w:tc>
        <w:tc>
          <w:tcPr>
            <w:tcW w:w="310"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r/>
          </w:p>
        </w:tc>
      </w:tr>
    </w:tbl>
    <w:p>
      <w:pPr>
        <w:pStyle w:val="832"/>
        <w:rPr>
          <w:color w:val="000000"/>
          <w:highlight w:val="none"/>
          <w:lang w:val="en-US" w:eastAsia="zh-CN"/>
        </w:rPr>
      </w:pPr>
      <w:r>
        <w:rPr>
          <w:color w:val="000000"/>
          <w:highlight w:val="none"/>
          <w:lang w:val="en-US" w:eastAsia="zh-CN"/>
        </w:rPr>
      </w:r>
      <w:r/>
    </w:p>
    <w:p>
      <w:pPr>
        <w:pStyle w:val="890"/>
        <w:ind w:firstLine="482"/>
        <w:spacing w:line="360" w:lineRule="auto"/>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分包四：</w:t>
      </w:r>
      <w:r/>
    </w:p>
    <w:p>
      <w:pPr>
        <w:pStyle w:val="890"/>
        <w:ind w:firstLine="482"/>
        <w:spacing w:line="360" w:lineRule="auto"/>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r>
      <w:r/>
    </w:p>
    <w:tbl>
      <w:tblPr>
        <w:tblStyle w:val="787"/>
        <w:tblW w:w="513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1"/>
        <w:gridCol w:w="676"/>
        <w:gridCol w:w="6898"/>
        <w:gridCol w:w="565"/>
        <w:gridCol w:w="624"/>
      </w:tblGrid>
      <w:tr>
        <w:trPr>
          <w:trHeight w:val="20"/>
        </w:trPr>
        <w:tc>
          <w:tcPr>
            <w:gridSpan w:val="5"/>
            <w:tcW w:w="9417" w:type="dxa"/>
            <w:vAlign w:val="top"/>
            <w:textDirection w:val="lrTb"/>
            <w:noWrap w:val="false"/>
          </w:tcPr>
          <w:p>
            <w:pPr>
              <w:spacing w:line="360" w:lineRule="auto"/>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（一）通用要求</w:t>
            </w:r>
            <w:r/>
          </w:p>
        </w:tc>
      </w:tr>
      <w:tr>
        <w:trPr>
          <w:trHeight w:val="20"/>
        </w:trPr>
        <w:tc>
          <w:tcPr>
            <w:gridSpan w:val="5"/>
            <w:tcW w:w="9417" w:type="dxa"/>
            <w:vAlign w:val="center"/>
            <w:textDirection w:val="lrTb"/>
            <w:noWrap w:val="false"/>
          </w:tcPr>
          <w:p>
            <w:pPr>
              <w:pStyle w:val="897"/>
              <w:jc w:val="both"/>
              <w:spacing w:line="360" w:lineRule="auto"/>
              <w:rPr>
                <w:rFonts w:hint="eastAsia" w:ascii="黑体" w:hAnsi="黑体" w:eastAsia="黑体" w:cs="黑体"/>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1</w:t>
            </w:r>
            <w:r>
              <w:rPr>
                <w:rFonts w:hint="eastAsia" w:cs="黑体"/>
                <w:color w:val="000000"/>
                <w:sz w:val="21"/>
                <w:szCs w:val="22"/>
                <w:highlight w:val="none"/>
                <w:lang w:val="en-US" w:eastAsia="zh-CN" w:bidi="ar-SA"/>
              </w:rPr>
              <w:t xml:space="preserve">.</w:t>
            </w:r>
            <w:r>
              <w:rPr>
                <w:rFonts w:hint="eastAsia" w:ascii="黑体" w:hAnsi="黑体" w:eastAsia="黑体" w:cs="黑体"/>
                <w:color w:val="000000"/>
                <w:sz w:val="21"/>
                <w:szCs w:val="22"/>
                <w:highlight w:val="none"/>
                <w:lang w:val="en-US" w:eastAsia="zh-CN" w:bidi="ar-SA"/>
              </w:rPr>
              <w:t xml:space="preserve">自合同生效之日起提供≥五年原厂免费质保，合同签订前提供原厂出具的正式质保函；</w:t>
            </w:r>
            <w:r/>
          </w:p>
          <w:p>
            <w:pPr>
              <w:pStyle w:val="897"/>
              <w:jc w:val="both"/>
              <w:spacing w:line="360" w:lineRule="auto"/>
              <w:rPr>
                <w:rFonts w:hint="eastAsia" w:ascii="黑体" w:hAnsi="黑体" w:eastAsia="黑体" w:cs="黑体"/>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2</w:t>
            </w:r>
            <w:r>
              <w:rPr>
                <w:rFonts w:hint="eastAsia" w:cs="黑体"/>
                <w:color w:val="000000"/>
                <w:sz w:val="21"/>
                <w:szCs w:val="22"/>
                <w:highlight w:val="none"/>
                <w:lang w:val="en-US" w:eastAsia="zh-CN" w:bidi="ar-SA"/>
              </w:rPr>
              <w:t xml:space="preserve">.</w:t>
            </w:r>
            <w:r>
              <w:rPr>
                <w:rFonts w:hint="eastAsia" w:ascii="黑体" w:hAnsi="黑体" w:eastAsia="黑体" w:cs="黑体"/>
                <w:color w:val="000000"/>
                <w:sz w:val="21"/>
                <w:szCs w:val="22"/>
                <w:highlight w:val="none"/>
                <w:lang w:val="en-US" w:eastAsia="zh-CN" w:bidi="ar-SA"/>
              </w:rPr>
              <w:t xml:space="preserve">质保期内免费提供设备维修、配件更换、软件升级、不收取任何额外费用；</w:t>
            </w:r>
            <w:r/>
          </w:p>
          <w:p>
            <w:pPr>
              <w:pStyle w:val="897"/>
              <w:jc w:val="both"/>
              <w:spacing w:line="360" w:lineRule="auto"/>
              <w:rPr>
                <w:rFonts w:hint="eastAsia" w:ascii="黑体" w:hAnsi="黑体" w:eastAsia="黑体" w:cs="黑体"/>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3</w:t>
            </w:r>
            <w:r>
              <w:rPr>
                <w:rFonts w:hint="eastAsia" w:cs="黑体"/>
                <w:color w:val="000000"/>
                <w:sz w:val="21"/>
                <w:szCs w:val="22"/>
                <w:highlight w:val="none"/>
                <w:lang w:val="en-US" w:eastAsia="zh-CN" w:bidi="ar-SA"/>
              </w:rPr>
              <w:t xml:space="preserve">.</w:t>
            </w:r>
            <w:r>
              <w:rPr>
                <w:rFonts w:hint="eastAsia" w:ascii="黑体" w:hAnsi="黑体" w:eastAsia="黑体" w:cs="黑体"/>
                <w:color w:val="000000"/>
                <w:sz w:val="21"/>
                <w:szCs w:val="22"/>
                <w:highlight w:val="none"/>
                <w:lang w:val="en-US" w:eastAsia="zh-CN" w:bidi="ar-SA"/>
              </w:rPr>
              <w:t xml:space="preserve">承诺24小时应急响应，48小时内到场维修，72小时内无法修复的，免费提供同型号备用机；</w:t>
            </w:r>
            <w:r/>
          </w:p>
          <w:p>
            <w:pPr>
              <w:pStyle w:val="897"/>
              <w:jc w:val="both"/>
              <w:spacing w:line="360" w:lineRule="auto"/>
              <w:rPr>
                <w:rFonts w:hint="eastAsia" w:ascii="Calibri" w:hAnsi="Calibri" w:eastAsia="宋体" w:cs="Times New Roman"/>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4</w:t>
            </w:r>
            <w:r>
              <w:rPr>
                <w:rFonts w:hint="eastAsia" w:cs="黑体"/>
                <w:color w:val="000000"/>
                <w:sz w:val="21"/>
                <w:szCs w:val="22"/>
                <w:highlight w:val="none"/>
                <w:lang w:val="en-US" w:eastAsia="zh-CN" w:bidi="ar-SA"/>
              </w:rPr>
              <w:t xml:space="preserve">.</w:t>
            </w:r>
            <w:r>
              <w:rPr>
                <w:rFonts w:hint="eastAsia" w:ascii="黑体" w:hAnsi="黑体" w:eastAsia="黑体" w:cs="黑体"/>
                <w:color w:val="000000"/>
                <w:sz w:val="21"/>
                <w:szCs w:val="22"/>
                <w:highlight w:val="none"/>
                <w:lang w:val="en-US" w:eastAsia="zh-CN" w:bidi="ar-SA"/>
              </w:rPr>
              <w:t xml:space="preserve">质保期届满后，提供终身维修服务，配件价格不高于市场同期价格。</w:t>
            </w:r>
            <w:r/>
          </w:p>
        </w:tc>
      </w:tr>
      <w:tr>
        <w:trPr>
          <w:trHeight w:val="20"/>
        </w:trPr>
        <w:tc>
          <w:tcPr>
            <w:gridSpan w:val="5"/>
            <w:tcW w:w="9417" w:type="dxa"/>
            <w:vAlign w:val="center"/>
            <w:textDirection w:val="lrTb"/>
            <w:noWrap w:val="false"/>
          </w:tcPr>
          <w:p>
            <w:pPr>
              <w:pStyle w:val="897"/>
              <w:jc w:val="both"/>
              <w:rPr>
                <w:rFonts w:ascii="Calibri" w:hAnsi="Calibri" w:eastAsia="黑体" w:cs="Times New Roman"/>
                <w:b w:val="0"/>
                <w:color w:val="000000"/>
                <w:sz w:val="21"/>
                <w:szCs w:val="22"/>
                <w:highlight w:val="none"/>
                <w:lang w:val="en-US" w:eastAsia="zh-CN" w:bidi="ar-SA"/>
              </w:rPr>
            </w:pPr>
            <w:r>
              <w:rPr>
                <w:rFonts w:hint="eastAsia" w:ascii="宋体" w:hAnsi="宋体" w:eastAsia="Times New Roman" w:cs="Times New Roman"/>
                <w:b/>
                <w:color w:val="000000"/>
                <w:sz w:val="24"/>
                <w:szCs w:val="24"/>
                <w:highlight w:val="none"/>
                <w:lang w:eastAsia="zh-CN"/>
              </w:rPr>
              <w:t xml:space="preserve">（</w:t>
            </w:r>
            <w:r>
              <w:rPr>
                <w:rFonts w:hint="eastAsia" w:ascii="宋体" w:hAnsi="宋体" w:eastAsia="Times New Roman" w:cs="Times New Roman"/>
                <w:b/>
                <w:color w:val="000000"/>
                <w:sz w:val="24"/>
                <w:szCs w:val="24"/>
                <w:highlight w:val="none"/>
                <w:lang w:val="en-US" w:eastAsia="zh-CN"/>
              </w:rPr>
              <w:t xml:space="preserve">二</w:t>
            </w:r>
            <w:r>
              <w:rPr>
                <w:rFonts w:hint="eastAsia" w:ascii="宋体" w:hAnsi="宋体" w:eastAsia="Times New Roman" w:cs="Times New Roman"/>
                <w:b/>
                <w:color w:val="000000"/>
                <w:sz w:val="24"/>
                <w:szCs w:val="24"/>
                <w:highlight w:val="none"/>
                <w:lang w:eastAsia="zh-CN"/>
              </w:rPr>
              <w:t xml:space="preserve">）</w:t>
            </w:r>
            <w:r>
              <w:rPr>
                <w:rFonts w:hint="eastAsia" w:ascii="宋体" w:hAnsi="宋体" w:eastAsia="Times New Roman" w:cs="Times New Roman"/>
                <w:b/>
                <w:color w:val="000000"/>
                <w:sz w:val="24"/>
                <w:szCs w:val="24"/>
                <w:highlight w:val="none"/>
              </w:rPr>
              <w:t xml:space="preserve">参数要求</w:t>
            </w:r>
            <w:r/>
          </w:p>
        </w:tc>
      </w:tr>
      <w:tr>
        <w:trPr>
          <w:trHeight w:val="20"/>
        </w:trPr>
        <w:tc>
          <w:tcPr>
            <w:tcW w:w="229"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r/>
          </w:p>
        </w:tc>
        <w:tc>
          <w:tcPr>
            <w:tcW w:w="367" w:type="dxa"/>
            <w:vAlign w:val="center"/>
            <w:textDirection w:val="lrTb"/>
            <w:noWrap w:val="false"/>
          </w:tcPr>
          <w:p>
            <w:pPr>
              <w:jc w:val="both"/>
              <w:keepLines w:val="0"/>
              <w:keepNext w:val="0"/>
              <w:widowControl/>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新生儿呼吸机</w:t>
            </w:r>
            <w:r/>
          </w:p>
        </w:tc>
        <w:tc>
          <w:tcPr>
            <w:tcW w:w="3755" w:type="dxa"/>
            <w:vAlign w:val="center"/>
            <w:textDirection w:val="lrTb"/>
            <w:noWrap w:val="false"/>
          </w:tcPr>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1.≥8.0英寸触摸显示屏。监测参数：压力（气道峰压、平均压、呼末正压/气道压力）、氧浓度、流量、自主呼吸频率、呼气时间、吸呼比。图形显示：压力－时间波形、流量柱状图显示流量；</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2.内置电子空氧混合器，氧浓度调节范围：21%-100%，精度±3%；</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3.内置氧传感器，监测范围0-100%，精度±2%。正常通气时可进行氧浓度在线校准，校准时不影响正常通气；</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4.提供压力发生器，提供近鼻端压力监测；</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5.呼吸监测：不需要额外传感器即可测量自主呼吸频率；</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6.★通气模式：NCPAP，NIPPV，SNIPPV，HFNC；</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7.NCPAP模式：</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7.1气道压力：1.0cmH2O-15cmH2O；</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7.2窒息唤醒压力：2.0cmH2O-25cmH2O；</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7.3窒息唤醒次数：OFF，1～10；</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8.NIPPV/SNIPPV模式：</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8.1★吸气压力：2.0cmH2O-25cmH2O ；</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8.2呼末正压PEEP：1.0cmH2O-15cmH2O；</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8.3触发灵敏度：OFF，1～10；</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9.监测参数范围：</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9.1气道压力、呼末正压、吸气压力：-30cmH2O～120cmH2O；</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9.2自主呼吸频率：0/min～300/min；</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9.3流量：0L/min～40L/min；</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10.HFNC模式：具有压力监测功能，流量范围0.5L/min-25L/min可调；</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11.可选配血氧监测功能，实时监测患儿的SPO2、PR和PI灌注指数；</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12.提供快氧通气功能：最长时间120s，增氧浓度22%-100% 连续可调；</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13.提供手动通气功能，通气时间1s-30s可调，气道压力范围2-25cmH2O，手动通气流量调节范围2.0～30L/min；</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14.具备自动泄漏补偿功能；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15.报警：具有手动/自动设置报警上下限功能；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16.应具有日志功能、趋势图和趋势表功能，并支持存储和导出功能；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17.应具有湿化器外挂导轨、吊臂/水袋支架安装座、空压机安装底盘；</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18.内置大容量锂电池，充满可使用≥4小时。</w:t>
            </w:r>
            <w:r/>
          </w:p>
        </w:tc>
        <w:tc>
          <w:tcPr>
            <w:tcW w:w="307" w:type="dxa"/>
            <w:vAlign w:val="center"/>
            <w:textDirection w:val="lrTb"/>
            <w:noWrap w:val="false"/>
          </w:tcPr>
          <w:p>
            <w:pPr>
              <w:pStyle w:val="897"/>
              <w:jc w:val="center"/>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lang w:val="en-US" w:eastAsia="zh-CN"/>
              </w:rPr>
              <w:t xml:space="preserve">套</w:t>
            </w:r>
            <w:r/>
          </w:p>
        </w:tc>
        <w:tc>
          <w:tcPr>
            <w:tcW w:w="339" w:type="dxa"/>
            <w:vAlign w:val="center"/>
            <w:textDirection w:val="lrTb"/>
            <w:noWrap w:val="false"/>
          </w:tcPr>
          <w:p>
            <w:pPr>
              <w:pStyle w:val="897"/>
              <w:jc w:val="center"/>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lang w:val="en-US" w:eastAsia="zh-CN"/>
              </w:rPr>
              <w:t xml:space="preserve">1</w:t>
            </w:r>
            <w:r/>
          </w:p>
        </w:tc>
      </w:tr>
      <w:tr>
        <w:trPr>
          <w:trHeight w:val="20"/>
        </w:trPr>
        <w:tc>
          <w:tcPr>
            <w:tcW w:w="229" w:type="dxa"/>
            <w:vAlign w:val="center"/>
            <w:textDirection w:val="lrTb"/>
            <w:noWrap w:val="false"/>
          </w:tcPr>
          <w:p>
            <w:pPr>
              <w:jc w:val="center"/>
              <w:spacing w:line="3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w:t>
            </w:r>
            <w:r/>
          </w:p>
        </w:tc>
        <w:tc>
          <w:tcPr>
            <w:tcW w:w="367" w:type="dxa"/>
            <w:vAlign w:val="center"/>
            <w:textDirection w:val="lrTb"/>
            <w:noWrap w:val="false"/>
          </w:tcPr>
          <w:p>
            <w:pPr>
              <w:jc w:val="center"/>
              <w:keepLines w:val="0"/>
              <w:keepNext w:val="0"/>
              <w:widowControl/>
              <w:rPr>
                <w:rStyle w:val="821"/>
                <w:rFonts w:hint="eastAsia" w:ascii="宋体" w:hAnsi="宋体" w:eastAsia="宋体" w:cs="宋体"/>
                <w:b w:val="0"/>
                <w:bCs/>
                <w:color w:val="000000"/>
                <w:sz w:val="21"/>
                <w:szCs w:val="21"/>
                <w:highlight w:val="none"/>
                <w:lang w:val="en-US" w:eastAsia="zh-CN" w:bidi="ar-SA"/>
              </w:rPr>
              <w:suppressLineNumbers w:val="0"/>
            </w:pPr>
            <w:r>
              <w:rPr>
                <w:rStyle w:val="821"/>
                <w:rFonts w:hint="eastAsia" w:ascii="宋体" w:hAnsi="宋体" w:eastAsia="宋体" w:cs="宋体"/>
                <w:b w:val="0"/>
                <w:bCs/>
                <w:color w:val="000000"/>
                <w:sz w:val="21"/>
                <w:szCs w:val="21"/>
                <w:highlight w:val="none"/>
                <w:lang w:val="en-US" w:eastAsia="zh-CN" w:bidi="ar-SA"/>
              </w:rPr>
              <w:t xml:space="preserve">新生儿专用多参数监护仪</w:t>
            </w:r>
            <w:r/>
          </w:p>
        </w:tc>
        <w:tc>
          <w:tcPr>
            <w:tcW w:w="3755" w:type="dxa"/>
            <w:vAlign w:val="center"/>
            <w:textDirection w:val="lrTb"/>
            <w:noWrap w:val="false"/>
          </w:tcPr>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（一）整机要求</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1.产品通过NMPA注册；</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2.产品注册名称为新生儿专用监护仪，并提供产品注册证证明；</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3.不小于12英寸高清液晶触摸屏，分辨率≥1280×800像素。屏幕正面纯平设计，不易积累灰尘，易清洁；</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4.屏幕采用最新的电容屏技术（非电阻屏）；</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5.具有智能光感器，支持自动调节屏幕亮度功能；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6.具有中文手写输入功能；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7.安全规格：ECG, TEMP, SpO2, NIBP监测参数抗电击程度为防除颤CF型；</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8.配置≥4个USB接口，支持连接鼠标、键盘、打印机、扫描枪等USB设备；</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（二）监测参数</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9.多参数监护模块配置了心电，呼吸，无创血压，血氧饱和度，脉搏和双通道体温等功能；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10.可升级带屏幕的插件模块，可作为独立的监护仪使用，屏幕尺寸≥5.5英寸，≥8小时超长续航；</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11.支持3导、5导心电监测；</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12.具有智能导联脱落，多导联同步分析功能；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13.提供新生儿专用心电电缆；</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14.心率测量范围：15-350bpm，精度：±1bpm；</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15.心电波形扫描速度支持6.25mm/s、12.5mm/s、25mm/s和50mm/s；</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16.具备24小时心电概览报告功能，可提供最近24小时的心电活动统计结果；</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17.具有心电级联功能；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18.呼吸率测量范围0-200rpm；</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19.支持双血氧监测功能，可对患儿手部和脚部的血氧同步监测，同时显示两者间血氧差值；</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20.可提供SpO2，PR和灌注指数(PI)参数的实时监测；</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21.具有血氧信号质量指数SIQ指示功能；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22.NIBP测量：至少提供手动，自动(周期)，连续，序列和整点测量5种测量模式，并提供24小时血压统计结果，满足临床应用；</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23.具有辅助静脉穿刺功能；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24.NIBP新生儿测量范围：收缩压 40-140mmHg，舒张压10-115mmHg，平均压20-125mmHg；</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25.提供新生儿专用血压袖带一套，包括≥4个尺寸不同的袖带，满足不同新生儿臂围的测量；</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26.提供双通道体温和温差参数的监测；</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27.如后续临床需要，可升级氧浓度监测功能，预防氧中毒；</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（三）系统功能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28.支持手动/自动设置报警限功能；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29.提供多种新生儿监护界面，至少包括呼吸氧合界面、大字体界面、单血氧界面；</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30.单血氧大参数界面，界面至少显示SpO2、PR、PI和多组SpO2监测值列表相关参数，还具有实时的体温和血压测量值；</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31.具有CCHD新生儿危重先心病筛查临床辅助应用功能；</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32.支持≥48小时全息波形的存储与回顾；</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33.支持≥2000组报警事件的存储与回顾；</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34.支持≥150小时趋势图和趋势表回顾，支持选择不同趋势组回顾；</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35.支持≥2000组NIBP血压列表数据；</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36.具有监护模式、待机模式、夜间模式等；</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37.提供计时器功能，界面区提供设置4个计时器，每个计时器支持独立设置和计时功能，计时方向包括正计时和倒计时两种选择；</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38.标配网络接口，支持升级无线wifi。</w:t>
            </w:r>
            <w:r/>
          </w:p>
        </w:tc>
        <w:tc>
          <w:tcPr>
            <w:tcW w:w="307" w:type="dxa"/>
            <w:vAlign w:val="center"/>
            <w:textDirection w:val="lrTb"/>
            <w:noWrap w:val="false"/>
          </w:tcPr>
          <w:p>
            <w:pPr>
              <w:pStyle w:val="897"/>
              <w:jc w:val="center"/>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lang w:val="en-US" w:eastAsia="zh-CN"/>
              </w:rPr>
              <w:t xml:space="preserve">套</w:t>
            </w:r>
            <w:r/>
          </w:p>
        </w:tc>
        <w:tc>
          <w:tcPr>
            <w:tcW w:w="339" w:type="dxa"/>
            <w:vAlign w:val="center"/>
            <w:textDirection w:val="lrTb"/>
            <w:noWrap w:val="false"/>
          </w:tcPr>
          <w:p>
            <w:pPr>
              <w:pStyle w:val="897"/>
              <w:jc w:val="center"/>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lang w:val="en-US" w:eastAsia="zh-CN"/>
              </w:rPr>
              <w:t xml:space="preserve">8</w:t>
            </w:r>
            <w:r/>
          </w:p>
        </w:tc>
      </w:tr>
    </w:tbl>
    <w:p>
      <w:pPr>
        <w:pStyle w:val="890"/>
        <w:ind w:firstLine="482"/>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832"/>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分包五</w:t>
      </w:r>
      <w:r/>
    </w:p>
    <w:p>
      <w:pPr>
        <w:rPr>
          <w:color w:val="000000"/>
          <w:highlight w:val="none"/>
          <w:lang w:val="en-US" w:eastAsia="zh-CN"/>
        </w:rPr>
      </w:pPr>
      <w:r>
        <w:rPr>
          <w:color w:val="000000"/>
          <w:highlight w:val="none"/>
          <w:lang w:val="en-US" w:eastAsia="zh-CN"/>
        </w:rPr>
      </w:r>
      <w:r/>
    </w:p>
    <w:tbl>
      <w:tblPr>
        <w:tblStyle w:val="787"/>
        <w:tblW w:w="513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
        <w:gridCol w:w="676"/>
        <w:gridCol w:w="6830"/>
        <w:gridCol w:w="634"/>
        <w:gridCol w:w="624"/>
      </w:tblGrid>
      <w:tr>
        <w:trPr>
          <w:trHeight w:val="20"/>
        </w:trPr>
        <w:tc>
          <w:tcPr>
            <w:gridSpan w:val="5"/>
            <w:tcW w:w="9417" w:type="dxa"/>
            <w:vAlign w:val="top"/>
            <w:textDirection w:val="lrTb"/>
            <w:noWrap w:val="false"/>
          </w:tcPr>
          <w:p>
            <w:pPr>
              <w:spacing w:line="360" w:lineRule="auto"/>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（一）通用要求</w:t>
            </w:r>
            <w:r/>
          </w:p>
        </w:tc>
      </w:tr>
      <w:tr>
        <w:trPr>
          <w:trHeight w:val="20"/>
        </w:trPr>
        <w:tc>
          <w:tcPr>
            <w:gridSpan w:val="5"/>
            <w:tcW w:w="9417" w:type="dxa"/>
            <w:vAlign w:val="center"/>
            <w:textDirection w:val="lrTb"/>
            <w:noWrap w:val="false"/>
          </w:tcPr>
          <w:p>
            <w:pPr>
              <w:pStyle w:val="897"/>
              <w:jc w:val="both"/>
              <w:spacing w:line="360" w:lineRule="auto"/>
              <w:rPr>
                <w:rFonts w:hint="eastAsia" w:ascii="黑体" w:hAnsi="黑体" w:eastAsia="黑体" w:cs="黑体"/>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1</w:t>
            </w:r>
            <w:r>
              <w:rPr>
                <w:rFonts w:hint="eastAsia" w:cs="黑体"/>
                <w:color w:val="000000"/>
                <w:sz w:val="21"/>
                <w:szCs w:val="22"/>
                <w:highlight w:val="none"/>
                <w:lang w:val="en-US" w:eastAsia="zh-CN" w:bidi="ar-SA"/>
              </w:rPr>
              <w:t xml:space="preserve">.</w:t>
            </w:r>
            <w:r>
              <w:rPr>
                <w:rFonts w:hint="eastAsia" w:ascii="黑体" w:hAnsi="黑体" w:eastAsia="黑体" w:cs="黑体"/>
                <w:color w:val="000000"/>
                <w:sz w:val="21"/>
                <w:szCs w:val="22"/>
                <w:highlight w:val="none"/>
                <w:lang w:val="en-US" w:eastAsia="zh-CN" w:bidi="ar-SA"/>
              </w:rPr>
              <w:t xml:space="preserve">自合同生效之日起提供≥五年原厂免费质保，合同签订前提供原厂出具的正式质保函；</w:t>
            </w:r>
            <w:r/>
          </w:p>
          <w:p>
            <w:pPr>
              <w:pStyle w:val="897"/>
              <w:jc w:val="both"/>
              <w:spacing w:line="360" w:lineRule="auto"/>
              <w:rPr>
                <w:rFonts w:hint="eastAsia" w:ascii="黑体" w:hAnsi="黑体" w:eastAsia="黑体" w:cs="黑体"/>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2</w:t>
            </w:r>
            <w:r>
              <w:rPr>
                <w:rFonts w:hint="eastAsia" w:cs="黑体"/>
                <w:color w:val="000000"/>
                <w:sz w:val="21"/>
                <w:szCs w:val="22"/>
                <w:highlight w:val="none"/>
                <w:lang w:val="en-US" w:eastAsia="zh-CN" w:bidi="ar-SA"/>
              </w:rPr>
              <w:t xml:space="preserve">.</w:t>
            </w:r>
            <w:r>
              <w:rPr>
                <w:rFonts w:hint="eastAsia" w:ascii="黑体" w:hAnsi="黑体" w:eastAsia="黑体" w:cs="黑体"/>
                <w:color w:val="000000"/>
                <w:sz w:val="21"/>
                <w:szCs w:val="22"/>
                <w:highlight w:val="none"/>
                <w:lang w:val="en-US" w:eastAsia="zh-CN" w:bidi="ar-SA"/>
              </w:rPr>
              <w:t xml:space="preserve">质保期内免费提供设备维修、配件更换、软件升级、不收取任何额外费用；</w:t>
            </w:r>
            <w:r/>
          </w:p>
          <w:p>
            <w:pPr>
              <w:pStyle w:val="897"/>
              <w:jc w:val="both"/>
              <w:spacing w:line="360" w:lineRule="auto"/>
              <w:rPr>
                <w:rFonts w:hint="eastAsia" w:ascii="黑体" w:hAnsi="黑体" w:eastAsia="黑体" w:cs="黑体"/>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3</w:t>
            </w:r>
            <w:r>
              <w:rPr>
                <w:rFonts w:hint="eastAsia" w:cs="黑体"/>
                <w:color w:val="000000"/>
                <w:sz w:val="21"/>
                <w:szCs w:val="22"/>
                <w:highlight w:val="none"/>
                <w:lang w:val="en-US" w:eastAsia="zh-CN" w:bidi="ar-SA"/>
              </w:rPr>
              <w:t xml:space="preserve">.</w:t>
            </w:r>
            <w:r>
              <w:rPr>
                <w:rFonts w:hint="eastAsia" w:ascii="黑体" w:hAnsi="黑体" w:eastAsia="黑体" w:cs="黑体"/>
                <w:color w:val="000000"/>
                <w:sz w:val="21"/>
                <w:szCs w:val="22"/>
                <w:highlight w:val="none"/>
                <w:lang w:val="en-US" w:eastAsia="zh-CN" w:bidi="ar-SA"/>
              </w:rPr>
              <w:t xml:space="preserve">承诺24小时应急响应，48小时内到场维修，72小时内无法修复的，免费提供同型号备用机；</w:t>
            </w:r>
            <w:r/>
          </w:p>
          <w:p>
            <w:pPr>
              <w:pStyle w:val="897"/>
              <w:jc w:val="both"/>
              <w:spacing w:line="360" w:lineRule="auto"/>
              <w:rPr>
                <w:rFonts w:hint="eastAsia" w:ascii="Calibri" w:hAnsi="Calibri" w:eastAsia="宋体" w:cs="Times New Roman"/>
                <w:color w:val="000000"/>
                <w:sz w:val="21"/>
                <w:szCs w:val="22"/>
                <w:highlight w:val="none"/>
                <w:lang w:val="en-US" w:eastAsia="zh-CN" w:bidi="ar-SA"/>
              </w:rPr>
            </w:pPr>
            <w:r>
              <w:rPr>
                <w:rFonts w:hint="eastAsia" w:ascii="黑体" w:hAnsi="黑体" w:eastAsia="黑体" w:cs="黑体"/>
                <w:color w:val="000000"/>
                <w:sz w:val="21"/>
                <w:szCs w:val="22"/>
                <w:highlight w:val="none"/>
                <w:lang w:val="en-US" w:eastAsia="zh-CN" w:bidi="ar-SA"/>
              </w:rPr>
              <w:t xml:space="preserve">4</w:t>
            </w:r>
            <w:r>
              <w:rPr>
                <w:rFonts w:hint="eastAsia" w:cs="黑体"/>
                <w:color w:val="000000"/>
                <w:sz w:val="21"/>
                <w:szCs w:val="22"/>
                <w:highlight w:val="none"/>
                <w:lang w:val="en-US" w:eastAsia="zh-CN" w:bidi="ar-SA"/>
              </w:rPr>
              <w:t xml:space="preserve">.</w:t>
            </w:r>
            <w:r>
              <w:rPr>
                <w:rFonts w:hint="eastAsia" w:ascii="黑体" w:hAnsi="黑体" w:eastAsia="黑体" w:cs="黑体"/>
                <w:color w:val="000000"/>
                <w:sz w:val="21"/>
                <w:szCs w:val="22"/>
                <w:highlight w:val="none"/>
                <w:lang w:val="en-US" w:eastAsia="zh-CN" w:bidi="ar-SA"/>
              </w:rPr>
              <w:t xml:space="preserve">质保期届满后，提供终身维修服务，配件价格不高于市场同期价格。</w:t>
            </w:r>
            <w:r/>
          </w:p>
        </w:tc>
      </w:tr>
      <w:tr>
        <w:trPr>
          <w:trHeight w:val="20"/>
        </w:trPr>
        <w:tc>
          <w:tcPr>
            <w:gridSpan w:val="5"/>
            <w:tcW w:w="9417" w:type="dxa"/>
            <w:vAlign w:val="center"/>
            <w:textDirection w:val="lrTb"/>
            <w:noWrap w:val="false"/>
          </w:tcPr>
          <w:p>
            <w:pPr>
              <w:pStyle w:val="897"/>
              <w:jc w:val="both"/>
              <w:rPr>
                <w:rFonts w:ascii="Calibri" w:hAnsi="Calibri" w:eastAsia="黑体" w:cs="Times New Roman"/>
                <w:b w:val="0"/>
                <w:color w:val="000000"/>
                <w:sz w:val="21"/>
                <w:szCs w:val="22"/>
                <w:highlight w:val="none"/>
                <w:lang w:val="en-US" w:eastAsia="zh-CN" w:bidi="ar-SA"/>
              </w:rPr>
            </w:pPr>
            <w:r>
              <w:rPr>
                <w:rFonts w:hint="eastAsia" w:ascii="宋体" w:hAnsi="宋体" w:eastAsia="Times New Roman" w:cs="Times New Roman"/>
                <w:b/>
                <w:color w:val="000000"/>
                <w:sz w:val="24"/>
                <w:szCs w:val="24"/>
                <w:highlight w:val="none"/>
                <w:lang w:eastAsia="zh-CN"/>
              </w:rPr>
              <w:t xml:space="preserve">（</w:t>
            </w:r>
            <w:r>
              <w:rPr>
                <w:rFonts w:hint="eastAsia" w:ascii="宋体" w:hAnsi="宋体" w:eastAsia="Times New Roman" w:cs="Times New Roman"/>
                <w:b/>
                <w:color w:val="000000"/>
                <w:sz w:val="24"/>
                <w:szCs w:val="24"/>
                <w:highlight w:val="none"/>
                <w:lang w:val="en-US" w:eastAsia="zh-CN"/>
              </w:rPr>
              <w:t xml:space="preserve">二</w:t>
            </w:r>
            <w:r>
              <w:rPr>
                <w:rFonts w:hint="eastAsia" w:ascii="宋体" w:hAnsi="宋体" w:eastAsia="Times New Roman" w:cs="Times New Roman"/>
                <w:b/>
                <w:color w:val="000000"/>
                <w:sz w:val="24"/>
                <w:szCs w:val="24"/>
                <w:highlight w:val="none"/>
                <w:lang w:eastAsia="zh-CN"/>
              </w:rPr>
              <w:t xml:space="preserve">）</w:t>
            </w:r>
            <w:r>
              <w:rPr>
                <w:rFonts w:hint="eastAsia" w:ascii="宋体" w:hAnsi="宋体" w:eastAsia="Times New Roman" w:cs="Times New Roman"/>
                <w:b/>
                <w:color w:val="000000"/>
                <w:sz w:val="24"/>
                <w:szCs w:val="24"/>
                <w:highlight w:val="none"/>
              </w:rPr>
              <w:t xml:space="preserve">参数要求</w:t>
            </w:r>
            <w:r/>
          </w:p>
        </w:tc>
      </w:tr>
      <w:tr>
        <w:trPr>
          <w:trHeight w:val="20"/>
        </w:trPr>
        <w:tc>
          <w:tcPr>
            <w:tcW w:w="229" w:type="dxa"/>
            <w:vAlign w:val="center"/>
            <w:textDirection w:val="lrTb"/>
            <w:noWrap w:val="false"/>
          </w:tcPr>
          <w:p>
            <w:pPr>
              <w:jc w:val="center"/>
              <w:spacing w:line="360" w:lineRule="exact"/>
              <w:widowControl w:val="off"/>
              <w:rPr>
                <w:rFonts w:hint="eastAsia" w:ascii="宋体-PUA" w:hAnsi="宋体-PUA" w:eastAsia="宋体-PUA" w:cs="宋体-PUA"/>
                <w:bCs/>
                <w:color w:val="000000"/>
                <w:sz w:val="21"/>
                <w:szCs w:val="21"/>
                <w:highlight w:val="none"/>
                <w:lang w:val="en-US" w:eastAsia="zh-CN" w:bidi="ar-SA"/>
              </w:rPr>
            </w:pPr>
            <w:r>
              <w:rPr>
                <w:rFonts w:hint="eastAsia" w:ascii="宋体-PUA" w:hAnsi="宋体-PUA" w:eastAsia="宋体-PUA" w:cs="宋体-PUA"/>
                <w:bCs/>
                <w:color w:val="000000"/>
                <w:sz w:val="21"/>
                <w:szCs w:val="21"/>
                <w:highlight w:val="none"/>
                <w:lang w:val="en-US" w:eastAsia="zh-CN" w:bidi="ar-SA"/>
              </w:rPr>
              <w:t xml:space="preserve">1</w:t>
            </w:r>
            <w:r/>
          </w:p>
        </w:tc>
        <w:tc>
          <w:tcPr>
            <w:tcW w:w="367" w:type="dxa"/>
            <w:vAlign w:val="center"/>
            <w:textDirection w:val="lrTb"/>
            <w:noWrap w:val="false"/>
          </w:tcPr>
          <w:p>
            <w:pPr>
              <w:jc w:val="center"/>
              <w:widowControl/>
              <w:rPr>
                <w:rFonts w:ascii="宋体" w:hAnsi="Calibri" w:eastAsia="宋体" w:cs="宋体"/>
                <w:color w:val="000000"/>
                <w:sz w:val="22"/>
                <w:szCs w:val="22"/>
                <w:highlight w:val="none"/>
                <w:lang w:val="en-US" w:eastAsia="zh-CN" w:bidi="ar-SA"/>
              </w:rPr>
            </w:pPr>
            <w:r>
              <w:rPr>
                <w:rFonts w:ascii="宋体" w:hAnsi="Calibri" w:eastAsia="宋体" w:cs="宋体"/>
                <w:color w:val="000000"/>
                <w:sz w:val="22"/>
                <w:szCs w:val="22"/>
                <w:highlight w:val="none"/>
                <w:lang w:val="en-US" w:eastAsia="zh-CN" w:bidi="ar-SA"/>
              </w:rPr>
              <w:t xml:space="preserve">听力筛查仪</w:t>
            </w:r>
            <w:r/>
          </w:p>
        </w:tc>
        <w:tc>
          <w:tcPr>
            <w:tcW w:w="3717" w:type="dxa"/>
            <w:vAlign w:val="center"/>
            <w:textDirection w:val="lrTb"/>
            <w:noWrap w:val="false"/>
          </w:tcPr>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1.功能：自动听性脑干反应AABR，用于新生儿听力筛查；</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2.主机操作界面：全中文界面，中文输入；</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3.操作方式：可通过主机自带彩色触摸屏操作，直接录入患者信息：生日、性别、出生地址等；</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4.显示：主机自带≥3.5英寸显示屏；</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5.刺激声类型：耳蜗延时Chirp声；</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6.刺激声强选择：30、35、40、或45 dB nHL的序列；</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7.刺激速率：接近80Hz；</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8.皮肤阻抗测试范围：1～99kΩ；</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9.皮肤阻抗监测方式：在测试前、测试中不断监测</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10.屏幕实时显示：可实时显示统计图表、测试进程、AABR检测概率和脑电波强度；</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11.测试方式：可通过触摸屏一键设置双耳同时测试和单耳测试两种模式，同时记录；</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12.探头与主机连接：人体工程学探头，采用屏蔽软线连接，不易折断；</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13.内置存储容量：可存储≥400个听力筛查结果</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14.电池类型：≥1800mAh锂离子电池，充满后可连续使用8小时；</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15.数据传输功能：内置红外端口可无线传输，也可通过底座的RS232串口连接外置打印机或通过USB接口连接电脑；</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16.单台整机重量（含电池）≤280g ，方便携带</w:t>
            </w:r>
            <w:r/>
          </w:p>
          <w:p>
            <w:pPr>
              <w:jc w:val="both"/>
              <w:spacing w:line="370" w:lineRule="exact"/>
              <w:widowControl w:val="off"/>
              <w:tabs>
                <w:tab w:val="left" w:pos="522"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17.主机内置探头自检通道，可对探头进行校准及日常功能检查，保证测试精度。</w:t>
            </w:r>
            <w:r/>
          </w:p>
        </w:tc>
        <w:tc>
          <w:tcPr>
            <w:tcW w:w="345" w:type="dxa"/>
            <w:vAlign w:val="center"/>
            <w:textDirection w:val="lrTb"/>
            <w:noWrap w:val="false"/>
          </w:tcPr>
          <w:p>
            <w:pPr>
              <w:pStyle w:val="897"/>
              <w:jc w:val="center"/>
              <w:rPr>
                <w:rFonts w:hint="eastAsia" w:ascii="Times New Roman" w:hAnsi="Times New Roman" w:eastAsia="宋体" w:cs="Times New Roman"/>
                <w:b w:val="0"/>
                <w:color w:val="000000"/>
                <w:sz w:val="21"/>
                <w:szCs w:val="22"/>
                <w:highlight w:val="none"/>
                <w:lang w:val="en-US" w:eastAsia="zh-CN"/>
              </w:rPr>
            </w:pPr>
            <w:r>
              <w:rPr>
                <w:rFonts w:hint="eastAsia" w:ascii="Times New Roman" w:hAnsi="Times New Roman" w:eastAsia="宋体" w:cs="Times New Roman"/>
                <w:b w:val="0"/>
                <w:color w:val="000000"/>
                <w:sz w:val="21"/>
                <w:szCs w:val="22"/>
                <w:highlight w:val="none"/>
                <w:lang w:val="en-US" w:eastAsia="zh-CN"/>
              </w:rPr>
              <w:t xml:space="preserve">套</w:t>
            </w:r>
            <w:r/>
          </w:p>
        </w:tc>
        <w:tc>
          <w:tcPr>
            <w:tcW w:w="339" w:type="dxa"/>
            <w:vAlign w:val="center"/>
            <w:textDirection w:val="lrTb"/>
            <w:noWrap w:val="false"/>
          </w:tcPr>
          <w:p>
            <w:pPr>
              <w:pStyle w:val="897"/>
              <w:jc w:val="center"/>
              <w:rPr>
                <w:rFonts w:hint="eastAsia" w:ascii="Times New Roman" w:hAnsi="Times New Roman" w:eastAsia="宋体" w:cs="Times New Roman"/>
                <w:b w:val="0"/>
                <w:color w:val="000000"/>
                <w:sz w:val="21"/>
                <w:szCs w:val="22"/>
                <w:highlight w:val="none"/>
                <w:lang w:val="en-US" w:eastAsia="zh-CN"/>
              </w:rPr>
            </w:pPr>
            <w:r>
              <w:rPr>
                <w:rFonts w:hint="eastAsia" w:ascii="Times New Roman" w:hAnsi="Times New Roman" w:eastAsia="宋体" w:cs="Times New Roman"/>
                <w:b w:val="0"/>
                <w:color w:val="000000"/>
                <w:sz w:val="21"/>
                <w:szCs w:val="22"/>
                <w:highlight w:val="none"/>
                <w:lang w:val="en-US" w:eastAsia="zh-CN"/>
              </w:rPr>
              <w:t xml:space="preserve">1</w:t>
            </w:r>
            <w:r/>
          </w:p>
        </w:tc>
      </w:tr>
    </w:tbl>
    <w:p>
      <w:pPr>
        <w:numPr>
          <w:ilvl w:val="0"/>
          <w:numId w:val="0"/>
        </w:numPr>
        <w:ind w:firstLine="482"/>
        <w:jc w:val="both"/>
        <w:keepLines w:val="0"/>
        <w:keepNext w:val="0"/>
        <w:pageBreakBefore w:val="0"/>
        <w:spacing w:line="560" w:lineRule="exact"/>
        <w:widowControl w:val="off"/>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三、付款方式</w:t>
      </w:r>
      <w:r/>
    </w:p>
    <w:p>
      <w:pPr>
        <w:ind w:firstLine="480"/>
        <w:jc w:val="both"/>
        <w:keepLines w:val="0"/>
        <w:keepNext w:val="0"/>
        <w:pageBreakBefore w:val="0"/>
        <w:spacing w:line="560" w:lineRule="exact"/>
        <w:widowControl w:val="off"/>
        <w:rPr>
          <w:rStyle w:val="821"/>
          <w:rFonts w:hint="eastAsia" w:ascii="宋体" w:hAnsi="宋体" w:eastAsia="宋体" w:cs="Times New Roman"/>
          <w:color w:val="000000"/>
          <w:sz w:val="24"/>
          <w:szCs w:val="24"/>
          <w:highlight w:val="none"/>
          <w:lang w:val="en-US" w:eastAsia="zh-CN" w:bidi="ar-SA"/>
        </w:rPr>
      </w:pPr>
      <w:r>
        <w:rPr>
          <w:rStyle w:val="821"/>
          <w:rFonts w:hint="eastAsia" w:ascii="宋体" w:hAnsi="宋体" w:eastAsia="宋体" w:cs="Times New Roman"/>
          <w:color w:val="000000"/>
          <w:sz w:val="24"/>
          <w:szCs w:val="24"/>
          <w:highlight w:val="none"/>
          <w:lang w:val="en-US" w:eastAsia="zh-CN" w:bidi="ar-SA"/>
        </w:rPr>
        <w:t xml:space="preserve">合同签订前，须向我院支付5%的合同价款作为合同履约保证金。经验收合格后，出具验收报告，中标方开具等额税务发票，收到发票后15日内向乙方支付合同全部价款。</w:t>
      </w:r>
      <w:r/>
    </w:p>
    <w:p>
      <w:pPr>
        <w:ind w:firstLine="480"/>
        <w:jc w:val="both"/>
        <w:keepLines w:val="0"/>
        <w:keepNext w:val="0"/>
        <w:pageBreakBefore w:val="0"/>
        <w:spacing w:line="560" w:lineRule="exact"/>
        <w:widowControl w:val="off"/>
        <w:rPr>
          <w:rStyle w:val="821"/>
          <w:rFonts w:hint="eastAsia" w:ascii="宋体" w:hAnsi="宋体" w:eastAsia="宋体" w:cs="Times New Roman"/>
          <w:color w:val="000000"/>
          <w:sz w:val="24"/>
          <w:szCs w:val="24"/>
          <w:highlight w:val="none"/>
          <w:lang w:val="en-US" w:eastAsia="zh-CN" w:bidi="ar-SA"/>
        </w:rPr>
      </w:pPr>
      <w:r>
        <w:rPr>
          <w:rStyle w:val="821"/>
          <w:rFonts w:hint="eastAsia" w:ascii="宋体" w:hAnsi="宋体" w:eastAsia="宋体" w:cs="Times New Roman"/>
          <w:color w:val="000000"/>
          <w:sz w:val="24"/>
          <w:szCs w:val="24"/>
          <w:highlight w:val="none"/>
          <w:lang w:val="en-US" w:eastAsia="zh-CN" w:bidi="ar-SA"/>
        </w:rPr>
        <w:t xml:space="preserve">注：在签订合同时，中标人明确表示无需预付款或者主动要求降低付款比例的金额，采购人可不适用前述规定。</w:t>
      </w:r>
      <w:r/>
    </w:p>
    <w:p>
      <w:pPr>
        <w:ind w:firstLine="482"/>
        <w:jc w:val="both"/>
        <w:keepLines w:val="0"/>
        <w:keepNext w:val="0"/>
        <w:pageBreakBefore w:val="0"/>
        <w:spacing w:line="560" w:lineRule="exact"/>
        <w:widowControl w:val="off"/>
        <w:rPr>
          <w:rStyle w:val="821"/>
          <w:rFonts w:hint="eastAsia" w:ascii="宋体" w:hAnsi="宋体" w:eastAsia="宋体" w:cs="宋体"/>
          <w:b/>
          <w:bCs/>
          <w:color w:val="000000"/>
          <w:sz w:val="24"/>
          <w:szCs w:val="22"/>
          <w:highlight w:val="none"/>
          <w:lang w:val="en-US" w:eastAsia="zh-CN" w:bidi="ar-SA"/>
        </w:rPr>
        <w:outlineLvl w:val="1"/>
      </w:pPr>
      <w:r>
        <w:rPr>
          <w:rStyle w:val="821"/>
          <w:rFonts w:hint="eastAsia" w:ascii="宋体" w:hAnsi="宋体" w:eastAsia="宋体" w:cs="宋体"/>
          <w:b/>
          <w:bCs/>
          <w:color w:val="000000"/>
          <w:sz w:val="24"/>
          <w:szCs w:val="22"/>
          <w:highlight w:val="none"/>
          <w:lang w:val="en-US" w:eastAsia="zh-CN" w:bidi="ar-SA"/>
        </w:rPr>
        <w:t xml:space="preserve">四、售后服务期限及地点</w:t>
      </w:r>
      <w:r/>
    </w:p>
    <w:p>
      <w:pPr>
        <w:ind w:firstLine="480"/>
        <w:jc w:val="both"/>
        <w:keepLines w:val="0"/>
        <w:keepNext w:val="0"/>
        <w:pageBreakBefore w:val="0"/>
        <w:spacing w:line="560" w:lineRule="exact"/>
        <w:widowControl w:val="off"/>
        <w:rPr>
          <w:rStyle w:val="821"/>
          <w:rFonts w:ascii="宋体" w:hAnsi="宋体" w:eastAsia="宋体" w:cs="Times New Roman"/>
          <w:color w:val="000000"/>
          <w:sz w:val="24"/>
          <w:szCs w:val="24"/>
          <w:highlight w:val="none"/>
          <w:lang w:val="en-US" w:eastAsia="zh-CN" w:bidi="ar-SA"/>
        </w:rPr>
      </w:pPr>
      <w:r>
        <w:rPr>
          <w:rStyle w:val="821"/>
          <w:rFonts w:hint="eastAsia" w:ascii="宋体" w:hAnsi="宋体" w:eastAsia="宋体" w:cs="Times New Roman"/>
          <w:color w:val="000000"/>
          <w:sz w:val="24"/>
          <w:szCs w:val="24"/>
          <w:highlight w:val="none"/>
          <w:lang w:val="en-US" w:eastAsia="zh-CN" w:bidi="ar-SA"/>
        </w:rPr>
        <w:t xml:space="preserve">（一）售后服务期：5年，自验收合格之日起算（费用含在本次报价中，含安装、调试、质保）。</w:t>
      </w:r>
      <w:r/>
    </w:p>
    <w:p>
      <w:pPr>
        <w:ind w:firstLine="480"/>
        <w:jc w:val="both"/>
        <w:keepLines w:val="0"/>
        <w:keepNext w:val="0"/>
        <w:pageBreakBefore w:val="0"/>
        <w:spacing w:line="560" w:lineRule="exact"/>
        <w:widowControl w:val="off"/>
        <w:rPr>
          <w:rStyle w:val="821"/>
          <w:rFonts w:hint="eastAsia" w:ascii="宋体" w:hAnsi="宋体" w:eastAsia="宋体" w:cs="Times New Roman"/>
          <w:color w:val="000000"/>
          <w:sz w:val="24"/>
          <w:szCs w:val="24"/>
          <w:highlight w:val="none"/>
          <w:lang w:val="en-US" w:eastAsia="zh-CN" w:bidi="ar-SA"/>
        </w:rPr>
      </w:pPr>
      <w:r>
        <w:rPr>
          <w:rStyle w:val="821"/>
          <w:rFonts w:hint="eastAsia" w:ascii="宋体" w:hAnsi="宋体" w:eastAsia="宋体" w:cs="Times New Roman"/>
          <w:color w:val="000000"/>
          <w:sz w:val="24"/>
          <w:szCs w:val="24"/>
          <w:highlight w:val="none"/>
          <w:lang w:val="en-US" w:eastAsia="zh-CN" w:bidi="ar-SA"/>
        </w:rPr>
        <w:t xml:space="preserve">（二）供货期：合同签订后15日内，交付至甲方指定地点并安装、调试验收合格。</w:t>
      </w:r>
      <w:r/>
    </w:p>
    <w:p>
      <w:pPr>
        <w:ind w:firstLine="480"/>
        <w:jc w:val="both"/>
        <w:keepLines w:val="0"/>
        <w:keepNext w:val="0"/>
        <w:pageBreakBefore w:val="0"/>
        <w:spacing w:line="560" w:lineRule="exact"/>
        <w:widowControl w:val="off"/>
        <w:rPr>
          <w:rStyle w:val="821"/>
          <w:rFonts w:hint="eastAsia" w:ascii="宋体" w:hAnsi="宋体" w:eastAsia="宋体" w:cs="宋体"/>
          <w:color w:val="000000"/>
          <w:sz w:val="24"/>
          <w:szCs w:val="24"/>
          <w:highlight w:val="none"/>
          <w:lang w:val="en-US" w:eastAsia="zh-CN" w:bidi="ar-SA"/>
        </w:rPr>
      </w:pPr>
      <w:r>
        <w:rPr>
          <w:rStyle w:val="821"/>
          <w:rFonts w:hint="eastAsia" w:ascii="宋体" w:hAnsi="宋体" w:eastAsia="宋体" w:cs="宋体"/>
          <w:color w:val="000000"/>
          <w:sz w:val="24"/>
          <w:szCs w:val="24"/>
          <w:highlight w:val="none"/>
          <w:lang w:val="en-US" w:eastAsia="zh-CN" w:bidi="ar-SA"/>
        </w:rPr>
        <w:t xml:space="preserve">（三）实施地点：采购人指定。</w:t>
      </w:r>
      <w:r/>
    </w:p>
    <w:p>
      <w:pPr>
        <w:ind w:firstLine="482"/>
        <w:jc w:val="both"/>
        <w:keepLines w:val="0"/>
        <w:keepNext w:val="0"/>
        <w:pageBreakBefore w:val="0"/>
        <w:spacing w:line="560" w:lineRule="exact"/>
        <w:widowControl w:val="off"/>
        <w:rPr>
          <w:rStyle w:val="821"/>
          <w:rFonts w:hint="eastAsia" w:ascii="宋体" w:hAnsi="宋体" w:eastAsia="宋体" w:cs="宋体"/>
          <w:b/>
          <w:bCs/>
          <w:color w:val="000000"/>
          <w:sz w:val="24"/>
          <w:szCs w:val="22"/>
          <w:highlight w:val="none"/>
          <w:lang w:val="en-US" w:eastAsia="zh-CN" w:bidi="ar-SA"/>
        </w:rPr>
        <w:outlineLvl w:val="1"/>
      </w:pPr>
      <w:r>
        <w:rPr>
          <w:rStyle w:val="821"/>
          <w:rFonts w:hint="eastAsia" w:ascii="宋体" w:hAnsi="宋体" w:eastAsia="宋体" w:cs="宋体"/>
          <w:b/>
          <w:bCs/>
          <w:color w:val="000000"/>
          <w:sz w:val="24"/>
          <w:szCs w:val="22"/>
          <w:highlight w:val="none"/>
          <w:lang w:val="en-US" w:eastAsia="zh-CN" w:bidi="ar-SA"/>
        </w:rPr>
        <w:t xml:space="preserve">五、其他要求</w:t>
      </w:r>
      <w:r/>
    </w:p>
    <w:p>
      <w:pPr>
        <w:ind w:firstLine="482"/>
        <w:jc w:val="both"/>
        <w:keepLines w:val="0"/>
        <w:keepNext w:val="0"/>
        <w:pageBreakBefore w:val="0"/>
        <w:spacing w:line="560" w:lineRule="exact"/>
        <w:widowControl w:val="off"/>
        <w:rPr>
          <w:rStyle w:val="821"/>
          <w:rFonts w:ascii="宋体" w:hAnsi="宋体" w:eastAsia="宋体" w:cs="Times New Roman"/>
          <w:b/>
          <w:bCs/>
          <w:color w:val="000000"/>
          <w:sz w:val="24"/>
          <w:szCs w:val="21"/>
          <w:highlight w:val="none"/>
          <w:lang w:val="en-US" w:eastAsia="zh-CN" w:bidi="ar-SA"/>
        </w:rPr>
      </w:pPr>
      <w:r>
        <w:rPr>
          <w:rStyle w:val="821"/>
          <w:rFonts w:hint="eastAsia" w:ascii="宋体" w:hAnsi="宋体" w:eastAsia="宋体" w:cs="Times New Roman"/>
          <w:b/>
          <w:bCs/>
          <w:color w:val="000000"/>
          <w:sz w:val="24"/>
          <w:szCs w:val="21"/>
          <w:highlight w:val="none"/>
          <w:lang w:val="en-US" w:eastAsia="zh-CN" w:bidi="ar-SA"/>
        </w:rPr>
        <w:t xml:space="preserve">（一）项目实施方案、</w:t>
      </w:r>
      <w:r>
        <w:rPr>
          <w:rStyle w:val="821"/>
          <w:rFonts w:ascii="宋体" w:hAnsi="宋体" w:eastAsia="宋体" w:cs="Times New Roman"/>
          <w:b/>
          <w:bCs/>
          <w:color w:val="000000"/>
          <w:sz w:val="24"/>
          <w:szCs w:val="21"/>
          <w:highlight w:val="none"/>
          <w:lang w:val="en-US" w:eastAsia="zh-CN" w:bidi="ar-SA"/>
        </w:rPr>
        <w:t xml:space="preserve">设备安装、调试要求</w:t>
      </w:r>
      <w:r/>
    </w:p>
    <w:p>
      <w:pPr>
        <w:ind w:firstLine="480"/>
        <w:jc w:val="both"/>
        <w:keepLines w:val="0"/>
        <w:keepNext w:val="0"/>
        <w:pageBreakBefore w:val="0"/>
        <w:spacing w:line="560" w:lineRule="exact"/>
        <w:widowControl w:val="off"/>
        <w:rPr>
          <w:rStyle w:val="821"/>
          <w:rFonts w:ascii="宋体" w:hAnsi="宋体" w:eastAsia="宋体" w:cs="Times New Roman"/>
          <w:color w:val="000000"/>
          <w:sz w:val="24"/>
          <w:szCs w:val="24"/>
          <w:highlight w:val="none"/>
          <w:lang w:val="en-US" w:eastAsia="zh-CN" w:bidi="ar-SA"/>
        </w:rPr>
      </w:pPr>
      <w:r>
        <w:rPr>
          <w:rStyle w:val="821"/>
          <w:rFonts w:hint="eastAsia" w:ascii="宋体" w:hAnsi="宋体" w:eastAsia="宋体" w:cs="Times New Roman"/>
          <w:color w:val="000000"/>
          <w:sz w:val="24"/>
          <w:szCs w:val="24"/>
          <w:highlight w:val="none"/>
          <w:lang w:val="en-US" w:eastAsia="zh-CN" w:bidi="ar-SA"/>
        </w:rPr>
        <w:t xml:space="preserve">1.送至采购人指定地点并安装调试到位，必须依照招标文件的要求和投标文件的承诺，将器材安装并调试至最佳状态。</w:t>
      </w:r>
      <w:r/>
    </w:p>
    <w:p>
      <w:pPr>
        <w:ind w:firstLine="480"/>
        <w:jc w:val="both"/>
        <w:keepLines w:val="0"/>
        <w:keepNext w:val="0"/>
        <w:pageBreakBefore w:val="0"/>
        <w:spacing w:line="560" w:lineRule="exact"/>
        <w:widowControl w:val="off"/>
        <w:rPr>
          <w:rStyle w:val="821"/>
          <w:rFonts w:ascii="宋体" w:hAnsi="宋体" w:eastAsia="宋体" w:cs="Times New Roman"/>
          <w:color w:val="000000"/>
          <w:sz w:val="24"/>
          <w:szCs w:val="24"/>
          <w:highlight w:val="none"/>
          <w:lang w:val="en-US" w:eastAsia="zh-CN" w:bidi="ar-SA"/>
        </w:rPr>
      </w:pPr>
      <w:r>
        <w:rPr>
          <w:rStyle w:val="821"/>
          <w:rFonts w:hint="eastAsia" w:ascii="宋体" w:hAnsi="宋体" w:eastAsia="宋体" w:cs="Times New Roman"/>
          <w:color w:val="000000"/>
          <w:sz w:val="24"/>
          <w:szCs w:val="24"/>
          <w:highlight w:val="none"/>
          <w:lang w:val="en-US" w:eastAsia="zh-CN" w:bidi="ar-SA"/>
        </w:rPr>
        <w:t xml:space="preserve">2.设备无侵权行为、表面无划损、无任何缺陷隐患，在中国境内可依常规安全合法使用。</w:t>
      </w:r>
      <w:r/>
    </w:p>
    <w:p>
      <w:pPr>
        <w:ind w:firstLine="480"/>
        <w:jc w:val="both"/>
        <w:keepLines w:val="0"/>
        <w:keepNext w:val="0"/>
        <w:pageBreakBefore w:val="0"/>
        <w:spacing w:line="560" w:lineRule="exact"/>
        <w:widowControl w:val="off"/>
        <w:rPr>
          <w:rStyle w:val="821"/>
          <w:rFonts w:ascii="宋体" w:hAnsi="宋体" w:eastAsia="宋体" w:cs="Times New Roman"/>
          <w:color w:val="000000"/>
          <w:sz w:val="24"/>
          <w:szCs w:val="24"/>
          <w:highlight w:val="none"/>
          <w:lang w:val="en-US" w:eastAsia="zh-CN" w:bidi="ar-SA"/>
        </w:rPr>
      </w:pPr>
      <w:r>
        <w:rPr>
          <w:rStyle w:val="821"/>
          <w:rFonts w:hint="eastAsia" w:ascii="宋体" w:hAnsi="宋体" w:eastAsia="宋体" w:cs="Times New Roman"/>
          <w:color w:val="000000"/>
          <w:sz w:val="24"/>
          <w:szCs w:val="24"/>
          <w:highlight w:val="none"/>
          <w:lang w:val="en-US" w:eastAsia="zh-CN" w:bidi="ar-SA"/>
        </w:rPr>
        <w:t xml:space="preserve">3.货物为原厂商未启封全新包装，出厂合格证，序列号、包装箱号与出厂批号一致，并可追溯查阅，所有随设备的附件必须齐全。</w:t>
      </w:r>
      <w:r/>
    </w:p>
    <w:p>
      <w:pPr>
        <w:ind w:firstLine="480"/>
        <w:jc w:val="both"/>
        <w:keepLines w:val="0"/>
        <w:keepNext w:val="0"/>
        <w:pageBreakBefore w:val="0"/>
        <w:spacing w:line="560" w:lineRule="exact"/>
        <w:widowControl w:val="off"/>
        <w:rPr>
          <w:rStyle w:val="821"/>
          <w:rFonts w:ascii="宋体" w:hAnsi="宋体" w:eastAsia="宋体" w:cs="Times New Roman"/>
          <w:color w:val="000000"/>
          <w:sz w:val="24"/>
          <w:szCs w:val="24"/>
          <w:highlight w:val="none"/>
          <w:lang w:val="en-US" w:eastAsia="zh-CN" w:bidi="ar-SA"/>
        </w:rPr>
      </w:pPr>
      <w:r>
        <w:rPr>
          <w:rStyle w:val="821"/>
          <w:rFonts w:hint="eastAsia" w:ascii="宋体" w:hAnsi="宋体" w:eastAsia="宋体" w:cs="Times New Roman"/>
          <w:color w:val="000000"/>
          <w:sz w:val="24"/>
          <w:szCs w:val="24"/>
          <w:highlight w:val="none"/>
          <w:lang w:val="en-US" w:eastAsia="zh-CN" w:bidi="ar-SA"/>
        </w:rPr>
        <w:t xml:space="preserve">4.根据投标人的实施项目供货计划、安装工期安排、安装技术人员配备、现场安装流程、安装质量要求、项目验收方案等编制方案。</w:t>
      </w:r>
      <w:r/>
    </w:p>
    <w:p>
      <w:pPr>
        <w:ind w:firstLine="482"/>
        <w:jc w:val="both"/>
        <w:keepLines w:val="0"/>
        <w:keepNext w:val="0"/>
        <w:pageBreakBefore w:val="0"/>
        <w:spacing w:line="560" w:lineRule="exact"/>
        <w:widowControl w:val="off"/>
        <w:rPr>
          <w:rStyle w:val="821"/>
          <w:rFonts w:ascii="宋体" w:hAnsi="宋体" w:eastAsia="宋体" w:cs="Times New Roman"/>
          <w:b/>
          <w:bCs/>
          <w:color w:val="000000"/>
          <w:sz w:val="24"/>
          <w:szCs w:val="21"/>
          <w:highlight w:val="none"/>
          <w:lang w:val="en-US" w:eastAsia="zh-CN" w:bidi="ar-SA"/>
        </w:rPr>
      </w:pPr>
      <w:r>
        <w:rPr>
          <w:rStyle w:val="821"/>
          <w:rFonts w:hint="eastAsia" w:ascii="宋体" w:hAnsi="宋体" w:eastAsia="宋体" w:cs="Times New Roman"/>
          <w:b/>
          <w:bCs/>
          <w:color w:val="000000"/>
          <w:sz w:val="24"/>
          <w:szCs w:val="21"/>
          <w:highlight w:val="none"/>
          <w:lang w:val="en-US" w:eastAsia="zh-CN" w:bidi="ar-SA"/>
        </w:rPr>
        <w:t xml:space="preserve">（二）</w:t>
      </w:r>
      <w:r>
        <w:rPr>
          <w:rStyle w:val="821"/>
          <w:rFonts w:ascii="宋体" w:hAnsi="宋体" w:eastAsia="宋体" w:cs="Times New Roman"/>
          <w:b/>
          <w:bCs/>
          <w:color w:val="000000"/>
          <w:sz w:val="24"/>
          <w:szCs w:val="21"/>
          <w:highlight w:val="none"/>
          <w:lang w:val="en-US" w:eastAsia="zh-CN" w:bidi="ar-SA"/>
        </w:rPr>
        <w:t xml:space="preserve">验收</w:t>
      </w:r>
      <w:r/>
    </w:p>
    <w:p>
      <w:pPr>
        <w:ind w:firstLine="480"/>
        <w:jc w:val="both"/>
        <w:keepLines w:val="0"/>
        <w:keepNext w:val="0"/>
        <w:pageBreakBefore w:val="0"/>
        <w:spacing w:line="560" w:lineRule="exact"/>
        <w:widowControl w:val="off"/>
        <w:rPr>
          <w:rStyle w:val="821"/>
          <w:rFonts w:hint="eastAsia" w:ascii="宋体" w:hAnsi="宋体" w:eastAsia="宋体" w:cs="Times New Roman"/>
          <w:bCs/>
          <w:color w:val="000000"/>
          <w:sz w:val="24"/>
          <w:szCs w:val="21"/>
          <w:highlight w:val="none"/>
          <w:lang w:val="en-US" w:eastAsia="zh-CN" w:bidi="ar-SA"/>
        </w:rPr>
      </w:pPr>
      <w:r>
        <w:rPr>
          <w:rStyle w:val="821"/>
          <w:rFonts w:hint="eastAsia" w:ascii="宋体" w:hAnsi="宋体" w:eastAsia="宋体" w:cs="Times New Roman"/>
          <w:bCs/>
          <w:color w:val="000000"/>
          <w:sz w:val="24"/>
          <w:szCs w:val="21"/>
          <w:highlight w:val="none"/>
          <w:lang w:val="en-US" w:eastAsia="zh-CN" w:bidi="ar-SA"/>
        </w:rPr>
        <w:t xml:space="preserve">1.采购人按国家有关规定、规范以及招标文件、投标文件、技术资料、质量要求和双方签订的合同规定的条款组织验收，必要时邀请相关的专业人员或机构参与验收。因货物质量问题发生争议时，由本地质量技术监督部门鉴定。货物符合质量技术标准的，鉴定费由采购人承担；否则鉴定费由中标人承担。</w:t>
      </w:r>
      <w:r/>
    </w:p>
    <w:p>
      <w:pPr>
        <w:ind w:firstLine="480"/>
        <w:jc w:val="both"/>
        <w:keepLines w:val="0"/>
        <w:keepNext w:val="0"/>
        <w:pageBreakBefore w:val="0"/>
        <w:spacing w:line="560" w:lineRule="exact"/>
        <w:widowControl w:val="off"/>
        <w:rPr>
          <w:rStyle w:val="821"/>
          <w:rFonts w:hint="eastAsia" w:ascii="宋体" w:hAnsi="宋体" w:eastAsia="宋体" w:cs="Times New Roman"/>
          <w:bCs/>
          <w:color w:val="000000"/>
          <w:sz w:val="24"/>
          <w:szCs w:val="21"/>
          <w:highlight w:val="none"/>
          <w:lang w:val="en-US" w:eastAsia="zh-CN" w:bidi="ar-SA"/>
        </w:rPr>
      </w:pPr>
      <w:r>
        <w:rPr>
          <w:rStyle w:val="821"/>
          <w:rFonts w:hint="eastAsia" w:ascii="宋体" w:hAnsi="宋体" w:eastAsia="宋体" w:cs="Times New Roman"/>
          <w:bCs/>
          <w:color w:val="000000"/>
          <w:sz w:val="24"/>
          <w:szCs w:val="21"/>
          <w:highlight w:val="none"/>
          <w:lang w:val="en-US" w:eastAsia="zh-CN" w:bidi="ar-SA"/>
        </w:rPr>
        <w:t xml:space="preserve">2.验收时间：设备安装调试经甲方临床试用并达到验收标准后，甲方根据合同约定组织验收。</w:t>
      </w:r>
      <w:r/>
    </w:p>
    <w:p>
      <w:pPr>
        <w:ind w:firstLine="480"/>
        <w:jc w:val="both"/>
        <w:keepLines w:val="0"/>
        <w:keepNext w:val="0"/>
        <w:pageBreakBefore w:val="0"/>
        <w:spacing w:line="560" w:lineRule="exact"/>
        <w:widowControl w:val="off"/>
        <w:rPr>
          <w:rStyle w:val="821"/>
          <w:rFonts w:hint="eastAsia" w:ascii="宋体" w:hAnsi="宋体" w:eastAsia="宋体" w:cs="Times New Roman"/>
          <w:bCs/>
          <w:color w:val="000000"/>
          <w:sz w:val="24"/>
          <w:szCs w:val="21"/>
          <w:highlight w:val="none"/>
          <w:lang w:val="en-US" w:eastAsia="zh-CN" w:bidi="ar-SA"/>
        </w:rPr>
      </w:pPr>
      <w:r>
        <w:rPr>
          <w:rStyle w:val="821"/>
          <w:rFonts w:hint="eastAsia" w:ascii="宋体" w:hAnsi="宋体" w:eastAsia="宋体" w:cs="Times New Roman"/>
          <w:bCs/>
          <w:color w:val="000000"/>
          <w:sz w:val="24"/>
          <w:szCs w:val="21"/>
          <w:highlight w:val="none"/>
          <w:lang w:val="en-US" w:eastAsia="zh-CN" w:bidi="ar-SA"/>
        </w:rPr>
        <w:t xml:space="preserve">3.验收内容：包括设备品牌、型号、规格、数量是否符合合同规定，外观质量、产品包装是否完好、安装调试是否合格，所提供设备装箱清单、操作说明、维修手册、电路图本、电气说明书、包括外构件的详细资料、原厂维保卡等是否齐全。</w:t>
      </w:r>
      <w:r/>
    </w:p>
    <w:p>
      <w:pPr>
        <w:ind w:firstLine="482"/>
        <w:jc w:val="both"/>
        <w:keepLines w:val="0"/>
        <w:keepNext w:val="0"/>
        <w:pageBreakBefore w:val="0"/>
        <w:spacing w:line="560" w:lineRule="exact"/>
        <w:widowControl w:val="off"/>
        <w:rPr>
          <w:rStyle w:val="821"/>
          <w:rFonts w:ascii="宋体" w:hAnsi="宋体" w:eastAsia="宋体" w:cs="Times New Roman"/>
          <w:b/>
          <w:bCs/>
          <w:color w:val="000000"/>
          <w:sz w:val="24"/>
          <w:szCs w:val="21"/>
          <w:highlight w:val="none"/>
          <w:lang w:val="en-US" w:eastAsia="zh-CN" w:bidi="ar-SA"/>
        </w:rPr>
      </w:pPr>
      <w:r>
        <w:rPr>
          <w:rStyle w:val="821"/>
          <w:rFonts w:hint="eastAsia" w:ascii="宋体" w:hAnsi="宋体" w:eastAsia="宋体" w:cs="Times New Roman"/>
          <w:b/>
          <w:bCs/>
          <w:color w:val="000000"/>
          <w:sz w:val="24"/>
          <w:szCs w:val="21"/>
          <w:highlight w:val="none"/>
          <w:lang w:val="en-US" w:eastAsia="zh-CN" w:bidi="ar-SA"/>
        </w:rPr>
        <w:t xml:space="preserve">（三）</w:t>
      </w:r>
      <w:r>
        <w:rPr>
          <w:rStyle w:val="821"/>
          <w:rFonts w:ascii="宋体" w:hAnsi="宋体" w:eastAsia="宋体" w:cs="Times New Roman"/>
          <w:b/>
          <w:bCs/>
          <w:color w:val="000000"/>
          <w:sz w:val="24"/>
          <w:szCs w:val="21"/>
          <w:highlight w:val="none"/>
          <w:lang w:val="en-US" w:eastAsia="zh-CN" w:bidi="ar-SA"/>
        </w:rPr>
        <w:t xml:space="preserve">售后服务要求</w:t>
      </w:r>
      <w:r/>
    </w:p>
    <w:p>
      <w:pPr>
        <w:ind w:firstLine="480"/>
        <w:jc w:val="both"/>
        <w:keepLines w:val="0"/>
        <w:keepNext w:val="0"/>
        <w:pageBreakBefore w:val="0"/>
        <w:spacing w:line="560" w:lineRule="exact"/>
        <w:widowControl w:val="off"/>
        <w:rPr>
          <w:rStyle w:val="821"/>
          <w:rFonts w:hint="eastAsia" w:ascii="宋体" w:hAnsi="宋体" w:eastAsia="宋体" w:cs="Times New Roman"/>
          <w:bCs/>
          <w:color w:val="000000"/>
          <w:sz w:val="24"/>
          <w:szCs w:val="21"/>
          <w:highlight w:val="none"/>
          <w:lang w:val="en-US" w:eastAsia="zh-CN" w:bidi="ar-SA"/>
        </w:rPr>
      </w:pPr>
      <w:r>
        <w:rPr>
          <w:rStyle w:val="821"/>
          <w:rFonts w:hint="eastAsia" w:ascii="宋体" w:hAnsi="宋体" w:eastAsia="宋体" w:cs="Times New Roman"/>
          <w:bCs/>
          <w:color w:val="000000"/>
          <w:sz w:val="24"/>
          <w:szCs w:val="21"/>
          <w:highlight w:val="none"/>
          <w:lang w:val="en-US" w:eastAsia="zh-CN" w:bidi="ar-SA"/>
        </w:rPr>
        <w:t xml:space="preserve">1.验收通过之日起提供5年原厂免费维保，合同签订前提供原厂质保函。</w:t>
      </w:r>
      <w:r/>
    </w:p>
    <w:p>
      <w:pPr>
        <w:ind w:firstLine="480"/>
        <w:jc w:val="both"/>
        <w:keepLines w:val="0"/>
        <w:keepNext w:val="0"/>
        <w:pageBreakBefore w:val="0"/>
        <w:spacing w:line="560" w:lineRule="exact"/>
        <w:widowControl w:val="off"/>
        <w:rPr>
          <w:rStyle w:val="821"/>
          <w:rFonts w:hint="eastAsia" w:ascii="宋体" w:hAnsi="宋体" w:eastAsia="宋体" w:cs="Times New Roman"/>
          <w:bCs/>
          <w:color w:val="000000"/>
          <w:sz w:val="24"/>
          <w:szCs w:val="21"/>
          <w:highlight w:val="none"/>
          <w:lang w:val="en-US" w:eastAsia="zh-CN" w:bidi="ar-SA"/>
        </w:rPr>
      </w:pPr>
      <w:r>
        <w:rPr>
          <w:rStyle w:val="821"/>
          <w:rFonts w:hint="eastAsia" w:ascii="宋体" w:hAnsi="宋体" w:eastAsia="宋体" w:cs="Times New Roman"/>
          <w:bCs/>
          <w:color w:val="000000"/>
          <w:sz w:val="24"/>
          <w:szCs w:val="21"/>
          <w:highlight w:val="none"/>
          <w:lang w:val="en-US" w:eastAsia="zh-CN" w:bidi="ar-SA"/>
        </w:rPr>
        <w:t xml:space="preserve">2.保证设备维保期内开机率高于95%，如设备故障停机率超过5%（一年按365天计算，每年18天），每超过一天，维保期延长两周。</w:t>
      </w:r>
      <w:r/>
    </w:p>
    <w:p>
      <w:pPr>
        <w:ind w:firstLine="480"/>
        <w:jc w:val="both"/>
        <w:keepLines w:val="0"/>
        <w:keepNext w:val="0"/>
        <w:pageBreakBefore w:val="0"/>
        <w:spacing w:line="560" w:lineRule="exact"/>
        <w:widowControl w:val="off"/>
        <w:rPr>
          <w:rStyle w:val="821"/>
          <w:rFonts w:hint="eastAsia" w:ascii="宋体" w:hAnsi="宋体" w:eastAsia="宋体" w:cs="Times New Roman"/>
          <w:bCs/>
          <w:color w:val="000000"/>
          <w:sz w:val="24"/>
          <w:szCs w:val="21"/>
          <w:highlight w:val="none"/>
          <w:lang w:val="en-US" w:eastAsia="zh-CN" w:bidi="ar-SA"/>
        </w:rPr>
      </w:pPr>
      <w:r>
        <w:rPr>
          <w:rStyle w:val="821"/>
          <w:rFonts w:hint="eastAsia" w:ascii="宋体" w:hAnsi="宋体" w:eastAsia="宋体" w:cs="Times New Roman"/>
          <w:bCs/>
          <w:color w:val="000000"/>
          <w:sz w:val="24"/>
          <w:szCs w:val="21"/>
          <w:highlight w:val="none"/>
          <w:lang w:val="en-US" w:eastAsia="zh-CN" w:bidi="ar-SA"/>
        </w:rPr>
        <w:t xml:space="preserve">3.免费维保期内，应在接到故障通知2小时内作出有效响应，并在24小时内到达现场免费予以排除故障、修复或更换零部件。如3个工作日内不能修复必须提供备用机使用，确保甲方能正常开展工作，设备在设计有用周期内，保证更换到原厂配件。</w:t>
      </w:r>
      <w:r/>
    </w:p>
    <w:p>
      <w:pPr>
        <w:ind w:firstLine="480"/>
        <w:jc w:val="both"/>
        <w:keepLines w:val="0"/>
        <w:keepNext w:val="0"/>
        <w:pageBreakBefore w:val="0"/>
        <w:spacing w:line="560" w:lineRule="exact"/>
        <w:widowControl w:val="off"/>
        <w:rPr>
          <w:rStyle w:val="821"/>
          <w:rFonts w:hint="eastAsia" w:ascii="宋体" w:hAnsi="宋体" w:eastAsia="宋体" w:cs="Times New Roman"/>
          <w:bCs/>
          <w:color w:val="000000"/>
          <w:sz w:val="24"/>
          <w:szCs w:val="21"/>
          <w:highlight w:val="none"/>
          <w:lang w:val="en-US" w:eastAsia="zh-CN" w:bidi="ar-SA"/>
        </w:rPr>
      </w:pPr>
      <w:r>
        <w:rPr>
          <w:rStyle w:val="821"/>
          <w:rFonts w:hint="eastAsia" w:ascii="宋体" w:hAnsi="宋体" w:eastAsia="宋体" w:cs="Times New Roman"/>
          <w:bCs/>
          <w:color w:val="000000"/>
          <w:sz w:val="24"/>
          <w:szCs w:val="21"/>
          <w:highlight w:val="none"/>
          <w:lang w:val="en-US" w:eastAsia="zh-CN" w:bidi="ar-SA"/>
        </w:rPr>
        <w:t xml:space="preserve">4.在安装过程中或安装结束后，对我院工程师和操作人员进行现场维修、保养、操作培训并提供快捷操作指南。</w:t>
      </w:r>
      <w:r/>
    </w:p>
    <w:p>
      <w:pPr>
        <w:ind w:firstLine="482"/>
        <w:keepLines w:val="0"/>
        <w:keepNext w:val="0"/>
        <w:pageBreakBefore w:val="0"/>
        <w:spacing w:line="560" w:lineRule="exact"/>
        <w:rPr>
          <w:rStyle w:val="821"/>
          <w:rFonts w:hint="eastAsia" w:ascii="宋体" w:hAnsi="宋体" w:eastAsia="宋体" w:cs="宋体"/>
          <w:b/>
          <w:bCs w:val="0"/>
          <w:color w:val="000000"/>
          <w:sz w:val="24"/>
          <w:highlight w:val="none"/>
          <w:lang w:val="en-US" w:eastAsia="zh-CN" w:bidi="ar-SA"/>
        </w:rPr>
      </w:pPr>
      <w:r>
        <w:rPr>
          <w:rStyle w:val="821"/>
          <w:rFonts w:hint="eastAsia" w:ascii="宋体" w:hAnsi="宋体" w:eastAsia="宋体" w:cs="宋体"/>
          <w:b/>
          <w:bCs w:val="0"/>
          <w:color w:val="000000"/>
          <w:sz w:val="24"/>
          <w:szCs w:val="21"/>
          <w:highlight w:val="none"/>
          <w:lang w:val="en-US" w:eastAsia="zh-CN" w:bidi="ar-SA"/>
        </w:rPr>
        <w:t xml:space="preserve">（四）落实商品包装、快递包装政府采购需求标准</w:t>
      </w:r>
      <w:r/>
    </w:p>
    <w:p>
      <w:pPr>
        <w:ind w:firstLine="480"/>
        <w:keepLines w:val="0"/>
        <w:keepNext w:val="0"/>
        <w:pageBreakBefore w:val="0"/>
        <w:spacing w:line="560" w:lineRule="exact"/>
        <w:rPr>
          <w:rStyle w:val="821"/>
          <w:rFonts w:hint="eastAsia" w:ascii="宋体" w:hAnsi="宋体" w:eastAsia="宋体" w:cs="宋体"/>
          <w:bCs/>
          <w:color w:val="000000"/>
          <w:sz w:val="24"/>
          <w:highlight w:val="none"/>
          <w:lang w:val="en-US" w:eastAsia="zh-CN" w:bidi="ar-SA"/>
        </w:rPr>
      </w:pPr>
      <w:r>
        <w:rPr>
          <w:rStyle w:val="821"/>
          <w:rFonts w:hint="eastAsia" w:ascii="宋体" w:hAnsi="宋体" w:eastAsia="宋体" w:cs="宋体"/>
          <w:bCs/>
          <w:color w:val="000000"/>
          <w:sz w:val="24"/>
          <w:szCs w:val="21"/>
          <w:highlight w:val="none"/>
          <w:lang w:val="en-US" w:eastAsia="zh-CN" w:bidi="ar-SA"/>
        </w:rPr>
        <w:t xml:space="preserve">投标人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投标人一旦参与本项目投标，即完全响应本条款要求。</w:t>
      </w:r>
      <w:r/>
    </w:p>
    <w:p>
      <w:pPr>
        <w:ind w:firstLine="482"/>
        <w:keepLines w:val="0"/>
        <w:keepNext w:val="0"/>
        <w:pageBreakBefore w:val="0"/>
        <w:spacing w:line="560" w:lineRule="exact"/>
        <w:rPr>
          <w:rStyle w:val="821"/>
          <w:rFonts w:hint="eastAsia" w:ascii="宋体" w:hAnsi="宋体" w:eastAsia="宋体" w:cs="宋体"/>
          <w:b/>
          <w:bCs w:val="0"/>
          <w:color w:val="000000"/>
          <w:sz w:val="24"/>
          <w:highlight w:val="none"/>
          <w:lang w:val="en-US" w:eastAsia="zh-CN" w:bidi="ar-SA"/>
        </w:rPr>
      </w:pPr>
      <w:r>
        <w:rPr>
          <w:rStyle w:val="821"/>
          <w:rFonts w:hint="eastAsia" w:ascii="宋体" w:hAnsi="宋体" w:eastAsia="宋体" w:cs="宋体"/>
          <w:b/>
          <w:bCs w:val="0"/>
          <w:color w:val="000000"/>
          <w:sz w:val="24"/>
          <w:szCs w:val="21"/>
          <w:highlight w:val="none"/>
          <w:lang w:val="en-US" w:eastAsia="zh-CN" w:bidi="ar-SA"/>
        </w:rPr>
        <w:t xml:space="preserve">（五）落实节能、环保产品政策</w:t>
      </w:r>
      <w:r/>
    </w:p>
    <w:p>
      <w:pPr>
        <w:ind w:firstLine="480"/>
        <w:keepLines w:val="0"/>
        <w:keepNext w:val="0"/>
        <w:pageBreakBefore w:val="0"/>
        <w:spacing w:line="560" w:lineRule="exact"/>
        <w:rPr>
          <w:rStyle w:val="821"/>
          <w:rFonts w:hint="eastAsia" w:ascii="宋体" w:hAnsi="宋体" w:eastAsia="宋体" w:cs="宋体"/>
          <w:bCs/>
          <w:color w:val="000000"/>
          <w:sz w:val="24"/>
          <w:szCs w:val="21"/>
          <w:highlight w:val="none"/>
          <w:lang w:val="en-US" w:eastAsia="zh-CN" w:bidi="ar-SA"/>
        </w:rPr>
      </w:pPr>
      <w:r>
        <w:rPr>
          <w:rStyle w:val="821"/>
          <w:rFonts w:hint="eastAsia" w:ascii="宋体" w:hAnsi="宋体" w:eastAsia="宋体" w:cs="宋体"/>
          <w:bCs/>
          <w:color w:val="000000"/>
          <w:sz w:val="24"/>
          <w:szCs w:val="21"/>
          <w:highlight w:val="none"/>
          <w:lang w:val="en-US" w:eastAsia="zh-CN" w:bidi="ar-SA"/>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numPr>
          <w:ilvl w:val="0"/>
          <w:numId w:val="10"/>
        </w:numPr>
        <w:ind w:firstLine="482"/>
        <w:keepLines w:val="0"/>
        <w:keepNext w:val="0"/>
        <w:pageBreakBefore w:val="0"/>
        <w:spacing w:line="560" w:lineRule="exact"/>
        <w:rPr>
          <w:rStyle w:val="821"/>
          <w:rFonts w:hint="eastAsia" w:ascii="宋体" w:hAnsi="宋体" w:eastAsia="宋体" w:cs="宋体"/>
          <w:b/>
          <w:bCs w:val="0"/>
          <w:color w:val="000000"/>
          <w:sz w:val="24"/>
          <w:szCs w:val="21"/>
          <w:highlight w:val="none"/>
          <w:lang w:val="en-US" w:eastAsia="zh-CN" w:bidi="ar-SA"/>
        </w:rPr>
      </w:pPr>
      <w:r>
        <w:rPr>
          <w:rStyle w:val="821"/>
          <w:rFonts w:hint="eastAsia" w:ascii="宋体" w:hAnsi="宋体" w:eastAsia="宋体" w:cs="宋体"/>
          <w:b/>
          <w:bCs w:val="0"/>
          <w:color w:val="000000"/>
          <w:sz w:val="24"/>
          <w:szCs w:val="21"/>
          <w:highlight w:val="none"/>
          <w:lang w:val="en-US" w:eastAsia="zh-CN" w:bidi="ar-SA"/>
        </w:rPr>
        <w:t xml:space="preserve">采购本国产品的支持政策</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本项目政府采购活动中既有本国产品又有非本国产品参与竞争的，</w:t>
      </w:r>
      <w:bookmarkStart w:id="216" w:name="OLE_LINK7"/>
      <w:r>
        <w:rPr>
          <w:rFonts w:hint="eastAsia" w:ascii="宋体" w:hAnsi="宋体" w:eastAsia="宋体" w:cs="宋体"/>
          <w:color w:val="000000"/>
          <w:sz w:val="24"/>
          <w:highlight w:val="none"/>
        </w:rPr>
        <w:t xml:space="preserve">依法对本国产品给予价格评审优惠，对本国产品的报价给予</w:t>
      </w:r>
      <w:r>
        <w:rPr>
          <w:rFonts w:hint="eastAsia" w:ascii="宋体" w:hAnsi="宋体" w:eastAsia="宋体" w:cs="宋体"/>
          <w:b/>
          <w:bCs/>
          <w:color w:val="000000"/>
          <w:sz w:val="24"/>
          <w:highlight w:val="none"/>
          <w:u w:val="single"/>
        </w:rPr>
        <w:t xml:space="preserve">20%</w:t>
      </w:r>
      <w:r>
        <w:rPr>
          <w:rFonts w:hint="eastAsia" w:ascii="宋体" w:hAnsi="宋体" w:eastAsia="宋体" w:cs="宋体"/>
          <w:color w:val="000000"/>
          <w:sz w:val="24"/>
          <w:highlight w:val="none"/>
        </w:rPr>
        <w:t xml:space="preserve">的价格扣除，用扣除后的价格参与评审。</w:t>
      </w:r>
      <w:bookmarkEnd w:id="216"/>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color w:val="000000"/>
          <w:sz w:val="24"/>
          <w:highlight w:val="none"/>
        </w:rPr>
        <w:t xml:space="preserve">80%以上</w:t>
      </w:r>
      <w:r>
        <w:rPr>
          <w:rFonts w:hint="eastAsia" w:ascii="宋体" w:hAnsi="宋体" w:eastAsia="宋体" w:cs="宋体"/>
          <w:color w:val="000000"/>
          <w:sz w:val="24"/>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投标人需按照招标文件的要求提供《关于符合本国产品标准的声明函》，如不提供将不享受本国产品价格评审优惠。</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Style w:val="821"/>
          <w:rFonts w:hint="eastAsia" w:ascii="宋体" w:hAnsi="宋体" w:eastAsia="宋体" w:cs="宋体"/>
          <w:bCs/>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numPr>
          <w:ilvl w:val="0"/>
          <w:numId w:val="10"/>
        </w:numPr>
        <w:ind w:firstLine="482"/>
        <w:keepLines w:val="0"/>
        <w:keepNext w:val="0"/>
        <w:pageBreakBefore w:val="0"/>
        <w:spacing w:line="560" w:lineRule="exact"/>
        <w:rPr>
          <w:rStyle w:val="821"/>
          <w:rFonts w:hint="eastAsia" w:ascii="宋体" w:hAnsi="宋体" w:eastAsia="宋体" w:cs="宋体"/>
          <w:b/>
          <w:bCs w:val="0"/>
          <w:color w:val="000000"/>
          <w:sz w:val="24"/>
          <w:szCs w:val="21"/>
          <w:highlight w:val="none"/>
          <w:lang w:val="en-US" w:eastAsia="zh-CN" w:bidi="ar-SA"/>
        </w:rPr>
      </w:pPr>
      <w:r>
        <w:rPr>
          <w:rStyle w:val="821"/>
          <w:rFonts w:hint="eastAsia" w:ascii="宋体" w:hAnsi="宋体" w:eastAsia="宋体" w:cs="宋体"/>
          <w:b/>
          <w:bCs w:val="0"/>
          <w:color w:val="000000"/>
          <w:sz w:val="24"/>
          <w:szCs w:val="21"/>
          <w:highlight w:val="none"/>
          <w:lang w:val="en-US" w:eastAsia="zh-CN" w:bidi="ar-SA"/>
        </w:rPr>
        <w:t xml:space="preserve">注意事项</w:t>
      </w:r>
      <w:r/>
    </w:p>
    <w:p>
      <w:pPr>
        <w:ind w:firstLine="480"/>
        <w:jc w:val="both"/>
        <w:keepLines w:val="0"/>
        <w:keepNext w:val="0"/>
        <w:pageBreakBefore w:val="0"/>
        <w:spacing w:line="560" w:lineRule="exact"/>
        <w:widowControl w:val="off"/>
        <w:rPr>
          <w:rStyle w:val="821"/>
          <w:rFonts w:hint="eastAsia" w:ascii="宋体" w:hAnsi="宋体" w:eastAsia="宋体" w:cs="宋体"/>
          <w:bCs/>
          <w:color w:val="000000"/>
          <w:sz w:val="24"/>
          <w:szCs w:val="20"/>
          <w:highlight w:val="none"/>
          <w:lang w:val="en-US" w:eastAsia="zh-CN" w:bidi="ar-SA"/>
        </w:rPr>
      </w:pPr>
      <w:r>
        <w:rPr>
          <w:rStyle w:val="821"/>
          <w:rFonts w:hint="eastAsia" w:ascii="宋体" w:hAnsi="宋体" w:eastAsia="宋体" w:cs="宋体"/>
          <w:bCs/>
          <w:color w:val="000000"/>
          <w:sz w:val="24"/>
          <w:szCs w:val="20"/>
          <w:highlight w:val="none"/>
          <w:lang w:val="en-US" w:eastAsia="zh-CN" w:bidi="ar-SA"/>
        </w:rPr>
        <w:t xml:space="preserve">1.本项目对任何有选择的报价将不予接受，只允许有一个报价。报价内容包括: 货物本身价格、辅材、运输、装卸、人工、产品损耗等相关工作、售后服务及货物交付使用过程中涉及到的其他一切费用。</w:t>
      </w:r>
      <w:r/>
    </w:p>
    <w:p>
      <w:pPr>
        <w:ind w:firstLine="480"/>
        <w:jc w:val="both"/>
        <w:keepLines w:val="0"/>
        <w:keepNext w:val="0"/>
        <w:pageBreakBefore w:val="0"/>
        <w:spacing w:line="560" w:lineRule="exact"/>
        <w:widowControl w:val="off"/>
        <w:rPr>
          <w:rStyle w:val="821"/>
          <w:rFonts w:hint="eastAsia" w:ascii="宋体" w:hAnsi="宋体" w:eastAsia="宋体" w:cs="宋体"/>
          <w:bCs/>
          <w:color w:val="000000"/>
          <w:sz w:val="24"/>
          <w:szCs w:val="20"/>
          <w:highlight w:val="none"/>
          <w:lang w:val="en-US" w:eastAsia="zh-CN" w:bidi="ar-SA"/>
        </w:rPr>
      </w:pPr>
      <w:r>
        <w:rPr>
          <w:rStyle w:val="821"/>
          <w:rFonts w:hint="eastAsia" w:ascii="宋体" w:hAnsi="宋体" w:eastAsia="宋体" w:cs="宋体"/>
          <w:bCs/>
          <w:color w:val="000000"/>
          <w:sz w:val="24"/>
          <w:szCs w:val="20"/>
          <w:highlight w:val="none"/>
          <w:lang w:val="en-US" w:eastAsia="zh-CN" w:bidi="ar-SA"/>
        </w:rPr>
        <w:t xml:space="preserve">2.投标人报价时应充分考虑所有可能影响到报价的因素，一旦最终中标，总价将包定。不予调整。如发生漏、缺、少项，都将被认为是成交人的报价让利行为，损失自负。</w:t>
      </w:r>
      <w:r/>
    </w:p>
    <w:p>
      <w:pPr>
        <w:ind w:firstLine="480"/>
        <w:jc w:val="both"/>
        <w:keepLines w:val="0"/>
        <w:keepNext w:val="0"/>
        <w:pageBreakBefore w:val="0"/>
        <w:spacing w:line="560" w:lineRule="exact"/>
        <w:widowControl w:val="off"/>
        <w:rPr>
          <w:rStyle w:val="821"/>
          <w:rFonts w:hint="eastAsia" w:ascii="宋体" w:hAnsi="宋体" w:eastAsia="宋体" w:cs="宋体"/>
          <w:bCs/>
          <w:color w:val="000000"/>
          <w:sz w:val="24"/>
          <w:szCs w:val="20"/>
          <w:highlight w:val="none"/>
          <w:lang w:val="en-US" w:eastAsia="zh-CN" w:bidi="ar-SA"/>
        </w:rPr>
      </w:pPr>
      <w:r>
        <w:rPr>
          <w:rStyle w:val="821"/>
          <w:rFonts w:hint="eastAsia" w:ascii="宋体" w:hAnsi="宋体" w:eastAsia="宋体" w:cs="宋体"/>
          <w:bCs/>
          <w:color w:val="000000"/>
          <w:sz w:val="24"/>
          <w:szCs w:val="20"/>
          <w:highlight w:val="none"/>
          <w:lang w:val="en-US" w:eastAsia="zh-CN" w:bidi="ar-SA"/>
        </w:rPr>
        <w:t xml:space="preserve">备注：</w:t>
      </w:r>
      <w:r/>
    </w:p>
    <w:p>
      <w:pPr>
        <w:ind w:firstLine="480"/>
        <w:jc w:val="both"/>
        <w:keepLines w:val="0"/>
        <w:keepNext w:val="0"/>
        <w:pageBreakBefore w:val="0"/>
        <w:spacing w:line="560" w:lineRule="exact"/>
        <w:widowControl w:val="off"/>
        <w:rPr>
          <w:rStyle w:val="821"/>
          <w:rFonts w:hint="eastAsia" w:ascii="宋体" w:hAnsi="宋体" w:eastAsia="宋体" w:cs="宋体"/>
          <w:bCs/>
          <w:color w:val="000000"/>
          <w:sz w:val="24"/>
          <w:szCs w:val="20"/>
          <w:highlight w:val="none"/>
          <w:lang w:val="en-US" w:eastAsia="zh-CN" w:bidi="ar-SA"/>
        </w:rPr>
      </w:pPr>
      <w:r>
        <w:rPr>
          <w:rStyle w:val="821"/>
          <w:rFonts w:hint="eastAsia" w:ascii="宋体" w:hAnsi="宋体" w:eastAsia="宋体" w:cs="宋体"/>
          <w:bCs/>
          <w:color w:val="000000"/>
          <w:sz w:val="24"/>
          <w:szCs w:val="20"/>
          <w:highlight w:val="none"/>
          <w:lang w:val="en-US" w:eastAsia="zh-CN" w:bidi="ar-SA"/>
        </w:rPr>
        <w:t xml:space="preserve">1.★部分为实质性要求，不接受负偏离。否则，作为无效标处理。</w:t>
      </w:r>
      <w:r/>
    </w:p>
    <w:p>
      <w:pPr>
        <w:ind w:firstLine="480"/>
        <w:jc w:val="both"/>
        <w:keepLines w:val="0"/>
        <w:keepNext w:val="0"/>
        <w:pageBreakBefore w:val="0"/>
        <w:spacing w:line="560" w:lineRule="exact"/>
        <w:widowControl w:val="off"/>
        <w:rPr>
          <w:rFonts w:hint="eastAsia" w:ascii="宋体" w:hAnsi="宋体" w:eastAsia="宋体" w:cs="宋体"/>
          <w:b/>
          <w:bCs/>
          <w:color w:val="000000"/>
          <w:sz w:val="24"/>
          <w:szCs w:val="24"/>
          <w:highlight w:val="none"/>
          <w:lang w:val="en-US" w:eastAsia="zh-CN" w:bidi="ar-SA"/>
        </w:rPr>
      </w:pPr>
      <w:r>
        <w:rPr>
          <w:rStyle w:val="821"/>
          <w:rFonts w:hint="eastAsia" w:ascii="宋体" w:hAnsi="宋体" w:eastAsia="宋体" w:cs="宋体"/>
          <w:bCs/>
          <w:color w:val="000000"/>
          <w:sz w:val="24"/>
          <w:szCs w:val="20"/>
          <w:highlight w:val="none"/>
          <w:lang w:val="en-US" w:eastAsia="zh-CN" w:bidi="ar-SA"/>
        </w:rPr>
        <w:t xml:space="preserve">2.本项目所涉及的均为推荐品牌，中标人选投非推荐品牌的，需提供相关资料证明其技术性能及质量等级等于或高于推荐品牌。</w:t>
      </w:r>
      <w:bookmarkEnd w:id="196"/>
      <w:r/>
      <w:r/>
    </w:p>
    <w:p>
      <w:pPr>
        <w:pStyle w:val="894"/>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rPr>
          <w:rFonts w:hint="eastAsia" w:ascii="宋体" w:hAnsi="宋体" w:eastAsia="宋体" w:cs="宋体"/>
          <w:b/>
          <w:bCs w:val="0"/>
          <w:color w:val="000000"/>
          <w:sz w:val="44"/>
          <w:highlight w:val="none"/>
        </w:rPr>
      </w:pPr>
      <w:r/>
      <w:bookmarkStart w:id="217" w:name="_Toc7441"/>
      <w:r>
        <w:rPr>
          <w:rFonts w:hint="eastAsia" w:ascii="宋体" w:hAnsi="宋体" w:eastAsia="宋体" w:cs="宋体"/>
          <w:b/>
          <w:bCs w:val="0"/>
          <w:color w:val="000000"/>
          <w:sz w:val="44"/>
          <w:highlight w:val="none"/>
        </w:rPr>
        <w:br w:type="page" w:clear="all"/>
      </w:r>
      <w:r/>
    </w:p>
    <w:p>
      <w:pPr>
        <w:pStyle w:val="811"/>
        <w:jc w:val="center"/>
        <w:shd w:val="clear" w:color="auto" w:fill="auto"/>
        <w:rPr>
          <w:rFonts w:hint="eastAsia" w:ascii="宋体" w:hAnsi="宋体" w:eastAsia="宋体" w:cs="宋体"/>
          <w:b/>
          <w:bCs w:val="0"/>
          <w:color w:val="000000"/>
          <w:sz w:val="44"/>
          <w:highlight w:val="none"/>
        </w:rPr>
      </w:pPr>
      <w:r/>
      <w:bookmarkStart w:id="218" w:name="_Toc30418"/>
      <w:r>
        <w:rPr>
          <w:rFonts w:hint="eastAsia" w:ascii="宋体" w:hAnsi="宋体" w:eastAsia="宋体" w:cs="宋体"/>
          <w:b/>
          <w:bCs w:val="0"/>
          <w:color w:val="000000"/>
          <w:sz w:val="44"/>
          <w:highlight w:val="none"/>
        </w:rPr>
        <w:t xml:space="preserve">第五章  评标方法与评标标准</w:t>
      </w:r>
      <w:bookmarkEnd w:id="217"/>
      <w:r/>
      <w:bookmarkEnd w:id="218"/>
      <w:r/>
      <w:r/>
    </w:p>
    <w:p>
      <w:pPr>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b/>
          <w:color w:val="000000"/>
          <w:sz w:val="28"/>
          <w:highlight w:val="none"/>
        </w:rPr>
        <w:t xml:space="preserve">一、资格审查。</w:t>
      </w:r>
      <w:r>
        <w:rPr>
          <w:rFonts w:hint="eastAsia" w:ascii="宋体" w:hAnsi="宋体" w:eastAsia="宋体" w:cs="宋体"/>
          <w:color w:val="000000"/>
          <w:sz w:val="24"/>
          <w:highlight w:val="none"/>
        </w:rPr>
        <w:t xml:space="preserve">资格审查人员按照下列指标对各投标人的资格进行审查，未通过审查的为无效标，不参与评标。</w:t>
      </w:r>
      <w:r/>
    </w:p>
    <w:tbl>
      <w:tblPr>
        <w:tblStyle w:val="787"/>
        <w:tblW w:w="5574" w:type="pct"/>
        <w:tblInd w:w="-49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7154"/>
        <w:gridCol w:w="2805"/>
      </w:tblGrid>
      <w:tr>
        <w:trPr/>
        <w:tc>
          <w:tcPr>
            <w:tcW w:w="3591"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资格审查因素</w:t>
            </w:r>
            <w:r/>
          </w:p>
        </w:tc>
        <w:tc>
          <w:tcPr>
            <w:tcW w:w="1408"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审查标准</w:t>
            </w:r>
            <w:r/>
          </w:p>
        </w:tc>
      </w:tr>
      <w:tr>
        <w:trPr/>
        <w:tc>
          <w:tcPr>
            <w:tcW w:w="3591"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投标声明及承诺函</w:t>
            </w:r>
            <w:r/>
          </w:p>
        </w:tc>
        <w:tc>
          <w:tcPr>
            <w:tcW w:w="1408"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符合招标文件要求</w:t>
            </w:r>
            <w:r/>
          </w:p>
        </w:tc>
      </w:tr>
      <w:tr>
        <w:trPr/>
        <w:tc>
          <w:tcPr>
            <w:tcW w:w="3591"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中小（微）企业或残疾人福利性单位声明函</w:t>
            </w:r>
            <w:r/>
          </w:p>
        </w:tc>
        <w:tc>
          <w:tcPr>
            <w:tcW w:w="1408"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符合招标文件要求</w:t>
            </w:r>
            <w:r/>
          </w:p>
        </w:tc>
      </w:tr>
      <w:tr>
        <w:trPr/>
        <w:tc>
          <w:tcPr>
            <w:tcW w:w="3591"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信用信息</w:t>
            </w:r>
            <w:r/>
          </w:p>
        </w:tc>
        <w:tc>
          <w:tcPr>
            <w:tcW w:w="1408"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符合招标文件要求</w:t>
            </w:r>
            <w:r/>
          </w:p>
        </w:tc>
      </w:tr>
    </w:tbl>
    <w:p>
      <w:pPr>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b/>
          <w:color w:val="000000"/>
          <w:sz w:val="28"/>
          <w:highlight w:val="none"/>
        </w:rPr>
        <w:t xml:space="preserve">二、符合性审查。</w:t>
      </w:r>
      <w:r>
        <w:rPr>
          <w:rFonts w:hint="eastAsia" w:ascii="宋体" w:hAnsi="宋体" w:eastAsia="宋体" w:cs="宋体"/>
          <w:color w:val="000000"/>
          <w:sz w:val="24"/>
          <w:highlight w:val="none"/>
        </w:rPr>
        <w:t xml:space="preserve">评标委员会首先按照下列指标对各投标人的投标文件进行符合性审查，未通过审查的为无效标，不再参与评审。</w:t>
      </w:r>
      <w:r/>
    </w:p>
    <w:tbl>
      <w:tblPr>
        <w:tblStyle w:val="787"/>
        <w:tblW w:w="5568" w:type="pct"/>
        <w:tblInd w:w="-48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7108"/>
        <w:gridCol w:w="2840"/>
      </w:tblGrid>
      <w:tr>
        <w:trPr/>
        <w:tc>
          <w:tcPr>
            <w:tcW w:w="3572"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符合性审查因素</w:t>
            </w:r>
            <w:r/>
          </w:p>
        </w:tc>
        <w:tc>
          <w:tcPr>
            <w:tcW w:w="1427"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审查标准</w:t>
            </w:r>
            <w:r/>
          </w:p>
        </w:tc>
      </w:tr>
      <w:tr>
        <w:trPr/>
        <w:tc>
          <w:tcPr>
            <w:tcW w:w="3572"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法定代表人身份证明或授权委托书</w:t>
            </w:r>
            <w:r/>
          </w:p>
        </w:tc>
        <w:tc>
          <w:tcPr>
            <w:tcW w:w="1427"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符合招标文件要求</w:t>
            </w:r>
            <w:r/>
          </w:p>
        </w:tc>
      </w:tr>
      <w:tr>
        <w:trPr/>
        <w:tc>
          <w:tcPr>
            <w:tcW w:w="3572"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投标报价</w:t>
            </w:r>
            <w:r/>
          </w:p>
        </w:tc>
        <w:tc>
          <w:tcPr>
            <w:tcW w:w="1427"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rPr>
              <w:t xml:space="preserve">符合</w:t>
            </w:r>
            <w:r>
              <w:rPr>
                <w:rFonts w:hint="eastAsia" w:ascii="宋体" w:hAnsi="宋体" w:eastAsia="宋体" w:cs="宋体"/>
                <w:color w:val="000000"/>
                <w:sz w:val="24"/>
                <w:szCs w:val="28"/>
                <w:highlight w:val="none"/>
                <w:lang w:val="en-US" w:eastAsia="zh-CN"/>
              </w:rPr>
              <w:t xml:space="preserve">相关规定</w:t>
            </w:r>
            <w:r/>
          </w:p>
        </w:tc>
      </w:tr>
      <w:tr>
        <w:trPr/>
        <w:tc>
          <w:tcPr>
            <w:tcW w:w="3572"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技术标准和要求</w:t>
            </w:r>
            <w:r/>
          </w:p>
        </w:tc>
        <w:tc>
          <w:tcPr>
            <w:tcW w:w="1427"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符合招标文件要求</w:t>
            </w:r>
            <w:r/>
          </w:p>
        </w:tc>
      </w:tr>
      <w:tr>
        <w:trPr/>
        <w:tc>
          <w:tcPr>
            <w:tcW w:w="3572"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其他</w:t>
            </w:r>
            <w:r/>
          </w:p>
        </w:tc>
        <w:tc>
          <w:tcPr>
            <w:tcW w:w="1427" w:type="dxa"/>
            <w:vAlign w:val="center"/>
            <w:textDirection w:val="lrTb"/>
            <w:noWrap w:val="false"/>
          </w:tcPr>
          <w:p>
            <w:pPr>
              <w:jc w:val="center"/>
              <w:keepLines w:val="0"/>
              <w:keepNext w:val="0"/>
              <w:pageBreakBefore w:val="0"/>
              <w:spacing w:line="400" w:lineRule="exact"/>
              <w:shd w:val="clear" w:color="auto" w:fill="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符合招标文件要求</w:t>
            </w:r>
            <w:r/>
          </w:p>
        </w:tc>
      </w:tr>
    </w:tbl>
    <w:p>
      <w:pPr>
        <w:keepLines w:val="0"/>
        <w:keepNext w:val="0"/>
        <w:pageBreakBefore w:val="0"/>
        <w:spacing w:line="400" w:lineRule="exact"/>
        <w:shd w:val="clear" w:color="auto" w:fill="auto"/>
        <w:widowControl/>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t xml:space="preserve">三、评分办法—综合评分法</w:t>
      </w:r>
      <w:r/>
    </w:p>
    <w:p>
      <w:pPr>
        <w:ind w:firstLine="241"/>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（一）评标办法：</w:t>
      </w:r>
      <w:r>
        <w:rPr>
          <w:rFonts w:hint="eastAsia" w:ascii="宋体" w:hAnsi="宋体" w:eastAsia="宋体" w:cs="宋体"/>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综合评分保留至小数点后两位。</w:t>
      </w:r>
      <w:r/>
    </w:p>
    <w:p>
      <w:pPr>
        <w:numPr>
          <w:ilvl w:val="0"/>
          <w:numId w:val="11"/>
        </w:numPr>
        <w:ind w:firstLine="241"/>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详细评审。</w:t>
      </w:r>
      <w:r>
        <w:rPr>
          <w:rFonts w:hint="eastAsia" w:ascii="宋体" w:hAnsi="宋体" w:eastAsia="宋体" w:cs="宋体"/>
          <w:color w:val="000000"/>
          <w:sz w:val="24"/>
          <w:highlight w:val="none"/>
        </w:rPr>
        <w:t xml:space="preserve">评标委员会按照招标文件规定的评分标准，对各投标文件进行详细评审打分。评标委员会组长对各评审专家的打分情况进行复核无误后汇总，形成评审报告。</w:t>
      </w:r>
      <w:r/>
    </w:p>
    <w:p>
      <w:pPr>
        <w:numPr>
          <w:ilvl w:val="0"/>
          <w:numId w:val="0"/>
        </w:numPr>
        <w:keepLines w:val="0"/>
        <w:keepNext w:val="0"/>
        <w:pageBreakBefore w:val="0"/>
        <w:spacing w:line="400" w:lineRule="exact"/>
        <w:shd w:val="clear" w:color="auto" w:fill="auto"/>
        <w:widowControl/>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分包一：</w:t>
      </w:r>
      <w:r/>
    </w:p>
    <w:tbl>
      <w:tblPr>
        <w:tblStyle w:val="787"/>
        <w:tblW w:w="4983" w:type="pct"/>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26"/>
        <w:gridCol w:w="2031"/>
        <w:gridCol w:w="892"/>
        <w:gridCol w:w="4444"/>
      </w:tblGrid>
      <w:tr>
        <w:trPr/>
        <w:tc>
          <w:tcPr>
            <w:gridSpan w:val="2"/>
            <w:tcW w:w="3569" w:type="dxa"/>
            <w:vAlign w:val="center"/>
            <w:textDirection w:val="lrTb"/>
            <w:noWrap w:val="false"/>
          </w:tcPr>
          <w:p>
            <w:pPr>
              <w:jc w:val="center"/>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评审因素</w:t>
            </w:r>
            <w:r/>
          </w:p>
        </w:tc>
        <w:tc>
          <w:tcPr>
            <w:tcW w:w="894" w:type="dxa"/>
            <w:vAlign w:val="center"/>
            <w:textDirection w:val="lrTb"/>
            <w:noWrap w:val="false"/>
          </w:tcPr>
          <w:p>
            <w:pPr>
              <w:jc w:val="center"/>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分数</w:t>
            </w:r>
            <w:r/>
          </w:p>
        </w:tc>
        <w:tc>
          <w:tcPr>
            <w:tcW w:w="4460" w:type="dxa"/>
            <w:vAlign w:val="center"/>
            <w:textDirection w:val="lrTb"/>
            <w:noWrap w:val="false"/>
          </w:tcPr>
          <w:p>
            <w:pPr>
              <w:jc w:val="center"/>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评审标准</w:t>
            </w:r>
            <w:r/>
          </w:p>
        </w:tc>
      </w:tr>
      <w:tr>
        <w:trPr/>
        <w:tc>
          <w:tcPr>
            <w:tcW w:w="1531"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报价分</w:t>
            </w:r>
            <w:r/>
          </w:p>
        </w:tc>
        <w:tc>
          <w:tcPr>
            <w:tcW w:w="2038"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投标报价</w:t>
            </w:r>
            <w:r/>
          </w:p>
        </w:tc>
        <w:tc>
          <w:tcPr>
            <w:tcW w:w="894"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30.00分</w:t>
            </w:r>
            <w:r/>
          </w:p>
        </w:tc>
        <w:tc>
          <w:tcPr>
            <w:tcW w:w="446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采用低价优先法计算，即满足招标文件要求且投标价格最低的投标报价为评标基准价，其价格分为满分。其他投标人投标报价得分＝（评标基准价/投标报价）*30。</w:t>
            </w:r>
            <w:r/>
          </w:p>
        </w:tc>
      </w:tr>
      <w:tr>
        <w:trPr/>
        <w:tc>
          <w:tcPr>
            <w:tcW w:w="1531"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技术响应</w:t>
            </w:r>
            <w:r/>
          </w:p>
        </w:tc>
        <w:tc>
          <w:tcPr>
            <w:tcW w:w="2038"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技术参数响应</w:t>
            </w:r>
            <w:r/>
          </w:p>
        </w:tc>
        <w:tc>
          <w:tcPr>
            <w:tcW w:w="894"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30.00分</w:t>
            </w:r>
            <w:r/>
          </w:p>
        </w:tc>
        <w:tc>
          <w:tcPr>
            <w:tcW w:w="4460" w:type="dxa"/>
            <w:vAlign w:val="center"/>
            <w:textDirection w:val="lrTb"/>
            <w:noWrap w:val="false"/>
          </w:tcPr>
          <w:p>
            <w:pPr>
              <w:ind w:left="0" w:right="0" w:firstLine="0"/>
              <w:jc w:val="both"/>
              <w:spacing w:before="0" w:after="0"/>
              <w:widowControl w:val="off"/>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针对招标文件“第四章、采购需求”中的“二、采购清单及技术要求</w:t>
            </w:r>
            <w:r>
              <w:rPr>
                <w:rFonts w:hint="eastAsia" w:ascii="宋体" w:hAnsi="宋体" w:eastAsia="宋体" w:cs="宋体"/>
                <w:color w:val="000000"/>
                <w:sz w:val="21"/>
                <w:szCs w:val="21"/>
                <w:highlight w:val="none"/>
                <w:lang w:val="en-US" w:eastAsia="zh-CN"/>
              </w:rPr>
              <w:t xml:space="preserve">分包一</w:t>
            </w:r>
            <w:r>
              <w:rPr>
                <w:rFonts w:ascii="宋体" w:hAnsi="宋体" w:eastAsia="宋体" w:cs="宋体"/>
                <w:color w:val="000000"/>
                <w:sz w:val="21"/>
                <w:szCs w:val="21"/>
                <w:highlight w:val="none"/>
              </w:rPr>
              <w:t xml:space="preserve">所列内容进行评分，投标人所投产品的技术性能、功能、参数、规格等能够完全满足招标文件要求的得基本分</w:t>
            </w:r>
            <w:r>
              <w:rPr>
                <w:rFonts w:ascii="Times New Roman" w:hAnsi="Times New Roman" w:eastAsia="Times New Roman" w:cs="Times New Roman"/>
                <w:color w:val="000000"/>
                <w:sz w:val="21"/>
                <w:szCs w:val="21"/>
                <w:highlight w:val="none"/>
              </w:rPr>
              <w:t xml:space="preserve">30</w:t>
            </w:r>
            <w:r>
              <w:rPr>
                <w:rFonts w:ascii="宋体" w:hAnsi="宋体" w:eastAsia="宋体" w:cs="宋体"/>
                <w:color w:val="000000"/>
                <w:sz w:val="21"/>
                <w:szCs w:val="21"/>
                <w:highlight w:val="none"/>
              </w:rPr>
              <w:t xml:space="preserve">分。每有一项负偏离扣</w:t>
            </w:r>
            <w:r>
              <w:rPr>
                <w:rFonts w:ascii="Times New Roman" w:hAnsi="Times New Roman" w:eastAsia="Times New Roman" w:cs="Times New Roman"/>
                <w:color w:val="000000"/>
                <w:sz w:val="21"/>
                <w:szCs w:val="21"/>
                <w:highlight w:val="none"/>
              </w:rPr>
              <w:t xml:space="preserve">1</w:t>
            </w:r>
            <w:r>
              <w:rPr>
                <w:rFonts w:ascii="宋体" w:hAnsi="宋体" w:eastAsia="宋体" w:cs="宋体"/>
                <w:color w:val="000000"/>
                <w:sz w:val="21"/>
                <w:szCs w:val="21"/>
                <w:highlight w:val="none"/>
              </w:rPr>
              <w:t xml:space="preserve">分，扣完为止，本项最低得</w:t>
            </w:r>
            <w:r>
              <w:rPr>
                <w:rFonts w:ascii="Times New Roman" w:hAnsi="Times New Roman" w:eastAsia="Times New Roman" w:cs="Times New Roman"/>
                <w:color w:val="000000"/>
                <w:sz w:val="21"/>
                <w:szCs w:val="21"/>
                <w:highlight w:val="none"/>
              </w:rPr>
              <w:t xml:space="preserve">0</w:t>
            </w:r>
            <w:r>
              <w:rPr>
                <w:rFonts w:ascii="宋体" w:hAnsi="宋体" w:eastAsia="宋体" w:cs="宋体"/>
                <w:color w:val="000000"/>
                <w:sz w:val="21"/>
                <w:szCs w:val="21"/>
                <w:highlight w:val="none"/>
              </w:rPr>
              <w:t xml:space="preserve">分，最高得</w:t>
            </w:r>
            <w:r>
              <w:rPr>
                <w:rFonts w:ascii="Times New Roman" w:hAnsi="Times New Roman" w:eastAsia="Times New Roman" w:cs="Times New Roman"/>
                <w:color w:val="000000"/>
                <w:sz w:val="21"/>
                <w:szCs w:val="21"/>
                <w:highlight w:val="none"/>
              </w:rPr>
              <w:t xml:space="preserve">30</w:t>
            </w:r>
            <w:r>
              <w:rPr>
                <w:rFonts w:ascii="宋体" w:hAnsi="宋体" w:eastAsia="宋体" w:cs="宋体"/>
                <w:color w:val="000000"/>
                <w:sz w:val="21"/>
                <w:szCs w:val="21"/>
                <w:highlight w:val="none"/>
              </w:rPr>
              <w:t xml:space="preserve">分。</w:t>
            </w:r>
            <w:r/>
          </w:p>
          <w:p>
            <w:pPr>
              <w:jc w:val="left"/>
              <w:widowControl w:val="off"/>
              <w:rPr>
                <w:rFonts w:ascii="Times New Roman" w:hAnsi="Times New Roman" w:eastAsia="宋体" w:cs="Times New Roman"/>
                <w:color w:val="000000"/>
                <w:szCs w:val="21"/>
                <w:highlight w:val="none"/>
              </w:rPr>
            </w:pPr>
            <w:r>
              <w:rPr>
                <w:rFonts w:ascii="宋体" w:hAnsi="宋体" w:eastAsia="宋体" w:cs="宋体"/>
                <w:color w:val="000000"/>
                <w:sz w:val="21"/>
                <w:szCs w:val="21"/>
                <w:highlight w:val="none"/>
              </w:rPr>
              <w:t xml:space="preserve">注：</w:t>
            </w:r>
            <w:r>
              <w:rPr>
                <w:rFonts w:ascii="Times New Roman" w:hAnsi="Times New Roman" w:eastAsia="Times New Roman" w:cs="Times New Roman"/>
                <w:color w:val="000000"/>
                <w:sz w:val="21"/>
                <w:szCs w:val="21"/>
                <w:highlight w:val="none"/>
              </w:rPr>
              <w:t xml:space="preserve">1</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投标人</w:t>
            </w:r>
            <w:r>
              <w:rPr>
                <w:rFonts w:ascii="宋体" w:hAnsi="宋体" w:eastAsia="宋体" w:cs="宋体"/>
                <w:color w:val="000000"/>
                <w:sz w:val="21"/>
                <w:szCs w:val="21"/>
                <w:highlight w:val="none"/>
              </w:rPr>
              <w:t xml:space="preserve">针对本项评标内容在响应文件《技术要求响应及偏离表》中逐条列出响应及偏离情况；</w:t>
            </w:r>
            <w:r>
              <w:rPr>
                <w:rFonts w:ascii="Times New Roman" w:hAnsi="Times New Roman" w:eastAsia="Times New Roman" w:cs="Times New Roman"/>
                <w:color w:val="000000"/>
                <w:sz w:val="21"/>
                <w:szCs w:val="21"/>
                <w:highlight w:val="none"/>
              </w:rPr>
              <w:t xml:space="preserve">2</w:t>
            </w:r>
            <w:r>
              <w:rPr>
                <w:rFonts w:ascii="宋体" w:hAnsi="宋体" w:eastAsia="宋体" w:cs="宋体"/>
                <w:color w:val="000000"/>
                <w:sz w:val="21"/>
                <w:szCs w:val="21"/>
                <w:highlight w:val="none"/>
              </w:rPr>
              <w:t xml:space="preserve">、采购需求中未要求提供证明材料的，以《技术要求响应及偏离表》为准。未按要求提供证明材料或未在技术要求响应及偏离表中列明偏离情况的对应项按负偏离进行扣分处理。</w:t>
            </w:r>
            <w:r>
              <w:rPr>
                <w:rFonts w:hint="eastAsia" w:ascii="Times New Roman" w:hAnsi="Times New Roman" w:eastAsia="宋体" w:cs="Times New Roman"/>
                <w:color w:val="000000"/>
                <w:sz w:val="21"/>
                <w:szCs w:val="21"/>
                <w:highlight w:val="none"/>
                <w:lang w:val="en-US" w:eastAsia="zh-CN"/>
              </w:rPr>
              <w:t xml:space="preserve">3</w:t>
            </w:r>
            <w:r>
              <w:rPr>
                <w:rFonts w:ascii="宋体" w:hAnsi="宋体" w:eastAsia="宋体" w:cs="宋体"/>
                <w:color w:val="000000"/>
                <w:sz w:val="21"/>
                <w:szCs w:val="21"/>
                <w:highlight w:val="none"/>
              </w:rPr>
              <w:t xml:space="preserve">、</w:t>
            </w:r>
            <w:r>
              <w:rPr>
                <w:rFonts w:ascii="Times New Roman" w:hAnsi="Times New Roman" w:eastAsia="Times New Roman" w:cs="Times New Roman"/>
                <w:color w:val="000000"/>
                <w:sz w:val="21"/>
                <w:szCs w:val="21"/>
                <w:highlight w:val="none"/>
              </w:rPr>
              <w:t xml:space="preserve">★</w:t>
            </w:r>
            <w:r>
              <w:rPr>
                <w:rFonts w:ascii="宋体" w:hAnsi="宋体" w:eastAsia="宋体" w:cs="宋体"/>
                <w:color w:val="000000"/>
                <w:sz w:val="21"/>
                <w:szCs w:val="21"/>
                <w:highlight w:val="none"/>
              </w:rPr>
              <w:t xml:space="preserve">号部分为实质性</w:t>
            </w:r>
            <w:r>
              <w:rPr>
                <w:rFonts w:hint="eastAsia" w:ascii="宋体" w:hAnsi="宋体" w:eastAsia="宋体" w:cs="宋体"/>
                <w:color w:val="000000"/>
                <w:sz w:val="21"/>
                <w:szCs w:val="21"/>
                <w:highlight w:val="none"/>
                <w:lang w:eastAsia="zh-CN"/>
              </w:rPr>
              <w:t xml:space="preserve">响应</w:t>
            </w:r>
            <w:r>
              <w:rPr>
                <w:rFonts w:ascii="宋体" w:hAnsi="宋体" w:eastAsia="宋体" w:cs="宋体"/>
                <w:color w:val="000000"/>
                <w:sz w:val="21"/>
                <w:szCs w:val="21"/>
                <w:highlight w:val="none"/>
              </w:rPr>
              <w:t xml:space="preserve">不接受负偏离，否则作无效投标处理。</w:t>
            </w:r>
            <w:r/>
          </w:p>
        </w:tc>
      </w:tr>
      <w:tr>
        <w:trPr/>
        <w:tc>
          <w:tcPr>
            <w:tcW w:w="1531" w:type="dxa"/>
            <w:vAlign w:val="center"/>
            <w:vMerge w:val="restart"/>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企业经营业绩、信誉</w:t>
            </w:r>
            <w:r/>
          </w:p>
        </w:tc>
        <w:tc>
          <w:tcPr>
            <w:tcW w:w="2038"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企业业绩</w:t>
            </w:r>
            <w:r/>
          </w:p>
        </w:tc>
        <w:tc>
          <w:tcPr>
            <w:tcW w:w="894"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6.00分</w:t>
            </w:r>
            <w:r/>
          </w:p>
        </w:tc>
        <w:tc>
          <w:tcPr>
            <w:tcW w:w="446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rPr>
                <w:rFonts w:ascii="SimSun" w:hAnsi="SimSun" w:eastAsia="SimSun" w:cs="SimSun"/>
                <w:color w:val="000000"/>
                <w:sz w:val="21"/>
              </w:rPr>
              <w:t xml:space="preserve">投标人具有近三年内完成的类似本项目的新生儿科医疗设备采购业绩</w:t>
            </w:r>
            <w:r>
              <w:rPr>
                <w:rFonts w:ascii="Times New Roman" w:hAnsi="Times New Roman" w:eastAsia="宋体" w:cs="Times New Roman"/>
                <w:color w:val="000000"/>
                <w:szCs w:val="21"/>
                <w:highlight w:val="none"/>
              </w:rPr>
              <w:t xml:space="preserve">，每有一个得2分，最高得6分。（业绩须同时提供项目中标通知书、合同和甲方出具的验收合格材料复印件加盖公章，且业绩合同中主要内容、标的、金额等清晰可见，否则该业绩不得分）。</w:t>
            </w:r>
            <w:r/>
          </w:p>
        </w:tc>
      </w:tr>
      <w:tr>
        <w:trPr/>
        <w:tc>
          <w:tcPr>
            <w:tcW w:w="1531" w:type="dxa"/>
            <w:vAlign w:val="center"/>
            <w:vMerge w:val="continue"/>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038"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企业荣誉、证书及综合实力</w:t>
            </w:r>
            <w:r/>
          </w:p>
        </w:tc>
        <w:tc>
          <w:tcPr>
            <w:tcW w:w="894"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4</w:t>
            </w:r>
            <w:r>
              <w:rPr>
                <w:rFonts w:ascii="Times New Roman" w:hAnsi="Times New Roman" w:eastAsia="宋体" w:cs="Times New Roman"/>
                <w:color w:val="000000"/>
                <w:szCs w:val="21"/>
                <w:highlight w:val="none"/>
              </w:rPr>
              <w:t xml:space="preserve">.00分</w:t>
            </w:r>
            <w:r/>
          </w:p>
        </w:tc>
        <w:tc>
          <w:tcPr>
            <w:tcW w:w="446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t xml:space="preserve">投标</w:t>
            </w:r>
            <w:r>
              <w:rPr>
                <w:rFonts w:hint="eastAsia" w:ascii="Times New Roman" w:hAnsi="Times New Roman" w:eastAsia="宋体" w:cs="Times New Roman"/>
                <w:color w:val="000000"/>
                <w:szCs w:val="21"/>
                <w:highlight w:val="none"/>
                <w:lang w:val="en-US" w:eastAsia="zh-CN"/>
              </w:rPr>
              <w:t xml:space="preserve">产品</w:t>
            </w:r>
            <w:r>
              <w:rPr>
                <w:rFonts w:ascii="Times New Roman" w:hAnsi="Times New Roman" w:eastAsia="宋体" w:cs="Times New Roman"/>
                <w:color w:val="000000"/>
                <w:szCs w:val="21"/>
                <w:highlight w:val="none"/>
              </w:rPr>
              <w:t xml:space="preserve">提供有效期内的质量体系认证、环境管理体系认证、职业健康安全管理体系认证</w:t>
            </w:r>
            <w:r>
              <w:rPr>
                <w:rFonts w:hint="eastAsia" w:ascii="Times New Roman" w:hAnsi="Times New Roman" w:eastAsia="宋体" w:cs="Times New Roman"/>
                <w:color w:val="000000"/>
                <w:szCs w:val="21"/>
                <w:highlight w:val="none"/>
                <w:lang w:eastAsia="zh-CN"/>
              </w:rPr>
              <w:t xml:space="preserve">的</w:t>
            </w:r>
            <w:r>
              <w:rPr>
                <w:rFonts w:ascii="Times New Roman" w:hAnsi="Times New Roman" w:eastAsia="宋体" w:cs="Times New Roman"/>
                <w:color w:val="000000"/>
                <w:szCs w:val="21"/>
                <w:highlight w:val="none"/>
              </w:rPr>
              <w:t xml:space="preserve">每有一个得</w:t>
            </w:r>
            <w:r>
              <w:rPr>
                <w:rFonts w:hint="eastAsia"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t xml:space="preserve">分，最高得</w:t>
            </w:r>
            <w:r>
              <w:rPr>
                <w:rFonts w:hint="eastAsia"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rPr>
              <w:t xml:space="preserve">分。</w:t>
            </w:r>
            <w:r/>
          </w:p>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rPr>
              <w:t xml:space="preserve">、投标</w:t>
            </w:r>
            <w:r>
              <w:rPr>
                <w:rFonts w:hint="eastAsia" w:ascii="Times New Roman" w:hAnsi="Times New Roman" w:eastAsia="宋体" w:cs="Times New Roman"/>
                <w:color w:val="000000"/>
                <w:szCs w:val="21"/>
                <w:highlight w:val="none"/>
                <w:lang w:val="en-US" w:eastAsia="zh-CN"/>
              </w:rPr>
              <w:t xml:space="preserve">产品</w:t>
            </w:r>
            <w:r>
              <w:rPr>
                <w:rFonts w:ascii="Times New Roman" w:hAnsi="Times New Roman" w:eastAsia="宋体" w:cs="Times New Roman"/>
                <w:color w:val="000000"/>
                <w:szCs w:val="21"/>
                <w:highlight w:val="none"/>
              </w:rPr>
              <w:t xml:space="preserve">获得中国绿色材料标志授权使用证书的得</w:t>
            </w:r>
            <w:r>
              <w:rPr>
                <w:rFonts w:hint="eastAsia"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t xml:space="preserve">分。</w:t>
            </w:r>
            <w:r/>
          </w:p>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以上提供相关证书材料原件扫描件加盖公章，未提供不得分。</w:t>
            </w:r>
            <w:r/>
          </w:p>
        </w:tc>
      </w:tr>
      <w:tr>
        <w:trPr/>
        <w:tc>
          <w:tcPr>
            <w:tcW w:w="1531" w:type="dxa"/>
            <w:vAlign w:val="center"/>
            <w:vMerge w:val="continue"/>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038"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节能环保</w:t>
            </w:r>
            <w:r/>
          </w:p>
        </w:tc>
        <w:tc>
          <w:tcPr>
            <w:tcW w:w="894"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2.00分</w:t>
            </w:r>
            <w:r/>
          </w:p>
        </w:tc>
        <w:tc>
          <w:tcPr>
            <w:tcW w:w="446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w:t>
            </w:r>
            <w:r/>
          </w:p>
        </w:tc>
      </w:tr>
      <w:tr>
        <w:trPr/>
        <w:tc>
          <w:tcPr>
            <w:tcW w:w="1531" w:type="dxa"/>
            <w:vAlign w:val="center"/>
            <w:vMerge w:val="restart"/>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项目实施方案</w:t>
            </w:r>
            <w:r/>
          </w:p>
        </w:tc>
        <w:tc>
          <w:tcPr>
            <w:tcW w:w="2038"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项目实施方案</w:t>
            </w:r>
            <w:r/>
          </w:p>
        </w:tc>
        <w:tc>
          <w:tcPr>
            <w:tcW w:w="894"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9</w:t>
            </w:r>
            <w:r>
              <w:rPr>
                <w:rFonts w:ascii="Times New Roman" w:hAnsi="Times New Roman" w:eastAsia="宋体" w:cs="Times New Roman"/>
                <w:color w:val="000000"/>
                <w:szCs w:val="21"/>
                <w:highlight w:val="none"/>
              </w:rPr>
              <w:t xml:space="preserve">.00分</w:t>
            </w:r>
            <w:r/>
          </w:p>
        </w:tc>
        <w:tc>
          <w:tcPr>
            <w:tcW w:w="446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提供项目实施方案，包括实施项目供货计划、安装工期安排、安装技术人员配备、现场安装流程、安装质量要求、项目验收方案等进行打分，工作内容符合实际、结构严谨、内容完整详实、能够针对采购项目内容要求而细化制定、项目实施运行机制健全且优于采购需求的得</w:t>
            </w:r>
            <w:r>
              <w:rPr>
                <w:rFonts w:ascii="Times New Roman" w:hAnsi="Times New Roman" w:eastAsia="Times New Roman" w:cs="Times New Roman"/>
                <w:color w:val="000000"/>
                <w:sz w:val="21"/>
                <w:highlight w:val="none"/>
              </w:rPr>
              <w:t xml:space="preserve">9</w:t>
            </w:r>
            <w:r>
              <w:rPr>
                <w:rFonts w:ascii="宋体" w:hAnsi="宋体" w:eastAsia="宋体" w:cs="宋体"/>
                <w:color w:val="000000"/>
                <w:sz w:val="21"/>
                <w:highlight w:val="none"/>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highlight w:val="none"/>
              </w:rPr>
              <w:t xml:space="preserve">6</w:t>
            </w:r>
            <w:r>
              <w:rPr>
                <w:rFonts w:ascii="宋体" w:hAnsi="宋体" w:eastAsia="宋体" w:cs="宋体"/>
                <w:color w:val="000000"/>
                <w:sz w:val="21"/>
                <w:highlight w:val="none"/>
              </w:rPr>
              <w:t xml:space="preserve">分；有项目实施方案、但方案内容笼统、针对本项目制定未细致、但承诺经过优化可实现采购需求的得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分，没有内容或其情况不满足招标文件需求的不得分。</w:t>
            </w:r>
            <w:r/>
          </w:p>
        </w:tc>
      </w:tr>
      <w:tr>
        <w:trPr/>
        <w:tc>
          <w:tcPr>
            <w:tcW w:w="1531" w:type="dxa"/>
            <w:vAlign w:val="center"/>
            <w:vMerge w:val="continue"/>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038"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管理力量、技术人员安排</w:t>
            </w:r>
            <w:r/>
          </w:p>
        </w:tc>
        <w:tc>
          <w:tcPr>
            <w:tcW w:w="894"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6</w:t>
            </w:r>
            <w:r>
              <w:rPr>
                <w:rFonts w:ascii="Times New Roman" w:hAnsi="Times New Roman" w:eastAsia="宋体" w:cs="Times New Roman"/>
                <w:color w:val="000000"/>
                <w:szCs w:val="21"/>
                <w:highlight w:val="none"/>
              </w:rPr>
              <w:t xml:space="preserve">.00分</w:t>
            </w:r>
            <w:r/>
          </w:p>
        </w:tc>
        <w:tc>
          <w:tcPr>
            <w:tcW w:w="446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五、其他要求提供拟投入本项目人员管理及人员配备情况和使用计划进行打分。人员安排充足且合理、管理机构健全程度高、技术人员综合能力强、项目安装期仓储和车辆调度效率高的得</w:t>
            </w:r>
            <w:r>
              <w:rPr>
                <w:rFonts w:ascii="Times New Roman" w:hAnsi="Times New Roman" w:eastAsia="Times New Roman" w:cs="Times New Roman"/>
                <w:color w:val="000000"/>
                <w:sz w:val="21"/>
                <w:highlight w:val="none"/>
              </w:rPr>
              <w:t xml:space="preserve">6</w:t>
            </w:r>
            <w:r>
              <w:rPr>
                <w:rFonts w:ascii="宋体" w:hAnsi="宋体" w:eastAsia="宋体" w:cs="宋体"/>
                <w:color w:val="000000"/>
                <w:sz w:val="21"/>
                <w:highlight w:val="none"/>
              </w:rPr>
              <w:t xml:space="preserve">分；人员安排充足、管理机构健全、技术人员配置一般、有安装期暂存点的得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分；人员安排一般、管理机构不全、技术人员配置不到位、项目安装期无暂存点的得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分。本项最高得</w:t>
            </w:r>
            <w:r>
              <w:rPr>
                <w:rFonts w:ascii="Times New Roman" w:hAnsi="Times New Roman" w:eastAsia="Times New Roman" w:cs="Times New Roman"/>
                <w:color w:val="000000"/>
                <w:sz w:val="21"/>
                <w:highlight w:val="none"/>
              </w:rPr>
              <w:t xml:space="preserve">6</w:t>
            </w:r>
            <w:r>
              <w:rPr>
                <w:rFonts w:ascii="宋体" w:hAnsi="宋体" w:eastAsia="宋体" w:cs="宋体"/>
                <w:color w:val="000000"/>
                <w:sz w:val="21"/>
                <w:highlight w:val="none"/>
              </w:rPr>
              <w:t xml:space="preserve">分，没有内容的不得分。</w:t>
            </w:r>
            <w:r/>
          </w:p>
        </w:tc>
      </w:tr>
      <w:tr>
        <w:trPr/>
        <w:tc>
          <w:tcPr>
            <w:tcW w:w="1531" w:type="dxa"/>
            <w:vAlign w:val="center"/>
            <w:vMerge w:val="continue"/>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038"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应急响应方案</w:t>
            </w:r>
            <w:r/>
          </w:p>
        </w:tc>
        <w:tc>
          <w:tcPr>
            <w:tcW w:w="894"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5.00分</w:t>
            </w:r>
            <w:r/>
          </w:p>
        </w:tc>
        <w:tc>
          <w:tcPr>
            <w:tcW w:w="446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提供应急响应方案，投标人在运输，安装和交付使用后，可能发生的紧急情况具有完善的应急响应方案，投标人须详尽的列明不可预见的情况并提供针对此情况发生后的响应方案，评委会根据采购需求对投标人所投方案内容进行打分，应急响应方案健全且优于采购需求的得</w:t>
            </w:r>
            <w:r>
              <w:rPr>
                <w:rFonts w:ascii="Times New Roman" w:hAnsi="Times New Roman" w:eastAsia="Times New Roman" w:cs="Times New Roman"/>
                <w:color w:val="000000"/>
                <w:sz w:val="21"/>
                <w:highlight w:val="none"/>
              </w:rPr>
              <w:t xml:space="preserve">5</w:t>
            </w:r>
            <w:r>
              <w:rPr>
                <w:rFonts w:ascii="宋体" w:hAnsi="宋体" w:eastAsia="宋体" w:cs="宋体"/>
                <w:color w:val="000000"/>
                <w:sz w:val="21"/>
                <w:highlight w:val="none"/>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分；有应急响应方案、但方案内容笼统、针对本项目制定未细致、但承诺经过优化可实现采购需求的得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分，没有内容或其情况不满足招标文件需求的不得分。</w:t>
            </w:r>
            <w:r/>
          </w:p>
        </w:tc>
      </w:tr>
      <w:tr>
        <w:trPr/>
        <w:tc>
          <w:tcPr>
            <w:tcW w:w="1531"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其他</w:t>
            </w:r>
            <w:r/>
          </w:p>
        </w:tc>
        <w:tc>
          <w:tcPr>
            <w:tcW w:w="2038"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售后服务</w:t>
            </w:r>
            <w:r/>
          </w:p>
        </w:tc>
        <w:tc>
          <w:tcPr>
            <w:tcW w:w="894"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8</w:t>
            </w:r>
            <w:r>
              <w:rPr>
                <w:rFonts w:ascii="Times New Roman" w:hAnsi="Times New Roman" w:eastAsia="宋体" w:cs="Times New Roman"/>
                <w:color w:val="000000"/>
                <w:szCs w:val="21"/>
                <w:highlight w:val="none"/>
              </w:rPr>
              <w:t xml:space="preserve">.00分</w:t>
            </w:r>
            <w:r/>
          </w:p>
        </w:tc>
        <w:tc>
          <w:tcPr>
            <w:tcW w:w="446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制定售后服务方案：具有完善的售后服务管理体系，提供包含服务范围、响应时间以及质保期满后主要产品、配件优惠方案、完整的售后服务方案、地面处理建议方案等。方案详细、响应及时、服务体系完整的得</w:t>
            </w:r>
            <w:r>
              <w:rPr>
                <w:rFonts w:ascii="Times New Roman" w:hAnsi="Times New Roman" w:eastAsia="Times New Roman" w:cs="Times New Roman"/>
                <w:color w:val="000000"/>
                <w:sz w:val="21"/>
                <w:highlight w:val="none"/>
              </w:rPr>
              <w:t xml:space="preserve">8</w:t>
            </w:r>
            <w:r>
              <w:rPr>
                <w:rFonts w:ascii="宋体" w:hAnsi="宋体" w:eastAsia="宋体" w:cs="宋体"/>
                <w:color w:val="000000"/>
                <w:sz w:val="21"/>
                <w:highlight w:val="none"/>
              </w:rPr>
              <w:t xml:space="preserve">分；方案详细、服务范围广泛、响应虽有滞后性，服务体系完整，但能基本确保稳定运行的得</w:t>
            </w:r>
            <w:r>
              <w:rPr>
                <w:rFonts w:ascii="Times New Roman" w:hAnsi="Times New Roman" w:eastAsia="Times New Roman" w:cs="Times New Roman"/>
                <w:color w:val="000000"/>
                <w:sz w:val="21"/>
                <w:highlight w:val="none"/>
              </w:rPr>
              <w:t xml:space="preserve">4</w:t>
            </w:r>
            <w:r>
              <w:rPr>
                <w:rFonts w:ascii="宋体" w:hAnsi="宋体" w:eastAsia="宋体" w:cs="宋体"/>
                <w:color w:val="000000"/>
                <w:sz w:val="21"/>
                <w:highlight w:val="none"/>
              </w:rPr>
              <w:t xml:space="preserve">分；方案粗略、服务范围狭窄、响应滞后、服务体系虽完整，但缺乏有效保障稳定运行的措施的得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分，没有内容或其情况不满足招标文件需求的不得分。</w:t>
            </w:r>
            <w:r/>
          </w:p>
        </w:tc>
      </w:tr>
    </w:tbl>
    <w:p>
      <w:pPr>
        <w:pStyle w:val="832"/>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p>
      <w:pPr>
        <w:pStyle w:val="832"/>
        <w:rPr>
          <w:rFonts w:hint="eastAsia" w:ascii="宋体" w:hAnsi="宋体" w:eastAsia="宋体" w:cs="宋体"/>
          <w:color w:val="000000"/>
          <w:highlight w:val="none"/>
        </w:rPr>
      </w:pPr>
      <w:r>
        <w:rPr>
          <w:rFonts w:hint="eastAsia" w:ascii="宋体" w:hAnsi="宋体" w:eastAsia="宋体" w:cs="宋体"/>
          <w:b/>
          <w:bCs/>
          <w:color w:val="000000"/>
          <w:sz w:val="24"/>
          <w:highlight w:val="none"/>
          <w:lang w:val="en-US" w:eastAsia="zh-CN"/>
        </w:rPr>
        <w:t xml:space="preserve">分包二：</w:t>
      </w:r>
      <w:r/>
    </w:p>
    <w:tbl>
      <w:tblPr>
        <w:tblStyle w:val="787"/>
        <w:tblW w:w="5009" w:type="pct"/>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34"/>
        <w:gridCol w:w="2041"/>
        <w:gridCol w:w="896"/>
        <w:gridCol w:w="4468"/>
      </w:tblGrid>
      <w:tr>
        <w:trPr/>
        <w:tc>
          <w:tcPr>
            <w:gridSpan w:val="2"/>
            <w:tcW w:w="3593" w:type="dxa"/>
            <w:vAlign w:val="center"/>
            <w:textDirection w:val="lrTb"/>
            <w:noWrap w:val="false"/>
          </w:tcPr>
          <w:p>
            <w:pPr>
              <w:jc w:val="center"/>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评审因素</w:t>
            </w:r>
            <w:r/>
          </w:p>
        </w:tc>
        <w:tc>
          <w:tcPr>
            <w:tcW w:w="500" w:type="dxa"/>
            <w:vAlign w:val="center"/>
            <w:textDirection w:val="lrTb"/>
            <w:noWrap w:val="false"/>
          </w:tcPr>
          <w:p>
            <w:pPr>
              <w:jc w:val="center"/>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分数</w:t>
            </w:r>
            <w:r/>
          </w:p>
        </w:tc>
        <w:tc>
          <w:tcPr>
            <w:tcW w:w="2500" w:type="dxa"/>
            <w:vAlign w:val="center"/>
            <w:textDirection w:val="lrTb"/>
            <w:noWrap w:val="false"/>
          </w:tcPr>
          <w:p>
            <w:pPr>
              <w:jc w:val="center"/>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评审标准</w:t>
            </w:r>
            <w:r/>
          </w:p>
        </w:tc>
      </w:tr>
      <w:tr>
        <w:trPr/>
        <w:tc>
          <w:tcPr>
            <w:tcW w:w="1541"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报价分</w:t>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投标报价</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30.00分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采用低价优先法计算，即满足招标文件要求且投标价格最低的投标报价为评标基准价，其价格分为满分。其他投标人投标报价得分＝（评标基准价/投标报价）*30。 </w:t>
            </w:r>
            <w:r/>
          </w:p>
        </w:tc>
      </w:tr>
      <w:tr>
        <w:trPr/>
        <w:tc>
          <w:tcPr>
            <w:tcW w:w="1541"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技术响应</w:t>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技术参数响应</w:t>
            </w:r>
            <w:r/>
          </w:p>
        </w:tc>
        <w:tc>
          <w:tcPr>
            <w:tcW w:w="899" w:type="dxa"/>
            <w:vAlign w:val="center"/>
            <w:textDirection w:val="lrTb"/>
            <w:noWrap w:val="false"/>
          </w:tcPr>
          <w:p>
            <w:pPr>
              <w:jc w:val="left"/>
              <w:widowControl w:val="off"/>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highlight w:val="none"/>
              </w:rPr>
              <w:t xml:space="preserve">30.00分</w:t>
            </w:r>
            <w:r/>
          </w:p>
        </w:tc>
        <w:tc>
          <w:tcPr>
            <w:tcW w:w="4493" w:type="dxa"/>
            <w:vAlign w:val="center"/>
            <w:textDirection w:val="lrTb"/>
            <w:noWrap w:val="false"/>
          </w:tcPr>
          <w:p>
            <w:pPr>
              <w:ind w:left="0" w:right="0" w:firstLine="0"/>
              <w:jc w:val="both"/>
              <w:spacing w:before="0" w:after="0"/>
              <w:widowControl w:val="off"/>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针对招标文件“第四章、采购需求”中的“二、采购清单及技术要求</w:t>
            </w:r>
            <w:r>
              <w:rPr>
                <w:rFonts w:hint="eastAsia" w:ascii="宋体" w:hAnsi="宋体" w:eastAsia="宋体" w:cs="宋体"/>
                <w:color w:val="000000"/>
                <w:sz w:val="21"/>
                <w:szCs w:val="21"/>
                <w:highlight w:val="none"/>
                <w:lang w:val="en-US" w:eastAsia="zh-CN"/>
              </w:rPr>
              <w:t xml:space="preserve">分包二</w:t>
            </w:r>
            <w:r>
              <w:rPr>
                <w:rFonts w:ascii="Times New Roman" w:hAnsi="Times New Roman" w:eastAsia="Times New Roman" w:cs="Times New Roman"/>
                <w:color w:val="000000"/>
                <w:sz w:val="21"/>
                <w:szCs w:val="21"/>
                <w:highlight w:val="none"/>
              </w:rPr>
              <w:t xml:space="preserve">”</w:t>
            </w:r>
            <w:r>
              <w:rPr>
                <w:rFonts w:ascii="宋体" w:hAnsi="宋体" w:eastAsia="宋体" w:cs="宋体"/>
                <w:color w:val="000000"/>
                <w:sz w:val="21"/>
                <w:szCs w:val="21"/>
                <w:highlight w:val="none"/>
              </w:rPr>
              <w:t xml:space="preserve">所列内容进行评分，投标人所投产品的技术性能、功能、参数、规格等能够完全满足招标文件要求的得基本分</w:t>
            </w:r>
            <w:r>
              <w:rPr>
                <w:rFonts w:ascii="Times New Roman" w:hAnsi="Times New Roman" w:eastAsia="Times New Roman" w:cs="Times New Roman"/>
                <w:color w:val="000000"/>
                <w:sz w:val="21"/>
                <w:szCs w:val="21"/>
                <w:highlight w:val="none"/>
              </w:rPr>
              <w:t xml:space="preserve">30</w:t>
            </w:r>
            <w:r>
              <w:rPr>
                <w:rFonts w:ascii="宋体" w:hAnsi="宋体" w:eastAsia="宋体" w:cs="宋体"/>
                <w:color w:val="000000"/>
                <w:sz w:val="21"/>
                <w:szCs w:val="21"/>
                <w:highlight w:val="none"/>
              </w:rPr>
              <w:t xml:space="preserve">分。每有一项负偏离扣</w:t>
            </w:r>
            <w:r>
              <w:rPr>
                <w:rFonts w:ascii="Times New Roman" w:hAnsi="Times New Roman" w:eastAsia="Times New Roman" w:cs="Times New Roman"/>
                <w:color w:val="000000"/>
                <w:sz w:val="21"/>
                <w:szCs w:val="21"/>
                <w:highlight w:val="none"/>
              </w:rPr>
              <w:t xml:space="preserve"> </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Times New Roman" w:cs="Times New Roman"/>
                <w:color w:val="000000"/>
                <w:sz w:val="21"/>
                <w:szCs w:val="21"/>
                <w:highlight w:val="none"/>
              </w:rPr>
              <w:t xml:space="preserve"> </w:t>
            </w:r>
            <w:r>
              <w:rPr>
                <w:rFonts w:ascii="宋体" w:hAnsi="宋体" w:eastAsia="宋体" w:cs="宋体"/>
                <w:color w:val="000000"/>
                <w:sz w:val="21"/>
                <w:szCs w:val="21"/>
                <w:highlight w:val="none"/>
              </w:rPr>
              <w:t xml:space="preserve">分，扣完为止，本项最低得</w:t>
            </w:r>
            <w:r>
              <w:rPr>
                <w:rFonts w:ascii="Times New Roman" w:hAnsi="Times New Roman" w:eastAsia="Times New Roman" w:cs="Times New Roman"/>
                <w:color w:val="000000"/>
                <w:sz w:val="21"/>
                <w:szCs w:val="21"/>
                <w:highlight w:val="none"/>
              </w:rPr>
              <w:t xml:space="preserve">0</w:t>
            </w:r>
            <w:r>
              <w:rPr>
                <w:rFonts w:ascii="宋体" w:hAnsi="宋体" w:eastAsia="宋体" w:cs="宋体"/>
                <w:color w:val="000000"/>
                <w:sz w:val="21"/>
                <w:szCs w:val="21"/>
                <w:highlight w:val="none"/>
              </w:rPr>
              <w:t xml:space="preserve">分，最高得</w:t>
            </w:r>
            <w:r>
              <w:rPr>
                <w:rFonts w:ascii="Times New Roman" w:hAnsi="Times New Roman" w:eastAsia="Times New Roman" w:cs="Times New Roman"/>
                <w:color w:val="000000"/>
                <w:sz w:val="21"/>
                <w:szCs w:val="21"/>
                <w:highlight w:val="none"/>
              </w:rPr>
              <w:t xml:space="preserve">30</w:t>
            </w:r>
            <w:r>
              <w:rPr>
                <w:rFonts w:ascii="宋体" w:hAnsi="宋体" w:eastAsia="宋体" w:cs="宋体"/>
                <w:color w:val="000000"/>
                <w:sz w:val="21"/>
                <w:szCs w:val="21"/>
                <w:highlight w:val="none"/>
              </w:rPr>
              <w:t xml:space="preserve">分。</w:t>
            </w:r>
            <w:r/>
          </w:p>
          <w:p>
            <w:pPr>
              <w:jc w:val="left"/>
              <w:widowControl w:val="off"/>
              <w:rPr>
                <w:rFonts w:ascii="Calibri" w:hAnsi="Calibri" w:eastAsia="宋体" w:cs="Times New Roman"/>
                <w:color w:val="000000"/>
                <w:sz w:val="21"/>
                <w:szCs w:val="22"/>
                <w:highlight w:val="none"/>
                <w:lang w:val="en-US" w:eastAsia="zh-CN" w:bidi="ar-SA"/>
              </w:rPr>
            </w:pPr>
            <w:r>
              <w:rPr>
                <w:rFonts w:ascii="宋体" w:hAnsi="宋体" w:eastAsia="宋体" w:cs="宋体"/>
                <w:color w:val="000000"/>
                <w:sz w:val="21"/>
                <w:szCs w:val="21"/>
                <w:highlight w:val="none"/>
              </w:rPr>
              <w:t xml:space="preserve">注：</w:t>
            </w:r>
            <w:r>
              <w:rPr>
                <w:rFonts w:ascii="Times New Roman" w:hAnsi="Times New Roman" w:eastAsia="Times New Roman" w:cs="Times New Roman"/>
                <w:color w:val="000000"/>
                <w:sz w:val="21"/>
                <w:szCs w:val="21"/>
                <w:highlight w:val="none"/>
              </w:rPr>
              <w:t xml:space="preserve">1</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投标人</w:t>
            </w:r>
            <w:r>
              <w:rPr>
                <w:rFonts w:ascii="宋体" w:hAnsi="宋体" w:eastAsia="宋体" w:cs="宋体"/>
                <w:color w:val="000000"/>
                <w:sz w:val="21"/>
                <w:szCs w:val="21"/>
                <w:highlight w:val="none"/>
              </w:rPr>
              <w:t xml:space="preserve">针对本项评标内容在响应文件《技术要求响应及偏离表》中逐条列出响应及偏离情况；</w:t>
            </w:r>
            <w:r>
              <w:rPr>
                <w:rFonts w:ascii="Times New Roman" w:hAnsi="Times New Roman" w:eastAsia="Times New Roman" w:cs="Times New Roman"/>
                <w:color w:val="000000"/>
                <w:sz w:val="21"/>
                <w:szCs w:val="21"/>
                <w:highlight w:val="none"/>
              </w:rPr>
              <w:t xml:space="preserve">2</w:t>
            </w:r>
            <w:r>
              <w:rPr>
                <w:rFonts w:ascii="宋体" w:hAnsi="宋体" w:eastAsia="宋体" w:cs="宋体"/>
                <w:color w:val="000000"/>
                <w:sz w:val="21"/>
                <w:szCs w:val="21"/>
                <w:highlight w:val="none"/>
              </w:rPr>
              <w:t xml:space="preserve">、采购需求中未要求提供证明材料的，以《技术要求响应及偏离表》为准。未按要求提供证明材料或未在技术要求响应及偏离表中列明偏离情况的对应项按负偏离进行扣分处理。</w:t>
            </w:r>
            <w:r>
              <w:rPr>
                <w:rFonts w:hint="eastAsia" w:ascii="Times New Roman" w:hAnsi="Times New Roman" w:eastAsia="宋体" w:cs="Times New Roman"/>
                <w:color w:val="000000"/>
                <w:sz w:val="21"/>
                <w:szCs w:val="21"/>
                <w:highlight w:val="none"/>
                <w:lang w:val="en-US" w:eastAsia="zh-CN"/>
              </w:rPr>
              <w:t xml:space="preserve">3</w:t>
            </w:r>
            <w:r>
              <w:rPr>
                <w:rFonts w:ascii="宋体" w:hAnsi="宋体" w:eastAsia="宋体" w:cs="宋体"/>
                <w:color w:val="000000"/>
                <w:sz w:val="21"/>
                <w:szCs w:val="21"/>
                <w:highlight w:val="none"/>
              </w:rPr>
              <w:t xml:space="preserve">、</w:t>
            </w:r>
            <w:r>
              <w:rPr>
                <w:rFonts w:ascii="Times New Roman" w:hAnsi="Times New Roman" w:eastAsia="Times New Roman" w:cs="Times New Roman"/>
                <w:color w:val="000000"/>
                <w:sz w:val="21"/>
                <w:szCs w:val="21"/>
                <w:highlight w:val="none"/>
              </w:rPr>
              <w:t xml:space="preserve">★</w:t>
            </w:r>
            <w:r>
              <w:rPr>
                <w:rFonts w:ascii="宋体" w:hAnsi="宋体" w:eastAsia="宋体" w:cs="宋体"/>
                <w:color w:val="000000"/>
                <w:sz w:val="21"/>
                <w:szCs w:val="21"/>
                <w:highlight w:val="none"/>
              </w:rPr>
              <w:t xml:space="preserve">号部分为实质性</w:t>
            </w:r>
            <w:r>
              <w:rPr>
                <w:rFonts w:hint="eastAsia" w:ascii="宋体" w:hAnsi="宋体" w:eastAsia="宋体" w:cs="宋体"/>
                <w:color w:val="000000"/>
                <w:sz w:val="21"/>
                <w:szCs w:val="21"/>
                <w:highlight w:val="none"/>
                <w:lang w:eastAsia="zh-CN"/>
              </w:rPr>
              <w:t xml:space="preserve">响应</w:t>
            </w:r>
            <w:r>
              <w:rPr>
                <w:rFonts w:ascii="宋体" w:hAnsi="宋体" w:eastAsia="宋体" w:cs="宋体"/>
                <w:color w:val="000000"/>
                <w:sz w:val="21"/>
                <w:szCs w:val="21"/>
                <w:highlight w:val="none"/>
              </w:rPr>
              <w:t xml:space="preserve">不接受负偏离，否则作无效投标处理。</w:t>
            </w:r>
            <w:r/>
          </w:p>
        </w:tc>
      </w:tr>
      <w:tr>
        <w:trPr/>
        <w:tc>
          <w:tcPr>
            <w:tcW w:w="1541" w:type="dxa"/>
            <w:vAlign w:val="center"/>
            <w:vMerge w:val="restart"/>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企业经营业绩、信誉</w:t>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企业业绩</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6.00分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r>
            <w:r>
              <w:rPr>
                <w:rFonts w:ascii="SimSun" w:hAnsi="SimSun" w:eastAsia="SimSun" w:cs="SimSun"/>
                <w:color w:val="000000"/>
                <w:sz w:val="21"/>
              </w:rPr>
              <w:t xml:space="preserve">投标人具有近三年内完成的类似本项目的新生儿科医疗设备采购业绩</w:t>
            </w:r>
            <w:r>
              <w:rPr>
                <w:rFonts w:ascii="Calibri" w:hAnsi="Calibri" w:eastAsia="宋体" w:cs="Times New Roman"/>
                <w:color w:val="000000"/>
                <w:highlight w:val="none"/>
              </w:rPr>
              <w:t xml:space="preserve">，每有一个得2分，最高得6分。（业绩须同时提供项目中标通知书、合同和甲方出具的验收合格材料复印件加盖公章，且业绩合同中主要内容、标的、金额等清晰可见，否则该业绩不得分）。</w:t>
            </w:r>
            <w:r/>
          </w:p>
        </w:tc>
      </w:tr>
      <w:tr>
        <w:trPr/>
        <w:tc>
          <w:tcPr>
            <w:tcW w:w="1541" w:type="dxa"/>
            <w:vAlign w:val="center"/>
            <w:vMerge w:val="continue"/>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企业荣誉、证书及综合实力</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4</w:t>
            </w:r>
            <w:r>
              <w:rPr>
                <w:rFonts w:ascii="Calibri" w:hAnsi="Calibri" w:eastAsia="宋体" w:cs="Times New Roman"/>
                <w:color w:val="000000"/>
                <w:highlight w:val="none"/>
              </w:rPr>
              <w:t xml:space="preserve">.00分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w:t>
            </w:r>
            <w:r>
              <w:rPr>
                <w:rFonts w:ascii="Calibri" w:hAnsi="Calibri" w:eastAsia="宋体" w:cs="Times New Roman"/>
                <w:color w:val="000000"/>
                <w:highlight w:val="none"/>
              </w:rPr>
              <w:t xml:space="preserve">投标产品提供有效期内的质量体系认证、环境管理体系认证、职业健康安全管理体系认证的得每有一个得</w:t>
            </w:r>
            <w:r>
              <w:rPr>
                <w:rFonts w:hint="eastAsia" w:ascii="Calibri" w:hAnsi="Calibri" w:eastAsia="宋体" w:cs="Times New Roman"/>
                <w:color w:val="000000"/>
                <w:highlight w:val="none"/>
              </w:rPr>
              <w:t xml:space="preserve">1</w:t>
            </w:r>
            <w:r>
              <w:rPr>
                <w:rFonts w:ascii="Calibri" w:hAnsi="Calibri" w:eastAsia="宋体" w:cs="Times New Roman"/>
                <w:color w:val="000000"/>
                <w:highlight w:val="none"/>
              </w:rPr>
              <w:t xml:space="preserve">分，最高得</w:t>
            </w:r>
            <w:r>
              <w:rPr>
                <w:rFonts w:hint="eastAsia" w:ascii="Calibri" w:hAnsi="Calibri" w:eastAsia="宋体" w:cs="Times New Roman"/>
                <w:color w:val="000000"/>
                <w:highlight w:val="none"/>
              </w:rPr>
              <w:t xml:space="preserve">3</w:t>
            </w:r>
            <w:r>
              <w:rPr>
                <w:rFonts w:ascii="Calibri" w:hAnsi="Calibri" w:eastAsia="宋体" w:cs="Times New Roman"/>
                <w:color w:val="000000"/>
                <w:highlight w:val="none"/>
              </w:rPr>
              <w:t xml:space="preserve">分。</w:t>
            </w:r>
            <w:r/>
          </w:p>
          <w:p>
            <w:pPr>
              <w:jc w:val="left"/>
              <w:widowControl w:val="off"/>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2</w:t>
            </w:r>
            <w:r>
              <w:rPr>
                <w:rFonts w:ascii="Calibri" w:hAnsi="Calibri" w:eastAsia="宋体" w:cs="Times New Roman"/>
                <w:color w:val="000000"/>
                <w:highlight w:val="none"/>
              </w:rPr>
              <w:t xml:space="preserve">、投标产品获得中国绿色材料标志授权使用证书的得</w:t>
            </w:r>
            <w:r>
              <w:rPr>
                <w:rFonts w:hint="eastAsia" w:ascii="Calibri" w:hAnsi="Calibri" w:eastAsia="宋体" w:cs="Times New Roman"/>
                <w:color w:val="000000"/>
                <w:highlight w:val="none"/>
              </w:rPr>
              <w:t xml:space="preserve">1</w:t>
            </w:r>
            <w:r>
              <w:rPr>
                <w:rFonts w:ascii="Calibri" w:hAnsi="Calibri" w:eastAsia="宋体" w:cs="Times New Roman"/>
                <w:color w:val="000000"/>
                <w:highlight w:val="none"/>
              </w:rPr>
              <w:t xml:space="preserve">分。 </w:t>
            </w:r>
            <w:r/>
          </w:p>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以上提供相关证书材料原件扫描件加盖公章，未提供不得分。</w:t>
            </w:r>
            <w:r/>
          </w:p>
        </w:tc>
      </w:tr>
      <w:tr>
        <w:trPr/>
        <w:tc>
          <w:tcPr>
            <w:tcW w:w="1541" w:type="dxa"/>
            <w:vAlign w:val="center"/>
            <w:vMerge w:val="continue"/>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节能环保</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2.00分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 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w:t>
            </w:r>
            <w:r/>
          </w:p>
        </w:tc>
      </w:tr>
      <w:tr>
        <w:trPr/>
        <w:tc>
          <w:tcPr>
            <w:tcW w:w="1541" w:type="dxa"/>
            <w:vAlign w:val="center"/>
            <w:vMerge w:val="restart"/>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项目实施方案</w:t>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项目实施方案</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9</w:t>
            </w:r>
            <w:r>
              <w:rPr>
                <w:rFonts w:ascii="Calibri" w:hAnsi="Calibri" w:eastAsia="宋体" w:cs="Times New Roman"/>
                <w:color w:val="000000"/>
                <w:highlight w:val="none"/>
              </w:rPr>
              <w:t xml:space="preserve">.00分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提供项目实施方案，包括实施项目供货计划、安装工期安排、安装技术人员配备、现场安装流程、安装质量要求、项目验收方案等进行打分，工作内容符合实际、结构严谨、内容完整详实、能够针对采购项目内容要求而细化制定、项目实施运行机制健全且优于采购需求的得</w:t>
            </w:r>
            <w:r>
              <w:rPr>
                <w:rFonts w:ascii="Times New Roman" w:hAnsi="Times New Roman" w:eastAsia="Times New Roman" w:cs="Times New Roman"/>
                <w:color w:val="000000"/>
                <w:sz w:val="21"/>
                <w:highlight w:val="none"/>
              </w:rPr>
              <w:t xml:space="preserve">9</w:t>
            </w:r>
            <w:r>
              <w:rPr>
                <w:rFonts w:ascii="宋体" w:hAnsi="宋体" w:eastAsia="宋体" w:cs="宋体"/>
                <w:color w:val="000000"/>
                <w:sz w:val="21"/>
                <w:highlight w:val="none"/>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highlight w:val="none"/>
              </w:rPr>
              <w:t xml:space="preserve">6</w:t>
            </w:r>
            <w:r>
              <w:rPr>
                <w:rFonts w:ascii="宋体" w:hAnsi="宋体" w:eastAsia="宋体" w:cs="宋体"/>
                <w:color w:val="000000"/>
                <w:sz w:val="21"/>
                <w:highlight w:val="none"/>
              </w:rPr>
              <w:t xml:space="preserve">分；有项目实施方案、但方案内容笼统、针对本项目制定未细致、但承诺经过优化可实现采购需求的得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分，没有内容或其情况不满足招标文件需求的不得分。</w:t>
            </w:r>
            <w:r/>
          </w:p>
        </w:tc>
      </w:tr>
      <w:tr>
        <w:trPr/>
        <w:tc>
          <w:tcPr>
            <w:tcW w:w="1541" w:type="dxa"/>
            <w:vAlign w:val="center"/>
            <w:vMerge w:val="continue"/>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管理力量、技术人员安排</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6</w:t>
            </w:r>
            <w:r>
              <w:rPr>
                <w:rFonts w:ascii="Calibri" w:hAnsi="Calibri" w:eastAsia="宋体" w:cs="Times New Roman"/>
                <w:color w:val="000000"/>
                <w:highlight w:val="none"/>
              </w:rPr>
              <w:t xml:space="preserve">.00分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五、其他要求提供拟投入本项目人员管理及人员配备情况和使用计划进行打分。人员安排充足且合理、管理机构健全程度高、技术人员综合能力强、项目安装期仓储和车辆调度效率高的得</w:t>
            </w:r>
            <w:r>
              <w:rPr>
                <w:rFonts w:ascii="Times New Roman" w:hAnsi="Times New Roman" w:eastAsia="Times New Roman" w:cs="Times New Roman"/>
                <w:color w:val="000000"/>
                <w:sz w:val="21"/>
                <w:highlight w:val="none"/>
              </w:rPr>
              <w:t xml:space="preserve">6</w:t>
            </w:r>
            <w:r>
              <w:rPr>
                <w:rFonts w:ascii="宋体" w:hAnsi="宋体" w:eastAsia="宋体" w:cs="宋体"/>
                <w:color w:val="000000"/>
                <w:sz w:val="21"/>
                <w:highlight w:val="none"/>
              </w:rPr>
              <w:t xml:space="preserve">分；人员安排充足、管理机构健全、技术人员配置一般、有安装期暂存点的得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分；人员安排一般、管理机构不全、技术人员配置不到位、项目安装期无暂存点的得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分。本项最高得</w:t>
            </w:r>
            <w:r>
              <w:rPr>
                <w:rFonts w:ascii="Times New Roman" w:hAnsi="Times New Roman" w:eastAsia="Times New Roman" w:cs="Times New Roman"/>
                <w:color w:val="000000"/>
                <w:sz w:val="21"/>
                <w:highlight w:val="none"/>
              </w:rPr>
              <w:t xml:space="preserve">6</w:t>
            </w:r>
            <w:r>
              <w:rPr>
                <w:rFonts w:ascii="宋体" w:hAnsi="宋体" w:eastAsia="宋体" w:cs="宋体"/>
                <w:color w:val="000000"/>
                <w:sz w:val="21"/>
                <w:highlight w:val="none"/>
              </w:rPr>
              <w:t xml:space="preserve">分，没有内容的不得分。</w:t>
            </w:r>
            <w:r/>
          </w:p>
        </w:tc>
      </w:tr>
      <w:tr>
        <w:trPr/>
        <w:tc>
          <w:tcPr>
            <w:tcW w:w="1541" w:type="dxa"/>
            <w:vAlign w:val="center"/>
            <w:vMerge w:val="continue"/>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应急响应方案</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5.00分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提供应急响应方案，投标人在运输，安装和交付使用后，可能发生的紧急情况具有完善的应急响应方案，投标人须详尽的列明不可预见的情况并提供针对此情况发生后的响应方案，评委会根据采购需求对投标人所投方案内容进行打分，应急响应方案健全且优于采购需求的得</w:t>
            </w:r>
            <w:r>
              <w:rPr>
                <w:rFonts w:ascii="Times New Roman" w:hAnsi="Times New Roman" w:eastAsia="Times New Roman" w:cs="Times New Roman"/>
                <w:color w:val="000000"/>
                <w:sz w:val="21"/>
                <w:highlight w:val="none"/>
              </w:rPr>
              <w:t xml:space="preserve">5</w:t>
            </w:r>
            <w:r>
              <w:rPr>
                <w:rFonts w:ascii="宋体" w:hAnsi="宋体" w:eastAsia="宋体" w:cs="宋体"/>
                <w:color w:val="000000"/>
                <w:sz w:val="21"/>
                <w:highlight w:val="none"/>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分；有应急响应方案、但方案内容笼统、针对本项目制定未细致、但承诺经过优化可实现采购需求的得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分，没有内容或其情况不满足招标文件需求的不得分。</w:t>
            </w:r>
            <w:r/>
          </w:p>
        </w:tc>
      </w:tr>
      <w:tr>
        <w:trPr/>
        <w:tc>
          <w:tcPr>
            <w:tcW w:w="1541"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其他</w:t>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售后服务</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8</w:t>
            </w:r>
            <w:r>
              <w:rPr>
                <w:rFonts w:ascii="Calibri" w:hAnsi="Calibri" w:eastAsia="宋体" w:cs="Times New Roman"/>
                <w:color w:val="000000"/>
                <w:highlight w:val="none"/>
              </w:rPr>
              <w:t xml:space="preserve">.00分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制定售后服务方案：具有完善的售后服务管理体系，提供包含服务范围、响应时间以及质保期满后主要产品、配件优惠方案、完整的售后服务方案、地面处理建议方案等。方案详细、响应及时、服务体系完整的得</w:t>
            </w:r>
            <w:r>
              <w:rPr>
                <w:rFonts w:ascii="Times New Roman" w:hAnsi="Times New Roman" w:eastAsia="Times New Roman" w:cs="Times New Roman"/>
                <w:color w:val="000000"/>
                <w:sz w:val="21"/>
                <w:highlight w:val="none"/>
              </w:rPr>
              <w:t xml:space="preserve">8</w:t>
            </w:r>
            <w:r>
              <w:rPr>
                <w:rFonts w:ascii="宋体" w:hAnsi="宋体" w:eastAsia="宋体" w:cs="宋体"/>
                <w:color w:val="000000"/>
                <w:sz w:val="21"/>
                <w:highlight w:val="none"/>
              </w:rPr>
              <w:t xml:space="preserve">分；方案详细、服务范围广泛、响应虽有滞后性，服务体系完整，但能基本确保稳定运行的得</w:t>
            </w:r>
            <w:r>
              <w:rPr>
                <w:rFonts w:ascii="Times New Roman" w:hAnsi="Times New Roman" w:eastAsia="Times New Roman" w:cs="Times New Roman"/>
                <w:color w:val="000000"/>
                <w:sz w:val="21"/>
                <w:highlight w:val="none"/>
              </w:rPr>
              <w:t xml:space="preserve">4</w:t>
            </w:r>
            <w:r>
              <w:rPr>
                <w:rFonts w:ascii="宋体" w:hAnsi="宋体" w:eastAsia="宋体" w:cs="宋体"/>
                <w:color w:val="000000"/>
                <w:sz w:val="21"/>
                <w:highlight w:val="none"/>
              </w:rPr>
              <w:t xml:space="preserve">分；方案粗略、服务范围狭窄、响应滞后、服务体系虽完整，但缺乏有效保障稳定运行的措施的得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分，没有内容或其情况不满足招标文件需求的不得分。</w:t>
            </w:r>
            <w:r/>
          </w:p>
        </w:tc>
      </w:tr>
    </w:tbl>
    <w:p>
      <w:pPr>
        <w:numPr>
          <w:ilvl w:val="0"/>
          <w:numId w:val="0"/>
        </w:numPr>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2"/>
        <w:rPr>
          <w:rFonts w:hint="eastAsia"/>
          <w:color w:val="000000"/>
          <w:highlight w:val="none"/>
        </w:rPr>
      </w:pPr>
      <w:r>
        <w:rPr>
          <w:rFonts w:hint="eastAsia" w:ascii="宋体" w:hAnsi="宋体" w:eastAsia="宋体" w:cs="宋体"/>
          <w:b/>
          <w:bCs/>
          <w:color w:val="000000"/>
          <w:sz w:val="24"/>
          <w:highlight w:val="none"/>
          <w:lang w:val="en-US" w:eastAsia="zh-CN"/>
        </w:rPr>
        <w:t xml:space="preserve">分包三：</w:t>
      </w:r>
      <w:r/>
    </w:p>
    <w:tbl>
      <w:tblPr>
        <w:tblStyle w:val="787"/>
        <w:tblW w:w="5009" w:type="pct"/>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34"/>
        <w:gridCol w:w="2041"/>
        <w:gridCol w:w="896"/>
        <w:gridCol w:w="4468"/>
      </w:tblGrid>
      <w:tr>
        <w:trPr/>
        <w:tc>
          <w:tcPr>
            <w:gridSpan w:val="2"/>
            <w:tcW w:w="3593" w:type="dxa"/>
            <w:vAlign w:val="center"/>
            <w:textDirection w:val="lrTb"/>
            <w:noWrap w:val="false"/>
          </w:tcPr>
          <w:p>
            <w:pPr>
              <w:jc w:val="center"/>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评审因素</w:t>
            </w:r>
            <w:r/>
          </w:p>
        </w:tc>
        <w:tc>
          <w:tcPr>
            <w:tcW w:w="500" w:type="dxa"/>
            <w:vAlign w:val="center"/>
            <w:textDirection w:val="lrTb"/>
            <w:noWrap w:val="false"/>
          </w:tcPr>
          <w:p>
            <w:pPr>
              <w:jc w:val="center"/>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分数</w:t>
            </w:r>
            <w:r/>
          </w:p>
        </w:tc>
        <w:tc>
          <w:tcPr>
            <w:tcW w:w="2500" w:type="dxa"/>
            <w:vAlign w:val="center"/>
            <w:textDirection w:val="lrTb"/>
            <w:noWrap w:val="false"/>
          </w:tcPr>
          <w:p>
            <w:pPr>
              <w:jc w:val="center"/>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评审标准</w:t>
            </w:r>
            <w:r/>
          </w:p>
        </w:tc>
      </w:tr>
      <w:tr>
        <w:trPr/>
        <w:tc>
          <w:tcPr>
            <w:tcW w:w="1541"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报价分</w:t>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投标报价</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30.00分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采用低价优先法计算，即满足招标文件要求且投标价格最低的投标报价为评标基准价，其价格分为满分。其他投标人投标报价得分＝（评标基准价/投标报价）*30。 </w:t>
            </w:r>
            <w:r/>
          </w:p>
        </w:tc>
      </w:tr>
      <w:tr>
        <w:trPr/>
        <w:tc>
          <w:tcPr>
            <w:tcW w:w="1541"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技术响应</w:t>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技术参数响应</w:t>
            </w:r>
            <w:r/>
          </w:p>
        </w:tc>
        <w:tc>
          <w:tcPr>
            <w:tcW w:w="899" w:type="dxa"/>
            <w:vAlign w:val="center"/>
            <w:textDirection w:val="lrTb"/>
            <w:noWrap w:val="false"/>
          </w:tcPr>
          <w:p>
            <w:pPr>
              <w:jc w:val="left"/>
              <w:widowControl w:val="off"/>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highlight w:val="none"/>
              </w:rPr>
              <w:t xml:space="preserve">30.00分</w:t>
            </w:r>
            <w:r/>
          </w:p>
        </w:tc>
        <w:tc>
          <w:tcPr>
            <w:tcW w:w="4493" w:type="dxa"/>
            <w:vAlign w:val="center"/>
            <w:textDirection w:val="lrTb"/>
            <w:noWrap w:val="false"/>
          </w:tcPr>
          <w:p>
            <w:pPr>
              <w:ind w:left="0" w:right="0" w:firstLine="0"/>
              <w:jc w:val="both"/>
              <w:spacing w:before="0" w:after="0"/>
              <w:widowControl w:val="off"/>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针对招标文件“第四章、采购需求”中的“二、采购清单及技术要求</w:t>
            </w:r>
            <w:r>
              <w:rPr>
                <w:rFonts w:hint="eastAsia" w:ascii="宋体" w:hAnsi="宋体" w:eastAsia="宋体" w:cs="宋体"/>
                <w:color w:val="000000"/>
                <w:sz w:val="21"/>
                <w:szCs w:val="21"/>
                <w:highlight w:val="none"/>
                <w:lang w:val="en-US" w:eastAsia="zh-CN"/>
              </w:rPr>
              <w:t xml:space="preserve">分包三</w:t>
            </w:r>
            <w:r>
              <w:rPr>
                <w:rFonts w:ascii="Times New Roman" w:hAnsi="Times New Roman" w:eastAsia="Times New Roman" w:cs="Times New Roman"/>
                <w:color w:val="000000"/>
                <w:sz w:val="21"/>
                <w:szCs w:val="21"/>
                <w:highlight w:val="none"/>
              </w:rPr>
              <w:t xml:space="preserve">”</w:t>
            </w:r>
            <w:r>
              <w:rPr>
                <w:rFonts w:ascii="宋体" w:hAnsi="宋体" w:eastAsia="宋体" w:cs="宋体"/>
                <w:color w:val="000000"/>
                <w:sz w:val="21"/>
                <w:szCs w:val="21"/>
                <w:highlight w:val="none"/>
              </w:rPr>
              <w:t xml:space="preserve">所列内容进行评分，投标人所投产品的技术性能、功能、参数、规格等能够完全满足招标文件要求的得基本分</w:t>
            </w:r>
            <w:r>
              <w:rPr>
                <w:rFonts w:ascii="Times New Roman" w:hAnsi="Times New Roman" w:eastAsia="Times New Roman" w:cs="Times New Roman"/>
                <w:color w:val="000000"/>
                <w:sz w:val="21"/>
                <w:szCs w:val="21"/>
                <w:highlight w:val="none"/>
              </w:rPr>
              <w:t xml:space="preserve">30</w:t>
            </w:r>
            <w:r>
              <w:rPr>
                <w:rFonts w:ascii="宋体" w:hAnsi="宋体" w:eastAsia="宋体" w:cs="宋体"/>
                <w:color w:val="000000"/>
                <w:sz w:val="21"/>
                <w:szCs w:val="21"/>
                <w:highlight w:val="none"/>
              </w:rPr>
              <w:t xml:space="preserve">分。每有一项负偏离扣</w:t>
            </w:r>
            <w:r>
              <w:rPr>
                <w:rFonts w:ascii="Times New Roman" w:hAnsi="Times New Roman" w:eastAsia="Times New Roman" w:cs="Times New Roman"/>
                <w:color w:val="000000"/>
                <w:sz w:val="21"/>
                <w:szCs w:val="21"/>
                <w:highlight w:val="none"/>
              </w:rPr>
              <w:t xml:space="preserve"> </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Times New Roman" w:cs="Times New Roman"/>
                <w:color w:val="000000"/>
                <w:sz w:val="21"/>
                <w:szCs w:val="21"/>
                <w:highlight w:val="none"/>
              </w:rPr>
              <w:t xml:space="preserve"> </w:t>
            </w:r>
            <w:r>
              <w:rPr>
                <w:rFonts w:ascii="宋体" w:hAnsi="宋体" w:eastAsia="宋体" w:cs="宋体"/>
                <w:color w:val="000000"/>
                <w:sz w:val="21"/>
                <w:szCs w:val="21"/>
                <w:highlight w:val="none"/>
              </w:rPr>
              <w:t xml:space="preserve">分，扣完为止，本项最低得</w:t>
            </w:r>
            <w:r>
              <w:rPr>
                <w:rFonts w:ascii="Times New Roman" w:hAnsi="Times New Roman" w:eastAsia="Times New Roman" w:cs="Times New Roman"/>
                <w:color w:val="000000"/>
                <w:sz w:val="21"/>
                <w:szCs w:val="21"/>
                <w:highlight w:val="none"/>
              </w:rPr>
              <w:t xml:space="preserve">0</w:t>
            </w:r>
            <w:r>
              <w:rPr>
                <w:rFonts w:ascii="宋体" w:hAnsi="宋体" w:eastAsia="宋体" w:cs="宋体"/>
                <w:color w:val="000000"/>
                <w:sz w:val="21"/>
                <w:szCs w:val="21"/>
                <w:highlight w:val="none"/>
              </w:rPr>
              <w:t xml:space="preserve">分，最高得</w:t>
            </w:r>
            <w:r>
              <w:rPr>
                <w:rFonts w:ascii="Times New Roman" w:hAnsi="Times New Roman" w:eastAsia="Times New Roman" w:cs="Times New Roman"/>
                <w:color w:val="000000"/>
                <w:sz w:val="21"/>
                <w:szCs w:val="21"/>
                <w:highlight w:val="none"/>
              </w:rPr>
              <w:t xml:space="preserve">30</w:t>
            </w:r>
            <w:r>
              <w:rPr>
                <w:rFonts w:ascii="宋体" w:hAnsi="宋体" w:eastAsia="宋体" w:cs="宋体"/>
                <w:color w:val="000000"/>
                <w:sz w:val="21"/>
                <w:szCs w:val="21"/>
                <w:highlight w:val="none"/>
              </w:rPr>
              <w:t xml:space="preserve">分。</w:t>
            </w:r>
            <w:r/>
          </w:p>
          <w:p>
            <w:pPr>
              <w:jc w:val="left"/>
              <w:widowControl w:val="off"/>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lang w:val="en-US" w:eastAsia="zh-CN" w:bidi="ar-SA"/>
              </w:rPr>
              <w:t xml:space="preserve">注：1、投标人针对本项评标内容在响应文件《技术要求响应及偏离表》中逐条列出响应及偏离情况；2、采购需求中未要求提供证明材料的，以《技术要求响应及偏离表》为准。未按要求提供证明材料或未在技术要求响应及偏离表中列明偏离情况的对应项按负偏离进行扣分处理。3、★号部分为实质性</w:t>
            </w:r>
            <w:r>
              <w:rPr>
                <w:rFonts w:hint="eastAsia" w:ascii="宋体" w:hAnsi="宋体" w:eastAsia="宋体" w:cs="宋体"/>
                <w:color w:val="000000"/>
                <w:sz w:val="21"/>
                <w:szCs w:val="21"/>
                <w:highlight w:val="none"/>
                <w:lang w:eastAsia="zh-CN"/>
              </w:rPr>
              <w:t xml:space="preserve">响应</w:t>
            </w:r>
            <w:r>
              <w:rPr>
                <w:rFonts w:ascii="Calibri" w:hAnsi="Calibri" w:eastAsia="宋体" w:cs="Times New Roman"/>
                <w:color w:val="000000"/>
                <w:sz w:val="21"/>
                <w:szCs w:val="22"/>
                <w:highlight w:val="none"/>
                <w:lang w:val="en-US" w:eastAsia="zh-CN" w:bidi="ar-SA"/>
              </w:rPr>
              <w:t xml:space="preserve">不接受负偏离，否则作无效投标处理。</w:t>
            </w:r>
            <w:r/>
          </w:p>
        </w:tc>
      </w:tr>
      <w:tr>
        <w:trPr/>
        <w:tc>
          <w:tcPr>
            <w:tcW w:w="1541" w:type="dxa"/>
            <w:vAlign w:val="center"/>
            <w:vMerge w:val="restart"/>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企业经营业绩、信誉</w:t>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企业业绩</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6.00分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r>
            <w:r>
              <w:rPr>
                <w:rFonts w:ascii="SimSun" w:hAnsi="SimSun" w:eastAsia="SimSun" w:cs="SimSun"/>
                <w:color w:val="000000"/>
                <w:sz w:val="21"/>
              </w:rPr>
              <w:t xml:space="preserve">投标人具有近三年内完成的类似本项目的新生儿科医疗设备采购业绩</w:t>
            </w:r>
            <w:r>
              <w:rPr>
                <w:rFonts w:ascii="Calibri" w:hAnsi="Calibri" w:eastAsia="宋体" w:cs="Times New Roman"/>
                <w:color w:val="000000"/>
                <w:highlight w:val="none"/>
              </w:rPr>
              <w:t xml:space="preserve">，每有一个得2分，最高得6分。（业绩须同时提供项目中标通知书、合同和甲方出具的验收合格材料复印件加盖公章，且业绩合同中主要内容、标的、金额等清晰可见，否则该业绩不得分）。</w:t>
            </w:r>
            <w:r/>
          </w:p>
        </w:tc>
      </w:tr>
      <w:tr>
        <w:trPr/>
        <w:tc>
          <w:tcPr>
            <w:tcW w:w="1541" w:type="dxa"/>
            <w:vAlign w:val="center"/>
            <w:vMerge w:val="continue"/>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企业荣誉、证书及综合实力</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4</w:t>
            </w:r>
            <w:r>
              <w:rPr>
                <w:rFonts w:ascii="Calibri" w:hAnsi="Calibri" w:eastAsia="宋体" w:cs="Times New Roman"/>
                <w:color w:val="000000"/>
                <w:highlight w:val="none"/>
              </w:rPr>
              <w:t xml:space="preserve">.00分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w:t>
            </w:r>
            <w:r>
              <w:rPr>
                <w:rFonts w:ascii="Calibri" w:hAnsi="Calibri" w:eastAsia="宋体" w:cs="Times New Roman"/>
                <w:color w:val="000000"/>
                <w:highlight w:val="none"/>
              </w:rPr>
              <w:t xml:space="preserve">投标产品提供有效期内的质量体系认证、环境管理体系认证、职业健康安全管理体系认证的得每有一个得</w:t>
            </w:r>
            <w:r>
              <w:rPr>
                <w:rFonts w:hint="eastAsia" w:ascii="Calibri" w:hAnsi="Calibri" w:eastAsia="宋体" w:cs="Times New Roman"/>
                <w:color w:val="000000"/>
                <w:highlight w:val="none"/>
              </w:rPr>
              <w:t xml:space="preserve">1</w:t>
            </w:r>
            <w:r>
              <w:rPr>
                <w:rFonts w:ascii="Calibri" w:hAnsi="Calibri" w:eastAsia="宋体" w:cs="Times New Roman"/>
                <w:color w:val="000000"/>
                <w:highlight w:val="none"/>
              </w:rPr>
              <w:t xml:space="preserve">分，最高得</w:t>
            </w:r>
            <w:r>
              <w:rPr>
                <w:rFonts w:hint="eastAsia" w:ascii="Calibri" w:hAnsi="Calibri" w:eastAsia="宋体" w:cs="Times New Roman"/>
                <w:color w:val="000000"/>
                <w:highlight w:val="none"/>
              </w:rPr>
              <w:t xml:space="preserve">3</w:t>
            </w:r>
            <w:r>
              <w:rPr>
                <w:rFonts w:ascii="Calibri" w:hAnsi="Calibri" w:eastAsia="宋体" w:cs="Times New Roman"/>
                <w:color w:val="000000"/>
                <w:highlight w:val="none"/>
              </w:rPr>
              <w:t xml:space="preserve">分。</w:t>
            </w:r>
            <w:r/>
          </w:p>
          <w:p>
            <w:pPr>
              <w:jc w:val="left"/>
              <w:widowControl w:val="off"/>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2</w:t>
            </w:r>
            <w:r>
              <w:rPr>
                <w:rFonts w:ascii="Calibri" w:hAnsi="Calibri" w:eastAsia="宋体" w:cs="Times New Roman"/>
                <w:color w:val="000000"/>
                <w:highlight w:val="none"/>
              </w:rPr>
              <w:t xml:space="preserve">、投标产品获得中国绿色材料标志授权使用证书的得</w:t>
            </w:r>
            <w:r>
              <w:rPr>
                <w:rFonts w:hint="eastAsia" w:ascii="Calibri" w:hAnsi="Calibri" w:eastAsia="宋体" w:cs="Times New Roman"/>
                <w:color w:val="000000"/>
                <w:highlight w:val="none"/>
              </w:rPr>
              <w:t xml:space="preserve">1</w:t>
            </w:r>
            <w:r>
              <w:rPr>
                <w:rFonts w:ascii="Calibri" w:hAnsi="Calibri" w:eastAsia="宋体" w:cs="Times New Roman"/>
                <w:color w:val="000000"/>
                <w:highlight w:val="none"/>
              </w:rPr>
              <w:t xml:space="preserve">分。 </w:t>
            </w:r>
            <w:r/>
          </w:p>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以上提供相关证书材料原件扫描件加盖公章，未提供不得分。</w:t>
            </w:r>
            <w:r/>
          </w:p>
        </w:tc>
      </w:tr>
      <w:tr>
        <w:trPr/>
        <w:tc>
          <w:tcPr>
            <w:tcW w:w="1541" w:type="dxa"/>
            <w:vAlign w:val="center"/>
            <w:vMerge w:val="continue"/>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节能环保</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2.00分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 2、投标产品在财政部、发展改革委公布的“节能产品政府采购品目清单”内，且投标文件中提供国家市场监督管理局确定的列入</w:t>
            </w:r>
            <w:r>
              <w:rPr>
                <w:rFonts w:hint="eastAsia" w:eastAsia="宋体" w:cs="Times New Roman"/>
                <w:color w:val="000000"/>
                <w:highlight w:val="none"/>
                <w:lang w:eastAsia="zh-CN"/>
              </w:rPr>
              <w:t xml:space="preserve">“</w:t>
            </w:r>
            <w:r>
              <w:rPr>
                <w:rFonts w:ascii="Calibri" w:hAnsi="Calibri" w:eastAsia="宋体" w:cs="Times New Roman"/>
                <w:color w:val="000000"/>
                <w:highlight w:val="none"/>
              </w:rPr>
              <w:t xml:space="preserve">参与实施政府采购节能产品认证机构名录</w:t>
            </w:r>
            <w:r>
              <w:rPr>
                <w:rFonts w:hint="eastAsia" w:eastAsia="宋体" w:cs="Times New Roman"/>
                <w:color w:val="000000"/>
                <w:highlight w:val="none"/>
                <w:lang w:eastAsia="zh-CN"/>
              </w:rPr>
              <w:t xml:space="preserve">”</w:t>
            </w:r>
            <w:r>
              <w:rPr>
                <w:rFonts w:ascii="Calibri" w:hAnsi="Calibri" w:eastAsia="宋体" w:cs="Times New Roman"/>
                <w:color w:val="000000"/>
                <w:highlight w:val="none"/>
              </w:rPr>
              <w:t xml:space="preserve">内的认证机构出具的、有效期内的该产品的节能产品认证证书电子件的得1分。</w:t>
            </w:r>
            <w:r/>
          </w:p>
        </w:tc>
      </w:tr>
      <w:tr>
        <w:trPr/>
        <w:tc>
          <w:tcPr>
            <w:tcW w:w="1541" w:type="dxa"/>
            <w:vAlign w:val="center"/>
            <w:vMerge w:val="restart"/>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项目实施方案</w:t>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项目实施方案</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9</w:t>
            </w:r>
            <w:r>
              <w:rPr>
                <w:rFonts w:ascii="Calibri" w:hAnsi="Calibri" w:eastAsia="宋体" w:cs="Times New Roman"/>
                <w:color w:val="000000"/>
                <w:highlight w:val="none"/>
              </w:rPr>
              <w:t xml:space="preserve">.00分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提供项目实施方案，包括实施项目供货计划、安装工期安排、安装技术人员配备、现场安装流程、安装质量要求、项目验收方案等进行打分，工作内容符合实际、结构严谨、内容完整详实、能够针对采购项目内容要求而细化制定、项目实施运行机制健全且优于采购需求的得</w:t>
            </w:r>
            <w:r>
              <w:rPr>
                <w:rFonts w:ascii="Times New Roman" w:hAnsi="Times New Roman" w:eastAsia="Times New Roman" w:cs="Times New Roman"/>
                <w:color w:val="000000"/>
                <w:sz w:val="21"/>
                <w:highlight w:val="none"/>
              </w:rPr>
              <w:t xml:space="preserve">9</w:t>
            </w:r>
            <w:r>
              <w:rPr>
                <w:rFonts w:ascii="宋体" w:hAnsi="宋体" w:eastAsia="宋体" w:cs="宋体"/>
                <w:color w:val="000000"/>
                <w:sz w:val="21"/>
                <w:highlight w:val="none"/>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highlight w:val="none"/>
              </w:rPr>
              <w:t xml:space="preserve">6</w:t>
            </w:r>
            <w:r>
              <w:rPr>
                <w:rFonts w:ascii="宋体" w:hAnsi="宋体" w:eastAsia="宋体" w:cs="宋体"/>
                <w:color w:val="000000"/>
                <w:sz w:val="21"/>
                <w:highlight w:val="none"/>
              </w:rPr>
              <w:t xml:space="preserve">分；有项目实施方案、但方案内容笼统、针对本项目制定未细致、但承诺经过优化可实现采购需求的得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分，没有内容或其情况不满足招标文件需求的不得分。</w:t>
            </w:r>
            <w:r/>
          </w:p>
        </w:tc>
      </w:tr>
      <w:tr>
        <w:trPr/>
        <w:tc>
          <w:tcPr>
            <w:tcW w:w="1541" w:type="dxa"/>
            <w:vAlign w:val="center"/>
            <w:vMerge w:val="continue"/>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管理力量、技术人员安排</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6</w:t>
            </w:r>
            <w:r>
              <w:rPr>
                <w:rFonts w:ascii="Calibri" w:hAnsi="Calibri" w:eastAsia="宋体" w:cs="Times New Roman"/>
                <w:color w:val="000000"/>
                <w:highlight w:val="none"/>
              </w:rPr>
              <w:t xml:space="preserve">.00分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五、其他要求提供拟投入本项目人员管理及人员配备情况和使用计划进行打分。人员安排充足且合理、管理机构健全程度高、技术人员综合能力强、项目安装期仓储和车辆调度效率高的得</w:t>
            </w:r>
            <w:r>
              <w:rPr>
                <w:rFonts w:ascii="Times New Roman" w:hAnsi="Times New Roman" w:eastAsia="Times New Roman" w:cs="Times New Roman"/>
                <w:color w:val="000000"/>
                <w:sz w:val="21"/>
                <w:highlight w:val="none"/>
              </w:rPr>
              <w:t xml:space="preserve">6</w:t>
            </w:r>
            <w:r>
              <w:rPr>
                <w:rFonts w:ascii="宋体" w:hAnsi="宋体" w:eastAsia="宋体" w:cs="宋体"/>
                <w:color w:val="000000"/>
                <w:sz w:val="21"/>
                <w:highlight w:val="none"/>
              </w:rPr>
              <w:t xml:space="preserve">分；人员安排充足、管理机构健全、技术人员配置一般、有安装期暂存点的得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分；人员安排一般、管理机构不全、技术人员配置不到位、项目安装期无暂存点的得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分。本项最高得</w:t>
            </w:r>
            <w:r>
              <w:rPr>
                <w:rFonts w:ascii="Times New Roman" w:hAnsi="Times New Roman" w:eastAsia="Times New Roman" w:cs="Times New Roman"/>
                <w:color w:val="000000"/>
                <w:sz w:val="21"/>
                <w:highlight w:val="none"/>
              </w:rPr>
              <w:t xml:space="preserve">6</w:t>
            </w:r>
            <w:r>
              <w:rPr>
                <w:rFonts w:ascii="宋体" w:hAnsi="宋体" w:eastAsia="宋体" w:cs="宋体"/>
                <w:color w:val="000000"/>
                <w:sz w:val="21"/>
                <w:highlight w:val="none"/>
              </w:rPr>
              <w:t xml:space="preserve">分，没有内容的不得分。</w:t>
            </w:r>
            <w:r/>
          </w:p>
        </w:tc>
      </w:tr>
      <w:tr>
        <w:trPr/>
        <w:tc>
          <w:tcPr>
            <w:tcW w:w="1541" w:type="dxa"/>
            <w:vAlign w:val="center"/>
            <w:vMerge w:val="continue"/>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应急响应方案</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5.00分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提供应急响应方案，投标人在运输，安装和交付使用后，可能发生的紧急情况具有完善的应急响应方案，投标人须详尽的列明不可预见的情况并提供针对此情况发生后的响应方案，评委会根据采购需求对投标人所投方案内容进行打分，应急响应方案健全且优于采购需求的得</w:t>
            </w:r>
            <w:r>
              <w:rPr>
                <w:rFonts w:ascii="Times New Roman" w:hAnsi="Times New Roman" w:eastAsia="Times New Roman" w:cs="Times New Roman"/>
                <w:color w:val="000000"/>
                <w:sz w:val="21"/>
                <w:highlight w:val="none"/>
              </w:rPr>
              <w:t xml:space="preserve">5</w:t>
            </w:r>
            <w:r>
              <w:rPr>
                <w:rFonts w:ascii="宋体" w:hAnsi="宋体" w:eastAsia="宋体" w:cs="宋体"/>
                <w:color w:val="000000"/>
                <w:sz w:val="21"/>
                <w:highlight w:val="none"/>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分；有应急响应方案、但方案内容笼统、针对本项目制定未细致、但承诺经过优化可实现采购需求的得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分，没有内容或其情况不满足招标文件需求的不得分。</w:t>
            </w:r>
            <w:r/>
          </w:p>
        </w:tc>
      </w:tr>
      <w:tr>
        <w:trPr/>
        <w:tc>
          <w:tcPr>
            <w:tcW w:w="1541"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其他</w:t>
            </w:r>
            <w:r/>
          </w:p>
        </w:tc>
        <w:tc>
          <w:tcPr>
            <w:tcW w:w="2052" w:type="dxa"/>
            <w:vAlign w:val="center"/>
            <w:textDirection w:val="lrTb"/>
            <w:noWrap w:val="false"/>
          </w:tcPr>
          <w:p>
            <w:pPr>
              <w:jc w:val="left"/>
              <w:widowControl w:val="off"/>
              <w:rPr>
                <w:rFonts w:ascii="Calibri" w:hAnsi="Calibri" w:eastAsia="宋体" w:cs="Times New Roman"/>
                <w:color w:val="000000"/>
                <w:highlight w:val="none"/>
              </w:rPr>
            </w:pPr>
            <w:r>
              <w:rPr>
                <w:rFonts w:ascii="Calibri" w:hAnsi="Calibri" w:eastAsia="宋体" w:cs="Times New Roman"/>
                <w:color w:val="000000"/>
                <w:highlight w:val="none"/>
              </w:rPr>
              <w:t xml:space="preserve">售后服务</w:t>
            </w:r>
            <w:r/>
          </w:p>
        </w:tc>
        <w:tc>
          <w:tcPr>
            <w:tcW w:w="899"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8</w:t>
            </w:r>
            <w:r>
              <w:rPr>
                <w:rFonts w:ascii="Calibri" w:hAnsi="Calibri" w:eastAsia="宋体" w:cs="Times New Roman"/>
                <w:color w:val="000000"/>
                <w:highlight w:val="none"/>
              </w:rPr>
              <w:t xml:space="preserve">.00分</w:t>
            </w:r>
            <w:r/>
          </w:p>
        </w:tc>
        <w:tc>
          <w:tcPr>
            <w:tcW w:w="4493" w:type="dxa"/>
            <w:vAlign w:val="center"/>
            <w:textDirection w:val="lrTb"/>
            <w:noWrap w:val="false"/>
          </w:tcPr>
          <w:p>
            <w:pPr>
              <w:jc w:val="left"/>
              <w:widowControl w:val="off"/>
              <w:rPr>
                <w:rFonts w:ascii="Calibri" w:hAnsi="Calibri" w:eastAsia="宋体" w:cs="Times New Roman"/>
                <w:color w:val="000000"/>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制定售后服务方案：具有完善的售后服务管理体系，提供包含服务范围、响应时间以及质保期满后主要产品、配件优惠方案、完整的售后服务方案、地面处理建议方案等。方案详细、响应及时、服务体系完整的得</w:t>
            </w:r>
            <w:r>
              <w:rPr>
                <w:rFonts w:ascii="Times New Roman" w:hAnsi="Times New Roman" w:eastAsia="Times New Roman" w:cs="Times New Roman"/>
                <w:color w:val="000000"/>
                <w:sz w:val="21"/>
                <w:highlight w:val="none"/>
              </w:rPr>
              <w:t xml:space="preserve">8</w:t>
            </w:r>
            <w:r>
              <w:rPr>
                <w:rFonts w:ascii="宋体" w:hAnsi="宋体" w:eastAsia="宋体" w:cs="宋体"/>
                <w:color w:val="000000"/>
                <w:sz w:val="21"/>
                <w:highlight w:val="none"/>
              </w:rPr>
              <w:t xml:space="preserve">分；方案详细、服务范围广泛、响应虽有滞后性，服务体系完整，但能基本确保稳定运行的得</w:t>
            </w:r>
            <w:r>
              <w:rPr>
                <w:rFonts w:ascii="Times New Roman" w:hAnsi="Times New Roman" w:eastAsia="Times New Roman" w:cs="Times New Roman"/>
                <w:color w:val="000000"/>
                <w:sz w:val="21"/>
                <w:highlight w:val="none"/>
              </w:rPr>
              <w:t xml:space="preserve">4</w:t>
            </w:r>
            <w:r>
              <w:rPr>
                <w:rFonts w:ascii="宋体" w:hAnsi="宋体" w:eastAsia="宋体" w:cs="宋体"/>
                <w:color w:val="000000"/>
                <w:sz w:val="21"/>
                <w:highlight w:val="none"/>
              </w:rPr>
              <w:t xml:space="preserve">分；方案粗略、服务范围狭窄、响应滞后、服务体系虽完整，但缺乏有效保障稳定运行的措施的得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分，没有内容或其情况不满足招标文件需求的不得分。</w:t>
            </w:r>
            <w:r/>
          </w:p>
        </w:tc>
      </w:tr>
    </w:tbl>
    <w:p>
      <w:pPr>
        <w:pStyle w:val="832"/>
        <w:rPr>
          <w:rFonts w:hint="eastAsia"/>
          <w:color w:val="000000"/>
          <w:highlight w:val="none"/>
        </w:rPr>
      </w:pPr>
      <w:r>
        <w:rPr>
          <w:rFonts w:hint="eastAsia"/>
          <w:color w:val="000000"/>
          <w:highlight w:val="none"/>
        </w:rPr>
      </w:r>
      <w:r/>
    </w:p>
    <w:p>
      <w:pPr>
        <w:jc w:val="both"/>
        <w:widowControl w:val="off"/>
        <w:rPr>
          <w:rFonts w:hint="eastAsia" w:ascii="楷体_GB2312" w:hAnsi="Arial" w:eastAsia="楷体_GB2312" w:cs="Times New Roman"/>
          <w:color w:val="000000"/>
          <w:sz w:val="28"/>
          <w:szCs w:val="28"/>
          <w:highlight w:val="none"/>
          <w:lang w:val="en-US" w:eastAsia="zh-CN" w:bidi="ar-SA"/>
        </w:rPr>
      </w:pPr>
      <w:r>
        <w:rPr>
          <w:rFonts w:hint="eastAsia" w:ascii="宋体" w:hAnsi="宋体" w:eastAsia="宋体" w:cs="宋体"/>
          <w:b/>
          <w:bCs/>
          <w:color w:val="000000"/>
          <w:sz w:val="24"/>
          <w:szCs w:val="28"/>
          <w:highlight w:val="none"/>
          <w:lang w:val="en-US" w:eastAsia="zh-CN" w:bidi="ar-SA"/>
        </w:rPr>
        <w:t xml:space="preserve">分包四：</w:t>
      </w:r>
      <w:r/>
    </w:p>
    <w:tbl>
      <w:tblPr>
        <w:tblStyle w:val="787"/>
        <w:tblW w:w="5000" w:type="pct"/>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31"/>
        <w:gridCol w:w="2038"/>
        <w:gridCol w:w="894"/>
        <w:gridCol w:w="4460"/>
      </w:tblGrid>
      <w:tr>
        <w:trPr/>
        <w:tc>
          <w:tcPr>
            <w:gridSpan w:val="2"/>
            <w:tcW w:w="3587" w:type="dxa"/>
            <w:vAlign w:val="center"/>
            <w:textDirection w:val="lrTb"/>
            <w:noWrap w:val="false"/>
          </w:tcPr>
          <w:p>
            <w:pPr>
              <w:jc w:val="center"/>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评审因素</w:t>
            </w:r>
            <w:r/>
          </w:p>
        </w:tc>
        <w:tc>
          <w:tcPr>
            <w:tcW w:w="500" w:type="dxa"/>
            <w:vAlign w:val="center"/>
            <w:textDirection w:val="lrTb"/>
            <w:noWrap w:val="false"/>
          </w:tcPr>
          <w:p>
            <w:pPr>
              <w:jc w:val="center"/>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分数</w:t>
            </w:r>
            <w:r/>
          </w:p>
        </w:tc>
        <w:tc>
          <w:tcPr>
            <w:tcW w:w="2500" w:type="dxa"/>
            <w:vAlign w:val="center"/>
            <w:textDirection w:val="lrTb"/>
            <w:noWrap w:val="false"/>
          </w:tcPr>
          <w:p>
            <w:pPr>
              <w:jc w:val="center"/>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评审标准</w:t>
            </w:r>
            <w:r/>
          </w:p>
        </w:tc>
      </w:tr>
      <w:tr>
        <w:trPr/>
        <w:tc>
          <w:tcPr>
            <w:tcW w:w="1538"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报价分</w:t>
            </w:r>
            <w:r/>
          </w:p>
        </w:tc>
        <w:tc>
          <w:tcPr>
            <w:tcW w:w="2049"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投标报价</w:t>
            </w:r>
            <w:r/>
          </w:p>
        </w:tc>
        <w:tc>
          <w:tcPr>
            <w:tcW w:w="897"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30.00分</w:t>
            </w:r>
            <w:r/>
          </w:p>
        </w:tc>
        <w:tc>
          <w:tcPr>
            <w:tcW w:w="4485"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采用低价优先法计算，即满足招标文件要求且投标价格最低的投标报价为评标基准价，其价格分为满分。其他投标人投标报价得分＝（评标基准价/投标报价）*30。 </w:t>
            </w:r>
            <w:r/>
          </w:p>
        </w:tc>
      </w:tr>
      <w:tr>
        <w:trPr/>
        <w:tc>
          <w:tcPr>
            <w:tcW w:w="1538"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技术响应</w:t>
            </w:r>
            <w:r/>
          </w:p>
        </w:tc>
        <w:tc>
          <w:tcPr>
            <w:tcW w:w="2049"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技术参数响应</w:t>
            </w:r>
            <w:r/>
          </w:p>
        </w:tc>
        <w:tc>
          <w:tcPr>
            <w:tcW w:w="897"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30.00分</w:t>
            </w:r>
            <w:r/>
          </w:p>
        </w:tc>
        <w:tc>
          <w:tcPr>
            <w:tcW w:w="4485" w:type="dxa"/>
            <w:vAlign w:val="center"/>
            <w:textDirection w:val="lrTb"/>
            <w:noWrap w:val="false"/>
          </w:tcPr>
          <w:p>
            <w:pPr>
              <w:ind w:left="0" w:right="0" w:firstLine="0"/>
              <w:jc w:val="both"/>
              <w:spacing w:before="0" w:after="0"/>
              <w:widowControl w:val="off"/>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针对招标文件“第四章、采购需求”中的“二、采购清单及技术要求</w:t>
            </w:r>
            <w:r>
              <w:rPr>
                <w:rFonts w:hint="eastAsia" w:ascii="宋体" w:hAnsi="宋体" w:eastAsia="宋体" w:cs="宋体"/>
                <w:color w:val="000000"/>
                <w:sz w:val="21"/>
                <w:szCs w:val="21"/>
                <w:highlight w:val="none"/>
                <w:lang w:val="en-US" w:eastAsia="zh-CN"/>
              </w:rPr>
              <w:t xml:space="preserve">分包四</w:t>
            </w:r>
            <w:r>
              <w:rPr>
                <w:rFonts w:ascii="Times New Roman" w:hAnsi="Times New Roman" w:eastAsia="Times New Roman" w:cs="Times New Roman"/>
                <w:color w:val="000000"/>
                <w:sz w:val="21"/>
                <w:szCs w:val="21"/>
                <w:highlight w:val="none"/>
              </w:rPr>
              <w:t xml:space="preserve">”</w:t>
            </w:r>
            <w:r>
              <w:rPr>
                <w:rFonts w:ascii="宋体" w:hAnsi="宋体" w:eastAsia="宋体" w:cs="宋体"/>
                <w:color w:val="000000"/>
                <w:sz w:val="21"/>
                <w:szCs w:val="21"/>
                <w:highlight w:val="none"/>
              </w:rPr>
              <w:t xml:space="preserve">所列内容进行评分，投标人所投产品的技术性能、功能、参数、规格等能够完全满足招标文件要求的得基本分</w:t>
            </w:r>
            <w:r>
              <w:rPr>
                <w:rFonts w:ascii="Times New Roman" w:hAnsi="Times New Roman" w:eastAsia="Times New Roman" w:cs="Times New Roman"/>
                <w:color w:val="000000"/>
                <w:sz w:val="21"/>
                <w:szCs w:val="21"/>
                <w:highlight w:val="none"/>
              </w:rPr>
              <w:t xml:space="preserve">30</w:t>
            </w:r>
            <w:r>
              <w:rPr>
                <w:rFonts w:ascii="宋体" w:hAnsi="宋体" w:eastAsia="宋体" w:cs="宋体"/>
                <w:color w:val="000000"/>
                <w:sz w:val="21"/>
                <w:szCs w:val="21"/>
                <w:highlight w:val="none"/>
              </w:rPr>
              <w:t xml:space="preserve">分。每有一项负偏离扣</w:t>
            </w:r>
            <w:r>
              <w:rPr>
                <w:rFonts w:ascii="Times New Roman" w:hAnsi="Times New Roman" w:eastAsia="Times New Roman" w:cs="Times New Roman"/>
                <w:color w:val="000000"/>
                <w:sz w:val="21"/>
                <w:szCs w:val="21"/>
                <w:highlight w:val="none"/>
              </w:rPr>
              <w:t xml:space="preserve"> 1 </w:t>
            </w:r>
            <w:r>
              <w:rPr>
                <w:rFonts w:ascii="宋体" w:hAnsi="宋体" w:eastAsia="宋体" w:cs="宋体"/>
                <w:color w:val="000000"/>
                <w:sz w:val="21"/>
                <w:szCs w:val="21"/>
                <w:highlight w:val="none"/>
              </w:rPr>
              <w:t xml:space="preserve">分，扣完为止，本项最低得</w:t>
            </w:r>
            <w:r>
              <w:rPr>
                <w:rFonts w:ascii="Times New Roman" w:hAnsi="Times New Roman" w:eastAsia="Times New Roman" w:cs="Times New Roman"/>
                <w:color w:val="000000"/>
                <w:sz w:val="21"/>
                <w:szCs w:val="21"/>
                <w:highlight w:val="none"/>
              </w:rPr>
              <w:t xml:space="preserve">0</w:t>
            </w:r>
            <w:r>
              <w:rPr>
                <w:rFonts w:ascii="宋体" w:hAnsi="宋体" w:eastAsia="宋体" w:cs="宋体"/>
                <w:color w:val="000000"/>
                <w:sz w:val="21"/>
                <w:szCs w:val="21"/>
                <w:highlight w:val="none"/>
              </w:rPr>
              <w:t xml:space="preserve">分，最高得</w:t>
            </w:r>
            <w:r>
              <w:rPr>
                <w:rFonts w:ascii="Times New Roman" w:hAnsi="Times New Roman" w:eastAsia="Times New Roman" w:cs="Times New Roman"/>
                <w:color w:val="000000"/>
                <w:sz w:val="21"/>
                <w:szCs w:val="21"/>
                <w:highlight w:val="none"/>
              </w:rPr>
              <w:t xml:space="preserve">30</w:t>
            </w:r>
            <w:r>
              <w:rPr>
                <w:rFonts w:ascii="宋体" w:hAnsi="宋体" w:eastAsia="宋体" w:cs="宋体"/>
                <w:color w:val="000000"/>
                <w:sz w:val="21"/>
                <w:szCs w:val="21"/>
                <w:highlight w:val="none"/>
              </w:rPr>
              <w:t xml:space="preserve">分。</w:t>
            </w:r>
            <w:r/>
          </w:p>
          <w:p>
            <w:pPr>
              <w:jc w:val="left"/>
              <w:widowControl w:val="off"/>
              <w:rPr>
                <w:rFonts w:ascii="Times New Roman" w:hAnsi="Times New Roman" w:eastAsia="宋体" w:cs="Times New Roman"/>
                <w:color w:val="000000"/>
                <w:szCs w:val="21"/>
                <w:highlight w:val="none"/>
              </w:rPr>
            </w:pPr>
            <w:r>
              <w:rPr>
                <w:rFonts w:ascii="宋体" w:hAnsi="宋体" w:eastAsia="宋体" w:cs="宋体"/>
                <w:color w:val="000000"/>
                <w:sz w:val="21"/>
                <w:szCs w:val="21"/>
                <w:highlight w:val="none"/>
              </w:rPr>
              <w:t xml:space="preserve">注：</w:t>
            </w:r>
            <w:r>
              <w:rPr>
                <w:rFonts w:ascii="Times New Roman" w:hAnsi="Times New Roman" w:eastAsia="Times New Roman" w:cs="Times New Roman"/>
                <w:color w:val="000000"/>
                <w:sz w:val="21"/>
                <w:szCs w:val="21"/>
                <w:highlight w:val="none"/>
              </w:rPr>
              <w:t xml:space="preserve">1</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投标人</w:t>
            </w:r>
            <w:r>
              <w:rPr>
                <w:rFonts w:ascii="宋体" w:hAnsi="宋体" w:eastAsia="宋体" w:cs="宋体"/>
                <w:color w:val="000000"/>
                <w:sz w:val="21"/>
                <w:szCs w:val="21"/>
                <w:highlight w:val="none"/>
              </w:rPr>
              <w:t xml:space="preserve">针对本项评标内容在响应文件《技术要求响应及偏离表》中逐条列出响应及偏离情况；</w:t>
            </w:r>
            <w:r>
              <w:rPr>
                <w:rFonts w:ascii="Times New Roman" w:hAnsi="Times New Roman" w:eastAsia="Times New Roman" w:cs="Times New Roman"/>
                <w:color w:val="000000"/>
                <w:sz w:val="21"/>
                <w:szCs w:val="21"/>
                <w:highlight w:val="none"/>
              </w:rPr>
              <w:t xml:space="preserve">2</w:t>
            </w:r>
            <w:r>
              <w:rPr>
                <w:rFonts w:ascii="宋体" w:hAnsi="宋体" w:eastAsia="宋体" w:cs="宋体"/>
                <w:color w:val="000000"/>
                <w:sz w:val="21"/>
                <w:szCs w:val="21"/>
                <w:highlight w:val="none"/>
              </w:rPr>
              <w:t xml:space="preserve">、采购需求中未要求提供证明材料的，以《技术要求响应及偏离表》为准。未按要求提供证明材料或未在技术要求响应及偏离表中列明偏离情况的对应项按负偏离进行扣分处理。</w:t>
            </w:r>
            <w:r>
              <w:rPr>
                <w:rFonts w:hint="eastAsia" w:ascii="Times New Roman" w:hAnsi="Times New Roman" w:eastAsia="宋体" w:cs="Times New Roman"/>
                <w:color w:val="000000"/>
                <w:sz w:val="21"/>
                <w:szCs w:val="21"/>
                <w:highlight w:val="none"/>
                <w:lang w:val="en-US" w:eastAsia="zh-CN"/>
              </w:rPr>
              <w:t xml:space="preserve">3</w:t>
            </w:r>
            <w:r>
              <w:rPr>
                <w:rFonts w:ascii="宋体" w:hAnsi="宋体" w:eastAsia="宋体" w:cs="宋体"/>
                <w:color w:val="000000"/>
                <w:sz w:val="21"/>
                <w:szCs w:val="21"/>
                <w:highlight w:val="none"/>
              </w:rPr>
              <w:t xml:space="preserve">、</w:t>
            </w:r>
            <w:r>
              <w:rPr>
                <w:rFonts w:ascii="Times New Roman" w:hAnsi="Times New Roman" w:eastAsia="Times New Roman" w:cs="Times New Roman"/>
                <w:color w:val="000000"/>
                <w:sz w:val="21"/>
                <w:szCs w:val="21"/>
                <w:highlight w:val="none"/>
              </w:rPr>
              <w:t xml:space="preserve">★</w:t>
            </w:r>
            <w:r>
              <w:rPr>
                <w:rFonts w:ascii="宋体" w:hAnsi="宋体" w:eastAsia="宋体" w:cs="宋体"/>
                <w:color w:val="000000"/>
                <w:sz w:val="21"/>
                <w:szCs w:val="21"/>
                <w:highlight w:val="none"/>
              </w:rPr>
              <w:t xml:space="preserve">号部分为实质性</w:t>
            </w:r>
            <w:r>
              <w:rPr>
                <w:rFonts w:hint="eastAsia" w:ascii="宋体" w:hAnsi="宋体" w:eastAsia="宋体" w:cs="宋体"/>
                <w:color w:val="000000"/>
                <w:sz w:val="21"/>
                <w:szCs w:val="21"/>
                <w:highlight w:val="none"/>
                <w:lang w:eastAsia="zh-CN"/>
              </w:rPr>
              <w:t xml:space="preserve">响应</w:t>
            </w:r>
            <w:r>
              <w:rPr>
                <w:rFonts w:ascii="宋体" w:hAnsi="宋体" w:eastAsia="宋体" w:cs="宋体"/>
                <w:color w:val="000000"/>
                <w:sz w:val="21"/>
                <w:szCs w:val="21"/>
                <w:highlight w:val="none"/>
              </w:rPr>
              <w:t xml:space="preserve">不接受负偏离，否则作无效投标处理。</w:t>
            </w:r>
            <w:r/>
          </w:p>
        </w:tc>
      </w:tr>
      <w:tr>
        <w:trPr/>
        <w:tc>
          <w:tcPr>
            <w:tcW w:w="1538" w:type="dxa"/>
            <w:vAlign w:val="center"/>
            <w:vMerge w:val="restart"/>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企业经营业绩、信誉</w:t>
            </w:r>
            <w:r/>
          </w:p>
        </w:tc>
        <w:tc>
          <w:tcPr>
            <w:tcW w:w="2049"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企业业绩</w:t>
            </w:r>
            <w:r/>
          </w:p>
        </w:tc>
        <w:tc>
          <w:tcPr>
            <w:tcW w:w="897"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6.00分</w:t>
            </w:r>
            <w:r/>
          </w:p>
        </w:tc>
        <w:tc>
          <w:tcPr>
            <w:tcW w:w="4485"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rPr>
                <w:rFonts w:ascii="SimSun" w:hAnsi="SimSun" w:eastAsia="SimSun" w:cs="SimSun"/>
                <w:color w:val="000000"/>
                <w:sz w:val="21"/>
              </w:rPr>
              <w:t xml:space="preserve">投标人具有近三年内完成的类似本项目的新生儿科医疗设备采购业绩</w:t>
            </w:r>
            <w:r>
              <w:rPr>
                <w:rFonts w:ascii="Times New Roman" w:hAnsi="Times New Roman" w:eastAsia="宋体" w:cs="Times New Roman"/>
                <w:color w:val="000000"/>
                <w:szCs w:val="21"/>
                <w:highlight w:val="none"/>
              </w:rPr>
              <w:t xml:space="preserve">，每有一个得2分，最高得6分。（业绩须同时提供项目中标通知书、合同和甲方出具的验收合格材料复印件加盖公章，且业绩合同中主要内容、标的、金额等清晰可见，否则该业绩不得分）。</w:t>
            </w:r>
            <w:r/>
          </w:p>
        </w:tc>
      </w:tr>
      <w:tr>
        <w:trPr/>
        <w:tc>
          <w:tcPr>
            <w:tcW w:w="1538" w:type="dxa"/>
            <w:vAlign w:val="center"/>
            <w:vMerge w:val="continue"/>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049"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企业荣誉、证书及综合实力</w:t>
            </w:r>
            <w:r/>
          </w:p>
        </w:tc>
        <w:tc>
          <w:tcPr>
            <w:tcW w:w="897"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4</w:t>
            </w:r>
            <w:r>
              <w:rPr>
                <w:rFonts w:ascii="Times New Roman" w:hAnsi="Times New Roman" w:eastAsia="宋体" w:cs="Times New Roman"/>
                <w:color w:val="000000"/>
                <w:szCs w:val="21"/>
                <w:highlight w:val="none"/>
              </w:rPr>
              <w:t xml:space="preserve">.00分</w:t>
            </w:r>
            <w:r/>
          </w:p>
        </w:tc>
        <w:tc>
          <w:tcPr>
            <w:tcW w:w="4485"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t xml:space="preserve">投标</w:t>
            </w:r>
            <w:r>
              <w:rPr>
                <w:rFonts w:hint="eastAsia" w:ascii="Times New Roman" w:hAnsi="Times New Roman" w:eastAsia="宋体" w:cs="Times New Roman"/>
                <w:color w:val="000000"/>
                <w:szCs w:val="21"/>
                <w:highlight w:val="none"/>
                <w:lang w:val="en-US" w:eastAsia="zh-CN"/>
              </w:rPr>
              <w:t xml:space="preserve">产品</w:t>
            </w:r>
            <w:r>
              <w:rPr>
                <w:rFonts w:ascii="Times New Roman" w:hAnsi="Times New Roman" w:eastAsia="宋体" w:cs="Times New Roman"/>
                <w:color w:val="000000"/>
                <w:szCs w:val="21"/>
                <w:highlight w:val="none"/>
              </w:rPr>
              <w:t xml:space="preserve">提供有效期内的质量体系认证、环境管理体系认证、职业健康安全管理体系认证</w:t>
            </w:r>
            <w:r>
              <w:rPr>
                <w:rFonts w:hint="eastAsia" w:ascii="Times New Roman" w:hAnsi="Times New Roman" w:eastAsia="宋体" w:cs="Times New Roman"/>
                <w:color w:val="000000"/>
                <w:szCs w:val="21"/>
                <w:highlight w:val="none"/>
                <w:lang w:eastAsia="zh-CN"/>
              </w:rPr>
              <w:t xml:space="preserve">的</w:t>
            </w:r>
            <w:r>
              <w:rPr>
                <w:rFonts w:ascii="Times New Roman" w:hAnsi="Times New Roman" w:eastAsia="宋体" w:cs="Times New Roman"/>
                <w:color w:val="000000"/>
                <w:szCs w:val="21"/>
                <w:highlight w:val="none"/>
              </w:rPr>
              <w:t xml:space="preserve">每有一个得</w:t>
            </w:r>
            <w:r>
              <w:rPr>
                <w:rFonts w:hint="eastAsia"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t xml:space="preserve">分，最高得</w:t>
            </w:r>
            <w:r>
              <w:rPr>
                <w:rFonts w:hint="eastAsia"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rPr>
              <w:t xml:space="preserve">分。</w:t>
            </w:r>
            <w:r/>
          </w:p>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rPr>
              <w:t xml:space="preserve">、投标</w:t>
            </w:r>
            <w:r>
              <w:rPr>
                <w:rFonts w:hint="eastAsia" w:ascii="Times New Roman" w:hAnsi="Times New Roman" w:eastAsia="宋体" w:cs="Times New Roman"/>
                <w:color w:val="000000"/>
                <w:szCs w:val="21"/>
                <w:highlight w:val="none"/>
                <w:lang w:val="en-US" w:eastAsia="zh-CN"/>
              </w:rPr>
              <w:t xml:space="preserve">产品</w:t>
            </w:r>
            <w:r>
              <w:rPr>
                <w:rFonts w:ascii="Times New Roman" w:hAnsi="Times New Roman" w:eastAsia="宋体" w:cs="Times New Roman"/>
                <w:color w:val="000000"/>
                <w:szCs w:val="21"/>
                <w:highlight w:val="none"/>
              </w:rPr>
              <w:t xml:space="preserve">获得中国绿色材料标志授权使用证书的得</w:t>
            </w:r>
            <w:r>
              <w:rPr>
                <w:rFonts w:hint="eastAsia"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t xml:space="preserve">分。 </w:t>
            </w:r>
            <w:r/>
          </w:p>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以上提供相关证书材料原件扫描件加盖公章，未提供不得分。</w:t>
            </w:r>
            <w:r/>
          </w:p>
        </w:tc>
      </w:tr>
      <w:tr>
        <w:trPr/>
        <w:tc>
          <w:tcPr>
            <w:tcW w:w="1538" w:type="dxa"/>
            <w:vAlign w:val="center"/>
            <w:vMerge w:val="continue"/>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049"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节能环保</w:t>
            </w:r>
            <w:r/>
          </w:p>
        </w:tc>
        <w:tc>
          <w:tcPr>
            <w:tcW w:w="897"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2.00分</w:t>
            </w:r>
            <w:r/>
          </w:p>
        </w:tc>
        <w:tc>
          <w:tcPr>
            <w:tcW w:w="4485"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 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w:t>
            </w:r>
            <w:r/>
          </w:p>
        </w:tc>
      </w:tr>
      <w:tr>
        <w:trPr/>
        <w:tc>
          <w:tcPr>
            <w:tcW w:w="1538" w:type="dxa"/>
            <w:vAlign w:val="center"/>
            <w:vMerge w:val="restart"/>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项目实施方案</w:t>
            </w:r>
            <w:r/>
          </w:p>
        </w:tc>
        <w:tc>
          <w:tcPr>
            <w:tcW w:w="2049"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项目实施方案</w:t>
            </w:r>
            <w:r/>
          </w:p>
        </w:tc>
        <w:tc>
          <w:tcPr>
            <w:tcW w:w="897"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9</w:t>
            </w:r>
            <w:r>
              <w:rPr>
                <w:rFonts w:ascii="Times New Roman" w:hAnsi="Times New Roman" w:eastAsia="宋体" w:cs="Times New Roman"/>
                <w:color w:val="000000"/>
                <w:szCs w:val="21"/>
                <w:highlight w:val="none"/>
              </w:rPr>
              <w:t xml:space="preserve">.00分</w:t>
            </w:r>
            <w:r/>
          </w:p>
        </w:tc>
        <w:tc>
          <w:tcPr>
            <w:tcW w:w="4485"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提供项目实施方案，包括实施项目供货计划、安装工期安排、安装技术人员配备、现场安装流程、安装质量要求、项目验收方案等进行打分，工作内容符合实际、结构严谨、内容完整详实、能够针对采购项目内容要求而细化制定、项目实施运行机制健全且优于采购需求的得</w:t>
            </w:r>
            <w:r>
              <w:rPr>
                <w:rFonts w:ascii="Times New Roman" w:hAnsi="Times New Roman" w:eastAsia="Times New Roman" w:cs="Times New Roman"/>
                <w:color w:val="000000"/>
                <w:sz w:val="21"/>
                <w:highlight w:val="none"/>
              </w:rPr>
              <w:t xml:space="preserve">9</w:t>
            </w:r>
            <w:r>
              <w:rPr>
                <w:rFonts w:ascii="宋体" w:hAnsi="宋体" w:eastAsia="宋体" w:cs="宋体"/>
                <w:color w:val="000000"/>
                <w:sz w:val="21"/>
                <w:highlight w:val="none"/>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highlight w:val="none"/>
              </w:rPr>
              <w:t xml:space="preserve">6</w:t>
            </w:r>
            <w:r>
              <w:rPr>
                <w:rFonts w:ascii="宋体" w:hAnsi="宋体" w:eastAsia="宋体" w:cs="宋体"/>
                <w:color w:val="000000"/>
                <w:sz w:val="21"/>
                <w:highlight w:val="none"/>
              </w:rPr>
              <w:t xml:space="preserve">分；有项目实施方案、但方案内容笼统、针对本项目制定未细致、但承诺经过优化可实现采购需求的得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分，没有内容或其情况不满足招标文件需求的不得分。</w:t>
            </w:r>
            <w:r/>
          </w:p>
        </w:tc>
      </w:tr>
      <w:tr>
        <w:trPr/>
        <w:tc>
          <w:tcPr>
            <w:tcW w:w="1538" w:type="dxa"/>
            <w:vAlign w:val="center"/>
            <w:vMerge w:val="continue"/>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049"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管理力量、技术人员安排</w:t>
            </w:r>
            <w:r/>
          </w:p>
        </w:tc>
        <w:tc>
          <w:tcPr>
            <w:tcW w:w="897"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6</w:t>
            </w:r>
            <w:r>
              <w:rPr>
                <w:rFonts w:ascii="Times New Roman" w:hAnsi="Times New Roman" w:eastAsia="宋体" w:cs="Times New Roman"/>
                <w:color w:val="000000"/>
                <w:szCs w:val="21"/>
                <w:highlight w:val="none"/>
              </w:rPr>
              <w:t xml:space="preserve">.00分</w:t>
            </w:r>
            <w:r/>
          </w:p>
        </w:tc>
        <w:tc>
          <w:tcPr>
            <w:tcW w:w="4485"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五、其他要求提供拟投入本项目人员管理及人员配备情况和使用计划进行打分。人员安排充足且合理、管理机构健全程度高、技术人员综合能力强、项目安装期仓储和车辆调度效率高的得</w:t>
            </w:r>
            <w:r>
              <w:rPr>
                <w:rFonts w:ascii="Times New Roman" w:hAnsi="Times New Roman" w:eastAsia="Times New Roman" w:cs="Times New Roman"/>
                <w:color w:val="000000"/>
                <w:sz w:val="21"/>
                <w:highlight w:val="none"/>
              </w:rPr>
              <w:t xml:space="preserve">6</w:t>
            </w:r>
            <w:r>
              <w:rPr>
                <w:rFonts w:ascii="宋体" w:hAnsi="宋体" w:eastAsia="宋体" w:cs="宋体"/>
                <w:color w:val="000000"/>
                <w:sz w:val="21"/>
                <w:highlight w:val="none"/>
              </w:rPr>
              <w:t xml:space="preserve">分；人员安排充足、管理机构健全、技术人员配置一般、有安装期暂存点的得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分；人员安排一般、管理机构不全、技术人员配置不到位、项目安装期无暂存点的得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分。本项最高得</w:t>
            </w:r>
            <w:r>
              <w:rPr>
                <w:rFonts w:ascii="Times New Roman" w:hAnsi="Times New Roman" w:eastAsia="Times New Roman" w:cs="Times New Roman"/>
                <w:color w:val="000000"/>
                <w:sz w:val="21"/>
                <w:highlight w:val="none"/>
              </w:rPr>
              <w:t xml:space="preserve">6</w:t>
            </w:r>
            <w:r>
              <w:rPr>
                <w:rFonts w:ascii="宋体" w:hAnsi="宋体" w:eastAsia="宋体" w:cs="宋体"/>
                <w:color w:val="000000"/>
                <w:sz w:val="21"/>
                <w:highlight w:val="none"/>
              </w:rPr>
              <w:t xml:space="preserve">分，没有内容的不得分。</w:t>
            </w:r>
            <w:r/>
          </w:p>
        </w:tc>
      </w:tr>
      <w:tr>
        <w:trPr/>
        <w:tc>
          <w:tcPr>
            <w:tcW w:w="1538" w:type="dxa"/>
            <w:vAlign w:val="center"/>
            <w:vMerge w:val="continue"/>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049"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应急响应方案</w:t>
            </w:r>
            <w:r/>
          </w:p>
        </w:tc>
        <w:tc>
          <w:tcPr>
            <w:tcW w:w="897"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5.00分</w:t>
            </w:r>
            <w:r/>
          </w:p>
        </w:tc>
        <w:tc>
          <w:tcPr>
            <w:tcW w:w="4485"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提供应急响应方案，投标人在运输，安装和交付使用后，可能发生的紧急情况具有完善的应急响应方案，投标人须详尽的列明不可预见的情况并提供针对此情况发生后的响应方案，评委会根据采购需求对投标人所投方案内容进行打分，应急响应方案健全且优于采购需求的得</w:t>
            </w:r>
            <w:r>
              <w:rPr>
                <w:rFonts w:ascii="Times New Roman" w:hAnsi="Times New Roman" w:eastAsia="Times New Roman" w:cs="Times New Roman"/>
                <w:color w:val="000000"/>
                <w:sz w:val="21"/>
                <w:highlight w:val="none"/>
              </w:rPr>
              <w:t xml:space="preserve">5</w:t>
            </w:r>
            <w:r>
              <w:rPr>
                <w:rFonts w:ascii="宋体" w:hAnsi="宋体" w:eastAsia="宋体" w:cs="宋体"/>
                <w:color w:val="000000"/>
                <w:sz w:val="21"/>
                <w:highlight w:val="none"/>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分；有应急响应方案、但方案内容笼统、针对本项目制定未细致、但承诺经过优化可实现采购需求的得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分，没有内容或其情况不满足招标文件需求的不得分。</w:t>
            </w:r>
            <w:r/>
          </w:p>
        </w:tc>
      </w:tr>
      <w:tr>
        <w:trPr/>
        <w:tc>
          <w:tcPr>
            <w:tcW w:w="1538"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其他</w:t>
            </w:r>
            <w:r/>
          </w:p>
        </w:tc>
        <w:tc>
          <w:tcPr>
            <w:tcW w:w="2049"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售后服务</w:t>
            </w:r>
            <w:r/>
          </w:p>
        </w:tc>
        <w:tc>
          <w:tcPr>
            <w:tcW w:w="886"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8</w:t>
            </w:r>
            <w:r>
              <w:rPr>
                <w:rFonts w:ascii="Times New Roman" w:hAnsi="Times New Roman" w:eastAsia="宋体" w:cs="Times New Roman"/>
                <w:color w:val="000000"/>
                <w:szCs w:val="21"/>
                <w:highlight w:val="none"/>
              </w:rPr>
              <w:t xml:space="preserve">.00分</w:t>
            </w:r>
            <w:r/>
          </w:p>
        </w:tc>
        <w:tc>
          <w:tcPr>
            <w:tcW w:w="443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制定售后服务方案：具有完善的售后服务管理体系，提供包含服务范围、响应时间以及质保期满后主要产品、配件优惠方案、完整的售后服务方案、地面处理建议方案等。方案详细、响应及时、服务体系完整的得</w:t>
            </w:r>
            <w:r>
              <w:rPr>
                <w:rFonts w:ascii="Times New Roman" w:hAnsi="Times New Roman" w:eastAsia="Times New Roman" w:cs="Times New Roman"/>
                <w:color w:val="000000"/>
                <w:sz w:val="21"/>
                <w:highlight w:val="none"/>
              </w:rPr>
              <w:t xml:space="preserve">8</w:t>
            </w:r>
            <w:r>
              <w:rPr>
                <w:rFonts w:ascii="宋体" w:hAnsi="宋体" w:eastAsia="宋体" w:cs="宋体"/>
                <w:color w:val="000000"/>
                <w:sz w:val="21"/>
                <w:highlight w:val="none"/>
              </w:rPr>
              <w:t xml:space="preserve">分；方案详细、服务范围广泛、响应虽有滞后性，服务体系完整，但能基本确保稳定运行的得</w:t>
            </w:r>
            <w:r>
              <w:rPr>
                <w:rFonts w:ascii="Times New Roman" w:hAnsi="Times New Roman" w:eastAsia="Times New Roman" w:cs="Times New Roman"/>
                <w:color w:val="000000"/>
                <w:sz w:val="21"/>
                <w:highlight w:val="none"/>
              </w:rPr>
              <w:t xml:space="preserve">4</w:t>
            </w:r>
            <w:r>
              <w:rPr>
                <w:rFonts w:ascii="宋体" w:hAnsi="宋体" w:eastAsia="宋体" w:cs="宋体"/>
                <w:color w:val="000000"/>
                <w:sz w:val="21"/>
                <w:highlight w:val="none"/>
              </w:rPr>
              <w:t xml:space="preserve">分；方案粗略、服务范围狭窄、响应滞后、服务体系虽完整，但缺乏有效保障稳定运行的措施的得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分，没有内容或其情况不满足招标文件需求的不得分。</w:t>
            </w:r>
            <w:r/>
          </w:p>
        </w:tc>
      </w:tr>
    </w:tbl>
    <w:p>
      <w:pPr>
        <w:rPr>
          <w:rFonts w:hint="eastAsia"/>
          <w:color w:val="000000"/>
          <w:highlight w:val="none"/>
        </w:rPr>
      </w:pPr>
      <w:r>
        <w:rPr>
          <w:rFonts w:hint="eastAsia"/>
          <w:color w:val="000000"/>
          <w:highlight w:val="none"/>
        </w:rPr>
      </w:r>
      <w:r/>
    </w:p>
    <w:p>
      <w:pPr>
        <w:jc w:val="both"/>
        <w:widowControl w:val="off"/>
        <w:rPr>
          <w:rFonts w:hint="eastAsia" w:ascii="楷体_GB2312" w:hAnsi="Arial" w:eastAsia="楷体_GB2312" w:cs="Times New Roman"/>
          <w:color w:val="000000"/>
          <w:sz w:val="28"/>
          <w:szCs w:val="28"/>
          <w:highlight w:val="none"/>
          <w:lang w:val="en-US" w:eastAsia="zh-CN" w:bidi="ar-SA"/>
        </w:rPr>
      </w:pPr>
      <w:r>
        <w:rPr>
          <w:rFonts w:hint="eastAsia" w:ascii="宋体" w:hAnsi="宋体" w:eastAsia="宋体" w:cs="宋体"/>
          <w:b/>
          <w:bCs/>
          <w:color w:val="000000"/>
          <w:sz w:val="24"/>
          <w:szCs w:val="28"/>
          <w:highlight w:val="none"/>
          <w:lang w:val="en-US" w:eastAsia="zh-CN" w:bidi="ar-SA"/>
        </w:rPr>
        <w:t xml:space="preserve">分包五：</w:t>
      </w:r>
      <w:r/>
    </w:p>
    <w:tbl>
      <w:tblPr>
        <w:tblStyle w:val="787"/>
        <w:tblW w:w="5016" w:type="pct"/>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53"/>
        <w:gridCol w:w="2726"/>
        <w:gridCol w:w="897"/>
        <w:gridCol w:w="4476"/>
      </w:tblGrid>
      <w:tr>
        <w:trPr/>
        <w:tc>
          <w:tcPr>
            <w:gridSpan w:val="2"/>
            <w:tcW w:w="3597" w:type="dxa"/>
            <w:vAlign w:val="center"/>
            <w:textDirection w:val="lrTb"/>
            <w:noWrap w:val="false"/>
          </w:tcPr>
          <w:p>
            <w:pPr>
              <w:jc w:val="center"/>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评审因素</w:t>
            </w:r>
            <w:r/>
          </w:p>
        </w:tc>
        <w:tc>
          <w:tcPr>
            <w:tcW w:w="500" w:type="dxa"/>
            <w:vAlign w:val="center"/>
            <w:textDirection w:val="lrTb"/>
            <w:noWrap w:val="false"/>
          </w:tcPr>
          <w:p>
            <w:pPr>
              <w:jc w:val="center"/>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分数</w:t>
            </w:r>
            <w:r/>
          </w:p>
        </w:tc>
        <w:tc>
          <w:tcPr>
            <w:tcW w:w="2500" w:type="dxa"/>
            <w:vAlign w:val="center"/>
            <w:textDirection w:val="lrTb"/>
            <w:noWrap w:val="false"/>
          </w:tcPr>
          <w:p>
            <w:pPr>
              <w:jc w:val="center"/>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评审标准</w:t>
            </w:r>
            <w:r/>
          </w:p>
        </w:tc>
      </w:tr>
      <w:tr>
        <w:trPr/>
        <w:tc>
          <w:tcPr>
            <w:tcW w:w="856"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报价分</w:t>
            </w:r>
            <w:r/>
          </w:p>
        </w:tc>
        <w:tc>
          <w:tcPr>
            <w:tcW w:w="1142"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投标报价</w:t>
            </w:r>
            <w:r/>
          </w:p>
        </w:tc>
        <w:tc>
          <w:tcPr>
            <w:tcW w:w="90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30.00分</w:t>
            </w:r>
            <w:r/>
          </w:p>
        </w:tc>
        <w:tc>
          <w:tcPr>
            <w:tcW w:w="4501"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采用低价优先法计算，即满足招标文件要求且投标价格最低的投标报价为评标基准价，其价格分为满分。其他投标人投标报价得分＝（评标基准价/投标报价）*30。 </w:t>
            </w:r>
            <w:r/>
          </w:p>
        </w:tc>
      </w:tr>
      <w:tr>
        <w:trPr/>
        <w:tc>
          <w:tcPr>
            <w:tcW w:w="856"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技术响应</w:t>
            </w:r>
            <w:r/>
          </w:p>
        </w:tc>
        <w:tc>
          <w:tcPr>
            <w:tcW w:w="1142"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技术参数响应</w:t>
            </w:r>
            <w:r/>
          </w:p>
        </w:tc>
        <w:tc>
          <w:tcPr>
            <w:tcW w:w="90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30.00分</w:t>
            </w:r>
            <w:r/>
          </w:p>
        </w:tc>
        <w:tc>
          <w:tcPr>
            <w:tcW w:w="4501" w:type="dxa"/>
            <w:vAlign w:val="center"/>
            <w:textDirection w:val="lrTb"/>
            <w:noWrap w:val="false"/>
          </w:tcPr>
          <w:p>
            <w:pPr>
              <w:ind w:left="0" w:right="0" w:firstLine="0"/>
              <w:jc w:val="both"/>
              <w:spacing w:before="0" w:after="0"/>
              <w:widowControl w:val="off"/>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针对招标文件“第四章、采购需求”中的“二、采购清单及技术要求</w:t>
            </w:r>
            <w:r>
              <w:rPr>
                <w:rFonts w:hint="eastAsia" w:ascii="宋体" w:hAnsi="宋体" w:eastAsia="宋体" w:cs="宋体"/>
                <w:color w:val="000000"/>
                <w:sz w:val="21"/>
                <w:szCs w:val="21"/>
                <w:highlight w:val="none"/>
                <w:lang w:val="en-US" w:eastAsia="zh-CN"/>
              </w:rPr>
              <w:t xml:space="preserve">分包五</w:t>
            </w:r>
            <w:r>
              <w:rPr>
                <w:rFonts w:ascii="Times New Roman" w:hAnsi="Times New Roman" w:eastAsia="Times New Roman" w:cs="Times New Roman"/>
                <w:color w:val="000000"/>
                <w:sz w:val="21"/>
                <w:szCs w:val="21"/>
                <w:highlight w:val="none"/>
              </w:rPr>
              <w:t xml:space="preserve">”</w:t>
            </w:r>
            <w:r>
              <w:rPr>
                <w:rFonts w:ascii="宋体" w:hAnsi="宋体" w:eastAsia="宋体" w:cs="宋体"/>
                <w:color w:val="000000"/>
                <w:sz w:val="21"/>
                <w:szCs w:val="21"/>
                <w:highlight w:val="none"/>
              </w:rPr>
              <w:t xml:space="preserve">所列内容进行评分，投标人所投产品的技术性能、功能、参数、规格等能够完全满足招标文件要求的得基本分</w:t>
            </w:r>
            <w:r>
              <w:rPr>
                <w:rFonts w:ascii="Times New Roman" w:hAnsi="Times New Roman" w:eastAsia="Times New Roman" w:cs="Times New Roman"/>
                <w:color w:val="000000"/>
                <w:sz w:val="21"/>
                <w:szCs w:val="21"/>
                <w:highlight w:val="none"/>
              </w:rPr>
              <w:t xml:space="preserve">30</w:t>
            </w:r>
            <w:r>
              <w:rPr>
                <w:rFonts w:ascii="宋体" w:hAnsi="宋体" w:eastAsia="宋体" w:cs="宋体"/>
                <w:color w:val="000000"/>
                <w:sz w:val="21"/>
                <w:szCs w:val="21"/>
                <w:highlight w:val="none"/>
              </w:rPr>
              <w:t xml:space="preserve">分。每有一项负偏离扣</w:t>
            </w:r>
            <w:r>
              <w:rPr>
                <w:rFonts w:ascii="Times New Roman" w:hAnsi="Times New Roman" w:eastAsia="Times New Roman" w:cs="Times New Roman"/>
                <w:color w:val="000000"/>
                <w:sz w:val="21"/>
                <w:szCs w:val="21"/>
                <w:highlight w:val="none"/>
              </w:rPr>
              <w:t xml:space="preserve"> 1 </w:t>
            </w:r>
            <w:r>
              <w:rPr>
                <w:rFonts w:ascii="宋体" w:hAnsi="宋体" w:eastAsia="宋体" w:cs="宋体"/>
                <w:color w:val="000000"/>
                <w:sz w:val="21"/>
                <w:szCs w:val="21"/>
                <w:highlight w:val="none"/>
              </w:rPr>
              <w:t xml:space="preserve">分，扣完为止，本项最低得</w:t>
            </w:r>
            <w:r>
              <w:rPr>
                <w:rFonts w:ascii="Times New Roman" w:hAnsi="Times New Roman" w:eastAsia="Times New Roman" w:cs="Times New Roman"/>
                <w:color w:val="000000"/>
                <w:sz w:val="21"/>
                <w:szCs w:val="21"/>
                <w:highlight w:val="none"/>
              </w:rPr>
              <w:t xml:space="preserve">0</w:t>
            </w:r>
            <w:r>
              <w:rPr>
                <w:rFonts w:ascii="宋体" w:hAnsi="宋体" w:eastAsia="宋体" w:cs="宋体"/>
                <w:color w:val="000000"/>
                <w:sz w:val="21"/>
                <w:szCs w:val="21"/>
                <w:highlight w:val="none"/>
              </w:rPr>
              <w:t xml:space="preserve">分，最高得</w:t>
            </w:r>
            <w:r>
              <w:rPr>
                <w:rFonts w:ascii="Times New Roman" w:hAnsi="Times New Roman" w:eastAsia="Times New Roman" w:cs="Times New Roman"/>
                <w:color w:val="000000"/>
                <w:sz w:val="21"/>
                <w:szCs w:val="21"/>
                <w:highlight w:val="none"/>
              </w:rPr>
              <w:t xml:space="preserve">30</w:t>
            </w:r>
            <w:r>
              <w:rPr>
                <w:rFonts w:ascii="宋体" w:hAnsi="宋体" w:eastAsia="宋体" w:cs="宋体"/>
                <w:color w:val="000000"/>
                <w:sz w:val="21"/>
                <w:szCs w:val="21"/>
                <w:highlight w:val="none"/>
              </w:rPr>
              <w:t xml:space="preserve">分。</w:t>
            </w:r>
            <w:r/>
          </w:p>
          <w:p>
            <w:pPr>
              <w:jc w:val="left"/>
              <w:widowControl w:val="off"/>
              <w:rPr>
                <w:rFonts w:ascii="Times New Roman" w:hAnsi="Times New Roman" w:eastAsia="宋体" w:cs="Times New Roman"/>
                <w:color w:val="000000"/>
                <w:szCs w:val="21"/>
                <w:highlight w:val="none"/>
              </w:rPr>
            </w:pPr>
            <w:r>
              <w:rPr>
                <w:rFonts w:ascii="宋体" w:hAnsi="宋体" w:eastAsia="宋体" w:cs="宋体"/>
                <w:color w:val="000000"/>
                <w:sz w:val="21"/>
                <w:szCs w:val="21"/>
                <w:highlight w:val="none"/>
              </w:rPr>
              <w:t xml:space="preserve">注：</w:t>
            </w:r>
            <w:r>
              <w:rPr>
                <w:rFonts w:ascii="Times New Roman" w:hAnsi="Times New Roman" w:eastAsia="Times New Roman" w:cs="Times New Roman"/>
                <w:color w:val="000000"/>
                <w:sz w:val="21"/>
                <w:szCs w:val="21"/>
                <w:highlight w:val="none"/>
              </w:rPr>
              <w:t xml:space="preserve">1</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投标人</w:t>
            </w:r>
            <w:r>
              <w:rPr>
                <w:rFonts w:ascii="宋体" w:hAnsi="宋体" w:eastAsia="宋体" w:cs="宋体"/>
                <w:color w:val="000000"/>
                <w:sz w:val="21"/>
                <w:szCs w:val="21"/>
                <w:highlight w:val="none"/>
              </w:rPr>
              <w:t xml:space="preserve">针对本项评标内容在响应文件《技术要求响应及偏离表》中逐条列出响应及偏离情况；</w:t>
            </w:r>
            <w:r>
              <w:rPr>
                <w:rFonts w:ascii="Times New Roman" w:hAnsi="Times New Roman" w:eastAsia="Times New Roman" w:cs="Times New Roman"/>
                <w:color w:val="000000"/>
                <w:sz w:val="21"/>
                <w:szCs w:val="21"/>
                <w:highlight w:val="none"/>
              </w:rPr>
              <w:t xml:space="preserve">2</w:t>
            </w:r>
            <w:r>
              <w:rPr>
                <w:rFonts w:ascii="宋体" w:hAnsi="宋体" w:eastAsia="宋体" w:cs="宋体"/>
                <w:color w:val="000000"/>
                <w:sz w:val="21"/>
                <w:szCs w:val="21"/>
                <w:highlight w:val="none"/>
              </w:rPr>
              <w:t xml:space="preserve">、采购需求中未要求提供证明材料的，以《技术要求响应及偏离表》为准。未按要求提供证明材料或未在技术要求响应及偏离表中列明偏离情况的对应项按负偏离进行扣分处理。</w:t>
            </w:r>
            <w:r>
              <w:rPr>
                <w:rFonts w:hint="eastAsia" w:ascii="Times New Roman" w:hAnsi="Times New Roman" w:eastAsia="宋体" w:cs="Times New Roman"/>
                <w:color w:val="000000"/>
                <w:sz w:val="21"/>
                <w:szCs w:val="21"/>
                <w:highlight w:val="none"/>
                <w:lang w:val="en-US" w:eastAsia="zh-CN"/>
              </w:rPr>
              <w:t xml:space="preserve">3</w:t>
            </w:r>
            <w:r>
              <w:rPr>
                <w:rFonts w:ascii="宋体" w:hAnsi="宋体" w:eastAsia="宋体" w:cs="宋体"/>
                <w:color w:val="000000"/>
                <w:sz w:val="21"/>
                <w:szCs w:val="21"/>
                <w:highlight w:val="none"/>
              </w:rPr>
              <w:t xml:space="preserve">、</w:t>
            </w:r>
            <w:r>
              <w:rPr>
                <w:rFonts w:ascii="Times New Roman" w:hAnsi="Times New Roman" w:eastAsia="Times New Roman" w:cs="Times New Roman"/>
                <w:color w:val="000000"/>
                <w:sz w:val="21"/>
                <w:szCs w:val="21"/>
                <w:highlight w:val="none"/>
              </w:rPr>
              <w:t xml:space="preserve">★</w:t>
            </w:r>
            <w:r>
              <w:rPr>
                <w:rFonts w:ascii="宋体" w:hAnsi="宋体" w:eastAsia="宋体" w:cs="宋体"/>
                <w:color w:val="000000"/>
                <w:sz w:val="21"/>
                <w:szCs w:val="21"/>
                <w:highlight w:val="none"/>
              </w:rPr>
              <w:t xml:space="preserve">号部分为实质性</w:t>
            </w:r>
            <w:r>
              <w:rPr>
                <w:rFonts w:hint="eastAsia" w:ascii="宋体" w:hAnsi="宋体" w:eastAsia="宋体" w:cs="宋体"/>
                <w:color w:val="000000"/>
                <w:sz w:val="21"/>
                <w:szCs w:val="21"/>
                <w:highlight w:val="none"/>
                <w:lang w:eastAsia="zh-CN"/>
              </w:rPr>
              <w:t xml:space="preserve">响应</w:t>
            </w:r>
            <w:bookmarkStart w:id="237" w:name="_GoBack"/>
            <w:r/>
            <w:bookmarkEnd w:id="237"/>
            <w:r>
              <w:rPr>
                <w:rFonts w:ascii="宋体" w:hAnsi="宋体" w:eastAsia="宋体" w:cs="宋体"/>
                <w:color w:val="000000"/>
                <w:sz w:val="21"/>
                <w:szCs w:val="21"/>
                <w:highlight w:val="none"/>
              </w:rPr>
              <w:t xml:space="preserve">不接受负偏离，否则作无效投标处理。</w:t>
            </w:r>
            <w:r/>
          </w:p>
        </w:tc>
      </w:tr>
      <w:tr>
        <w:trPr/>
        <w:tc>
          <w:tcPr>
            <w:tcW w:w="856" w:type="dxa"/>
            <w:vAlign w:val="center"/>
            <w:vMerge w:val="restart"/>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企业经营业绩、信誉</w:t>
            </w:r>
            <w:r/>
          </w:p>
        </w:tc>
        <w:tc>
          <w:tcPr>
            <w:tcW w:w="1142"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企业业绩</w:t>
            </w:r>
            <w:r/>
          </w:p>
        </w:tc>
        <w:tc>
          <w:tcPr>
            <w:tcW w:w="90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6.00分</w:t>
            </w:r>
            <w:r/>
          </w:p>
        </w:tc>
        <w:tc>
          <w:tcPr>
            <w:tcW w:w="4501"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rPr>
                <w:rFonts w:ascii="SimSun" w:hAnsi="SimSun" w:eastAsia="SimSun" w:cs="SimSun"/>
                <w:color w:val="000000"/>
                <w:sz w:val="21"/>
              </w:rPr>
              <w:t xml:space="preserve">投标人具有近三年内完成的类似本项目的新生儿科医疗设备采购业绩</w:t>
            </w:r>
            <w:r>
              <w:rPr>
                <w:rFonts w:ascii="Times New Roman" w:hAnsi="Times New Roman" w:eastAsia="宋体" w:cs="Times New Roman"/>
                <w:color w:val="000000"/>
                <w:szCs w:val="21"/>
                <w:highlight w:val="none"/>
              </w:rPr>
              <w:t xml:space="preserve">，每有一个得2分，最高得6分。（业绩须同时提供项目中标通知书、合同和甲方出具的验收合格材料复印件加盖公章，且业绩合同中主要内容、标的、金额等清晰可见，否则该业绩不得分）。</w:t>
            </w:r>
            <w:r/>
          </w:p>
        </w:tc>
      </w:tr>
      <w:tr>
        <w:trPr/>
        <w:tc>
          <w:tcPr>
            <w:tcW w:w="856" w:type="dxa"/>
            <w:vAlign w:val="center"/>
            <w:vMerge w:val="continue"/>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42"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企业荣誉、证书及综合实力</w:t>
            </w:r>
            <w:r/>
          </w:p>
        </w:tc>
        <w:tc>
          <w:tcPr>
            <w:tcW w:w="90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4</w:t>
            </w:r>
            <w:r>
              <w:rPr>
                <w:rFonts w:ascii="Times New Roman" w:hAnsi="Times New Roman" w:eastAsia="宋体" w:cs="Times New Roman"/>
                <w:color w:val="000000"/>
                <w:szCs w:val="21"/>
                <w:highlight w:val="none"/>
              </w:rPr>
              <w:t xml:space="preserve">.00分</w:t>
            </w:r>
            <w:r/>
          </w:p>
        </w:tc>
        <w:tc>
          <w:tcPr>
            <w:tcW w:w="4501"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t xml:space="preserve">投标</w:t>
            </w:r>
            <w:r>
              <w:rPr>
                <w:rFonts w:hint="eastAsia" w:ascii="Times New Roman" w:hAnsi="Times New Roman" w:eastAsia="宋体" w:cs="Times New Roman"/>
                <w:color w:val="000000"/>
                <w:szCs w:val="21"/>
                <w:highlight w:val="none"/>
                <w:lang w:val="en-US" w:eastAsia="zh-CN"/>
              </w:rPr>
              <w:t xml:space="preserve">产品</w:t>
            </w:r>
            <w:r>
              <w:rPr>
                <w:rFonts w:ascii="Times New Roman" w:hAnsi="Times New Roman" w:eastAsia="宋体" w:cs="Times New Roman"/>
                <w:color w:val="000000"/>
                <w:szCs w:val="21"/>
                <w:highlight w:val="none"/>
              </w:rPr>
              <w:t xml:space="preserve">提供有效期内的质量体系认证、环境管理体系认证、职业健康安全管理体系认证</w:t>
            </w:r>
            <w:r>
              <w:rPr>
                <w:rFonts w:hint="eastAsia" w:ascii="Times New Roman" w:hAnsi="Times New Roman" w:eastAsia="宋体" w:cs="Times New Roman"/>
                <w:color w:val="000000"/>
                <w:szCs w:val="21"/>
                <w:highlight w:val="none"/>
                <w:lang w:eastAsia="zh-CN"/>
              </w:rPr>
              <w:t xml:space="preserve">的</w:t>
            </w:r>
            <w:r>
              <w:rPr>
                <w:rFonts w:ascii="Times New Roman" w:hAnsi="Times New Roman" w:eastAsia="宋体" w:cs="Times New Roman"/>
                <w:color w:val="000000"/>
                <w:szCs w:val="21"/>
                <w:highlight w:val="none"/>
              </w:rPr>
              <w:t xml:space="preserve">每有一个得</w:t>
            </w:r>
            <w:r>
              <w:rPr>
                <w:rFonts w:hint="eastAsia"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t xml:space="preserve">分，最高得</w:t>
            </w:r>
            <w:r>
              <w:rPr>
                <w:rFonts w:hint="eastAsia"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rPr>
              <w:t xml:space="preserve">分。</w:t>
            </w:r>
            <w:r/>
          </w:p>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rPr>
              <w:t xml:space="preserve">、投标</w:t>
            </w:r>
            <w:r>
              <w:rPr>
                <w:rFonts w:hint="eastAsia" w:ascii="Times New Roman" w:hAnsi="Times New Roman" w:eastAsia="宋体" w:cs="Times New Roman"/>
                <w:color w:val="000000"/>
                <w:szCs w:val="21"/>
                <w:highlight w:val="none"/>
                <w:lang w:val="en-US" w:eastAsia="zh-CN"/>
              </w:rPr>
              <w:t xml:space="preserve">产品</w:t>
            </w:r>
            <w:r>
              <w:rPr>
                <w:rFonts w:ascii="Times New Roman" w:hAnsi="Times New Roman" w:eastAsia="宋体" w:cs="Times New Roman"/>
                <w:color w:val="000000"/>
                <w:szCs w:val="21"/>
                <w:highlight w:val="none"/>
              </w:rPr>
              <w:t xml:space="preserve">获得中国绿色材料标志授权使用证书的得</w:t>
            </w:r>
            <w:r>
              <w:rPr>
                <w:rFonts w:hint="eastAsia"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t xml:space="preserve">分。 </w:t>
            </w:r>
            <w:r/>
          </w:p>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以上提供相关证书材料原件扫描件加盖公章，未提供不得分。</w:t>
            </w:r>
            <w:r/>
          </w:p>
        </w:tc>
      </w:tr>
      <w:tr>
        <w:trPr/>
        <w:tc>
          <w:tcPr>
            <w:tcW w:w="856" w:type="dxa"/>
            <w:vAlign w:val="center"/>
            <w:vMerge w:val="continue"/>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42"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节能环保</w:t>
            </w:r>
            <w:r/>
          </w:p>
        </w:tc>
        <w:tc>
          <w:tcPr>
            <w:tcW w:w="90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2.00分</w:t>
            </w:r>
            <w:r/>
          </w:p>
        </w:tc>
        <w:tc>
          <w:tcPr>
            <w:tcW w:w="4501"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 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w:t>
            </w:r>
            <w:r/>
          </w:p>
        </w:tc>
      </w:tr>
      <w:tr>
        <w:trPr/>
        <w:tc>
          <w:tcPr>
            <w:tcW w:w="856" w:type="dxa"/>
            <w:vAlign w:val="center"/>
            <w:vMerge w:val="restart"/>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项目实施方案</w:t>
            </w:r>
            <w:r/>
          </w:p>
        </w:tc>
        <w:tc>
          <w:tcPr>
            <w:tcW w:w="1142"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项目实施方案</w:t>
            </w:r>
            <w:r/>
          </w:p>
        </w:tc>
        <w:tc>
          <w:tcPr>
            <w:tcW w:w="90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9</w:t>
            </w:r>
            <w:r>
              <w:rPr>
                <w:rFonts w:ascii="Times New Roman" w:hAnsi="Times New Roman" w:eastAsia="宋体" w:cs="Times New Roman"/>
                <w:color w:val="000000"/>
                <w:szCs w:val="21"/>
                <w:highlight w:val="none"/>
              </w:rPr>
              <w:t xml:space="preserve">.00分</w:t>
            </w:r>
            <w:r/>
          </w:p>
        </w:tc>
        <w:tc>
          <w:tcPr>
            <w:tcW w:w="4501"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提供项目实施方案，包括实施项目供货计划、安装工期安排、安装技术人员配备、现场安装流程、安装质量要求、项目验收方案等进行打分，工作内容符合实际、结构严谨、内容完整详实、能够针对采购项目内容要求而细化制定、项目实施运行机制健全且优于采购需求的得</w:t>
            </w:r>
            <w:r>
              <w:rPr>
                <w:rFonts w:ascii="Times New Roman" w:hAnsi="Times New Roman" w:eastAsia="Times New Roman" w:cs="Times New Roman"/>
                <w:color w:val="000000"/>
                <w:sz w:val="21"/>
                <w:highlight w:val="none"/>
              </w:rPr>
              <w:t xml:space="preserve">9</w:t>
            </w:r>
            <w:r>
              <w:rPr>
                <w:rFonts w:ascii="宋体" w:hAnsi="宋体" w:eastAsia="宋体" w:cs="宋体"/>
                <w:color w:val="000000"/>
                <w:sz w:val="21"/>
                <w:highlight w:val="none"/>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highlight w:val="none"/>
              </w:rPr>
              <w:t xml:space="preserve">6</w:t>
            </w:r>
            <w:r>
              <w:rPr>
                <w:rFonts w:ascii="宋体" w:hAnsi="宋体" w:eastAsia="宋体" w:cs="宋体"/>
                <w:color w:val="000000"/>
                <w:sz w:val="21"/>
                <w:highlight w:val="none"/>
              </w:rPr>
              <w:t xml:space="preserve">分；有项目实施方案、但方案内容笼统、针对本项目制定未细致、但承诺经过优化可实现采购需求的得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分，没有内容或其情况不满足招标文件需求的不得分。</w:t>
            </w:r>
            <w:r/>
          </w:p>
        </w:tc>
      </w:tr>
      <w:tr>
        <w:trPr/>
        <w:tc>
          <w:tcPr>
            <w:tcW w:w="856" w:type="dxa"/>
            <w:vAlign w:val="center"/>
            <w:vMerge w:val="continue"/>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42"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管理力量、技术人员安排</w:t>
            </w:r>
            <w:r/>
          </w:p>
        </w:tc>
        <w:tc>
          <w:tcPr>
            <w:tcW w:w="50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rPr>
              <w:t xml:space="preserve">.00分</w:t>
            </w:r>
            <w:r/>
          </w:p>
        </w:tc>
        <w:tc>
          <w:tcPr>
            <w:tcW w:w="4501"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五、其他要求提供拟投入本项目人员管理及人员配备情况和使用计划进行打分。人员安排充足且合理、管理机构健全程度高、技术人员综合能力强、项目安装期仓储和车辆调度效率高的得</w:t>
            </w:r>
            <w:r>
              <w:rPr>
                <w:rFonts w:ascii="Times New Roman" w:hAnsi="Times New Roman" w:eastAsia="Times New Roman" w:cs="Times New Roman"/>
                <w:color w:val="000000"/>
                <w:sz w:val="21"/>
                <w:highlight w:val="none"/>
              </w:rPr>
              <w:t xml:space="preserve">6</w:t>
            </w:r>
            <w:r>
              <w:rPr>
                <w:rFonts w:ascii="宋体" w:hAnsi="宋体" w:eastAsia="宋体" w:cs="宋体"/>
                <w:color w:val="000000"/>
                <w:sz w:val="21"/>
                <w:highlight w:val="none"/>
              </w:rPr>
              <w:t xml:space="preserve">分；人员安排充足、管理机构健全、技术人员配置一般、有安装期暂存点的得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分；人员安排一般、管理机构不全、技术人员配置不到位、项目安装期无暂存点的得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分。本项最高得</w:t>
            </w:r>
            <w:r>
              <w:rPr>
                <w:rFonts w:ascii="Times New Roman" w:hAnsi="Times New Roman" w:eastAsia="Times New Roman" w:cs="Times New Roman"/>
                <w:color w:val="000000"/>
                <w:sz w:val="21"/>
                <w:highlight w:val="none"/>
              </w:rPr>
              <w:t xml:space="preserve">6</w:t>
            </w:r>
            <w:r>
              <w:rPr>
                <w:rFonts w:ascii="宋体" w:hAnsi="宋体" w:eastAsia="宋体" w:cs="宋体"/>
                <w:color w:val="000000"/>
                <w:sz w:val="21"/>
                <w:highlight w:val="none"/>
              </w:rPr>
              <w:t xml:space="preserve">分，没有内容的不得分。</w:t>
            </w:r>
            <w:r/>
          </w:p>
        </w:tc>
      </w:tr>
      <w:tr>
        <w:trPr/>
        <w:tc>
          <w:tcPr>
            <w:tcW w:w="856" w:type="dxa"/>
            <w:vAlign w:val="center"/>
            <w:vMerge w:val="continue"/>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42"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应急响应方案</w:t>
            </w:r>
            <w:r/>
          </w:p>
        </w:tc>
        <w:tc>
          <w:tcPr>
            <w:tcW w:w="90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5.00分</w:t>
            </w:r>
            <w:r/>
          </w:p>
        </w:tc>
        <w:tc>
          <w:tcPr>
            <w:tcW w:w="4501"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提供应急响应方案，投标人在运输，安装和交付使用后，可能发生的紧急情况具有完善的应急响应方案，投标人须详尽的列明不可预见的情况并提供针对此情况发生后的响应方案，评委会根据采购需求对投标人所投方案内容进行打分，应急响应方案健全且优于采购需求的得</w:t>
            </w:r>
            <w:r>
              <w:rPr>
                <w:rFonts w:ascii="Times New Roman" w:hAnsi="Times New Roman" w:eastAsia="Times New Roman" w:cs="Times New Roman"/>
                <w:color w:val="000000"/>
                <w:sz w:val="21"/>
                <w:highlight w:val="none"/>
              </w:rPr>
              <w:t xml:space="preserve">5</w:t>
            </w:r>
            <w:r>
              <w:rPr>
                <w:rFonts w:ascii="宋体" w:hAnsi="宋体" w:eastAsia="宋体" w:cs="宋体"/>
                <w:color w:val="000000"/>
                <w:sz w:val="21"/>
                <w:highlight w:val="none"/>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分；有应急响应方案、但方案内容笼统、针对本项目制定未细致、但承诺经过优化可实现采购需求的得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分，没有内容或其情况不满足招标文件需求的不得分。</w:t>
            </w:r>
            <w:r/>
          </w:p>
        </w:tc>
      </w:tr>
      <w:tr>
        <w:trPr/>
        <w:tc>
          <w:tcPr>
            <w:tcW w:w="856"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其他</w:t>
            </w:r>
            <w:r/>
          </w:p>
        </w:tc>
        <w:tc>
          <w:tcPr>
            <w:tcW w:w="1142"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售后服务</w:t>
            </w:r>
            <w:r/>
          </w:p>
        </w:tc>
        <w:tc>
          <w:tcPr>
            <w:tcW w:w="50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8</w:t>
            </w:r>
            <w:r>
              <w:rPr>
                <w:rFonts w:ascii="Times New Roman" w:hAnsi="Times New Roman" w:eastAsia="宋体" w:cs="Times New Roman"/>
                <w:color w:val="000000"/>
                <w:szCs w:val="21"/>
                <w:highlight w:val="none"/>
              </w:rPr>
              <w:t xml:space="preserve">.00分</w:t>
            </w:r>
            <w:r/>
          </w:p>
        </w:tc>
        <w:tc>
          <w:tcPr>
            <w:tcW w:w="2500" w:type="dxa"/>
            <w:vAlign w:val="center"/>
            <w:textDirection w:val="lrTb"/>
            <w:noWrap w:val="false"/>
          </w:tcPr>
          <w:p>
            <w:pPr>
              <w:jc w:val="left"/>
              <w:widowControl w:val="off"/>
              <w:rPr>
                <w:rFonts w:ascii="Times New Roman" w:hAnsi="Times New Roman" w:eastAsia="宋体" w:cs="Times New Roman"/>
                <w:color w:val="000000"/>
                <w:szCs w:val="21"/>
                <w:highlight w:val="none"/>
              </w:rPr>
            </w:pPr>
            <w:r>
              <w:rPr>
                <w:rFonts w:hint="eastAsia" w:ascii="宋体" w:hAnsi="宋体" w:eastAsia="宋体" w:cs="宋体"/>
                <w:color w:val="000000"/>
                <w:sz w:val="21"/>
                <w:highlight w:val="none"/>
                <w:lang w:eastAsia="zh-CN"/>
              </w:rPr>
              <w:t xml:space="preserve">投标人</w:t>
            </w:r>
            <w:r>
              <w:rPr>
                <w:rFonts w:ascii="宋体" w:hAnsi="宋体" w:eastAsia="宋体" w:cs="宋体"/>
                <w:color w:val="000000"/>
                <w:sz w:val="21"/>
                <w:highlight w:val="none"/>
              </w:rPr>
              <w:t xml:space="preserve">根据招标文件“第四章、采购需求</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五、其他要求制定售后服务方案：具有完善的售后服务管理体系，提供包含服务范围、响应时间以及质保期满后主要产品、配件优惠方案、完整的售后服务方案、地面处理建议方案等。方案详细、响应及时、服务体系完整的得</w:t>
            </w:r>
            <w:r>
              <w:rPr>
                <w:rFonts w:ascii="Times New Roman" w:hAnsi="Times New Roman" w:eastAsia="Times New Roman" w:cs="Times New Roman"/>
                <w:color w:val="000000"/>
                <w:sz w:val="21"/>
                <w:highlight w:val="none"/>
              </w:rPr>
              <w:t xml:space="preserve">8</w:t>
            </w:r>
            <w:r>
              <w:rPr>
                <w:rFonts w:ascii="宋体" w:hAnsi="宋体" w:eastAsia="宋体" w:cs="宋体"/>
                <w:color w:val="000000"/>
                <w:sz w:val="21"/>
                <w:highlight w:val="none"/>
              </w:rPr>
              <w:t xml:space="preserve">分；方案详细、服务范围广泛、响应虽有滞后性，服务体系完整，但能基本确保稳定运行的得</w:t>
            </w:r>
            <w:r>
              <w:rPr>
                <w:rFonts w:ascii="Times New Roman" w:hAnsi="Times New Roman" w:eastAsia="Times New Roman" w:cs="Times New Roman"/>
                <w:color w:val="000000"/>
                <w:sz w:val="21"/>
                <w:highlight w:val="none"/>
              </w:rPr>
              <w:t xml:space="preserve">4</w:t>
            </w:r>
            <w:r>
              <w:rPr>
                <w:rFonts w:ascii="宋体" w:hAnsi="宋体" w:eastAsia="宋体" w:cs="宋体"/>
                <w:color w:val="000000"/>
                <w:sz w:val="21"/>
                <w:highlight w:val="none"/>
              </w:rPr>
              <w:t xml:space="preserve">分；方案粗略、服务范围狭窄、响应滞后、服务体系虽完整，但缺乏有效保障稳定运行的措施的得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分，没有内容或其情况不满足招标文件需求的不得分。</w:t>
            </w:r>
            <w:r/>
          </w:p>
        </w:tc>
      </w:tr>
    </w:tbl>
    <w:p>
      <w:pPr>
        <w:rPr>
          <w:rFonts w:hint="eastAsia"/>
          <w:color w:val="000000"/>
          <w:highlight w:val="none"/>
        </w:rPr>
      </w:pPr>
      <w:r>
        <w:rPr>
          <w:rFonts w:hint="eastAsia"/>
          <w:color w:val="000000"/>
          <w:highlight w:val="none"/>
        </w:rPr>
      </w:r>
      <w:r/>
    </w:p>
    <w:p>
      <w:pPr>
        <w:ind w:firstLine="482"/>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（三）评标结果。</w:t>
      </w:r>
      <w:r>
        <w:rPr>
          <w:rFonts w:hint="eastAsia" w:ascii="宋体" w:hAnsi="宋体" w:eastAsia="宋体" w:cs="宋体"/>
          <w:color w:val="000000"/>
          <w:sz w:val="24"/>
          <w:highlight w:val="none"/>
        </w:rPr>
        <w:t xml:space="preserve">评标委员会按照本办法规定推荐中标候选人，并形成评标报告。</w:t>
      </w:r>
      <w:r/>
    </w:p>
    <w:p>
      <w:pPr>
        <w:ind w:firstLine="482"/>
        <w:keepLines w:val="0"/>
        <w:keepNext w:val="0"/>
        <w:pageBreakBefore w:val="0"/>
        <w:spacing w:line="400" w:lineRule="exact"/>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（四）政府采购政策功能落实</w:t>
      </w:r>
      <w:r/>
    </w:p>
    <w:p>
      <w:pPr>
        <w:ind w:firstLine="482"/>
        <w:keepLines w:val="0"/>
        <w:keepNext w:val="0"/>
        <w:pageBreakBefore w:val="0"/>
        <w:spacing w:line="400" w:lineRule="exact"/>
        <w:shd w:val="clear" w:color="auto" w:fill="auto"/>
        <w:widowControl/>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本项目落实的政府采购政策对应以下序号为</w:t>
      </w:r>
      <w:r>
        <w:rPr>
          <w:rFonts w:hint="eastAsia" w:ascii="宋体" w:hAnsi="宋体" w:eastAsia="宋体" w:cs="宋体"/>
          <w:b/>
          <w:bCs/>
          <w:color w:val="000000"/>
          <w:sz w:val="24"/>
          <w:highlight w:val="none"/>
          <w:u w:val="single"/>
        </w:rPr>
        <w:t xml:space="preserve"> 1</w:t>
      </w:r>
      <w:r>
        <w:rPr>
          <w:rFonts w:hint="eastAsia" w:ascii="宋体" w:hAnsi="宋体" w:eastAsia="宋体" w:cs="宋体"/>
          <w:b/>
          <w:bCs/>
          <w:color w:val="000000"/>
          <w:sz w:val="24"/>
          <w:highlight w:val="none"/>
          <w:u w:val="single"/>
          <w:lang w:eastAsia="zh-CN"/>
        </w:rPr>
        <w:t xml:space="preserve">、</w:t>
      </w:r>
      <w:r>
        <w:rPr>
          <w:rFonts w:hint="eastAsia" w:ascii="宋体" w:hAnsi="宋体" w:eastAsia="宋体" w:cs="宋体"/>
          <w:b/>
          <w:bCs/>
          <w:color w:val="000000"/>
          <w:sz w:val="24"/>
          <w:highlight w:val="none"/>
          <w:u w:val="single"/>
          <w:lang w:val="en-US" w:eastAsia="zh-CN"/>
        </w:rPr>
        <w:t xml:space="preserve">2（2）、3、4</w:t>
      </w:r>
      <w:r>
        <w:rPr>
          <w:rFonts w:hint="eastAsia" w:ascii="宋体" w:hAnsi="宋体" w:eastAsia="宋体" w:cs="宋体"/>
          <w:b/>
          <w:bCs/>
          <w:color w:val="000000"/>
          <w:sz w:val="24"/>
          <w:highlight w:val="none"/>
          <w:u w:val="single"/>
        </w:rPr>
        <w:t xml:space="preserve">  </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1.采购本国货物、工程和服务</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2.中小企业政策</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本项目按以下第</w:t>
      </w:r>
      <w:r>
        <w:rPr>
          <w:rFonts w:hint="eastAsia" w:ascii="宋体" w:hAnsi="宋体" w:eastAsia="宋体" w:cs="宋体"/>
          <w:b/>
          <w:bCs/>
          <w:color w:val="000000"/>
          <w:sz w:val="24"/>
          <w:highlight w:val="none"/>
          <w:u w:val="single"/>
        </w:rPr>
        <w:t xml:space="preserve"> </w:t>
      </w:r>
      <w:r>
        <w:rPr>
          <w:rFonts w:hint="eastAsia" w:ascii="宋体" w:hAnsi="宋体" w:eastAsia="宋体" w:cs="宋体"/>
          <w:b w:val="0"/>
          <w:bCs w:val="0"/>
          <w:color w:val="000000"/>
          <w:sz w:val="24"/>
          <w:highlight w:val="none"/>
          <w:u w:val="single"/>
          <w:lang w:eastAsia="zh-CN"/>
        </w:rPr>
        <w:t xml:space="preserve">（</w:t>
      </w:r>
      <w:r>
        <w:rPr>
          <w:rFonts w:hint="eastAsia" w:ascii="宋体" w:hAnsi="宋体" w:eastAsia="宋体" w:cs="宋体"/>
          <w:b w:val="0"/>
          <w:bCs w:val="0"/>
          <w:color w:val="000000"/>
          <w:sz w:val="24"/>
          <w:highlight w:val="none"/>
          <w:u w:val="single"/>
          <w:lang w:val="en-US" w:eastAsia="zh-CN"/>
        </w:rPr>
        <w:t xml:space="preserve">2</w:t>
      </w:r>
      <w:r>
        <w:rPr>
          <w:rFonts w:hint="eastAsia" w:ascii="宋体" w:hAnsi="宋体" w:eastAsia="宋体" w:cs="宋体"/>
          <w:b w:val="0"/>
          <w:bCs w:val="0"/>
          <w:color w:val="000000"/>
          <w:sz w:val="24"/>
          <w:highlight w:val="none"/>
          <w:u w:val="single"/>
          <w:lang w:eastAsia="zh-CN"/>
        </w:rPr>
        <w:t xml:space="preserve">）</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rPr>
        <w:t xml:space="preserve">种政策确定本项目落实的中小企业政策：</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（1）本项目专门面向中小企业（含监狱企业、残疾人福利企业）采购。</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（2）投标人提供的货物符合下列情形的，对小微企业报价给予</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的扣除，用扣除后的价格参加评审。</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000000"/>
          <w:sz w:val="24"/>
          <w:highlight w:val="none"/>
          <w:lang w:eastAsia="zh-CN"/>
        </w:rPr>
        <w:t xml:space="preserve">（在</w:t>
      </w:r>
      <w:r>
        <w:rPr>
          <w:rFonts w:hint="eastAsia" w:ascii="宋体" w:hAnsi="宋体" w:eastAsia="宋体" w:cs="宋体"/>
          <w:color w:val="000000"/>
          <w:sz w:val="24"/>
          <w:highlight w:val="none"/>
        </w:rPr>
        <w:t xml:space="preserve">投标文件中上传加盖出具单位公章的电</w:t>
      </w:r>
      <w:r>
        <w:rPr>
          <w:rFonts w:hint="eastAsia" w:ascii="宋体" w:hAnsi="宋体" w:eastAsia="宋体" w:cs="宋体"/>
          <w:color w:val="000000"/>
          <w:sz w:val="24"/>
          <w:highlight w:val="none"/>
          <w:lang w:eastAsia="zh-CN"/>
        </w:rPr>
        <w:t xml:space="preserve">子文</w:t>
      </w:r>
      <w:r>
        <w:rPr>
          <w:rFonts w:hint="eastAsia" w:ascii="宋体" w:hAnsi="宋体" w:eastAsia="宋体" w:cs="宋体"/>
          <w:color w:val="000000"/>
          <w:sz w:val="24"/>
          <w:highlight w:val="none"/>
        </w:rPr>
        <w:t xml:space="preserve">件）。</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采购需求”相关内容为准。）</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政府采购节能产品、环境标志产品</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（3）招标人拟采购的产品属于优先采购的节能环保品目清单范围的，按以下条件优先采购：</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采用综合评分法的项目，对提供有效节能环保证书的投标人加分。</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采购本国产品的支持政策</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b/>
          <w:bCs/>
          <w:color w:val="000000"/>
          <w:sz w:val="24"/>
          <w:highlight w:val="none"/>
          <w:u w:val="single"/>
        </w:rPr>
        <w:t xml:space="preserve">20%</w:t>
      </w:r>
      <w:r>
        <w:rPr>
          <w:rFonts w:hint="eastAsia" w:ascii="宋体" w:hAnsi="宋体" w:eastAsia="宋体" w:cs="宋体"/>
          <w:color w:val="000000"/>
          <w:sz w:val="24"/>
          <w:highlight w:val="none"/>
        </w:rPr>
        <w:t xml:space="preserve">的价格扣除，用扣除后的价格参与评审。</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color w:val="000000"/>
          <w:sz w:val="24"/>
          <w:highlight w:val="none"/>
        </w:rPr>
        <w:t xml:space="preserve">80%以上</w:t>
      </w:r>
      <w:r>
        <w:rPr>
          <w:rFonts w:hint="eastAsia" w:ascii="宋体" w:hAnsi="宋体" w:eastAsia="宋体" w:cs="宋体"/>
          <w:color w:val="000000"/>
          <w:sz w:val="24"/>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投标人需按照招标文件的要求提供《关于符合本国产品标准的声明函》，如不提供将不享受本国产品价格评审优惠。</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Style w:val="821"/>
          <w:rFonts w:hint="eastAsia" w:ascii="宋体" w:hAnsi="宋体" w:eastAsia="宋体" w:cs="宋体"/>
          <w:bCs/>
          <w:color w:val="000000"/>
          <w:sz w:val="24"/>
          <w:szCs w:val="21"/>
          <w:highlight w:val="none"/>
          <w:lang w:val="en-US" w:eastAsia="zh-CN" w:bidi="ar-SA"/>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rPr>
          <w:rFonts w:hint="eastAsia" w:ascii="宋体" w:hAnsi="宋体" w:eastAsia="宋体" w:cs="宋体"/>
          <w:b/>
          <w:bCs w:val="0"/>
          <w:color w:val="000000"/>
          <w:sz w:val="44"/>
          <w:highlight w:val="none"/>
        </w:rPr>
      </w:pPr>
      <w:r/>
      <w:bookmarkStart w:id="219" w:name="_Toc20454"/>
      <w:r>
        <w:rPr>
          <w:rFonts w:hint="eastAsia" w:ascii="宋体" w:hAnsi="宋体" w:eastAsia="宋体" w:cs="宋体"/>
          <w:b/>
          <w:bCs w:val="0"/>
          <w:color w:val="000000"/>
          <w:sz w:val="44"/>
          <w:highlight w:val="none"/>
        </w:rPr>
        <w:br w:type="page" w:clear="all"/>
      </w:r>
      <w:bookmarkStart w:id="220" w:name="_Toc16717"/>
      <w:r>
        <w:rPr>
          <w:rFonts w:hint="eastAsia" w:ascii="宋体" w:hAnsi="宋体" w:eastAsia="宋体" w:cs="宋体"/>
          <w:b/>
          <w:bCs w:val="0"/>
          <w:color w:val="000000"/>
          <w:sz w:val="44"/>
          <w:highlight w:val="none"/>
        </w:rPr>
        <w:t xml:space="preserve">第六章  投标文件格式</w:t>
      </w:r>
      <w:bookmarkEnd w:id="219"/>
      <w:r/>
      <w:bookmarkEnd w:id="220"/>
      <w:r/>
      <w:r/>
    </w:p>
    <w:p>
      <w:pPr>
        <w:jc w:val="center"/>
        <w:shd w:val="clear" w:color="auto" w:fill="auto"/>
        <w:rPr>
          <w:rFonts w:hint="eastAsia" w:ascii="宋体" w:hAnsi="宋体" w:eastAsia="宋体" w:cs="宋体"/>
          <w:b/>
          <w:color w:val="000000"/>
          <w:sz w:val="72"/>
          <w:highlight w:val="none"/>
        </w:rPr>
      </w:pPr>
      <w:r/>
      <w:bookmarkStart w:id="221" w:name="_Hlt26671244"/>
      <w:r/>
      <w:bookmarkEnd w:id="221"/>
      <w:r/>
      <w:bookmarkStart w:id="222" w:name="_Hlt26955039"/>
      <w:r/>
      <w:bookmarkEnd w:id="222"/>
      <w:r/>
      <w:bookmarkStart w:id="223" w:name="_Toc49090576"/>
      <w:r/>
      <w:bookmarkStart w:id="224" w:name="_Toc120614282"/>
      <w:r/>
      <w:bookmarkStart w:id="225" w:name="_Toc26554094"/>
      <w:r/>
      <w:r/>
    </w:p>
    <w:p>
      <w:pPr>
        <w:jc w:val="center"/>
        <w:shd w:val="clear" w:color="auto" w:fill="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p>
    <w:p>
      <w:pPr>
        <w:jc w:val="center"/>
        <w:shd w:val="clear" w:color="auto" w:fill="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jc w:val="center"/>
        <w:shd w:val="clear" w:color="auto" w:fill="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jc w:val="center"/>
        <w:shd w:val="clear" w:color="auto" w:fill="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shd w:val="clear" w:color="auto" w:fill="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shd w:val="clear" w:color="auto" w:fill="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ind w:firstLine="1084"/>
        <w:shd w:val="clear" w:color="auto" w:fill="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p>
    <w:p>
      <w:pPr>
        <w:ind w:firstLine="1084"/>
        <w:shd w:val="clear" w:color="auto" w:fill="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p>
    <w:p>
      <w:pPr>
        <w:shd w:val="clear" w:color="auto" w:fill="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（加盖CA电子公章）</w:t>
      </w:r>
      <w:r/>
    </w:p>
    <w:p>
      <w:pPr>
        <w:shd w:val="clear" w:color="auto" w:fill="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p>
    <w:p>
      <w:pPr>
        <w:jc w:val="center"/>
        <w:spacing w:line="440" w:lineRule="exact"/>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1084"/>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color w:val="000000"/>
          <w:sz w:val="36"/>
          <w:highlight w:val="none"/>
          <w:u w:val="single"/>
        </w:rPr>
        <w:br w:type="page" w:clear="all"/>
      </w:r>
      <w:r/>
    </w:p>
    <w:p>
      <w:pPr>
        <w:jc w:val="center"/>
        <w:spacing w:line="440" w:lineRule="exact"/>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jc w:val="center"/>
        <w:spacing w:line="440" w:lineRule="exact"/>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一、投标声明及承诺函</w:t>
      </w:r>
      <w:r/>
    </w:p>
    <w:p>
      <w:pPr>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二、投标人基本情况</w:t>
      </w:r>
      <w:r/>
    </w:p>
    <w:p>
      <w:pPr>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三、满足特定资格要求的证明文件（如果设置特定资格要求，则需要提供）</w:t>
      </w:r>
      <w:r/>
    </w:p>
    <w:p>
      <w:pPr>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四、法定代表人身份证明或授权委托书</w:t>
      </w:r>
      <w:r/>
    </w:p>
    <w:p>
      <w:pPr>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五、开标一览表</w:t>
      </w:r>
      <w:r/>
    </w:p>
    <w:p>
      <w:pPr>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六、投标报价明细表</w:t>
      </w:r>
      <w:r/>
    </w:p>
    <w:p>
      <w:pPr>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七、中小（微）企业声明函</w:t>
      </w:r>
      <w:r/>
    </w:p>
    <w:p>
      <w:pPr>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八、技术要求响应及偏离表</w:t>
      </w:r>
      <w:r/>
    </w:p>
    <w:p>
      <w:pPr>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九、项目组成员</w:t>
      </w:r>
      <w:r/>
    </w:p>
    <w:p>
      <w:pPr>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十、企业业绩</w:t>
      </w:r>
      <w:r/>
    </w:p>
    <w:p>
      <w:pPr>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十一、关于符合本国产品标准的声明函</w:t>
      </w:r>
      <w:r/>
    </w:p>
    <w:p>
      <w:pPr>
        <w:ind w:firstLine="560"/>
        <w:spacing w:line="60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w:t>
      </w:r>
      <w:r>
        <w:rPr>
          <w:rFonts w:hint="eastAsia" w:ascii="宋体" w:hAnsi="宋体" w:eastAsia="宋体" w:cs="宋体"/>
          <w:color w:val="000000"/>
          <w:sz w:val="28"/>
          <w:szCs w:val="28"/>
          <w:highlight w:val="none"/>
          <w:lang w:val="en-US" w:eastAsia="zh-CN"/>
        </w:rPr>
        <w:t xml:space="preserve">二</w:t>
      </w:r>
      <w:r>
        <w:rPr>
          <w:rFonts w:hint="eastAsia" w:ascii="宋体" w:hAnsi="宋体" w:eastAsia="宋体" w:cs="宋体"/>
          <w:color w:val="000000"/>
          <w:sz w:val="28"/>
          <w:szCs w:val="28"/>
          <w:highlight w:val="none"/>
        </w:rPr>
        <w:t xml:space="preserve">、投标所需其他材料</w:t>
      </w:r>
      <w:r/>
    </w:p>
    <w:p>
      <w:pPr>
        <w:pStyle w:val="901"/>
        <w:shd w:val="clear" w:color="auto" w:fill="auto"/>
        <w:rPr>
          <w:rFonts w:hint="eastAsia" w:ascii="宋体" w:hAnsi="宋体" w:eastAsia="宋体" w:cs="宋体"/>
          <w:b/>
          <w:color w:val="000000"/>
          <w:sz w:val="32"/>
          <w:szCs w:val="32"/>
          <w:highlight w:val="none"/>
        </w:rPr>
        <w:outlineLvl w:val="1"/>
      </w:pPr>
      <w:r/>
      <w:bookmarkStart w:id="226" w:name="_Toc23838"/>
      <w:r>
        <w:rPr>
          <w:rFonts w:hint="eastAsia" w:ascii="宋体" w:hAnsi="宋体" w:eastAsia="宋体" w:cs="宋体"/>
          <w:color w:val="000000"/>
          <w:highlight w:val="none"/>
        </w:rPr>
        <w:br w:type="page" w:clear="all"/>
      </w:r>
      <w:bookmarkEnd w:id="226"/>
      <w:r>
        <w:rPr>
          <w:rFonts w:hint="eastAsia" w:ascii="宋体" w:hAnsi="宋体" w:eastAsia="宋体" w:cs="宋体"/>
          <w:b/>
          <w:color w:val="000000"/>
          <w:sz w:val="32"/>
          <w:szCs w:val="32"/>
          <w:highlight w:val="none"/>
        </w:rPr>
        <w:t xml:space="preserve">一、</w:t>
      </w:r>
      <w:bookmarkEnd w:id="223"/>
      <w:r/>
      <w:bookmarkEnd w:id="224"/>
      <w:r/>
      <w:bookmarkEnd w:id="225"/>
      <w:r>
        <w:rPr>
          <w:rFonts w:hint="eastAsia" w:ascii="宋体" w:hAnsi="宋体" w:eastAsia="宋体" w:cs="宋体"/>
          <w:b/>
          <w:color w:val="000000"/>
          <w:sz w:val="32"/>
          <w:szCs w:val="32"/>
          <w:highlight w:val="none"/>
        </w:rPr>
        <w:t xml:space="preserve">投标声明及承诺函</w:t>
      </w:r>
      <w:r/>
    </w:p>
    <w:p>
      <w:pPr>
        <w:pStyle w:val="902"/>
        <w:jc w:val="left"/>
        <w:spacing w:line="500" w:lineRule="exact"/>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（采购单位名称）：</w:t>
      </w:r>
      <w:r/>
    </w:p>
    <w:p>
      <w:pPr>
        <w:pStyle w:val="902"/>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根据已收到的项目编号为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项目的招标文件，我方在参加本项目招投标活动中，特</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如下承诺：</w:t>
      </w:r>
      <w:r/>
    </w:p>
    <w:p>
      <w:pPr>
        <w:pStyle w:val="902"/>
        <w:ind w:firstLine="480"/>
        <w:jc w:val="left"/>
        <w:spacing w:line="50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一、我方</w:t>
      </w:r>
      <w:r>
        <w:rPr>
          <w:rFonts w:hint="eastAsia" w:ascii="宋体" w:hAnsi="宋体" w:eastAsia="宋体" w:cs="宋体"/>
          <w:color w:val="000000"/>
          <w:sz w:val="24"/>
          <w:highlight w:val="none"/>
        </w:rPr>
        <w:t xml:space="preserve">具备《中华人民共和国政府采购法》第二十二条第一款规定的6项条件；</w:t>
      </w:r>
      <w:r/>
    </w:p>
    <w:p>
      <w:pPr>
        <w:pStyle w:val="902"/>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02"/>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三、我方按招标文件要求提交投标文件，响应招标文件规定的投标有效期；</w:t>
      </w:r>
      <w:r/>
    </w:p>
    <w:p>
      <w:pPr>
        <w:pStyle w:val="902"/>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四、如果我方的投标文件被接受，我方将</w:t>
      </w:r>
      <w:r>
        <w:rPr>
          <w:rFonts w:hint="eastAsia" w:ascii="宋体" w:hAnsi="宋体" w:eastAsia="宋体" w:cs="宋体"/>
          <w:color w:val="000000"/>
          <w:sz w:val="24"/>
          <w:szCs w:val="24"/>
          <w:highlight w:val="none"/>
          <w:lang w:eastAsia="zh-CN"/>
        </w:rPr>
        <w:t xml:space="preserve">按照《中华人民共和国</w:t>
      </w:r>
      <w:r>
        <w:rPr>
          <w:rFonts w:hint="eastAsia" w:ascii="宋体" w:hAnsi="宋体" w:eastAsia="宋体" w:cs="宋体"/>
          <w:color w:val="000000"/>
          <w:sz w:val="24"/>
          <w:szCs w:val="24"/>
          <w:highlight w:val="none"/>
        </w:rPr>
        <w:t xml:space="preserve">民法典（第三编合同）》及其他有关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的规定，按期、按质、按量交付采购单位，全面做到履约守信；</w:t>
      </w:r>
      <w:r/>
    </w:p>
    <w:p>
      <w:pPr>
        <w:pStyle w:val="902"/>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五、我方若违背本声明及承诺约定，经查实，自愿接受招标人及相关主管部门相应的规定处理，并依法承担相应的法律责任。</w:t>
      </w:r>
      <w:r/>
    </w:p>
    <w:p>
      <w:pPr>
        <w:pStyle w:val="902"/>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六、我方同意招标人、采购代理机构将本声明及承诺函上网公开。</w:t>
      </w:r>
      <w:r/>
    </w:p>
    <w:p>
      <w:pPr>
        <w:pStyle w:val="902"/>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2"/>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2"/>
        <w:ind w:firstLine="480"/>
        <w:jc w:val="left"/>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（加盖CA电子公章）</w:t>
      </w:r>
      <w:r/>
    </w:p>
    <w:p>
      <w:pPr>
        <w:pStyle w:val="902"/>
        <w:ind w:firstLine="480"/>
        <w:shd w:val="clear" w:color="auto" w:fill="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日期：    年    月   日</w:t>
      </w:r>
      <w:r/>
    </w:p>
    <w:p>
      <w:pPr>
        <w:pStyle w:val="901"/>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二、投标人基本情况</w:t>
      </w:r>
      <w:r/>
    </w:p>
    <w:p>
      <w:pPr>
        <w:pStyle w:val="903"/>
        <w:jc w:val="center"/>
        <w:shd w:val="clear" w:color="auto" w:fill="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投标人基本情况表</w:t>
      </w:r>
      <w:r/>
    </w:p>
    <w:tbl>
      <w:tblPr>
        <w:tblStyle w:val="78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p>
        </w:tc>
        <w:tc>
          <w:tcPr>
            <w:gridSpan w:val="3"/>
            <w:tcW w:w="6998"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p>
        </w:tc>
        <w:tc>
          <w:tcPr>
            <w:tcW w:w="3118"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注册地区</w:t>
            </w:r>
            <w:r/>
          </w:p>
        </w:tc>
        <w:tc>
          <w:tcPr>
            <w:tcW w:w="2604"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tc>
        <w:tc>
          <w:tcPr>
            <w:tcW w:w="3118"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p>
        </w:tc>
        <w:tc>
          <w:tcPr>
            <w:tcW w:w="2604"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p>
        </w:tc>
        <w:tc>
          <w:tcPr>
            <w:tcW w:w="3118"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p>
        </w:tc>
        <w:tc>
          <w:tcPr>
            <w:tcW w:w="2604"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注册号或社会信用代码</w:t>
            </w:r>
            <w:r/>
          </w:p>
        </w:tc>
        <w:tc>
          <w:tcPr>
            <w:tcW w:w="3118"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注册资本（万元）</w:t>
            </w:r>
            <w:r/>
          </w:p>
        </w:tc>
        <w:tc>
          <w:tcPr>
            <w:tcW w:w="2604"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投标人类别</w:t>
            </w:r>
            <w:r/>
          </w:p>
        </w:tc>
        <w:tc>
          <w:tcPr>
            <w:gridSpan w:val="3"/>
            <w:tcW w:w="6998"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tc>
        <w:tc>
          <w:tcPr>
            <w:tcW w:w="3118"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p>
        </w:tc>
        <w:tc>
          <w:tcPr>
            <w:tcW w:w="2604"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tc>
        <w:tc>
          <w:tcPr>
            <w:tcW w:w="3118"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tc>
        <w:tc>
          <w:tcPr>
            <w:tcW w:w="2604" w:type="dxa"/>
            <w:vAlign w:val="center"/>
            <w:textDirection w:val="lrTb"/>
            <w:noWrap w:val="false"/>
          </w:tcPr>
          <w:p>
            <w:pPr>
              <w:pStyle w:val="903"/>
              <w:jc w:val="center"/>
              <w:spacing w:line="6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376"/>
        </w:trPr>
        <w:tc>
          <w:tcPr>
            <w:tcW w:w="1526" w:type="dxa"/>
            <w:vAlign w:val="center"/>
            <w:textDirection w:val="lrTb"/>
            <w:noWrap w:val="false"/>
          </w:tcPr>
          <w:p>
            <w:pPr>
              <w:pStyle w:val="903"/>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p>
        </w:tc>
        <w:tc>
          <w:tcPr>
            <w:gridSpan w:val="3"/>
            <w:tcW w:w="6998" w:type="dxa"/>
            <w:vAlign w:val="top"/>
            <w:textDirection w:val="lrTb"/>
            <w:noWrap w:val="false"/>
          </w:tcPr>
          <w:p>
            <w:pPr>
              <w:pStyle w:val="903"/>
              <w:ind w:firstLine="1432"/>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34"/>
        </w:trPr>
        <w:tc>
          <w:tcPr>
            <w:tcW w:w="1526" w:type="dxa"/>
            <w:vAlign w:val="center"/>
            <w:textDirection w:val="lrTb"/>
            <w:noWrap w:val="false"/>
          </w:tcPr>
          <w:p>
            <w:pPr>
              <w:pStyle w:val="903"/>
              <w:jc w:val="center"/>
              <w:spacing w:line="5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c>
          <w:tcPr>
            <w:gridSpan w:val="3"/>
            <w:tcW w:w="6998" w:type="dxa"/>
            <w:vAlign w:val="center"/>
            <w:textDirection w:val="lrTb"/>
            <w:noWrap w:val="false"/>
          </w:tcPr>
          <w:p>
            <w:pPr>
              <w:pStyle w:val="903"/>
              <w:jc w:val="center"/>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提供营业执照等证明材料</w:t>
            </w:r>
            <w:r/>
          </w:p>
        </w:tc>
      </w:tr>
    </w:tbl>
    <w:p>
      <w:pPr>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2"/>
        <w:shd w:val="clear" w:color="auto" w:fill="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shd w:val="clear" w:color="auto" w:fill="auto"/>
        <w:rPr>
          <w:rFonts w:hint="eastAsia" w:ascii="宋体" w:hAnsi="宋体" w:eastAsia="宋体" w:cs="宋体"/>
          <w:i/>
          <w:color w:val="000000"/>
          <w:sz w:val="32"/>
          <w:szCs w:val="32"/>
          <w:highlight w:val="none"/>
          <w:u w:val="single"/>
        </w:rPr>
        <w:outlineLvl w:val="1"/>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三、满足特定资格要求的证明文件（如果设置特定资格要求，则需要提供。</w:t>
      </w:r>
      <w:r/>
    </w:p>
    <w:p>
      <w:pPr>
        <w:spacing w:line="460" w:lineRule="exact"/>
        <w:shd w:val="clear" w:color="auto" w:fill="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    如果本项目申请人的特定资格要求中要求提供的，必须提供。</w:t>
      </w:r>
      <w:r/>
    </w:p>
    <w:p>
      <w:pPr>
        <w:spacing w:line="460" w:lineRule="exact"/>
        <w:shd w:val="clear" w:color="auto" w:fil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hd w:val="clear" w:color="auto" w:fill="auto"/>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四、法定代表人身份证明或授权委托书</w:t>
      </w:r>
      <w:r/>
    </w:p>
    <w:p>
      <w:pPr>
        <w:pStyle w:val="886"/>
        <w:ind w:firstLine="480"/>
        <w:spacing w:line="48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1.</w:t>
      </w:r>
      <w:r>
        <w:rPr>
          <w:rFonts w:hint="eastAsia" w:ascii="宋体" w:hAnsi="宋体" w:eastAsia="宋体" w:cs="宋体"/>
          <w:b/>
          <w:bCs/>
          <w:color w:val="000000"/>
          <w:sz w:val="28"/>
          <w:szCs w:val="28"/>
          <w:highlight w:val="none"/>
        </w:rPr>
        <w:t xml:space="preserve">法定代表人身份证明</w:t>
      </w:r>
      <w:r/>
    </w:p>
    <w:p>
      <w:pP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单位性质：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日</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经营期限：</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人名称）的法定代表人。</w:t>
      </w:r>
      <w:r/>
    </w:p>
    <w:p>
      <w:pPr>
        <w:ind w:firstLine="480"/>
        <w:spacing w:line="56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法人</w:t>
      </w:r>
      <w:r>
        <w:rPr>
          <w:rFonts w:hint="eastAsia" w:ascii="宋体" w:hAnsi="宋体" w:eastAsia="宋体" w:cs="宋体"/>
          <w:color w:val="000000"/>
          <w:sz w:val="24"/>
          <w:szCs w:val="24"/>
          <w:highlight w:val="none"/>
        </w:rPr>
        <w:t xml:space="preserve">联系电话：（手机）</w:t>
      </w:r>
      <w:r>
        <w:rPr>
          <w:rFonts w:hint="eastAsia" w:ascii="宋体" w:hAnsi="宋体" w:eastAsia="宋体" w:cs="宋体"/>
          <w:color w:val="000000"/>
          <w:sz w:val="24"/>
          <w:szCs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p>
    <w:p>
      <w:pPr>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（法定代表人出席</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的提供，未出席的可不提供。</w:t>
      </w:r>
      <w:r>
        <w:rPr>
          <w:rFonts w:hint="eastAsia" w:ascii="宋体" w:hAnsi="宋体" w:eastAsia="宋体" w:cs="宋体"/>
          <w:b/>
          <w:color w:val="000000"/>
          <w:sz w:val="24"/>
          <w:highlight w:val="none"/>
        </w:rPr>
        <w:t xml:space="preserve">附法定代表人居民身份证</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法定代表人（签字或盖章）：</w:t>
      </w:r>
      <w:r>
        <w:rPr>
          <w:rFonts w:hint="eastAsia" w:ascii="宋体" w:hAnsi="宋体" w:eastAsia="宋体" w:cs="宋体"/>
          <w:color w:val="000000"/>
          <w:sz w:val="24"/>
          <w:szCs w:val="24"/>
          <w:highlight w:val="none"/>
          <w:u w:val="single"/>
        </w:rPr>
        <w:t xml:space="preserve">                            </w:t>
      </w:r>
      <w:r/>
    </w:p>
    <w:p>
      <w:pPr>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投标人名称：（加盖CA电子公章）                                      </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w:t>
      </w:r>
      <w:r/>
    </w:p>
    <w:p>
      <w:pPr>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22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法定</w:t>
      </w:r>
      <w:r>
        <w:rPr>
          <w:rFonts w:hint="eastAsia" w:ascii="宋体" w:hAnsi="宋体" w:eastAsia="宋体" w:cs="宋体"/>
          <w:b/>
          <w:bCs/>
          <w:color w:val="000000"/>
          <w:sz w:val="28"/>
          <w:szCs w:val="28"/>
          <w:highlight w:val="none"/>
          <w:lang w:val="en-US" w:eastAsia="zh-CN"/>
        </w:rPr>
        <w:t xml:space="preserve">授权书</w:t>
      </w:r>
      <w:r/>
    </w:p>
    <w:p>
      <w:pPr>
        <w:pStyle w:val="886"/>
        <w:ind w:firstLine="480"/>
        <w:spacing w:line="48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6"/>
        <w:ind w:firstLine="480"/>
        <w:spacing w:line="48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000000"/>
          <w:sz w:val="24"/>
          <w:szCs w:val="24"/>
          <w:highlight w:val="none"/>
          <w:u w:val="single"/>
          <w:lang w:eastAsia="zh-CN"/>
        </w:rPr>
        <w:t xml:space="preserve">JSZC-321300-SQCY-G2026-0002</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lang w:eastAsia="zh-CN"/>
        </w:rPr>
        <w:t xml:space="preserve">宿迁市妇幼保健院新生儿科设备采购</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项目名称）采购活动的合法代理人，以本单位名义全权处理一切与该项目采购有关的事务。</w:t>
      </w:r>
      <w:r/>
    </w:p>
    <w:p>
      <w:pPr>
        <w:pStyle w:val="886"/>
        <w:ind w:firstLine="480"/>
        <w:spacing w:line="48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p>
    <w:p>
      <w:pPr>
        <w:pStyle w:val="886"/>
        <w:ind w:firstLine="0"/>
        <w:spacing w:line="48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p>
    <w:p>
      <w:pPr>
        <w:pStyle w:val="886"/>
        <w:ind w:firstLine="0"/>
        <w:spacing w:line="48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p>
    <w:p>
      <w:pPr>
        <w:pStyle w:val="886"/>
        <w:ind w:firstLine="1200"/>
        <w:spacing w:line="48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p>
    <w:p>
      <w:pPr>
        <w:pStyle w:val="886"/>
        <w:ind w:firstLine="1200"/>
        <w:spacing w:line="48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u w:val="single"/>
        </w:rPr>
        <w:t xml:space="preserve">                          </w:t>
      </w:r>
      <w:r/>
    </w:p>
    <w:p>
      <w:pPr>
        <w:pStyle w:val="886"/>
        <w:ind w:firstLine="1200"/>
        <w:spacing w:line="48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被授权人（签字或盖章）：</w:t>
      </w:r>
      <w:r>
        <w:rPr>
          <w:rFonts w:hint="eastAsia" w:ascii="宋体" w:hAnsi="宋体" w:eastAsia="宋体" w:cs="宋体"/>
          <w:color w:val="000000"/>
          <w:sz w:val="24"/>
          <w:szCs w:val="24"/>
          <w:highlight w:val="none"/>
          <w:u w:val="single"/>
        </w:rPr>
        <w:t xml:space="preserve">                            </w:t>
      </w:r>
      <w:r/>
    </w:p>
    <w:p>
      <w:pPr>
        <w:pStyle w:val="886"/>
        <w:ind w:firstLine="480"/>
        <w:spacing w:line="48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p>
    <w:p>
      <w:pPr>
        <w:pStyle w:val="886"/>
        <w:ind w:firstLine="480"/>
        <w:spacing w:line="48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bookmarkStart w:id="227" w:name="_Hlt26671380"/>
      <w:r/>
      <w:bookmarkEnd w:id="227"/>
      <w:r/>
      <w:bookmarkStart w:id="228" w:name="_Hlt26955070"/>
      <w:r/>
      <w:bookmarkEnd w:id="228"/>
      <w:r/>
      <w:bookmarkStart w:id="229" w:name="_格式3__银行出具的资信证明"/>
      <w:r/>
      <w:bookmarkEnd w:id="229"/>
      <w:r>
        <w:rPr>
          <w:rFonts w:hint="eastAsia" w:ascii="宋体" w:hAnsi="宋体" w:eastAsia="宋体" w:cs="宋体"/>
          <w:color w:val="000000"/>
          <w:sz w:val="24"/>
          <w:szCs w:val="24"/>
          <w:highlight w:val="none"/>
          <w:u w:val="single"/>
        </w:rPr>
        <w:t xml:space="preserve">                                            </w:t>
      </w:r>
      <w:r/>
    </w:p>
    <w:p>
      <w:pPr>
        <w:pStyle w:val="814"/>
        <w:spacing w:line="480" w:lineRule="auto"/>
        <w:shd w:val="clear" w:color="auto" w:fill="auto"/>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r>
      <w:r/>
    </w:p>
    <w:p>
      <w:pPr>
        <w:pStyle w:val="814"/>
        <w:ind w:firstLine="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46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60" w:lineRule="exact"/>
        <w:shd w:val="clear" w:color="auto" w:fil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1205"/>
        <w:shd w:val="clear" w:color="auto" w:fill="auto"/>
        <w:rPr>
          <w:rFonts w:hint="eastAsia" w:ascii="宋体" w:hAnsi="宋体" w:eastAsia="宋体" w:cs="宋体"/>
          <w:color w:val="000000"/>
          <w:sz w:val="24"/>
          <w:szCs w:val="20"/>
          <w:highlight w:val="none"/>
        </w:rPr>
        <w:outlineLvl w:val="1"/>
      </w:pP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附法定代表人居民身份证</w:t>
      </w:r>
      <w:r>
        <w:rPr>
          <w:rFonts w:hint="eastAsia" w:ascii="宋体" w:hAnsi="宋体" w:eastAsia="宋体" w:cs="宋体"/>
          <w:b/>
          <w:bCs w:val="0"/>
          <w:color w:val="000000"/>
          <w:sz w:val="24"/>
          <w:highlight w:val="none"/>
          <w:lang w:val="en-US" w:eastAsia="zh-CN"/>
        </w:rPr>
        <w:t xml:space="preserve">及</w:t>
      </w:r>
      <w:r>
        <w:rPr>
          <w:rFonts w:hint="eastAsia" w:ascii="宋体" w:hAnsi="宋体" w:eastAsia="宋体" w:cs="宋体"/>
          <w:b/>
          <w:bCs w:val="0"/>
          <w:color w:val="000000"/>
          <w:sz w:val="24"/>
          <w:szCs w:val="24"/>
          <w:highlight w:val="none"/>
        </w:rPr>
        <w:t xml:space="preserve">被授权人</w:t>
      </w:r>
      <w:r>
        <w:rPr>
          <w:rFonts w:hint="eastAsia" w:ascii="宋体" w:hAnsi="宋体" w:eastAsia="宋体" w:cs="宋体"/>
          <w:b/>
          <w:bCs w:val="0"/>
          <w:color w:val="000000"/>
          <w:sz w:val="24"/>
          <w:highlight w:val="none"/>
        </w:rPr>
        <w:t xml:space="preserve">居民身份证</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br w:type="page" w:clear="all"/>
      </w:r>
      <w:r>
        <w:rPr>
          <w:rFonts w:hint="eastAsia" w:ascii="宋体" w:hAnsi="宋体" w:eastAsia="宋体" w:cs="宋体"/>
          <w:b/>
          <w:color w:val="000000"/>
          <w:sz w:val="32"/>
          <w:szCs w:val="32"/>
          <w:highlight w:val="none"/>
        </w:rPr>
        <w:t xml:space="preserve">五、开标一览表</w:t>
      </w:r>
      <w:r/>
    </w:p>
    <w:p>
      <w:pPr>
        <w:ind w:firstLine="480"/>
        <w:spacing w:line="48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48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投标人全称（CA</w:t>
      </w:r>
      <w:r>
        <w:rPr>
          <w:rFonts w:hint="eastAsia" w:ascii="宋体" w:hAnsi="宋体" w:eastAsia="宋体" w:cs="宋体"/>
          <w:color w:val="000000"/>
          <w:sz w:val="24"/>
          <w:szCs w:val="24"/>
          <w:highlight w:val="none"/>
          <w:lang w:val="en-US" w:eastAsia="zh-CN"/>
        </w:rPr>
        <w:t xml:space="preserve">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投标人名称</w:t>
      </w:r>
      <w:r/>
    </w:p>
    <w:p>
      <w:pPr>
        <w:ind w:firstLine="480"/>
        <w:spacing w:line="48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宿迁市妇幼保健院新生儿科设备采购</w:t>
      </w:r>
      <w:r/>
    </w:p>
    <w:p>
      <w:pPr>
        <w:ind w:firstLine="480"/>
        <w:spacing w:line="48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招标编号：JSZC-321300-JYCG-G2026-0002</w:t>
      </w:r>
      <w:r/>
    </w:p>
    <w:tbl>
      <w:tblPr>
        <w:tblStyle w:val="787"/>
        <w:tblW w:w="9534"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标题</w:t>
            </w:r>
            <w:r/>
          </w:p>
        </w:tc>
        <w:tc>
          <w:tcPr>
            <w:tcW w:w="78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p>
        </w:tc>
      </w:tr>
      <w:tr>
        <w:trPr>
          <w:cantSplit/>
          <w:trHeight w:val="592"/>
        </w:trPr>
        <w:tc>
          <w:tcPr>
            <w:tcW w:w="1725" w:type="dxa"/>
            <w:vAlign w:val="center"/>
            <w:textDirection w:val="lrTb"/>
            <w:noWrap w:val="false"/>
          </w:tcPr>
          <w:p>
            <w:pPr>
              <w:pStyle w:val="872"/>
              <w:ind w:firstLine="0"/>
              <w:keepLines w:val="0"/>
              <w:keepNext w:val="0"/>
              <w:pageBreakBefore w:val="0"/>
              <w:spacing w:before="0" w:after="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tc>
        <w:tc>
          <w:tcPr>
            <w:tcW w:w="7809" w:type="dxa"/>
            <w:vAlign w:val="center"/>
            <w:textDirection w:val="lrTb"/>
            <w:noWrap w:val="false"/>
          </w:tcPr>
          <w:p>
            <w:pPr>
              <w:pStyle w:val="872"/>
              <w:ind w:firstLine="0"/>
              <w:keepLines w:val="0"/>
              <w:keepNext w:val="0"/>
              <w:pageBreakBefore w:val="0"/>
              <w:spacing w:before="0" w:after="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元</w:t>
            </w:r>
            <w:r/>
          </w:p>
        </w:tc>
      </w:tr>
      <w:tr>
        <w:trPr>
          <w:cantSplit/>
          <w:trHeight w:val="612"/>
        </w:trPr>
        <w:tc>
          <w:tcPr>
            <w:tcW w:w="1725" w:type="dxa"/>
            <w:vAlign w:val="center"/>
            <w:textDirection w:val="lrTb"/>
            <w:noWrap w:val="false"/>
          </w:tcPr>
          <w:p>
            <w:pPr>
              <w:pStyle w:val="872"/>
              <w:ind w:firstLine="0"/>
              <w:keepLines w:val="0"/>
              <w:keepNext w:val="0"/>
              <w:pageBreakBefore w:val="0"/>
              <w:spacing w:before="0" w:after="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tc>
        <w:tc>
          <w:tcPr>
            <w:tcW w:w="7809" w:type="dxa"/>
            <w:vAlign w:val="center"/>
            <w:textDirection w:val="lrTb"/>
            <w:noWrap w:val="false"/>
          </w:tcPr>
          <w:p>
            <w:pPr>
              <w:pStyle w:val="872"/>
              <w:ind w:firstLine="0"/>
              <w:keepLines w:val="0"/>
              <w:keepNext w:val="0"/>
              <w:pageBreakBefore w:val="0"/>
              <w:spacing w:before="0" w:after="0" w:line="5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金额大写（人民币：元）</w:t>
            </w:r>
            <w:r/>
          </w:p>
        </w:tc>
      </w:tr>
    </w:tbl>
    <w:p>
      <w:pPr>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ind w:firstLine="48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hd w:val="clear" w:color="auto" w:fill="auto"/>
        <w:rPr>
          <w:rFonts w:hint="eastAsia" w:ascii="宋体" w:hAnsi="宋体" w:eastAsia="宋体" w:cs="宋体"/>
          <w:color w:val="000000"/>
          <w:sz w:val="24"/>
          <w:szCs w:val="24"/>
          <w:highlight w:val="none"/>
        </w:rPr>
        <w:sectPr>
          <w:headerReference w:type="default" r:id="rId9"/>
          <w:footerReference w:type="default" r:id="rId14"/>
          <w:footnotePr/>
          <w:endnotePr/>
          <w:type w:val="nextPage"/>
          <w:pgSz w:w="11906" w:h="16838" w:orient="portrait"/>
          <w:pgMar w:top="1417" w:right="1587" w:bottom="1417" w:left="1366" w:header="851" w:footer="907" w:gutter="0"/>
          <w:cols w:num="1" w:sep="0" w:space="1701" w:equalWidth="1"/>
          <w:docGrid w:linePitch="360"/>
        </w:sectPr>
      </w:pPr>
      <w:r>
        <w:rPr>
          <w:rFonts w:hint="eastAsia" w:ascii="宋体" w:hAnsi="宋体" w:eastAsia="宋体" w:cs="宋体"/>
          <w:color w:val="000000"/>
          <w:sz w:val="24"/>
          <w:szCs w:val="24"/>
          <w:highlight w:val="none"/>
        </w:rPr>
      </w:r>
      <w:r/>
    </w:p>
    <w:p>
      <w:pPr>
        <w:numPr>
          <w:ilvl w:val="0"/>
          <w:numId w:val="0"/>
        </w:numPr>
        <w:shd w:val="clear" w:color="auto" w:fill="auto"/>
        <w:rPr>
          <w:rFonts w:hint="eastAsia" w:ascii="宋体" w:hAnsi="宋体" w:eastAsia="宋体" w:cs="宋体"/>
          <w:b/>
          <w:caps w:val="0"/>
          <w:color w:val="000000"/>
          <w:sz w:val="32"/>
          <w:szCs w:val="32"/>
          <w:highlight w:val="none"/>
          <w:lang w:val="en-US" w:eastAsia="zh-CN" w:bidi="ar-SA"/>
        </w:rPr>
        <w:outlineLvl w:val="1"/>
      </w:pPr>
      <w:r>
        <w:rPr>
          <w:rFonts w:hint="eastAsia" w:ascii="宋体" w:hAnsi="宋体" w:eastAsia="宋体" w:cs="宋体"/>
          <w:b/>
          <w:caps w:val="0"/>
          <w:color w:val="000000"/>
          <w:sz w:val="32"/>
          <w:szCs w:val="32"/>
          <w:highlight w:val="none"/>
          <w:lang w:val="en-US" w:eastAsia="zh-CN" w:bidi="ar-SA"/>
        </w:rPr>
        <w:t xml:space="preserve">六、投标报价明细表</w:t>
      </w:r>
      <w:r/>
    </w:p>
    <w:p>
      <w:pP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787"/>
        <w:tblW w:w="9915" w:type="dxa"/>
        <w:tblInd w:w="-5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gridCol w:w="1395"/>
      </w:tblGrid>
      <w:tr>
        <w:trPr>
          <w:cantSplit/>
          <w:trHeight w:val="544"/>
        </w:trPr>
        <w:tc>
          <w:tcPr>
            <w:tcW w:w="840" w:type="dxa"/>
            <w:vAlign w:val="center"/>
            <w:vMerge w:val="restart"/>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890"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080"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245"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930"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870"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665"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395"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r>
      <w:tr>
        <w:trPr>
          <w:cantSplit/>
          <w:trHeight w:val="294"/>
        </w:trPr>
        <w:tc>
          <w:tcPr>
            <w:tcW w:w="840" w:type="dxa"/>
            <w:vAlign w:val="center"/>
            <w:vMerge w:val="continue"/>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90"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标的名称</w:t>
            </w:r>
            <w:r/>
          </w:p>
        </w:tc>
        <w:tc>
          <w:tcPr>
            <w:tcW w:w="1080"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p>
        </w:tc>
        <w:tc>
          <w:tcPr>
            <w:tcW w:w="1245" w:type="dxa"/>
            <w:vAlign w:val="center"/>
            <w:textDirection w:val="lrTb"/>
            <w:noWrap w:val="false"/>
          </w:tcPr>
          <w:p>
            <w:pPr>
              <w:jc w:val="both"/>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p>
        </w:tc>
        <w:tc>
          <w:tcPr>
            <w:tcW w:w="930"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产地</w:t>
            </w:r>
            <w:r/>
          </w:p>
        </w:tc>
        <w:tc>
          <w:tcPr>
            <w:tcW w:w="870"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1665"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分项单价</w:t>
            </w:r>
            <w:r/>
          </w:p>
        </w:tc>
        <w:tc>
          <w:tcPr>
            <w:tcW w:w="1395"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分项总价</w:t>
            </w:r>
            <w:r/>
          </w:p>
        </w:tc>
      </w:tr>
      <w:tr>
        <w:trPr>
          <w:cantSplit/>
          <w:trHeight w:val="849"/>
        </w:trPr>
        <w:tc>
          <w:tcPr>
            <w:tcW w:w="840"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890" w:type="dxa"/>
            <w:vAlign w:val="center"/>
            <w:textDirection w:val="lrTb"/>
            <w:noWrap w:val="false"/>
          </w:tcPr>
          <w:p>
            <w:pPr>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0"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5"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30"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70" w:type="dxa"/>
            <w:vAlign w:val="center"/>
            <w:textDirection w:val="lrTb"/>
            <w:noWrap w:val="false"/>
          </w:tcPr>
          <w:p>
            <w:pPr>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665"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5"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W w:w="1890" w:type="dxa"/>
            <w:vAlign w:val="center"/>
            <w:textDirection w:val="lrTb"/>
            <w:noWrap w:val="false"/>
          </w:tcPr>
          <w:p>
            <w:pPr>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0"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5"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30"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70" w:type="dxa"/>
            <w:vAlign w:val="center"/>
            <w:textDirection w:val="lrTb"/>
            <w:noWrap w:val="false"/>
          </w:tcPr>
          <w:p>
            <w:pPr>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665"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5"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W w:w="1890" w:type="dxa"/>
            <w:vAlign w:val="center"/>
            <w:textDirection w:val="lrTb"/>
            <w:noWrap w:val="false"/>
          </w:tcPr>
          <w:p>
            <w:pPr>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0"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5"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30"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70" w:type="dxa"/>
            <w:vAlign w:val="center"/>
            <w:textDirection w:val="lrTb"/>
            <w:noWrap w:val="false"/>
          </w:tcPr>
          <w:p>
            <w:pPr>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665"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5"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W w:w="1890" w:type="dxa"/>
            <w:vAlign w:val="center"/>
            <w:textDirection w:val="lrTb"/>
            <w:noWrap w:val="false"/>
          </w:tcPr>
          <w:p>
            <w:pPr>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p>
        </w:tc>
        <w:tc>
          <w:tcPr>
            <w:tcW w:w="1080"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5"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30"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70" w:type="dxa"/>
            <w:vAlign w:val="center"/>
            <w:textDirection w:val="lrTb"/>
            <w:noWrap w:val="false"/>
          </w:tcPr>
          <w:p>
            <w:pPr>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665"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5"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030"/>
        </w:trPr>
        <w:tc>
          <w:tcPr>
            <w:gridSpan w:val="7"/>
            <w:tcW w:w="8520"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总报价（人民币：    ）</w:t>
            </w:r>
            <w:r/>
          </w:p>
        </w:tc>
        <w:tc>
          <w:tcPr>
            <w:tcW w:w="1395"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030"/>
        </w:trPr>
        <w:tc>
          <w:tcPr>
            <w:gridSpan w:val="8"/>
            <w:tcW w:w="9915" w:type="dxa"/>
            <w:vAlign w:val="center"/>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注：本采购包中提供的符合本国产品标准的产品成本之和占该采购包提供的全部产品成本之和的比例为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 %。</w:t>
            </w:r>
            <w:r/>
          </w:p>
        </w:tc>
      </w:tr>
    </w:tbl>
    <w:p>
      <w:pPr>
        <w:numPr>
          <w:ilvl w:val="0"/>
          <w:numId w:val="0"/>
        </w:numPr>
        <w:shd w:val="clear" w:color="auto" w:fill="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r>
      <w:r/>
    </w:p>
    <w:p>
      <w:pPr>
        <w:numPr>
          <w:ilvl w:val="0"/>
          <w:numId w:val="0"/>
        </w:numPr>
        <w:shd w:val="clear" w:color="auto" w:fill="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备注：1.投标报价采用总承包方式，“投标总报价”应包括采购人需求的货物、服务（包含服务过程中的一切费用）、价格，项目在指定地点、环境交付、安装、调试、验收所需费用和所有相关税金费用及为完成整个项目所产生的</w:t>
      </w:r>
      <w:r>
        <w:rPr>
          <w:rFonts w:hint="eastAsia" w:ascii="宋体" w:hAnsi="宋体" w:eastAsia="宋体" w:cs="宋体"/>
          <w:color w:val="000000"/>
          <w:sz w:val="24"/>
          <w:highlight w:val="none"/>
          <w:lang w:eastAsia="zh-CN"/>
        </w:rPr>
        <w:t xml:space="preserve">其他所有</w:t>
      </w:r>
      <w:r>
        <w:rPr>
          <w:rFonts w:hint="eastAsia" w:ascii="宋体" w:hAnsi="宋体" w:eastAsia="宋体" w:cs="宋体"/>
          <w:color w:val="000000"/>
          <w:sz w:val="24"/>
          <w:highlight w:val="none"/>
        </w:rPr>
        <w:t xml:space="preserve">费用。</w:t>
      </w:r>
      <w:r/>
    </w:p>
    <w:p>
      <w:pPr>
        <w:numPr>
          <w:ilvl w:val="0"/>
          <w:numId w:val="0"/>
        </w:numPr>
        <w:ind w:firstLine="720"/>
        <w:shd w:val="clear" w:color="auto" w:fill="auto"/>
        <w:rPr>
          <w:rFonts w:hint="eastAsia" w:ascii="宋体" w:hAnsi="宋体" w:eastAsia="宋体" w:cs="宋体"/>
          <w:b/>
          <w:caps w:val="0"/>
          <w:color w:val="000000"/>
          <w:sz w:val="32"/>
          <w:szCs w:val="32"/>
          <w:highlight w:val="none"/>
          <w:lang w:val="en-US" w:eastAsia="zh-CN" w:bidi="ar-SA"/>
        </w:rPr>
        <w:outlineLvl w:val="1"/>
      </w:pPr>
      <w:r>
        <w:rPr>
          <w:rFonts w:hint="eastAsia" w:ascii="宋体" w:hAnsi="宋体" w:eastAsia="宋体" w:cs="宋体"/>
          <w:color w:val="000000"/>
          <w:sz w:val="24"/>
          <w:highlight w:val="none"/>
        </w:rPr>
        <w:t xml:space="preserve">2.“投标总报价”数额应当与“开标一览表”中“报价”数额一致。</w:t>
      </w:r>
      <w:r/>
    </w:p>
    <w:p>
      <w:pPr>
        <w:numPr>
          <w:ilvl w:val="0"/>
          <w:numId w:val="0"/>
        </w:numPr>
        <w:shd w:val="clear" w:color="auto" w:fill="auto"/>
        <w:rPr>
          <w:rFonts w:hint="eastAsia" w:ascii="宋体" w:hAnsi="宋体" w:eastAsia="宋体" w:cs="宋体"/>
          <w:b/>
          <w:caps w:val="0"/>
          <w:color w:val="000000"/>
          <w:sz w:val="32"/>
          <w:szCs w:val="32"/>
          <w:highlight w:val="none"/>
          <w:lang w:val="en-US" w:eastAsia="zh-CN" w:bidi="ar-SA"/>
        </w:rPr>
        <w:outlineLvl w:val="1"/>
      </w:pPr>
      <w:r>
        <w:rPr>
          <w:rFonts w:hint="eastAsia" w:ascii="宋体" w:hAnsi="宋体" w:eastAsia="宋体" w:cs="宋体"/>
          <w:b/>
          <w:caps w:val="0"/>
          <w:color w:val="000000"/>
          <w:sz w:val="32"/>
          <w:szCs w:val="32"/>
          <w:highlight w:val="none"/>
          <w:lang w:val="en-US" w:eastAsia="zh-CN" w:bidi="ar-SA"/>
        </w:rPr>
      </w:r>
      <w:r/>
    </w:p>
    <w:p>
      <w:pPr>
        <w:numPr>
          <w:ilvl w:val="0"/>
          <w:numId w:val="0"/>
        </w:numPr>
        <w:shd w:val="clear" w:color="auto" w:fill="auto"/>
        <w:rPr>
          <w:rFonts w:hint="eastAsia" w:ascii="宋体" w:hAnsi="宋体" w:eastAsia="宋体" w:cs="宋体"/>
          <w:b/>
          <w:caps w:val="0"/>
          <w:color w:val="000000"/>
          <w:sz w:val="32"/>
          <w:szCs w:val="32"/>
          <w:highlight w:val="none"/>
          <w:lang w:val="en-US" w:eastAsia="zh-CN" w:bidi="ar-SA"/>
        </w:rPr>
        <w:outlineLvl w:val="1"/>
      </w:pPr>
      <w:r>
        <w:rPr>
          <w:rFonts w:hint="eastAsia" w:ascii="宋体" w:hAnsi="宋体" w:eastAsia="宋体" w:cs="宋体"/>
          <w:b/>
          <w:caps w:val="0"/>
          <w:color w:val="000000"/>
          <w:sz w:val="32"/>
          <w:szCs w:val="32"/>
          <w:highlight w:val="none"/>
          <w:lang w:val="en-US" w:eastAsia="zh-CN" w:bidi="ar-SA"/>
        </w:rPr>
      </w:r>
      <w:r/>
    </w:p>
    <w:p>
      <w:pPr>
        <w:numPr>
          <w:ilvl w:val="0"/>
          <w:numId w:val="0"/>
        </w:numPr>
        <w:shd w:val="clear" w:color="auto" w:fill="auto"/>
        <w:rPr>
          <w:rFonts w:hint="eastAsia" w:ascii="宋体" w:hAnsi="宋体" w:eastAsia="宋体" w:cs="宋体"/>
          <w:b/>
          <w:caps w:val="0"/>
          <w:color w:val="000000"/>
          <w:sz w:val="32"/>
          <w:szCs w:val="32"/>
          <w:highlight w:val="none"/>
          <w:lang w:val="en-US" w:eastAsia="zh-CN" w:bidi="ar-SA"/>
        </w:rPr>
        <w:outlineLvl w:val="1"/>
      </w:pPr>
      <w:r>
        <w:rPr>
          <w:rFonts w:hint="eastAsia" w:ascii="宋体" w:hAnsi="宋体" w:eastAsia="宋体" w:cs="宋体"/>
          <w:b/>
          <w:caps w:val="0"/>
          <w:color w:val="000000"/>
          <w:sz w:val="32"/>
          <w:szCs w:val="32"/>
          <w:highlight w:val="none"/>
          <w:lang w:val="en-US" w:eastAsia="zh-CN" w:bidi="ar-SA"/>
        </w:rPr>
      </w:r>
      <w:r/>
    </w:p>
    <w:p>
      <w:pPr>
        <w:numPr>
          <w:ilvl w:val="0"/>
          <w:numId w:val="0"/>
        </w:numPr>
        <w:shd w:val="clear" w:color="auto" w:fill="auto"/>
        <w:rPr>
          <w:rFonts w:hint="eastAsia" w:ascii="宋体" w:hAnsi="宋体" w:eastAsia="宋体" w:cs="宋体"/>
          <w:b/>
          <w:caps w:val="0"/>
          <w:color w:val="000000"/>
          <w:sz w:val="32"/>
          <w:szCs w:val="32"/>
          <w:highlight w:val="none"/>
          <w:lang w:val="en-US" w:eastAsia="zh-CN" w:bidi="ar-SA"/>
        </w:rPr>
        <w:outlineLvl w:val="1"/>
      </w:pPr>
      <w:r>
        <w:rPr>
          <w:rFonts w:hint="eastAsia" w:ascii="宋体" w:hAnsi="宋体" w:eastAsia="宋体" w:cs="宋体"/>
          <w:b/>
          <w:caps w:val="0"/>
          <w:color w:val="000000"/>
          <w:sz w:val="32"/>
          <w:szCs w:val="32"/>
          <w:highlight w:val="none"/>
          <w:lang w:val="en-US" w:eastAsia="zh-CN" w:bidi="ar-SA"/>
        </w:rPr>
      </w:r>
      <w:r/>
    </w:p>
    <w:p>
      <w:pPr>
        <w:numPr>
          <w:ilvl w:val="0"/>
          <w:numId w:val="0"/>
        </w:numPr>
        <w:shd w:val="clear" w:color="auto" w:fill="auto"/>
        <w:rPr>
          <w:rFonts w:hint="eastAsia" w:ascii="宋体" w:hAnsi="宋体" w:eastAsia="宋体" w:cs="宋体"/>
          <w:b/>
          <w:caps w:val="0"/>
          <w:color w:val="000000"/>
          <w:sz w:val="32"/>
          <w:szCs w:val="32"/>
          <w:highlight w:val="none"/>
          <w:lang w:val="en-US" w:eastAsia="zh-CN" w:bidi="ar-SA"/>
        </w:rPr>
        <w:outlineLvl w:val="1"/>
      </w:pPr>
      <w:r>
        <w:rPr>
          <w:rFonts w:hint="eastAsia" w:ascii="宋体" w:hAnsi="宋体" w:eastAsia="宋体" w:cs="宋体"/>
          <w:b/>
          <w:caps w:val="0"/>
          <w:color w:val="000000"/>
          <w:sz w:val="32"/>
          <w:szCs w:val="32"/>
          <w:highlight w:val="none"/>
          <w:lang w:val="en-US" w:eastAsia="zh-CN" w:bidi="ar-SA"/>
        </w:rPr>
      </w:r>
      <w:r/>
    </w:p>
    <w:p>
      <w:pPr>
        <w:numPr>
          <w:ilvl w:val="0"/>
          <w:numId w:val="0"/>
        </w:numPr>
        <w:shd w:val="clear" w:color="auto" w:fill="auto"/>
        <w:rPr>
          <w:rFonts w:hint="eastAsia" w:ascii="宋体" w:hAnsi="宋体" w:eastAsia="宋体" w:cs="宋体"/>
          <w:b/>
          <w:caps w:val="0"/>
          <w:color w:val="000000"/>
          <w:sz w:val="32"/>
          <w:szCs w:val="32"/>
          <w:highlight w:val="none"/>
          <w:lang w:val="en-US" w:eastAsia="zh-CN" w:bidi="ar-SA"/>
        </w:rPr>
        <w:outlineLvl w:val="1"/>
      </w:pPr>
      <w:r>
        <w:rPr>
          <w:rFonts w:hint="eastAsia" w:ascii="宋体" w:hAnsi="宋体" w:eastAsia="宋体" w:cs="宋体"/>
          <w:b/>
          <w:caps w:val="0"/>
          <w:color w:val="000000"/>
          <w:sz w:val="32"/>
          <w:szCs w:val="32"/>
          <w:highlight w:val="none"/>
          <w:lang w:val="en-US" w:eastAsia="zh-CN" w:bidi="ar-SA"/>
        </w:rPr>
      </w:r>
      <w:r/>
    </w:p>
    <w:p>
      <w:pPr>
        <w:numPr>
          <w:ilvl w:val="0"/>
          <w:numId w:val="0"/>
        </w:numPr>
        <w:shd w:val="clear" w:color="auto" w:fill="auto"/>
        <w:rPr>
          <w:rFonts w:hint="eastAsia" w:ascii="宋体" w:hAnsi="宋体" w:eastAsia="宋体" w:cs="宋体"/>
          <w:b/>
          <w:caps w:val="0"/>
          <w:color w:val="000000"/>
          <w:sz w:val="32"/>
          <w:szCs w:val="32"/>
          <w:highlight w:val="none"/>
          <w:lang w:val="en-US" w:eastAsia="zh-CN" w:bidi="ar-SA"/>
        </w:rPr>
        <w:outlineLvl w:val="1"/>
      </w:pPr>
      <w:r>
        <w:rPr>
          <w:rFonts w:hint="eastAsia" w:ascii="宋体" w:hAnsi="宋体" w:eastAsia="宋体" w:cs="宋体"/>
          <w:b/>
          <w:caps w:val="0"/>
          <w:color w:val="000000"/>
          <w:sz w:val="32"/>
          <w:szCs w:val="32"/>
          <w:highlight w:val="none"/>
          <w:lang w:val="en-US" w:eastAsia="zh-CN" w:bidi="ar-SA"/>
        </w:rPr>
      </w:r>
      <w:r/>
    </w:p>
    <w:p>
      <w:pPr>
        <w:numPr>
          <w:ilvl w:val="0"/>
          <w:numId w:val="0"/>
        </w:numPr>
        <w:shd w:val="clear" w:color="auto" w:fill="auto"/>
        <w:rPr>
          <w:rFonts w:hint="eastAsia" w:ascii="宋体" w:hAnsi="宋体" w:eastAsia="宋体" w:cs="宋体"/>
          <w:b/>
          <w:caps w:val="0"/>
          <w:color w:val="000000"/>
          <w:sz w:val="32"/>
          <w:szCs w:val="32"/>
          <w:highlight w:val="none"/>
          <w:lang w:val="en-US" w:eastAsia="zh-CN" w:bidi="ar-SA"/>
        </w:rPr>
        <w:outlineLvl w:val="1"/>
      </w:pPr>
      <w:r>
        <w:rPr>
          <w:rFonts w:hint="eastAsia" w:ascii="宋体" w:hAnsi="宋体" w:eastAsia="宋体" w:cs="宋体"/>
          <w:b/>
          <w:caps w:val="0"/>
          <w:color w:val="000000"/>
          <w:sz w:val="32"/>
          <w:szCs w:val="32"/>
          <w:highlight w:val="none"/>
          <w:lang w:val="en-US" w:eastAsia="zh-CN" w:bidi="ar-SA"/>
        </w:rPr>
      </w:r>
      <w:r/>
    </w:p>
    <w:p>
      <w:pPr>
        <w:numPr>
          <w:ilvl w:val="0"/>
          <w:numId w:val="0"/>
        </w:numPr>
        <w:shd w:val="clear" w:color="auto" w:fill="auto"/>
        <w:rPr>
          <w:rFonts w:hint="eastAsia" w:ascii="宋体" w:hAnsi="宋体" w:eastAsia="宋体" w:cs="宋体"/>
          <w:b/>
          <w:caps w:val="0"/>
          <w:color w:val="000000"/>
          <w:sz w:val="32"/>
          <w:szCs w:val="32"/>
          <w:highlight w:val="none"/>
          <w:lang w:val="en-US" w:eastAsia="zh-CN" w:bidi="ar-SA"/>
        </w:rPr>
        <w:outlineLvl w:val="1"/>
      </w:pPr>
      <w:r>
        <w:rPr>
          <w:rFonts w:hint="eastAsia" w:ascii="宋体" w:hAnsi="宋体" w:eastAsia="宋体" w:cs="宋体"/>
          <w:b/>
          <w:caps w:val="0"/>
          <w:color w:val="000000"/>
          <w:sz w:val="32"/>
          <w:szCs w:val="32"/>
          <w:highlight w:val="none"/>
          <w:lang w:val="en-US" w:eastAsia="zh-CN" w:bidi="ar-SA"/>
        </w:rPr>
      </w:r>
      <w:r/>
    </w:p>
    <w:p>
      <w:pPr>
        <w:numPr>
          <w:ilvl w:val="0"/>
          <w:numId w:val="0"/>
        </w:numPr>
        <w:shd w:val="clear" w:color="auto" w:fill="auto"/>
        <w:rPr>
          <w:rFonts w:hint="eastAsia" w:ascii="宋体" w:hAnsi="宋体" w:eastAsia="宋体" w:cs="宋体"/>
          <w:b/>
          <w:caps w:val="0"/>
          <w:color w:val="000000"/>
          <w:sz w:val="32"/>
          <w:szCs w:val="32"/>
          <w:highlight w:val="none"/>
          <w:lang w:val="en-US" w:eastAsia="zh-CN" w:bidi="ar-SA"/>
        </w:rPr>
        <w:outlineLvl w:val="1"/>
      </w:pPr>
      <w:r>
        <w:rPr>
          <w:rFonts w:hint="eastAsia" w:ascii="宋体" w:hAnsi="宋体" w:eastAsia="宋体" w:cs="宋体"/>
          <w:b/>
          <w:caps w:val="0"/>
          <w:color w:val="000000"/>
          <w:sz w:val="32"/>
          <w:szCs w:val="32"/>
          <w:highlight w:val="none"/>
          <w:lang w:val="en-US" w:eastAsia="zh-CN" w:bidi="ar-SA"/>
        </w:rPr>
      </w:r>
      <w:r/>
    </w:p>
    <w:p>
      <w:pPr>
        <w:numPr>
          <w:ilvl w:val="0"/>
          <w:numId w:val="0"/>
        </w:numPr>
        <w:shd w:val="clear" w:color="auto" w:fill="auto"/>
        <w:rPr>
          <w:rFonts w:hint="eastAsia" w:ascii="宋体" w:hAnsi="宋体" w:eastAsia="宋体" w:cs="宋体"/>
          <w:b/>
          <w:caps w:val="0"/>
          <w:color w:val="000000"/>
          <w:sz w:val="32"/>
          <w:szCs w:val="32"/>
          <w:highlight w:val="none"/>
          <w:lang w:val="en-US" w:eastAsia="zh-CN" w:bidi="ar-SA"/>
        </w:rPr>
        <w:outlineLvl w:val="1"/>
      </w:pPr>
      <w:r>
        <w:rPr>
          <w:rFonts w:hint="eastAsia" w:ascii="宋体" w:hAnsi="宋体" w:eastAsia="宋体" w:cs="宋体"/>
          <w:b/>
          <w:caps w:val="0"/>
          <w:color w:val="000000"/>
          <w:sz w:val="32"/>
          <w:szCs w:val="32"/>
          <w:highlight w:val="none"/>
          <w:lang w:val="en-US" w:eastAsia="zh-CN" w:bidi="ar-SA"/>
        </w:rPr>
      </w:r>
      <w:r/>
    </w:p>
    <w:p>
      <w:pPr>
        <w:pStyle w:val="894"/>
        <w:rPr>
          <w:rFonts w:hint="eastAsia" w:ascii="宋体" w:hAnsi="宋体" w:eastAsia="宋体" w:cs="宋体"/>
          <w:b/>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r>
      <w:r/>
    </w:p>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numPr>
          <w:ilvl w:val="0"/>
          <w:numId w:val="0"/>
        </w:numPr>
        <w:shd w:val="clear" w:color="auto" w:fill="auto"/>
        <w:rPr>
          <w:rFonts w:hint="eastAsia" w:ascii="宋体" w:hAnsi="宋体" w:eastAsia="宋体" w:cs="宋体"/>
          <w:b/>
          <w:caps w:val="0"/>
          <w:color w:val="000000"/>
          <w:sz w:val="32"/>
          <w:szCs w:val="32"/>
          <w:highlight w:val="none"/>
          <w:lang w:val="en-US" w:eastAsia="zh-CN" w:bidi="ar-SA"/>
        </w:rPr>
        <w:outlineLvl w:val="1"/>
      </w:pPr>
      <w:r>
        <w:rPr>
          <w:rFonts w:hint="eastAsia" w:ascii="宋体" w:hAnsi="宋体" w:eastAsia="宋体" w:cs="宋体"/>
          <w:b/>
          <w:caps w:val="0"/>
          <w:color w:val="000000"/>
          <w:sz w:val="32"/>
          <w:szCs w:val="32"/>
          <w:highlight w:val="none"/>
          <w:lang w:val="en-US" w:eastAsia="zh-CN" w:bidi="ar-SA"/>
        </w:rPr>
      </w:r>
      <w:r/>
    </w:p>
    <w:p>
      <w:pPr>
        <w:numPr>
          <w:ilvl w:val="0"/>
          <w:numId w:val="0"/>
        </w:numPr>
        <w:shd w:val="clear" w:color="auto" w:fill="auto"/>
        <w:rPr>
          <w:rFonts w:hint="eastAsia" w:ascii="宋体" w:hAnsi="宋体" w:eastAsia="宋体" w:cs="宋体"/>
          <w:b/>
          <w:caps w:val="0"/>
          <w:color w:val="000000"/>
          <w:sz w:val="32"/>
          <w:szCs w:val="32"/>
          <w:highlight w:val="none"/>
          <w:lang w:val="en-US" w:eastAsia="zh-CN" w:bidi="ar-SA"/>
        </w:rPr>
        <w:outlineLvl w:val="1"/>
      </w:pPr>
      <w:r>
        <w:rPr>
          <w:rFonts w:hint="eastAsia" w:ascii="宋体" w:hAnsi="宋体" w:eastAsia="宋体" w:cs="宋体"/>
          <w:b/>
          <w:caps w:val="0"/>
          <w:color w:val="000000"/>
          <w:sz w:val="32"/>
          <w:szCs w:val="32"/>
          <w:highlight w:val="none"/>
          <w:lang w:val="en-US" w:eastAsia="zh-CN" w:bidi="ar-SA"/>
        </w:rPr>
        <w:t xml:space="preserve">七、中小（微）企业声明函</w:t>
      </w:r>
      <w:r/>
    </w:p>
    <w:p>
      <w:pPr>
        <w:pStyle w:val="900"/>
        <w:jc w:val="center"/>
        <w:shd w:val="clear" w:color="auto" w:fill="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00"/>
        <w:jc w:val="center"/>
        <w:spacing w:line="360" w:lineRule="auto"/>
        <w:shd w:val="clear" w:color="auto" w:fill="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中小企业声明函（货物）</w:t>
      </w:r>
      <w:r/>
    </w:p>
    <w:p>
      <w:pPr>
        <w:pStyle w:val="900"/>
        <w:ind w:firstLine="480"/>
        <w:keepLines w:val="0"/>
        <w:keepNext w:val="0"/>
        <w:pageBreakBefore w:val="0"/>
        <w:spacing w:line="360" w:lineRule="auto"/>
        <w:shd w:val="clear" w:color="auto" w:fill="auto"/>
        <w:widowControl/>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000000"/>
          <w:sz w:val="24"/>
          <w:highlight w:val="none"/>
          <w:u w:val="single"/>
        </w:rPr>
        <w:t xml:space="preserve">       （单位名称）</w:t>
      </w:r>
      <w:r>
        <w:rPr>
          <w:rFonts w:hint="eastAsia" w:ascii="宋体" w:hAnsi="宋体" w:eastAsia="宋体" w:cs="宋体"/>
          <w:b w:val="0"/>
          <w:bCs/>
          <w:color w:val="000000"/>
          <w:sz w:val="24"/>
          <w:highlight w:val="none"/>
        </w:rPr>
        <w:t xml:space="preserve">的</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（项目名称）采购活动，提供的</w:t>
      </w:r>
      <w:r>
        <w:rPr>
          <w:rFonts w:hint="eastAsia" w:ascii="宋体" w:hAnsi="宋体" w:eastAsia="宋体" w:cs="宋体"/>
          <w:b w:val="0"/>
          <w:bCs/>
          <w:color w:val="000000"/>
          <w:sz w:val="24"/>
          <w:highlight w:val="none"/>
          <w:u w:val="single"/>
        </w:rPr>
        <w:t xml:space="preserve">货物全部由符合政策要求的中小企业制造</w:t>
      </w:r>
      <w:r>
        <w:rPr>
          <w:rFonts w:hint="eastAsia" w:ascii="宋体" w:hAnsi="宋体" w:eastAsia="宋体" w:cs="宋体"/>
          <w:b w:val="0"/>
          <w:bCs/>
          <w:color w:val="000000"/>
          <w:sz w:val="24"/>
          <w:highlight w:val="none"/>
        </w:rPr>
        <w:t xml:space="preserve">。相关企业（含签订分包意向协议的中小企业）的具体情况如下：</w:t>
      </w:r>
      <w:r/>
    </w:p>
    <w:p>
      <w:pPr>
        <w:pStyle w:val="900"/>
        <w:ind w:firstLine="480"/>
        <w:keepLines w:val="0"/>
        <w:keepNext w:val="0"/>
        <w:pageBreakBefore w:val="0"/>
        <w:spacing w:line="360" w:lineRule="auto"/>
        <w:shd w:val="clear" w:color="auto" w:fill="auto"/>
        <w:widowControl/>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rPr>
        <w:t xml:space="preserve">1. </w:t>
      </w:r>
      <w:r>
        <w:rPr>
          <w:rFonts w:hint="eastAsia" w:ascii="宋体" w:hAnsi="宋体" w:eastAsia="宋体" w:cs="宋体"/>
          <w:b w:val="0"/>
          <w:bCs/>
          <w:color w:val="000000"/>
          <w:sz w:val="24"/>
          <w:highlight w:val="none"/>
          <w:u w:val="single"/>
        </w:rPr>
        <w:t xml:space="preserve">标的名称          </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i/>
          <w:color w:val="000000"/>
          <w:sz w:val="24"/>
          <w:highlight w:val="none"/>
          <w:u w:val="single"/>
        </w:rPr>
        <w:t xml:space="preserve">采购文件中明确的所属行业）</w:t>
      </w:r>
      <w:r>
        <w:rPr>
          <w:rFonts w:hint="eastAsia" w:ascii="宋体" w:hAnsi="宋体" w:eastAsia="宋体" w:cs="宋体"/>
          <w:b w:val="0"/>
          <w:bCs/>
          <w:color w:val="000000"/>
          <w:sz w:val="24"/>
          <w:highlight w:val="none"/>
          <w:u w:val="single"/>
        </w:rPr>
        <w:t xml:space="preserve">行业</w:t>
      </w:r>
      <w:r>
        <w:rPr>
          <w:rFonts w:hint="eastAsia" w:ascii="宋体" w:hAnsi="宋体" w:eastAsia="宋体" w:cs="宋体"/>
          <w:b w:val="0"/>
          <w:bCs/>
          <w:color w:val="000000"/>
          <w:sz w:val="24"/>
          <w:highlight w:val="none"/>
        </w:rPr>
        <w:t xml:space="preserve">；制造商为</w:t>
      </w:r>
      <w:r>
        <w:rPr>
          <w:rFonts w:hint="eastAsia" w:ascii="宋体" w:hAnsi="宋体" w:eastAsia="宋体" w:cs="宋体"/>
          <w:b w:val="0"/>
          <w:bCs/>
          <w:color w:val="000000"/>
          <w:sz w:val="24"/>
          <w:highlight w:val="none"/>
          <w:u w:val="single"/>
        </w:rPr>
        <w:t xml:space="preserve">          （企业名称）</w:t>
      </w:r>
      <w:r>
        <w:rPr>
          <w:rFonts w:hint="eastAsia" w:ascii="宋体" w:hAnsi="宋体" w:eastAsia="宋体" w:cs="宋体"/>
          <w:b w:val="0"/>
          <w:bCs/>
          <w:color w:val="000000"/>
          <w:sz w:val="24"/>
          <w:highlight w:val="none"/>
        </w:rPr>
        <w:t xml:space="preserve">，从业人员</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人，营业收入为 </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万元，资产总额为</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w:t>
      </w:r>
      <w:r>
        <w:rPr>
          <w:rFonts w:hint="eastAsia" w:ascii="宋体" w:hAnsi="宋体" w:eastAsia="宋体" w:cs="宋体"/>
          <w:b w:val="0"/>
          <w:bCs/>
          <w:color w:val="000000"/>
          <w:sz w:val="24"/>
          <w:highlight w:val="none"/>
          <w:vertAlign w:val="superscript"/>
        </w:rPr>
        <w:t xml:space="preserve">1</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color w:val="000000"/>
          <w:sz w:val="24"/>
          <w:highlight w:val="none"/>
          <w:u w:val="single"/>
        </w:rPr>
        <w:t xml:space="preserve">          （中型企业、小型企业、微型企业）；</w:t>
      </w:r>
      <w:r/>
    </w:p>
    <w:p>
      <w:pPr>
        <w:pStyle w:val="900"/>
        <w:ind w:firstLine="480"/>
        <w:keepLines w:val="0"/>
        <w:keepNext w:val="0"/>
        <w:pageBreakBefore w:val="0"/>
        <w:spacing w:line="360" w:lineRule="auto"/>
        <w:shd w:val="clear" w:color="auto" w:fill="auto"/>
        <w:widowControl/>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rPr>
        <w:t xml:space="preserve">2. </w:t>
      </w:r>
      <w:r>
        <w:rPr>
          <w:rFonts w:hint="eastAsia" w:ascii="宋体" w:hAnsi="宋体" w:eastAsia="宋体" w:cs="宋体"/>
          <w:b w:val="0"/>
          <w:bCs/>
          <w:color w:val="000000"/>
          <w:sz w:val="24"/>
          <w:highlight w:val="none"/>
          <w:u w:val="single"/>
        </w:rPr>
        <w:t xml:space="preserve">标的名称          </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i/>
          <w:color w:val="000000"/>
          <w:sz w:val="24"/>
          <w:highlight w:val="none"/>
          <w:u w:val="single"/>
        </w:rPr>
        <w:t xml:space="preserve">采购文件中明确的所属行业）</w:t>
      </w:r>
      <w:r>
        <w:rPr>
          <w:rFonts w:hint="eastAsia" w:ascii="宋体" w:hAnsi="宋体" w:eastAsia="宋体" w:cs="宋体"/>
          <w:b w:val="0"/>
          <w:bCs/>
          <w:color w:val="000000"/>
          <w:sz w:val="24"/>
          <w:highlight w:val="none"/>
          <w:u w:val="single"/>
        </w:rPr>
        <w:t xml:space="preserve">行业</w:t>
      </w:r>
      <w:r>
        <w:rPr>
          <w:rFonts w:hint="eastAsia" w:ascii="宋体" w:hAnsi="宋体" w:eastAsia="宋体" w:cs="宋体"/>
          <w:b w:val="0"/>
          <w:bCs/>
          <w:color w:val="000000"/>
          <w:sz w:val="24"/>
          <w:highlight w:val="none"/>
        </w:rPr>
        <w:t xml:space="preserve">；制造商为</w:t>
      </w:r>
      <w:r>
        <w:rPr>
          <w:rFonts w:hint="eastAsia" w:ascii="宋体" w:hAnsi="宋体" w:eastAsia="宋体" w:cs="宋体"/>
          <w:b w:val="0"/>
          <w:bCs/>
          <w:color w:val="000000"/>
          <w:sz w:val="24"/>
          <w:highlight w:val="none"/>
          <w:u w:val="single"/>
        </w:rPr>
        <w:t xml:space="preserve">（企业名称）        </w:t>
      </w:r>
      <w:r>
        <w:rPr>
          <w:rFonts w:hint="eastAsia" w:ascii="宋体" w:hAnsi="宋体" w:eastAsia="宋体" w:cs="宋体"/>
          <w:b w:val="0"/>
          <w:bCs/>
          <w:color w:val="000000"/>
          <w:sz w:val="24"/>
          <w:highlight w:val="none"/>
        </w:rPr>
        <w:t xml:space="preserve">，从业人员</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人，营业收入为 </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万元，资产总额为</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万元，属于</w:t>
      </w:r>
      <w:r>
        <w:rPr>
          <w:rFonts w:hint="eastAsia" w:ascii="宋体" w:hAnsi="宋体" w:eastAsia="宋体" w:cs="宋体"/>
          <w:b w:val="0"/>
          <w:bCs/>
          <w:color w:val="000000"/>
          <w:sz w:val="24"/>
          <w:highlight w:val="none"/>
          <w:u w:val="single"/>
        </w:rPr>
        <w:t xml:space="preserve">          （中型企业、小型企业、微型企业）；</w:t>
      </w:r>
      <w:r/>
    </w:p>
    <w:p>
      <w:pPr>
        <w:pStyle w:val="900"/>
        <w:ind w:firstLine="480"/>
        <w:keepLines w:val="0"/>
        <w:keepNext w:val="0"/>
        <w:pageBreakBefore w:val="0"/>
        <w:spacing w:line="360" w:lineRule="auto"/>
        <w:shd w:val="clear" w:color="auto" w:fill="auto"/>
        <w:widowControl/>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rPr>
        <w:t xml:space="preserve">3. </w:t>
      </w:r>
      <w:r>
        <w:rPr>
          <w:rFonts w:hint="eastAsia" w:ascii="宋体" w:hAnsi="宋体" w:eastAsia="宋体" w:cs="宋体"/>
          <w:b w:val="0"/>
          <w:bCs/>
          <w:color w:val="000000"/>
          <w:sz w:val="24"/>
          <w:highlight w:val="none"/>
          <w:u w:val="single"/>
        </w:rPr>
        <w:t xml:space="preserve">标的名称          </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i/>
          <w:color w:val="000000"/>
          <w:sz w:val="24"/>
          <w:highlight w:val="none"/>
          <w:u w:val="single"/>
        </w:rPr>
        <w:t xml:space="preserve">采购文件中明确的所属行业）</w:t>
      </w:r>
      <w:r>
        <w:rPr>
          <w:rFonts w:hint="eastAsia" w:ascii="宋体" w:hAnsi="宋体" w:eastAsia="宋体" w:cs="宋体"/>
          <w:b w:val="0"/>
          <w:bCs/>
          <w:color w:val="000000"/>
          <w:sz w:val="24"/>
          <w:highlight w:val="none"/>
          <w:u w:val="single"/>
        </w:rPr>
        <w:t xml:space="preserve">行业</w:t>
      </w:r>
      <w:r>
        <w:rPr>
          <w:rFonts w:hint="eastAsia" w:ascii="宋体" w:hAnsi="宋体" w:eastAsia="宋体" w:cs="宋体"/>
          <w:b w:val="0"/>
          <w:bCs/>
          <w:color w:val="000000"/>
          <w:sz w:val="24"/>
          <w:highlight w:val="none"/>
        </w:rPr>
        <w:t xml:space="preserve">；制造商为</w:t>
      </w:r>
      <w:r>
        <w:rPr>
          <w:rFonts w:hint="eastAsia" w:ascii="宋体" w:hAnsi="宋体" w:eastAsia="宋体" w:cs="宋体"/>
          <w:b w:val="0"/>
          <w:bCs/>
          <w:color w:val="000000"/>
          <w:sz w:val="24"/>
          <w:highlight w:val="none"/>
          <w:u w:val="single"/>
        </w:rPr>
        <w:t xml:space="preserve">          （企业名称）</w:t>
      </w:r>
      <w:r>
        <w:rPr>
          <w:rFonts w:hint="eastAsia" w:ascii="宋体" w:hAnsi="宋体" w:eastAsia="宋体" w:cs="宋体"/>
          <w:b w:val="0"/>
          <w:bCs/>
          <w:color w:val="000000"/>
          <w:sz w:val="24"/>
          <w:highlight w:val="none"/>
        </w:rPr>
        <w:t xml:space="preserve">，从业人员</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人，营业收入为 </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万元，资产总额为</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w:t>
      </w:r>
      <w:r>
        <w:rPr>
          <w:rFonts w:hint="eastAsia" w:ascii="宋体" w:hAnsi="宋体" w:eastAsia="宋体" w:cs="宋体"/>
          <w:b w:val="0"/>
          <w:bCs/>
          <w:color w:val="000000"/>
          <w:sz w:val="24"/>
          <w:highlight w:val="none"/>
          <w:vertAlign w:val="superscript"/>
        </w:rPr>
        <w:t xml:space="preserve">1</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color w:val="000000"/>
          <w:sz w:val="24"/>
          <w:highlight w:val="none"/>
          <w:u w:val="single"/>
        </w:rPr>
        <w:t xml:space="preserve">          （中型企业、小型企业、微型企业）；</w:t>
      </w:r>
      <w:r/>
    </w:p>
    <w:p>
      <w:pPr>
        <w:pStyle w:val="900"/>
        <w:ind w:firstLine="480"/>
        <w:keepLines w:val="0"/>
        <w:keepNext w:val="0"/>
        <w:pageBreakBefore w:val="0"/>
        <w:spacing w:line="360" w:lineRule="auto"/>
        <w:shd w:val="clear" w:color="auto" w:fill="auto"/>
        <w:widowControl/>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rPr>
        <w:t xml:space="preserve">4. </w:t>
      </w:r>
      <w:r>
        <w:rPr>
          <w:rFonts w:hint="eastAsia" w:ascii="宋体" w:hAnsi="宋体" w:eastAsia="宋体" w:cs="宋体"/>
          <w:b w:val="0"/>
          <w:bCs/>
          <w:color w:val="000000"/>
          <w:sz w:val="24"/>
          <w:highlight w:val="none"/>
          <w:u w:val="single"/>
        </w:rPr>
        <w:t xml:space="preserve">标的名称          </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i/>
          <w:color w:val="000000"/>
          <w:sz w:val="24"/>
          <w:highlight w:val="none"/>
          <w:u w:val="single"/>
        </w:rPr>
        <w:t xml:space="preserve">采购文件中明确的所属行业）</w:t>
      </w:r>
      <w:r>
        <w:rPr>
          <w:rFonts w:hint="eastAsia" w:ascii="宋体" w:hAnsi="宋体" w:eastAsia="宋体" w:cs="宋体"/>
          <w:b w:val="0"/>
          <w:bCs/>
          <w:color w:val="000000"/>
          <w:sz w:val="24"/>
          <w:highlight w:val="none"/>
          <w:u w:val="single"/>
        </w:rPr>
        <w:t xml:space="preserve">行业</w:t>
      </w:r>
      <w:r>
        <w:rPr>
          <w:rFonts w:hint="eastAsia" w:ascii="宋体" w:hAnsi="宋体" w:eastAsia="宋体" w:cs="宋体"/>
          <w:b w:val="0"/>
          <w:bCs/>
          <w:color w:val="000000"/>
          <w:sz w:val="24"/>
          <w:highlight w:val="none"/>
        </w:rPr>
        <w:t xml:space="preserve">；制造商为</w:t>
      </w:r>
      <w:r>
        <w:rPr>
          <w:rFonts w:hint="eastAsia" w:ascii="宋体" w:hAnsi="宋体" w:eastAsia="宋体" w:cs="宋体"/>
          <w:b w:val="0"/>
          <w:bCs/>
          <w:color w:val="000000"/>
          <w:sz w:val="24"/>
          <w:highlight w:val="none"/>
          <w:u w:val="single"/>
        </w:rPr>
        <w:t xml:space="preserve">（企业名称）        </w:t>
      </w:r>
      <w:r>
        <w:rPr>
          <w:rFonts w:hint="eastAsia" w:ascii="宋体" w:hAnsi="宋体" w:eastAsia="宋体" w:cs="宋体"/>
          <w:b w:val="0"/>
          <w:bCs/>
          <w:color w:val="000000"/>
          <w:sz w:val="24"/>
          <w:highlight w:val="none"/>
        </w:rPr>
        <w:t xml:space="preserve">，从业人员</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人，营业收入为 </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万元，资产总额为</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万元，属于</w:t>
      </w:r>
      <w:r>
        <w:rPr>
          <w:rFonts w:hint="eastAsia" w:ascii="宋体" w:hAnsi="宋体" w:eastAsia="宋体" w:cs="宋体"/>
          <w:b w:val="0"/>
          <w:bCs/>
          <w:color w:val="000000"/>
          <w:sz w:val="24"/>
          <w:highlight w:val="none"/>
          <w:u w:val="single"/>
        </w:rPr>
        <w:t xml:space="preserve">          （中型企业、小型企业、微型企业）；</w:t>
      </w:r>
      <w:r/>
    </w:p>
    <w:p>
      <w:pPr>
        <w:pStyle w:val="900"/>
        <w:ind w:firstLine="480"/>
        <w:keepLines w:val="0"/>
        <w:keepNext w:val="0"/>
        <w:pageBreakBefore w:val="0"/>
        <w:spacing w:line="360" w:lineRule="auto"/>
        <w:shd w:val="clear" w:color="auto" w:fill="auto"/>
        <w:widowControl/>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rPr>
        <w:t xml:space="preserve">5.</w:t>
      </w:r>
      <w:r>
        <w:rPr>
          <w:rFonts w:hint="eastAsia" w:ascii="宋体" w:hAnsi="宋体" w:eastAsia="宋体" w:cs="宋体"/>
          <w:b w:val="0"/>
          <w:bCs/>
          <w:color w:val="000000"/>
          <w:sz w:val="24"/>
          <w:highlight w:val="none"/>
          <w:u w:val="single"/>
        </w:rPr>
        <w:t xml:space="preserve">标的名称          </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i/>
          <w:color w:val="000000"/>
          <w:sz w:val="24"/>
          <w:highlight w:val="none"/>
          <w:u w:val="single"/>
        </w:rPr>
        <w:t xml:space="preserve">采购文件中明确的所属行业）</w:t>
      </w:r>
      <w:r>
        <w:rPr>
          <w:rFonts w:hint="eastAsia" w:ascii="宋体" w:hAnsi="宋体" w:eastAsia="宋体" w:cs="宋体"/>
          <w:b w:val="0"/>
          <w:bCs/>
          <w:color w:val="000000"/>
          <w:sz w:val="24"/>
          <w:highlight w:val="none"/>
          <w:u w:val="single"/>
        </w:rPr>
        <w:t xml:space="preserve">行业</w:t>
      </w:r>
      <w:r>
        <w:rPr>
          <w:rFonts w:hint="eastAsia" w:ascii="宋体" w:hAnsi="宋体" w:eastAsia="宋体" w:cs="宋体"/>
          <w:b w:val="0"/>
          <w:bCs/>
          <w:color w:val="000000"/>
          <w:sz w:val="24"/>
          <w:highlight w:val="none"/>
        </w:rPr>
        <w:t xml:space="preserve">；制造商为</w:t>
      </w:r>
      <w:r>
        <w:rPr>
          <w:rFonts w:hint="eastAsia" w:ascii="宋体" w:hAnsi="宋体" w:eastAsia="宋体" w:cs="宋体"/>
          <w:b w:val="0"/>
          <w:bCs/>
          <w:color w:val="000000"/>
          <w:sz w:val="24"/>
          <w:highlight w:val="none"/>
          <w:u w:val="single"/>
        </w:rPr>
        <w:t xml:space="preserve">（企业名称）        </w:t>
      </w:r>
      <w:r>
        <w:rPr>
          <w:rFonts w:hint="eastAsia" w:ascii="宋体" w:hAnsi="宋体" w:eastAsia="宋体" w:cs="宋体"/>
          <w:b w:val="0"/>
          <w:bCs/>
          <w:color w:val="000000"/>
          <w:sz w:val="24"/>
          <w:highlight w:val="none"/>
        </w:rPr>
        <w:t xml:space="preserve">，从业人员</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人，营业收入为 </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万元，资产总额为</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万元，属于</w:t>
      </w:r>
      <w:r>
        <w:rPr>
          <w:rFonts w:hint="eastAsia" w:ascii="宋体" w:hAnsi="宋体" w:eastAsia="宋体" w:cs="宋体"/>
          <w:b w:val="0"/>
          <w:bCs/>
          <w:color w:val="000000"/>
          <w:sz w:val="24"/>
          <w:highlight w:val="none"/>
          <w:u w:val="single"/>
        </w:rPr>
        <w:t xml:space="preserve">          （中型企业、小型企业、微型企业）；</w:t>
      </w:r>
      <w:r/>
    </w:p>
    <w:p>
      <w:pPr>
        <w:ind w:firstLine="36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36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right="180" w:firstLine="360"/>
        <w:jc w:val="right"/>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p>
    <w:p>
      <w:pPr>
        <w:jc w:val="center"/>
        <w:keepLines w:val="0"/>
        <w:keepNext w:val="0"/>
        <w:pageBreakBefore w:val="0"/>
        <w:spacing w:line="360" w:lineRule="auto"/>
        <w:shd w:val="clear" w:color="auto" w:fill="auto"/>
        <w:widowControl/>
        <w:rPr>
          <w:rFonts w:hint="eastAsia" w:ascii="宋体" w:hAnsi="宋体" w:eastAsia="宋体" w:cs="宋体"/>
          <w:b/>
          <w:color w:val="000000"/>
          <w:sz w:val="36"/>
          <w:szCs w:val="36"/>
          <w:highlight w:val="none"/>
          <w:lang w:val="en-US" w:eastAsia="zh-CN" w:bidi="ar-SA"/>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年___月___日</w:t>
      </w:r>
      <w:r>
        <w:rPr>
          <w:rFonts w:hint="eastAsia" w:ascii="宋体" w:hAnsi="宋体" w:eastAsia="宋体" w:cs="宋体"/>
          <w:color w:val="000000"/>
          <w:szCs w:val="32"/>
          <w:highlight w:val="none"/>
        </w:rPr>
        <w:br w:type="page" w:clear="all"/>
      </w:r>
      <w:r>
        <w:rPr>
          <w:rFonts w:hint="eastAsia" w:ascii="宋体" w:hAnsi="宋体" w:eastAsia="宋体" w:cs="宋体"/>
          <w:b/>
          <w:color w:val="000000"/>
          <w:sz w:val="36"/>
          <w:szCs w:val="36"/>
          <w:highlight w:val="none"/>
          <w:lang w:val="en-US" w:eastAsia="zh-CN" w:bidi="ar-SA"/>
        </w:rPr>
        <w:t xml:space="preserve">中小企业声明函（工程、服务）</w:t>
      </w:r>
      <w:r/>
    </w:p>
    <w:p>
      <w:pPr>
        <w:pStyle w:val="900"/>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p>
      <w:pPr>
        <w:pStyle w:val="900"/>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000000"/>
          <w:sz w:val="24"/>
          <w:highlight w:val="none"/>
          <w:u w:val="single"/>
        </w:rPr>
        <w:t xml:space="preserve"> 单位名称  </w:t>
      </w:r>
      <w:r>
        <w:rPr>
          <w:rFonts w:hint="eastAsia" w:ascii="宋体" w:hAnsi="宋体" w:eastAsia="宋体" w:cs="宋体"/>
          <w:b w:val="0"/>
          <w:bCs/>
          <w:color w:val="000000"/>
          <w:sz w:val="24"/>
          <w:highlight w:val="none"/>
        </w:rPr>
        <w:t xml:space="preserve">的（</w:t>
      </w:r>
      <w:r>
        <w:rPr>
          <w:rFonts w:hint="eastAsia" w:ascii="宋体" w:hAnsi="宋体" w:eastAsia="宋体" w:cs="宋体"/>
          <w:b w:val="0"/>
          <w:bCs/>
          <w:color w:val="000000"/>
          <w:sz w:val="24"/>
          <w:highlight w:val="none"/>
          <w:u w:val="single"/>
        </w:rPr>
        <w:t xml:space="preserve">项目名称）</w:t>
      </w:r>
      <w:r>
        <w:rPr>
          <w:rFonts w:hint="eastAsia" w:ascii="宋体" w:hAnsi="宋体" w:eastAsia="宋体" w:cs="宋体"/>
          <w:b w:val="0"/>
          <w:bCs/>
          <w:color w:val="000000"/>
          <w:sz w:val="24"/>
          <w:highlight w:val="none"/>
        </w:rPr>
        <w:t xml:space="preserve"> 采购活动，工程的施工单位全部为符合政策要求的中小企业（或者：服务全部由符合政策要求的中小企业承接）。相关企业（含签订分包意向协议的中小企业）的具体情况如下：</w:t>
      </w:r>
      <w:r/>
    </w:p>
    <w:p>
      <w:pPr>
        <w:pStyle w:val="900"/>
        <w:ind w:firstLine="480"/>
        <w:spacing w:line="500" w:lineRule="exact"/>
        <w:shd w:val="clear" w:color="auto" w:fill="auto"/>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rPr>
        <w:t xml:space="preserve">1. </w:t>
      </w:r>
      <w:r>
        <w:rPr>
          <w:rFonts w:hint="eastAsia" w:ascii="宋体" w:hAnsi="宋体" w:eastAsia="宋体" w:cs="宋体"/>
          <w:b w:val="0"/>
          <w:bCs/>
          <w:color w:val="000000"/>
          <w:sz w:val="24"/>
          <w:highlight w:val="none"/>
          <w:u w:val="single"/>
        </w:rPr>
        <w:t xml:space="preserve">标的名称          </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i/>
          <w:color w:val="000000"/>
          <w:sz w:val="24"/>
          <w:highlight w:val="none"/>
          <w:u w:val="single"/>
        </w:rPr>
        <w:t xml:space="preserve">采购文件中明确的所属行业）</w:t>
      </w:r>
      <w:r>
        <w:rPr>
          <w:rFonts w:hint="eastAsia" w:ascii="宋体" w:hAnsi="宋体" w:eastAsia="宋体" w:cs="宋体"/>
          <w:b w:val="0"/>
          <w:bCs/>
          <w:color w:val="000000"/>
          <w:sz w:val="24"/>
          <w:highlight w:val="none"/>
          <w:u w:val="single"/>
        </w:rPr>
        <w:t xml:space="preserve">行业</w:t>
      </w:r>
      <w:r>
        <w:rPr>
          <w:rFonts w:hint="eastAsia" w:ascii="宋体" w:hAnsi="宋体" w:eastAsia="宋体" w:cs="宋体"/>
          <w:b w:val="0"/>
          <w:bCs/>
          <w:color w:val="000000"/>
          <w:sz w:val="24"/>
          <w:highlight w:val="none"/>
        </w:rPr>
        <w:t xml:space="preserve">；承建（承接）企业为</w:t>
      </w:r>
      <w:r>
        <w:rPr>
          <w:rFonts w:hint="eastAsia" w:ascii="宋体" w:hAnsi="宋体" w:eastAsia="宋体" w:cs="宋体"/>
          <w:b w:val="0"/>
          <w:bCs/>
          <w:color w:val="000000"/>
          <w:sz w:val="24"/>
          <w:highlight w:val="none"/>
          <w:u w:val="single"/>
        </w:rPr>
        <w:t xml:space="preserve">（企业名称）  </w:t>
      </w:r>
      <w:r>
        <w:rPr>
          <w:rFonts w:hint="eastAsia" w:ascii="宋体" w:hAnsi="宋体" w:eastAsia="宋体" w:cs="宋体"/>
          <w:b w:val="0"/>
          <w:bCs/>
          <w:color w:val="000000"/>
          <w:sz w:val="24"/>
          <w:highlight w:val="none"/>
        </w:rPr>
        <w:t xml:space="preserve">，从业人员</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人，营业收入为 </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万元，资产总额为</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w:t>
      </w:r>
      <w:r>
        <w:rPr>
          <w:rFonts w:hint="eastAsia" w:ascii="宋体" w:hAnsi="宋体" w:eastAsia="宋体" w:cs="宋体"/>
          <w:b w:val="0"/>
          <w:bCs/>
          <w:color w:val="000000"/>
          <w:sz w:val="24"/>
          <w:highlight w:val="none"/>
          <w:vertAlign w:val="superscript"/>
        </w:rPr>
        <w:t xml:space="preserve">1</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color w:val="000000"/>
          <w:sz w:val="24"/>
          <w:highlight w:val="none"/>
          <w:u w:val="single"/>
        </w:rPr>
        <w:t xml:space="preserve">（中型企业、小型企业、微型企业）；</w:t>
      </w:r>
      <w:r/>
    </w:p>
    <w:p>
      <w:pPr>
        <w:pStyle w:val="900"/>
        <w:ind w:firstLine="480"/>
        <w:spacing w:line="500" w:lineRule="exact"/>
        <w:shd w:val="clear" w:color="auto" w:fill="auto"/>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rPr>
        <w:t xml:space="preserve">2. </w:t>
      </w:r>
      <w:r>
        <w:rPr>
          <w:rFonts w:hint="eastAsia" w:ascii="宋体" w:hAnsi="宋体" w:eastAsia="宋体" w:cs="宋体"/>
          <w:b w:val="0"/>
          <w:bCs/>
          <w:color w:val="000000"/>
          <w:sz w:val="24"/>
          <w:highlight w:val="none"/>
          <w:u w:val="single"/>
        </w:rPr>
        <w:t xml:space="preserve">标的名称          </w:t>
      </w:r>
      <w:r>
        <w:rPr>
          <w:rFonts w:hint="eastAsia" w:ascii="宋体" w:hAnsi="宋体" w:eastAsia="宋体" w:cs="宋体"/>
          <w:b w:val="0"/>
          <w:bCs/>
          <w:color w:val="000000"/>
          <w:sz w:val="24"/>
          <w:highlight w:val="none"/>
        </w:rPr>
        <w:t xml:space="preserve">，属于（</w:t>
      </w:r>
      <w:r>
        <w:rPr>
          <w:rFonts w:hint="eastAsia" w:ascii="宋体" w:hAnsi="宋体" w:eastAsia="宋体" w:cs="宋体"/>
          <w:b w:val="0"/>
          <w:bCs/>
          <w:i/>
          <w:color w:val="000000"/>
          <w:sz w:val="24"/>
          <w:highlight w:val="none"/>
          <w:u w:val="single"/>
        </w:rPr>
        <w:t xml:space="preserve">采购文件中明确的所属行业）</w:t>
      </w:r>
      <w:r>
        <w:rPr>
          <w:rFonts w:hint="eastAsia" w:ascii="宋体" w:hAnsi="宋体" w:eastAsia="宋体" w:cs="宋体"/>
          <w:b w:val="0"/>
          <w:bCs/>
          <w:color w:val="000000"/>
          <w:sz w:val="24"/>
          <w:highlight w:val="none"/>
          <w:u w:val="single"/>
        </w:rPr>
        <w:t xml:space="preserve">行业</w:t>
      </w:r>
      <w:r>
        <w:rPr>
          <w:rFonts w:hint="eastAsia" w:ascii="宋体" w:hAnsi="宋体" w:eastAsia="宋体" w:cs="宋体"/>
          <w:b w:val="0"/>
          <w:bCs/>
          <w:color w:val="000000"/>
          <w:sz w:val="24"/>
          <w:highlight w:val="none"/>
        </w:rPr>
        <w:t xml:space="preserve">；承建（承接）企业为</w:t>
      </w:r>
      <w:r>
        <w:rPr>
          <w:rFonts w:hint="eastAsia" w:ascii="宋体" w:hAnsi="宋体" w:eastAsia="宋体" w:cs="宋体"/>
          <w:b w:val="0"/>
          <w:bCs/>
          <w:color w:val="000000"/>
          <w:sz w:val="24"/>
          <w:highlight w:val="none"/>
          <w:u w:val="single"/>
        </w:rPr>
        <w:t xml:space="preserve">（企业名称）   </w:t>
      </w:r>
      <w:r>
        <w:rPr>
          <w:rFonts w:hint="eastAsia" w:ascii="宋体" w:hAnsi="宋体" w:eastAsia="宋体" w:cs="宋体"/>
          <w:b w:val="0"/>
          <w:bCs/>
          <w:color w:val="000000"/>
          <w:sz w:val="24"/>
          <w:highlight w:val="none"/>
        </w:rPr>
        <w:t xml:space="preserve">，从业人员</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人，营业收入为 </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万元，资产总额为</w:t>
      </w:r>
      <w:r>
        <w:rPr>
          <w:rFonts w:hint="eastAsia" w:ascii="宋体" w:hAnsi="宋体" w:eastAsia="宋体" w:cs="宋体"/>
          <w:b w:val="0"/>
          <w:bCs/>
          <w:color w:val="000000"/>
          <w:sz w:val="24"/>
          <w:highlight w:val="none"/>
          <w:u w:val="single"/>
        </w:rPr>
        <w:t xml:space="preserve">        </w:t>
      </w:r>
      <w:r>
        <w:rPr>
          <w:rFonts w:hint="eastAsia" w:ascii="宋体" w:hAnsi="宋体" w:eastAsia="宋体" w:cs="宋体"/>
          <w:b w:val="0"/>
          <w:bCs/>
          <w:color w:val="000000"/>
          <w:sz w:val="24"/>
          <w:highlight w:val="none"/>
        </w:rPr>
        <w:t xml:space="preserve">万元，属于</w:t>
      </w:r>
      <w:r>
        <w:rPr>
          <w:rFonts w:hint="eastAsia" w:ascii="宋体" w:hAnsi="宋体" w:eastAsia="宋体" w:cs="宋体"/>
          <w:b w:val="0"/>
          <w:bCs/>
          <w:color w:val="000000"/>
          <w:sz w:val="24"/>
          <w:highlight w:val="none"/>
          <w:u w:val="single"/>
        </w:rPr>
        <w:t xml:space="preserve">（中型企业、小型企业、微型企业）；</w:t>
      </w:r>
      <w:r/>
    </w:p>
    <w:p>
      <w:pPr>
        <w:pStyle w:val="900"/>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w:t>
      </w:r>
      <w:r/>
    </w:p>
    <w:p>
      <w:pPr>
        <w:pStyle w:val="900"/>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以上企业，不属于大企业的分支机构，不存在控股股东为大企业的情形，也不存在与大企业的负责人为同一人的情形。</w:t>
      </w:r>
      <w:r/>
    </w:p>
    <w:p>
      <w:pPr>
        <w:pStyle w:val="900"/>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本企业对上述声明内容的真实性负责。如有虚假，将依法承担相应责任。</w:t>
      </w:r>
      <w:r/>
    </w:p>
    <w:p>
      <w:pPr>
        <w:pStyle w:val="900"/>
        <w:ind w:firstLine="480"/>
        <w:jc w:val="center"/>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p>
      <w:pPr>
        <w:pStyle w:val="900"/>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企业名称（电子签章）：</w:t>
      </w:r>
      <w:r/>
    </w:p>
    <w:p>
      <w:pPr>
        <w:pStyle w:val="900"/>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日期：  年  月  日</w:t>
      </w:r>
      <w:r/>
    </w:p>
    <w:p>
      <w:pPr>
        <w:pStyle w:val="900"/>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r>
      <w:r/>
    </w:p>
    <w:p>
      <w:pPr>
        <w:pStyle w:val="900"/>
        <w:ind w:firstLine="480"/>
        <w:spacing w:line="500" w:lineRule="exact"/>
        <w:shd w:val="clear" w:color="auto" w:fill="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从业人员、营业收入、资产总额填报上一年数据，无上一年数据的新成立企业可不填报。</w:t>
      </w:r>
      <w:r/>
    </w:p>
    <w:p>
      <w:pPr>
        <w:jc w:val="center"/>
        <w:spacing w:line="360" w:lineRule="auto"/>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240" w:after="240" w:line="460" w:lineRule="exact"/>
        <w:shd w:val="clear" w:color="auto" w:fill="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残疾人福利性单位声明函</w:t>
      </w:r>
      <w:r/>
    </w:p>
    <w:p>
      <w:pPr>
        <w:ind w:firstLine="480"/>
        <w:spacing w:line="588"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lang w:eastAsia="zh-CN"/>
        </w:rPr>
        <w:t xml:space="preserve">〔2017〕141号</w:t>
      </w:r>
      <w:r>
        <w:rPr>
          <w:rFonts w:hint="eastAsia" w:ascii="宋体" w:hAnsi="宋体" w:eastAsia="宋体" w:cs="宋体"/>
          <w:color w:val="000000"/>
          <w:sz w:val="24"/>
          <w:highlight w:val="none"/>
        </w:rPr>
        <w:t xml:space="preserve">）的规定，本单位为符合条件的残疾人福利性单位，且本单位参加______单位的采购文件项目编号为______的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p>
    <w:p>
      <w:pPr>
        <w:ind w:firstLine="480"/>
        <w:spacing w:line="588"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88"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（备注：1、</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如不提供此声明函，价格将不做相应扣除。2、成交</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为残疾人福利单位的，此声明函将随成交结果同时公告，接受社会监督）</w:t>
      </w:r>
      <w:r/>
    </w:p>
    <w:p>
      <w:pPr>
        <w:ind w:firstLine="624"/>
        <w:spacing w:line="588" w:lineRule="exact"/>
        <w:shd w:val="clear" w:color="auto" w:fill="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ind w:right="1560" w:firstLine="624"/>
        <w:jc w:val="center"/>
        <w:spacing w:line="588" w:lineRule="exact"/>
        <w:shd w:val="clear" w:color="auto" w:fill="auto"/>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全称（加盖CA电子公章）：</w:t>
      </w:r>
      <w:r/>
    </w:p>
    <w:p>
      <w:pPr>
        <w:ind w:right="1560" w:firstLine="480"/>
        <w:jc w:val="center"/>
        <w:spacing w:line="588" w:lineRule="exact"/>
        <w:shd w:val="clear" w:color="auto" w:fill="auto"/>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w:t>
      </w:r>
      <w:r/>
    </w:p>
    <w:p>
      <w:pPr>
        <w:jc w:val="center"/>
        <w:spacing w:line="560" w:lineRule="exact"/>
        <w:shd w:val="clear" w:color="auto" w:fill="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spacing w:line="560" w:lineRule="exact"/>
        <w:shd w:val="clear" w:color="auto" w:fill="auto"/>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八、技术要求响应及偏离表</w:t>
      </w:r>
      <w:r/>
    </w:p>
    <w:tbl>
      <w:tblPr>
        <w:tblStyle w:val="787"/>
        <w:tblW w:w="0" w:type="auto"/>
        <w:tblInd w:w="-225"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偏离内容及说明（</w:t>
            </w:r>
            <w:r>
              <w:rPr>
                <w:rFonts w:hint="eastAsia" w:ascii="宋体" w:hAnsi="宋体" w:eastAsia="宋体" w:cs="宋体"/>
                <w:b/>
                <w:color w:val="000000"/>
                <w:sz w:val="24"/>
                <w:highlight w:val="none"/>
              </w:rPr>
              <w:t xml:space="preserve">正偏离、负偏离、无偏离</w:t>
            </w:r>
            <w:r>
              <w:rPr>
                <w:rFonts w:hint="eastAsia" w:ascii="宋体" w:hAnsi="宋体" w:eastAsia="宋体" w:cs="宋体"/>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fil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备注</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588"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备注：1.针对采购需求中要求提供证明材料的，以证明材料为准；若《</w:t>
      </w:r>
      <w:r>
        <w:rPr>
          <w:rFonts w:hint="eastAsia" w:ascii="宋体" w:hAnsi="宋体" w:eastAsia="宋体" w:cs="宋体"/>
          <w:color w:val="000000"/>
          <w:sz w:val="24"/>
          <w:highlight w:val="none"/>
          <w:lang w:eastAsia="zh-CN"/>
        </w:rPr>
        <w:t xml:space="preserve">技术要求响应及偏离表</w:t>
      </w:r>
      <w:r>
        <w:rPr>
          <w:rFonts w:hint="eastAsia" w:ascii="宋体" w:hAnsi="宋体" w:eastAsia="宋体" w:cs="宋体"/>
          <w:color w:val="000000"/>
          <w:sz w:val="24"/>
          <w:highlight w:val="none"/>
        </w:rPr>
        <w:t xml:space="preserve">》填写情况与提供证明材料的内容不一致，以证明材料为准；采购需求中未要求提供证明材料的，以《</w:t>
      </w:r>
      <w:r>
        <w:rPr>
          <w:rFonts w:hint="eastAsia" w:ascii="宋体" w:hAnsi="宋体" w:eastAsia="宋体" w:cs="宋体"/>
          <w:color w:val="000000"/>
          <w:sz w:val="24"/>
          <w:highlight w:val="none"/>
          <w:lang w:eastAsia="zh-CN"/>
        </w:rPr>
        <w:t xml:space="preserve">技术要求响应及偏离表</w:t>
      </w:r>
      <w:r>
        <w:rPr>
          <w:rFonts w:hint="eastAsia" w:ascii="宋体" w:hAnsi="宋体" w:eastAsia="宋体" w:cs="宋体"/>
          <w:color w:val="000000"/>
          <w:sz w:val="24"/>
          <w:highlight w:val="none"/>
        </w:rPr>
        <w:t xml:space="preserve">》为准，《</w:t>
      </w:r>
      <w:r>
        <w:rPr>
          <w:rFonts w:hint="eastAsia" w:ascii="宋体" w:hAnsi="宋体" w:eastAsia="宋体" w:cs="宋体"/>
          <w:color w:val="000000"/>
          <w:sz w:val="24"/>
          <w:highlight w:val="none"/>
          <w:lang w:eastAsia="zh-CN"/>
        </w:rPr>
        <w:t xml:space="preserve">技术要求响应及偏离表</w:t>
      </w:r>
      <w:r>
        <w:rPr>
          <w:rFonts w:hint="eastAsia" w:ascii="宋体" w:hAnsi="宋体" w:eastAsia="宋体" w:cs="宋体"/>
          <w:color w:val="000000"/>
          <w:sz w:val="24"/>
          <w:highlight w:val="none"/>
        </w:rPr>
        <w:t xml:space="preserve">》中未列明的，作无效响应处理。</w:t>
      </w:r>
      <w:r/>
    </w:p>
    <w:p>
      <w:pPr>
        <w:numPr>
          <w:ilvl w:val="0"/>
          <w:numId w:val="0"/>
        </w:numPr>
        <w:ind w:left="0" w:firstLine="0"/>
        <w:spacing w:line="588"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对采购需求的</w:t>
      </w:r>
      <w:r>
        <w:rPr>
          <w:rFonts w:hint="eastAsia" w:ascii="宋体" w:hAnsi="宋体" w:eastAsia="宋体" w:cs="宋体"/>
          <w:color w:val="000000"/>
          <w:sz w:val="24"/>
          <w:highlight w:val="none"/>
          <w:lang w:eastAsia="zh-CN"/>
        </w:rPr>
        <w:t xml:space="preserve">其他</w:t>
      </w:r>
      <w:r>
        <w:rPr>
          <w:rFonts w:hint="eastAsia" w:ascii="宋体" w:hAnsi="宋体" w:eastAsia="宋体" w:cs="宋体"/>
          <w:color w:val="000000"/>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2"/>
          <w:highlight w:val="none"/>
          <w:lang w:val="en-US" w:eastAsia="zh-CN" w:bidi="ar-SA"/>
        </w:rPr>
        <w:t xml:space="preserve">3.投标人所投产品如与招标文件要求的规格及配置不一致，则须在上表偏离说明中详细注明</w:t>
      </w:r>
      <w:r>
        <w:rPr>
          <w:rFonts w:hint="eastAsia" w:ascii="宋体" w:hAnsi="宋体" w:eastAsia="宋体" w:cs="宋体"/>
          <w:color w:val="000000"/>
          <w:sz w:val="24"/>
          <w:highlight w:val="none"/>
        </w:rPr>
        <w:t xml:space="preserve">。</w:t>
      </w:r>
      <w:r/>
    </w:p>
    <w:p>
      <w:pPr>
        <w:numPr>
          <w:ilvl w:val="0"/>
          <w:numId w:val="0"/>
        </w:numPr>
        <w:ind w:left="0" w:firstLine="0"/>
        <w:spacing w:line="588" w:lineRule="exact"/>
        <w:shd w:val="clear" w:color="auto" w:fill="auto"/>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4.行数不够，可自行添加。</w:t>
      </w:r>
      <w:r/>
    </w:p>
    <w:p>
      <w:pPr>
        <w:spacing w:line="560" w:lineRule="exact"/>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九、项目组人员</w:t>
      </w:r>
      <w:r/>
    </w:p>
    <w:p>
      <w:pPr>
        <w:pStyle w:val="851"/>
        <w:jc w:val="center"/>
        <w:spacing w:line="600" w:lineRule="exact"/>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bidi="ar"/>
        </w:rPr>
        <w:t xml:space="preserve">项目组成员一览表</w:t>
      </w:r>
      <w:r/>
    </w:p>
    <w:tbl>
      <w:tblPr>
        <w:tblStyle w:val="78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880"/>
              <w:jc w:val="center"/>
              <w:spacing w:beforeAutospacing="1"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姓名</w:t>
            </w:r>
            <w:r/>
          </w:p>
        </w:tc>
        <w:tc>
          <w:tcPr>
            <w:tcW w:w="1843" w:type="dxa"/>
            <w:vAlign w:val="center"/>
            <w:textDirection w:val="lrTb"/>
            <w:noWrap w:val="false"/>
          </w:tcPr>
          <w:p>
            <w:pPr>
              <w:pStyle w:val="880"/>
              <w:jc w:val="center"/>
              <w:spacing w:beforeAutospacing="1"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职务</w:t>
            </w:r>
            <w:r/>
          </w:p>
        </w:tc>
        <w:tc>
          <w:tcPr>
            <w:tcW w:w="992" w:type="dxa"/>
            <w:vAlign w:val="center"/>
            <w:textDirection w:val="lrTb"/>
            <w:noWrap w:val="false"/>
          </w:tcPr>
          <w:p>
            <w:pPr>
              <w:pStyle w:val="880"/>
              <w:jc w:val="center"/>
              <w:spacing w:beforeAutospacing="1"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学历</w:t>
            </w:r>
            <w:r/>
          </w:p>
        </w:tc>
        <w:tc>
          <w:tcPr>
            <w:tcW w:w="1984" w:type="dxa"/>
            <w:vAlign w:val="center"/>
            <w:textDirection w:val="lrTb"/>
            <w:noWrap w:val="false"/>
          </w:tcPr>
          <w:p>
            <w:pPr>
              <w:pStyle w:val="880"/>
              <w:ind w:firstLine="280"/>
              <w:spacing w:beforeAutospacing="1"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身份证号</w:t>
            </w:r>
            <w:r/>
          </w:p>
        </w:tc>
        <w:tc>
          <w:tcPr>
            <w:tcW w:w="1702" w:type="dxa"/>
            <w:vAlign w:val="center"/>
            <w:textDirection w:val="lrTb"/>
            <w:noWrap w:val="false"/>
          </w:tcPr>
          <w:p>
            <w:pPr>
              <w:pStyle w:val="880"/>
              <w:jc w:val="center"/>
              <w:spacing w:beforeAutospacing="1"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相关证书</w:t>
            </w:r>
            <w:r/>
          </w:p>
        </w:tc>
        <w:tc>
          <w:tcPr>
            <w:tcW w:w="962" w:type="dxa"/>
            <w:vAlign w:val="center"/>
            <w:textDirection w:val="lrTb"/>
            <w:noWrap w:val="false"/>
          </w:tcPr>
          <w:p>
            <w:pPr>
              <w:pStyle w:val="880"/>
              <w:spacing w:beforeAutospacing="1"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p>
        </w:tc>
      </w:tr>
      <w:tr>
        <w:trPr>
          <w:trHeight w:val="729"/>
        </w:trPr>
        <w:tc>
          <w:tcPr>
            <w:tcW w:w="959"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851"/>
              <w:jc w:val="center"/>
              <w:shd w:val="clear" w:color="auto" w:fill="auto"/>
              <w:rPr>
                <w:rFonts w:hint="eastAsia" w:ascii="宋体" w:hAnsi="宋体" w:eastAsia="宋体" w:cs="宋体"/>
                <w:color w:val="000000"/>
                <w:sz w:val="20"/>
                <w:szCs w:val="20"/>
                <w:highlight w:val="none"/>
              </w:rPr>
            </w:pPr>
            <w:r>
              <w:rPr>
                <w:rFonts w:hint="eastAsia" w:ascii="宋体" w:hAnsi="宋体" w:eastAsia="宋体" w:cs="宋体"/>
                <w:color w:val="000000"/>
                <w:sz w:val="28"/>
                <w:szCs w:val="28"/>
                <w:highlight w:val="none"/>
                <w:lang w:bidi="ar"/>
              </w:rPr>
              <w:t xml:space="preserve">项目负责人</w:t>
            </w:r>
            <w:r/>
          </w:p>
        </w:tc>
        <w:tc>
          <w:tcPr>
            <w:tcW w:w="99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851"/>
              <w:jc w:val="center"/>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bidi="ar"/>
              </w:rPr>
              <w:t xml:space="preserve">……</w:t>
            </w:r>
            <w:r/>
          </w:p>
        </w:tc>
        <w:tc>
          <w:tcPr>
            <w:tcW w:w="99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851"/>
              <w:jc w:val="center"/>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bidi="ar"/>
              </w:rPr>
              <w:t xml:space="preserve">……</w:t>
            </w:r>
            <w:r/>
          </w:p>
        </w:tc>
        <w:tc>
          <w:tcPr>
            <w:tcW w:w="99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851"/>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851"/>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880"/>
              <w:ind w:firstLine="560"/>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851"/>
        <w:ind w:firstLine="398"/>
        <w:spacing w:line="460" w:lineRule="exact"/>
        <w:shd w:val="clear" w:color="auto" w:fill="auto"/>
        <w:rPr>
          <w:rFonts w:hint="eastAsia" w:ascii="宋体" w:hAnsi="宋体" w:eastAsia="宋体" w:cs="宋体"/>
          <w:color w:val="000000"/>
          <w:highlight w:val="none"/>
        </w:rPr>
      </w:pPr>
      <w:r>
        <w:rPr>
          <w:rFonts w:hint="eastAsia" w:ascii="宋体" w:hAnsi="宋体" w:eastAsia="宋体" w:cs="宋体"/>
          <w:b/>
          <w:color w:val="000000"/>
          <w:highlight w:val="none"/>
          <w:lang w:bidi="ar"/>
        </w:rPr>
        <w:t xml:space="preserve">注：如投标人中标，项目组成员必须按本表承诺人员操作，不得随意更换。按投标文件要求附相关人员证书。</w:t>
      </w:r>
      <w:r/>
    </w:p>
    <w:p>
      <w:pPr>
        <w:pStyle w:val="851"/>
        <w:ind w:firstLine="280"/>
        <w:spacing w:line="50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7"/>
        <w:spacing w:line="500" w:lineRule="exact"/>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30" w:name="_Toc11176"/>
      <w:r>
        <w:rPr>
          <w:rFonts w:hint="eastAsia" w:ascii="宋体" w:hAnsi="宋体" w:eastAsia="宋体" w:cs="宋体"/>
          <w:b/>
          <w:color w:val="000000"/>
          <w:sz w:val="32"/>
          <w:highlight w:val="none"/>
        </w:rPr>
        <w:t xml:space="preserve">十、</w:t>
      </w:r>
      <w:bookmarkEnd w:id="230"/>
      <w:r>
        <w:rPr>
          <w:rFonts w:hint="eastAsia" w:ascii="宋体" w:hAnsi="宋体" w:eastAsia="宋体" w:cs="宋体"/>
          <w:b/>
          <w:color w:val="000000"/>
          <w:sz w:val="32"/>
          <w:highlight w:val="none"/>
        </w:rPr>
        <w:t xml:space="preserve">企业业绩</w:t>
      </w:r>
      <w:r/>
    </w:p>
    <w:p>
      <w:pPr>
        <w:pStyle w:val="904"/>
        <w:jc w:val="center"/>
        <w:shd w:val="clear" w:color="auto" w:fill="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投标人承担类似项目业绩一览表</w:t>
      </w:r>
      <w:r/>
    </w:p>
    <w:tbl>
      <w:tblPr>
        <w:tblStyle w:val="78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05"/>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p>
        </w:tc>
        <w:tc>
          <w:tcPr>
            <w:tcW w:w="3827" w:type="dxa"/>
            <w:vAlign w:val="center"/>
            <w:textDirection w:val="lrTb"/>
            <w:noWrap w:val="false"/>
          </w:tcPr>
          <w:p>
            <w:pPr>
              <w:pStyle w:val="905"/>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p>
        </w:tc>
        <w:tc>
          <w:tcPr>
            <w:tcW w:w="2433" w:type="dxa"/>
            <w:vAlign w:val="center"/>
            <w:textDirection w:val="lrTb"/>
            <w:noWrap w:val="false"/>
          </w:tcPr>
          <w:p>
            <w:pPr>
              <w:pStyle w:val="905"/>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采购单位</w:t>
            </w:r>
            <w:r/>
          </w:p>
        </w:tc>
        <w:tc>
          <w:tcPr>
            <w:tcW w:w="1395" w:type="dxa"/>
            <w:vAlign w:val="center"/>
            <w:textDirection w:val="lrTb"/>
            <w:noWrap w:val="false"/>
          </w:tcPr>
          <w:p>
            <w:pPr>
              <w:pStyle w:val="905"/>
              <w:jc w:val="center"/>
              <w:spacing w:line="56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1510"/>
        </w:trPr>
        <w:tc>
          <w:tcPr>
            <w:tcW w:w="1229" w:type="dxa"/>
            <w:vAlign w:val="top"/>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1510"/>
        </w:trPr>
        <w:tc>
          <w:tcPr>
            <w:tcW w:w="1229" w:type="dxa"/>
            <w:vAlign w:val="top"/>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1525"/>
        </w:trPr>
        <w:tc>
          <w:tcPr>
            <w:tcW w:w="1229" w:type="dxa"/>
            <w:vAlign w:val="top"/>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905"/>
              <w:jc w:val="center"/>
              <w:spacing w:line="560" w:lineRule="exact"/>
              <w:shd w:val="clear" w:color="auto" w:fill="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904"/>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highlight w:val="none"/>
        </w:rPr>
        <w:t xml:space="preserve">注：请填写此表，并按要求上传业绩资料电子件。</w:t>
      </w:r>
      <w:bookmarkStart w:id="231" w:name="_Toc28140"/>
      <w:r/>
      <w:r/>
    </w:p>
    <w:p>
      <w:pPr>
        <w:pStyle w:val="897"/>
        <w:numPr>
          <w:ilvl w:val="0"/>
          <w:numId w:val="0"/>
        </w:numPr>
        <w:shd w:val="clear" w:color="auto" w:fill="auto"/>
        <w:rPr>
          <w:rFonts w:hint="eastAsia" w:ascii="宋体" w:hAnsi="宋体" w:eastAsia="宋体" w:cs="宋体"/>
          <w:b/>
          <w:color w:val="000000"/>
          <w:sz w:val="32"/>
          <w:szCs w:val="32"/>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color w:val="000000"/>
          <w:highlight w:val="none"/>
          <w:lang w:val="en-US" w:eastAsia="zh-CN"/>
        </w:rPr>
        <w:t xml:space="preserve">十一、</w:t>
      </w:r>
      <w:bookmarkEnd w:id="231"/>
      <w:r>
        <w:rPr>
          <w:rFonts w:hint="eastAsia" w:ascii="宋体" w:hAnsi="宋体" w:eastAsia="宋体" w:cs="宋体"/>
          <w:b/>
          <w:color w:val="000000"/>
          <w:sz w:val="32"/>
          <w:szCs w:val="32"/>
          <w:highlight w:val="none"/>
        </w:rPr>
        <w:t xml:space="preserve">关于符合本国产品标准的声明函</w:t>
      </w:r>
      <w:r/>
    </w:p>
    <w:p>
      <w:pPr>
        <w:pStyle w:val="897"/>
        <w:numPr>
          <w:ilvl w:val="0"/>
          <w:numId w:val="0"/>
        </w:numPr>
        <w:shd w:val="clear" w:color="auto" w:fill="auto"/>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r>
      <w:r/>
    </w:p>
    <w:p>
      <w:pPr>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2811780</wp:posOffset>
                </wp:positionH>
                <wp:positionV relativeFrom="paragraph">
                  <wp:posOffset>850265</wp:posOffset>
                </wp:positionV>
                <wp:extent cx="816610" cy="14732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221.4pt;mso-position-horizontal:absolute;mso-position-vertical-relative:text;margin-top:67.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1133475</wp:posOffset>
                </wp:positionH>
                <wp:positionV relativeFrom="paragraph">
                  <wp:posOffset>824230</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89.2pt;mso-position-horizontal:absolute;mso-position-vertical-relative:text;margin-top:64.9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3978910</wp:posOffset>
                </wp:positionH>
                <wp:positionV relativeFrom="paragraph">
                  <wp:posOffset>591185</wp:posOffset>
                </wp:positionV>
                <wp:extent cx="816610" cy="14732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313.3pt;mso-position-horizontal:absolute;mso-position-vertical-relative:text;margin-top:46.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1951355</wp:posOffset>
                </wp:positionH>
                <wp:positionV relativeFrom="paragraph">
                  <wp:posOffset>603885</wp:posOffset>
                </wp:positionV>
                <wp:extent cx="816610" cy="14732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153.7pt;mso-position-horizontal:absolute;mso-position-vertical-relative:text;margin-top:47.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2620010</wp:posOffset>
                </wp:positionH>
                <wp:positionV relativeFrom="paragraph">
                  <wp:posOffset>367030</wp:posOffset>
                </wp:positionV>
                <wp:extent cx="803910" cy="8890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03910" cy="889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w:t xml:space="preserve">1.（产品名称1）</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，生产厂为（厂名）</w:t>
      </w:r>
      <w:r>
        <w:rPr>
          <w:rFonts w:hint="eastAsia" w:ascii="宋体" w:hAnsi="宋体" w:eastAsia="宋体" w:cs="宋体"/>
          <w:b w:val="0"/>
          <w:bCs/>
          <w:color w:val="000000"/>
          <w:sz w:val="24"/>
          <w:szCs w:val="24"/>
          <w:highlight w:val="none"/>
          <w:vertAlign w:val="superscript"/>
        </w:rPr>
        <w:t xml:space="preserve">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，厂址为（生产厂址）</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。（产品名称1）</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的中国境内生产的组件成本占比≥</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（规定比例）</w:t>
      </w:r>
      <w:r>
        <w:rPr>
          <w:rFonts w:hint="eastAsia" w:ascii="宋体" w:hAnsi="宋体" w:eastAsia="宋体" w:cs="宋体"/>
          <w:b w:val="0"/>
          <w:bCs/>
          <w:color w:val="000000"/>
          <w:sz w:val="24"/>
          <w:szCs w:val="24"/>
          <w:highlight w:val="none"/>
          <w:vertAlign w:val="superscript"/>
        </w:rPr>
        <w:t xml:space="preserve">3</w:t>
      </w:r>
      <w:r>
        <w:rPr>
          <w:rFonts w:hint="eastAsia" w:ascii="宋体" w:hAnsi="宋体" w:eastAsia="宋体" w:cs="宋体"/>
          <w:b w:val="0"/>
          <w:bCs/>
          <w:color w:val="000000"/>
          <w:sz w:val="24"/>
          <w:szCs w:val="24"/>
          <w:highlight w:val="none"/>
        </w:rPr>
        <w:t xml:space="preserve">。（产品名称1）</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的（关键组件）</w:t>
      </w:r>
      <w:r>
        <w:rPr>
          <w:rFonts w:hint="eastAsia" w:ascii="宋体" w:hAnsi="宋体" w:eastAsia="宋体" w:cs="宋体"/>
          <w:b w:val="0"/>
          <w:bCs/>
          <w:color w:val="000000"/>
          <w:sz w:val="24"/>
          <w:szCs w:val="24"/>
          <w:highlight w:val="none"/>
          <w:vertAlign w:val="superscript"/>
        </w:rPr>
        <w:t xml:space="preserve">4</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在中国境内生产。（产品名称1）的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（关键工序）</w:t>
      </w:r>
      <w:r>
        <w:rPr>
          <w:rFonts w:hint="eastAsia" w:ascii="宋体" w:hAnsi="宋体" w:eastAsia="宋体" w:cs="宋体"/>
          <w:b w:val="0"/>
          <w:bCs/>
          <w:color w:val="000000"/>
          <w:sz w:val="24"/>
          <w:szCs w:val="24"/>
          <w:highlight w:val="none"/>
          <w:vertAlign w:val="superscript"/>
        </w:rPr>
        <w:t xml:space="preserve">5</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在中国境内完成。</w:t>
      </w:r>
      <w:r/>
    </w:p>
    <w:p>
      <w:pPr>
        <w:ind w:firstLine="480"/>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2798445</wp:posOffset>
                </wp:positionH>
                <wp:positionV relativeFrom="paragraph">
                  <wp:posOffset>772795</wp:posOffset>
                </wp:positionV>
                <wp:extent cx="773430" cy="22161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773430" cy="2216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220.3pt;mso-position-horizontal:absolute;mso-position-vertical-relative:text;margin-top:60.8pt;mso-position-vertical:absolute;width:60.9pt;height:17.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3896360</wp:posOffset>
                </wp:positionH>
                <wp:positionV relativeFrom="paragraph">
                  <wp:posOffset>525145</wp:posOffset>
                </wp:positionV>
                <wp:extent cx="780415" cy="212725"/>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780415" cy="212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306.8pt;mso-position-horizontal:absolute;mso-position-vertical-relative:text;margin-top:41.4pt;mso-position-vertical:absolute;width:61.4pt;height:1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1113155</wp:posOffset>
                </wp:positionH>
                <wp:positionV relativeFrom="paragraph">
                  <wp:posOffset>816610</wp:posOffset>
                </wp:positionV>
                <wp:extent cx="81661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87.6pt;mso-position-horizontal:absolute;mso-position-vertical-relative:text;margin-top:64.3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1939290</wp:posOffset>
                </wp:positionH>
                <wp:positionV relativeFrom="paragraph">
                  <wp:posOffset>578485</wp:posOffset>
                </wp:positionV>
                <wp:extent cx="816610" cy="14732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52.7pt;mso-position-horizontal:absolute;mso-position-vertical-relative:text;margin-top:4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2646045</wp:posOffset>
                </wp:positionH>
                <wp:positionV relativeFrom="paragraph">
                  <wp:posOffset>339725</wp:posOffset>
                </wp:positionV>
                <wp:extent cx="816610" cy="14732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w:t xml:space="preserve">2.（产品名称2）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，生产厂为（厂名）</w:t>
      </w:r>
      <w:r>
        <w:rPr>
          <w:rFonts w:hint="eastAsia" w:ascii="宋体" w:hAnsi="宋体" w:eastAsia="宋体" w:cs="宋体"/>
          <w:b w:val="0"/>
          <w:bCs/>
          <w:color w:val="000000"/>
          <w:sz w:val="24"/>
          <w:szCs w:val="24"/>
          <w:highlight w:val="none"/>
          <w:vertAlign w:val="superscript"/>
        </w:rPr>
        <w:t xml:space="preserve">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，厂址为（生产厂址）</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。（产品名称2）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的中国境内生产的组件成本占比≥</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（规定比例）</w:t>
      </w:r>
      <w:r>
        <w:rPr>
          <w:rFonts w:hint="eastAsia" w:ascii="宋体" w:hAnsi="宋体" w:eastAsia="宋体" w:cs="宋体"/>
          <w:b w:val="0"/>
          <w:bCs/>
          <w:color w:val="000000"/>
          <w:sz w:val="24"/>
          <w:szCs w:val="24"/>
          <w:highlight w:val="none"/>
          <w:vertAlign w:val="superscript"/>
        </w:rPr>
        <w:t xml:space="preserve">3</w:t>
      </w:r>
      <w:r>
        <w:rPr>
          <w:rFonts w:hint="eastAsia" w:ascii="宋体" w:hAnsi="宋体" w:eastAsia="宋体" w:cs="宋体"/>
          <w:b w:val="0"/>
          <w:bCs/>
          <w:color w:val="000000"/>
          <w:sz w:val="24"/>
          <w:szCs w:val="24"/>
          <w:highlight w:val="none"/>
        </w:rPr>
        <w:t xml:space="preserve">。（产品名称2）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的（关键组件）</w:t>
      </w:r>
      <w:r>
        <w:rPr>
          <w:rFonts w:hint="eastAsia" w:ascii="宋体" w:hAnsi="宋体" w:eastAsia="宋体" w:cs="宋体"/>
          <w:b w:val="0"/>
          <w:bCs/>
          <w:color w:val="000000"/>
          <w:sz w:val="24"/>
          <w:szCs w:val="24"/>
          <w:highlight w:val="none"/>
          <w:vertAlign w:val="superscript"/>
        </w:rPr>
        <w:t xml:space="preserve">4</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在中国境内生产。（产品名称2）的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（关键工序）</w:t>
      </w:r>
      <w:r>
        <w:rPr>
          <w:rFonts w:hint="eastAsia" w:ascii="宋体" w:hAnsi="宋体" w:eastAsia="宋体" w:cs="宋体"/>
          <w:b w:val="0"/>
          <w:bCs/>
          <w:color w:val="000000"/>
          <w:sz w:val="24"/>
          <w:szCs w:val="24"/>
          <w:highlight w:val="none"/>
          <w:vertAlign w:val="superscript"/>
        </w:rPr>
        <w:t xml:space="preserve">5</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在中国境内完成。</w:t>
      </w:r>
      <w:r/>
    </w:p>
    <w:p>
      <w:pPr>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w:t>
      </w:r>
      <w:r/>
    </w:p>
    <w:p>
      <w:pPr>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公司（单位）名称（盖章）：</w:t>
      </w:r>
      <w:r/>
    </w:p>
    <w:p>
      <w:pPr>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日期：    年    月    日</w:t>
      </w:r>
      <w:r/>
    </w:p>
    <w:p>
      <w:pPr>
        <w:ind w:firstLine="480"/>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注：</w:t>
      </w:r>
      <w:r/>
    </w:p>
    <w:p>
      <w:pPr>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5.该产品的关键工序要求实施前，“关键工序”栏可不填，下同。</w:t>
      </w:r>
      <w:r/>
    </w:p>
    <w:p>
      <w:pPr>
        <w:ind w:firstLine="562"/>
        <w:jc w:val="both"/>
        <w:spacing w:line="500" w:lineRule="exact"/>
        <w:shd w:val="clear" w:color="auto" w:fill="auto"/>
        <w:rPr>
          <w:rFonts w:hint="eastAsia" w:ascii="宋体" w:hAnsi="宋体" w:eastAsia="宋体" w:cs="宋体"/>
          <w:color w:val="000000"/>
          <w:sz w:val="20"/>
          <w:highlight w:val="none"/>
        </w:rPr>
      </w:pPr>
      <w:r>
        <w:rPr>
          <w:rFonts w:hint="eastAsia" w:ascii="宋体" w:hAnsi="宋体" w:eastAsia="宋体" w:cs="宋体"/>
          <w:b w:val="0"/>
          <w:bCs/>
          <w:color w:val="000000"/>
          <w:sz w:val="24"/>
          <w:szCs w:val="24"/>
          <w:highlight w:val="none"/>
        </w:rPr>
        <w:t xml:space="preserve">6.用斜线划除的地方无需填写。</w:t>
      </w:r>
      <w:r/>
    </w:p>
    <w:p>
      <w:pP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shd w:val="clear" w:color="auto" w:fill="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spacing w:line="48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480" w:lineRule="auto"/>
        <w:shd w:val="clear" w:color="auto" w:fill="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814"/>
        <w:ind w:firstLine="0"/>
        <w:shd w:val="clear" w:color="auto" w:fill="auto"/>
        <w:rPr>
          <w:rFonts w:hint="eastAsia" w:ascii="宋体" w:hAnsi="宋体" w:eastAsia="宋体" w:cs="宋体"/>
          <w:color w:val="000000"/>
          <w:sz w:val="24"/>
          <w:highlight w:val="none"/>
        </w:rPr>
      </w:pPr>
      <w:r/>
      <w:bookmarkStart w:id="232" w:name="_Hlt26609389"/>
      <w:r/>
      <w:bookmarkEnd w:id="232"/>
      <w:r/>
      <w:bookmarkStart w:id="233" w:name="_Hlt26671374"/>
      <w:r/>
      <w:bookmarkEnd w:id="233"/>
      <w:r/>
      <w:bookmarkStart w:id="234" w:name="_Hlt26955066"/>
      <w:r/>
      <w:bookmarkEnd w:id="234"/>
      <w:r/>
      <w:bookmarkStart w:id="235" w:name="_Toc462564146"/>
      <w:r/>
      <w:bookmarkEnd w:id="235"/>
      <w:r/>
      <w:r/>
    </w:p>
    <w:p>
      <w:pPr>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8"/>
        <w:ind w:firstLine="480"/>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8"/>
        <w:ind w:firstLine="480"/>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7"/>
        <w:numPr>
          <w:ilvl w:val="0"/>
          <w:numId w:val="0"/>
        </w:numPr>
        <w:shd w:val="clear" w:color="auto" w:fill="auto"/>
        <w:rPr>
          <w:rFonts w:hint="eastAsia" w:ascii="宋体" w:hAnsi="宋体" w:eastAsia="宋体" w:cs="宋体"/>
          <w:color w:val="000000"/>
          <w:highlight w:val="none"/>
          <w:lang w:val="en-US" w:eastAsia="zh-CN"/>
        </w:rPr>
        <w:outlineLvl w:val="1"/>
      </w:pPr>
      <w:r/>
      <w:bookmarkStart w:id="236" w:name="_格式2__法定代表人授权书"/>
      <w:r/>
      <w:bookmarkEnd w:id="236"/>
      <w:r>
        <w:rPr>
          <w:rFonts w:hint="eastAsia" w:ascii="宋体" w:hAnsi="宋体" w:eastAsia="宋体" w:cs="宋体"/>
          <w:b/>
          <w:bCs/>
          <w:color w:val="000000"/>
          <w:sz w:val="32"/>
          <w:szCs w:val="32"/>
          <w:highlight w:val="none"/>
        </w:rPr>
        <w:br w:type="page" w:clear="all"/>
      </w:r>
      <w:r>
        <w:rPr>
          <w:rFonts w:hint="eastAsia" w:ascii="宋体" w:hAnsi="宋体" w:eastAsia="宋体" w:cs="宋体"/>
          <w:color w:val="000000"/>
          <w:highlight w:val="none"/>
          <w:lang w:val="en-US" w:eastAsia="zh-CN"/>
        </w:rPr>
        <w:t xml:space="preserve">十二、投标所需其他材料</w:t>
      </w:r>
      <w:r/>
    </w:p>
    <w:p>
      <w:pPr>
        <w:pStyle w:val="891"/>
        <w:ind w:firstLine="560"/>
        <w:spacing w:line="360" w:lineRule="auto"/>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质疑函范本</w:t>
      </w:r>
      <w:r/>
    </w:p>
    <w:p>
      <w:pPr>
        <w:spacing w:before="240"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一、质疑投标人基本信息</w:t>
      </w:r>
      <w:r/>
    </w:p>
    <w:p>
      <w:pPr>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质疑投标人：</w:t>
      </w:r>
      <w:r>
        <w:rPr>
          <w:rFonts w:hint="eastAsia" w:ascii="宋体" w:hAnsi="宋体" w:eastAsia="宋体" w:cs="宋体"/>
          <w:color w:val="000000"/>
          <w:sz w:val="24"/>
          <w:szCs w:val="24"/>
          <w:highlight w:val="none"/>
          <w:u w:val="single"/>
        </w:rPr>
        <w:t xml:space="preserve">                                                              </w:t>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p>
    <w:p>
      <w:pPr>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p>
    <w:p>
      <w:pPr>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p>
    <w:p>
      <w:pPr>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招标人名称：</w:t>
      </w:r>
      <w:r>
        <w:rPr>
          <w:rFonts w:hint="eastAsia" w:ascii="宋体" w:hAnsi="宋体" w:eastAsia="宋体" w:cs="宋体"/>
          <w:color w:val="000000"/>
          <w:sz w:val="24"/>
          <w:szCs w:val="24"/>
          <w:highlight w:val="none"/>
          <w:u w:val="single"/>
        </w:rPr>
        <w:t xml:space="preserve">                                                              </w:t>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p>
    <w:p>
      <w:pPr>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p>
    <w:p>
      <w:pPr>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p>
    <w:p>
      <w:pPr>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p>
    <w:p>
      <w:pPr>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p>
    <w:p>
      <w:pPr>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p>
    <w:p>
      <w:pPr>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p>
    <w:p>
      <w:pPr>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p>
    <w:p>
      <w:pP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p>
    <w:p>
      <w:pP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p>
    <w:p>
      <w:pPr>
        <w:spacing w:line="40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p>
    <w:p>
      <w:pPr>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1.投标人提出质疑时，应提交质疑函和必要的证明材料。</w:t>
      </w:r>
      <w:r/>
    </w:p>
    <w:p>
      <w:pPr>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3.质疑投标人若对项目的某一分包进行质疑，质疑函中应列明具体分包号。</w:t>
      </w:r>
      <w:r/>
    </w:p>
    <w:p>
      <w:pPr>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p>
    <w:p>
      <w:pPr>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p>
    <w:p>
      <w:pPr>
        <w:ind w:firstLine="480"/>
        <w:spacing w:line="40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50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sectPr>
      <w:headerReference w:type="default" r:id="rId10"/>
      <w:footerReference w:type="default" r:id="rId15"/>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PUA">
    <w:panose1 w:val="0201060003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tabs>
        <w:tab w:val="center" w:pos="4153" w:leader="none"/>
        <w:tab w:val="right" w:pos="8306" w:leader="none"/>
      </w:tabs>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tabs>
                              <w:tab w:val="clear" w:pos="7143" w:leader="none"/>
                              <w:tab w:val="clear" w:pos="14287"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tabs>
                        <w:tab w:val="clear" w:pos="7143" w:leader="none"/>
                        <w:tab w:val="clear" w:pos="14287"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tabs>
                              <w:tab w:val="clear" w:pos="7143" w:leader="none"/>
                              <w:tab w:val="clear" w:pos="14287"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tabs>
                        <w:tab w:val="clear" w:pos="7143" w:leader="none"/>
                        <w:tab w:val="clear" w:pos="14287"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tabs>
                              <w:tab w:val="clear" w:pos="7143" w:leader="none"/>
                              <w:tab w:val="clear" w:pos="14287" w:leader="none"/>
                            </w:tabs>
                          </w:pPr>
                          <w:r>
                            <w:fldChar w:fldCharType="begin"/>
                          </w:r>
                          <w:r>
                            <w:instrText xml:space="preserve"> PAGE  \* MERGEFORMAT </w:instrText>
                          </w:r>
                          <w:r>
                            <w:fldChar w:fldCharType="separate"/>
                          </w:r>
                          <w:r>
                            <w:t xml:space="preserve">101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tabs>
                        <w:tab w:val="clear" w:pos="7143" w:leader="none"/>
                        <w:tab w:val="clear" w:pos="14287" w:leader="none"/>
                      </w:tabs>
                    </w:pPr>
                    <w:r>
                      <w:fldChar w:fldCharType="begin"/>
                    </w:r>
                    <w:r>
                      <w:instrText xml:space="preserve"> PAGE  \* MERGEFORMAT </w:instrText>
                    </w:r>
                    <w:r>
                      <w:fldChar w:fldCharType="separate"/>
                    </w:r>
                    <w:r>
                      <w:t xml:space="preserve">101</w:t>
                    </w:r>
                    <w:r>
                      <w:fldChar w:fldCharType="end"/>
                    </w:r>
                    <w:r/>
                  </w:p>
                  <w:p>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899"/>
      <w:isLgl w:val="false"/>
      <w:suff w:val="nothing"/>
      <w:lvlText w:val="表%1　"/>
      <w:lvlJc w:val="left"/>
      <w:pPr>
        <w:ind w:left="0" w:firstLine="0"/>
      </w:pPr>
      <w:rPr>
        <w:rFonts w:hint="eastAsia" w:ascii="黑体" w:hAnsi="Times New Roman" w:eastAsia="黑体"/>
        <w:b w:val="0"/>
        <w:i w:val="0"/>
        <w:sz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pStyle w:val="884"/>
      <w:isLgl w:val="false"/>
      <w:suff w:val="nothing"/>
      <w:lvlText w:val="图%1　"/>
      <w:lvlJc w:val="left"/>
      <w:pPr>
        <w:ind w:left="0"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ascii="Times New Roman" w:hAnsi="Times New Roman" w:eastAsia="黑体"/>
        <w:b w:val="0"/>
        <w:i w:val="0"/>
        <w:sz w:val="21"/>
      </w:rPr>
    </w:lvl>
    <w:lvl w:ilvl="2">
      <w:start w:val="1"/>
      <w:numFmt w:val="decimal"/>
      <w:isLgl w:val="false"/>
      <w:suff w:val="nothing"/>
      <w:lvlText w:val="%1%2.%3　"/>
      <w:lvlJc w:val="left"/>
      <w:pPr>
        <w:ind w:left="0" w:firstLine="0"/>
      </w:pPr>
      <w:rPr>
        <w:rFonts w:ascii="Times New Roman" w:hAnsi="Times New Roman" w:eastAsia="黑体"/>
        <w:b w:val="0"/>
        <w:i w:val="0"/>
        <w:sz w:val="21"/>
      </w:rPr>
    </w:lvl>
    <w:lvl w:ilvl="3">
      <w:start w:val="1"/>
      <w:numFmt w:val="decimal"/>
      <w:isLgl w:val="false"/>
      <w:suff w:val="nothing"/>
      <w:lvlText w:val="%1%2.%3.%4　"/>
      <w:lvlJc w:val="left"/>
      <w:pPr>
        <w:ind w:left="0" w:firstLine="0"/>
      </w:pPr>
      <w:rPr>
        <w:rFonts w:ascii="Times New Roman" w:hAnsi="Times New Roman" w:eastAsia="黑体"/>
        <w:b w:val="0"/>
        <w:i w:val="0"/>
        <w:sz w:val="21"/>
      </w:rPr>
    </w:lvl>
    <w:lvl w:ilvl="4">
      <w:start w:val="1"/>
      <w:numFmt w:val="decimal"/>
      <w:isLgl w:val="false"/>
      <w:suff w:val="nothing"/>
      <w:lvlText w:val="%1%2.%3.%4.%5　"/>
      <w:lvlJc w:val="left"/>
      <w:pPr>
        <w:ind w:left="0" w:firstLine="0"/>
      </w:pPr>
      <w:rPr>
        <w:rFonts w:ascii="Times New Roman" w:hAnsi="Times New Roman" w:eastAsia="黑体"/>
        <w:b w:val="0"/>
        <w:i w:val="0"/>
        <w:sz w:val="21"/>
      </w:rPr>
    </w:lvl>
    <w:lvl w:ilvl="5">
      <w:start w:val="1"/>
      <w:numFmt w:val="decimal"/>
      <w:isLgl w:val="false"/>
      <w:suff w:val="nothing"/>
      <w:lvlText w:val="%1%2.%3.%4.%5.%6　"/>
      <w:lvlJc w:val="left"/>
      <w:pPr>
        <w:ind w:left="0" w:firstLine="0"/>
      </w:pPr>
      <w:rPr>
        <w:rFonts w:ascii="Times New Roman" w:hAnsi="Times New Roman" w:eastAsia="黑体"/>
        <w:b w:val="0"/>
        <w:i w:val="0"/>
        <w:sz w:val="21"/>
      </w:rPr>
    </w:lvl>
    <w:lvl w:ilvl="6">
      <w:start w:val="1"/>
      <w:numFmt w:val="decimal"/>
      <w:isLgl w:val="false"/>
      <w:suff w:val="nothing"/>
      <w:lvlText w:val="%1%2.%3.%4.%5.%6.%7　"/>
      <w:lvlJc w:val="left"/>
      <w:pPr>
        <w:ind w:left="0" w:firstLine="0"/>
      </w:pPr>
      <w:rPr>
        <w:rFonts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2"/>
  </w:num>
  <w:num w:numId="3">
    <w:abstractNumId w:val="10"/>
    <w:lvlOverride w:ilvl="0">
      <w:startOverride w:val="1"/>
    </w:lvlOverride>
  </w:num>
  <w:num w:numId="4">
    <w:abstractNumId w:val="0"/>
    <w:lvlOverride w:ilvl="0">
      <w:startOverride w:val="1"/>
    </w:lvlOverride>
  </w:num>
  <w:num w:numId="5">
    <w:abstractNumId w:val="8"/>
    <w:lvlOverride w:ilvl="0">
      <w:startOverride w:val="1"/>
    </w:lvlOverride>
  </w:num>
  <w:num w:numId="6">
    <w:abstractNumId w:val="7"/>
    <w:lvlOverride w:ilvl="0">
      <w:startOverride w:val="2"/>
    </w:lvlOverride>
  </w:num>
  <w:num w:numId="7">
    <w:abstractNumId w:val="9"/>
    <w:lvlOverride w:ilvl="0">
      <w:startOverride w:val="6"/>
    </w:lvlOverride>
  </w:num>
  <w:num w:numId="8">
    <w:abstractNumId w:val="1"/>
    <w:lvlOverride w:ilvl="0">
      <w:startOverride w:val="16"/>
    </w:lvlOverride>
  </w:num>
  <w:num w:numId="9">
    <w:abstractNumId w:val="5"/>
    <w:lvlOverride w:ilvl="0">
      <w:startOverride w:val="23"/>
    </w:lvlOverride>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link w:val="871"/>
    <w:uiPriority w:val="0"/>
    <w:qFormat/>
    <w:rPr>
      <w:rFonts w:hint="default" w:ascii="Calibri" w:hAnsi="Calibri" w:eastAsia="Arial" w:cs="Times New Roman"/>
      <w:sz w:val="21"/>
      <w:szCs w:val="22"/>
      <w:lang w:val="en-US" w:eastAsia="zh-CN" w:bidi="ar-SA"/>
    </w:rPr>
  </w:style>
  <w:style w:type="paragraph" w:styleId="777">
    <w:name w:val="Heading 1"/>
    <w:basedOn w:val="776"/>
    <w:next w:val="776"/>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Body Text"/>
    <w:uiPriority w:val="99"/>
    <w:unhideWhenUsed/>
    <w:qFormat/>
    <w:pPr>
      <w:spacing w:after="120"/>
    </w:pPr>
    <w:rPr>
      <w:rFonts w:hint="default" w:ascii="黑体" w:hAnsi="黑体" w:eastAsia="黑体" w:cs="黑体"/>
      <w:b/>
      <w:sz w:val="32"/>
      <w:szCs w:val="24"/>
      <w:lang w:val="en-US" w:eastAsia="zh-CN" w:bidi="ar-SA"/>
    </w:rPr>
  </w:style>
  <w:style w:type="paragraph" w:styleId="791">
    <w:name w:val="toc 5"/>
    <w:basedOn w:val="776"/>
    <w:next w:val="776"/>
    <w:uiPriority w:val="39"/>
    <w:unhideWhenUsed/>
    <w:qFormat/>
    <w:pPr>
      <w:ind w:left="1134" w:right="0" w:firstLine="0"/>
      <w:spacing w:after="57"/>
    </w:pPr>
  </w:style>
  <w:style w:type="paragraph" w:styleId="792">
    <w:name w:val="toc 3"/>
    <w:basedOn w:val="776"/>
    <w:next w:val="776"/>
    <w:uiPriority w:val="39"/>
    <w:unhideWhenUsed/>
    <w:qFormat/>
    <w:pPr>
      <w:ind w:left="567" w:right="0" w:firstLine="0"/>
      <w:spacing w:after="57"/>
    </w:pPr>
  </w:style>
  <w:style w:type="paragraph" w:styleId="793">
    <w:name w:val="toc 8"/>
    <w:basedOn w:val="776"/>
    <w:next w:val="776"/>
    <w:uiPriority w:val="39"/>
    <w:unhideWhenUsed/>
    <w:qFormat/>
    <w:pPr>
      <w:ind w:left="1984" w:right="0" w:firstLine="0"/>
      <w:spacing w:after="57"/>
    </w:pPr>
  </w:style>
  <w:style w:type="paragraph" w:styleId="794">
    <w:name w:val="endnote text"/>
    <w:basedOn w:val="776"/>
    <w:uiPriority w:val="99"/>
    <w:semiHidden/>
    <w:unhideWhenUsed/>
    <w:qFormat/>
    <w:pPr>
      <w:spacing w:after="0" w:line="240" w:lineRule="auto"/>
    </w:pPr>
    <w:rPr>
      <w:sz w:val="20"/>
    </w:rPr>
  </w:style>
  <w:style w:type="paragraph" w:styleId="795">
    <w:name w:val="Footer"/>
    <w:basedOn w:val="776"/>
    <w:uiPriority w:val="99"/>
    <w:unhideWhenUsed/>
    <w:qFormat/>
    <w:pPr>
      <w:spacing w:after="0" w:line="240" w:lineRule="auto"/>
      <w:tabs>
        <w:tab w:val="center" w:pos="7143" w:leader="none"/>
        <w:tab w:val="right" w:pos="14287" w:leader="none"/>
      </w:tabs>
    </w:pPr>
  </w:style>
  <w:style w:type="paragraph" w:styleId="796">
    <w:name w:val="Header"/>
    <w:basedOn w:val="776"/>
    <w:uiPriority w:val="99"/>
    <w:unhideWhenUsed/>
    <w:qFormat/>
    <w:pPr>
      <w:spacing w:after="0" w:line="240" w:lineRule="auto"/>
      <w:tabs>
        <w:tab w:val="center" w:pos="7143" w:leader="none"/>
        <w:tab w:val="right" w:pos="14287" w:leader="none"/>
      </w:tabs>
    </w:pPr>
  </w:style>
  <w:style w:type="paragraph" w:styleId="797">
    <w:name w:val="toc 1"/>
    <w:basedOn w:val="776"/>
    <w:next w:val="776"/>
    <w:uiPriority w:val="39"/>
    <w:unhideWhenUsed/>
    <w:qFormat/>
    <w:pPr>
      <w:ind w:left="0" w:right="0" w:firstLine="0"/>
      <w:spacing w:after="57"/>
    </w:pPr>
  </w:style>
  <w:style w:type="paragraph" w:styleId="798">
    <w:name w:val="toc 4"/>
    <w:basedOn w:val="776"/>
    <w:next w:val="776"/>
    <w:uiPriority w:val="39"/>
    <w:unhideWhenUsed/>
    <w:qFormat/>
    <w:pPr>
      <w:ind w:left="850" w:right="0" w:firstLine="0"/>
      <w:spacing w:after="57"/>
    </w:pPr>
  </w:style>
  <w:style w:type="paragraph" w:styleId="799">
    <w:name w:val="Subtitle"/>
    <w:basedOn w:val="776"/>
    <w:next w:val="776"/>
    <w:uiPriority w:val="11"/>
    <w:qFormat/>
    <w:pPr>
      <w:spacing w:before="200" w:after="200"/>
    </w:pPr>
    <w:rPr>
      <w:sz w:val="24"/>
      <w:szCs w:val="24"/>
    </w:rPr>
  </w:style>
  <w:style w:type="paragraph" w:styleId="800">
    <w:name w:val="footnote text"/>
    <w:basedOn w:val="776"/>
    <w:uiPriority w:val="99"/>
    <w:semiHidden/>
    <w:unhideWhenUsed/>
    <w:qFormat/>
    <w:pPr>
      <w:spacing w:after="40" w:line="240" w:lineRule="auto"/>
    </w:pPr>
    <w:rPr>
      <w:sz w:val="18"/>
    </w:rPr>
  </w:style>
  <w:style w:type="paragraph" w:styleId="801">
    <w:name w:val="toc 6"/>
    <w:basedOn w:val="776"/>
    <w:next w:val="776"/>
    <w:uiPriority w:val="39"/>
    <w:unhideWhenUsed/>
    <w:qFormat/>
    <w:pPr>
      <w:ind w:left="1417" w:right="0" w:firstLine="0"/>
      <w:spacing w:after="57"/>
    </w:pPr>
  </w:style>
  <w:style w:type="paragraph" w:styleId="802">
    <w:name w:val="table of figures"/>
    <w:basedOn w:val="776"/>
    <w:next w:val="776"/>
    <w:uiPriority w:val="99"/>
    <w:unhideWhenUsed/>
    <w:qFormat/>
    <w:pPr>
      <w:spacing w:after="0" w:afterAutospacing="0"/>
    </w:pPr>
  </w:style>
  <w:style w:type="paragraph" w:styleId="803">
    <w:name w:val="toc 2"/>
    <w:basedOn w:val="776"/>
    <w:next w:val="776"/>
    <w:uiPriority w:val="39"/>
    <w:unhideWhenUsed/>
    <w:qFormat/>
    <w:pPr>
      <w:ind w:left="283" w:right="0" w:firstLine="0"/>
      <w:spacing w:after="57"/>
    </w:pPr>
  </w:style>
  <w:style w:type="paragraph" w:styleId="804">
    <w:name w:val="toc 9"/>
    <w:basedOn w:val="776"/>
    <w:next w:val="776"/>
    <w:uiPriority w:val="39"/>
    <w:unhideWhenUsed/>
    <w:qFormat/>
    <w:pPr>
      <w:ind w:left="2268" w:right="0" w:firstLine="0"/>
      <w:spacing w:after="57"/>
    </w:pPr>
  </w:style>
  <w:style w:type="paragraph" w:styleId="805">
    <w:name w:val="Title"/>
    <w:basedOn w:val="776"/>
    <w:next w:val="776"/>
    <w:uiPriority w:val="10"/>
    <w:qFormat/>
    <w:pPr>
      <w:contextualSpacing/>
      <w:spacing w:before="300" w:after="200"/>
    </w:pPr>
    <w:rPr>
      <w:sz w:val="48"/>
      <w:szCs w:val="48"/>
    </w:rPr>
  </w:style>
  <w:style w:type="paragraph" w:styleId="806">
    <w:name w:val="Body Text First Indent"/>
    <w:uiPriority w:val="99"/>
    <w:unhideWhenUsed/>
    <w:qFormat/>
    <w:pPr>
      <w:ind w:firstLine="420"/>
      <w:spacing w:after="120"/>
    </w:pPr>
    <w:rPr>
      <w:rFonts w:hint="default" w:ascii="黑体" w:hAnsi="黑体" w:eastAsia="黑体" w:cs="黑体"/>
      <w:b/>
      <w:sz w:val="32"/>
      <w:szCs w:val="24"/>
      <w:lang w:val="en-US" w:eastAsia="zh-CN" w:bidi="ar-SA"/>
    </w:rPr>
  </w:style>
  <w:style w:type="table" w:styleId="8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endnote reference"/>
    <w:uiPriority w:val="99"/>
    <w:semiHidden/>
    <w:unhideWhenUsed/>
    <w:qFormat/>
    <w:rPr>
      <w:vertAlign w:val="superscript"/>
    </w:rPr>
  </w:style>
  <w:style w:type="character" w:styleId="809">
    <w:name w:val="Hyperlink"/>
    <w:uiPriority w:val="99"/>
    <w:unhideWhenUsed/>
    <w:qFormat/>
    <w:rPr>
      <w:color w:val="0000ff" w:themeColor="hyperlink"/>
      <w:u w:val="single"/>
      <w14:textFill>
        <w14:solidFill>
          <w14:schemeClr w14:val="hlink"/>
        </w14:solidFill>
      </w14:textFill>
    </w:rPr>
  </w:style>
  <w:style w:type="character" w:styleId="810">
    <w:name w:val="footnote reference"/>
    <w:uiPriority w:val="99"/>
    <w:unhideWhenUsed/>
    <w:qFormat/>
    <w:rPr>
      <w:vertAlign w:val="superscript"/>
    </w:rPr>
  </w:style>
  <w:style w:type="paragraph" w:styleId="811" w:customStyle="1">
    <w:name w:val="标题 11"/>
    <w:basedOn w:val="776"/>
    <w:next w:val="776"/>
    <w:uiPriority w:val="9"/>
    <w:qFormat/>
    <w:pPr>
      <w:keepLines/>
      <w:keepNext/>
      <w:spacing w:before="480" w:after="200"/>
      <w:outlineLvl w:val="0"/>
    </w:pPr>
    <w:rPr>
      <w:rFonts w:ascii="Arial" w:hAnsi="Arial" w:eastAsia="Arial" w:cs="Arial"/>
      <w:sz w:val="40"/>
      <w:szCs w:val="40"/>
    </w:rPr>
  </w:style>
  <w:style w:type="paragraph" w:styleId="812" w:customStyle="1">
    <w:name w:val="标题 21"/>
    <w:basedOn w:val="776"/>
    <w:next w:val="776"/>
    <w:link w:val="823"/>
    <w:uiPriority w:val="9"/>
    <w:unhideWhenUsed/>
    <w:qFormat/>
    <w:pPr>
      <w:keepLines/>
      <w:keepNext/>
      <w:spacing w:before="360" w:after="200"/>
      <w:outlineLvl w:val="1"/>
    </w:pPr>
    <w:rPr>
      <w:rFonts w:ascii="Arial" w:hAnsi="Arial" w:eastAsia="Arial" w:cs="Arial"/>
      <w:sz w:val="34"/>
    </w:rPr>
  </w:style>
  <w:style w:type="paragraph" w:styleId="813" w:customStyle="1">
    <w:name w:val="标题 31"/>
    <w:basedOn w:val="776"/>
    <w:next w:val="814"/>
    <w:uiPriority w:val="9"/>
    <w:unhideWhenUsed/>
    <w:qFormat/>
    <w:pPr>
      <w:keepLines/>
      <w:keepNext/>
      <w:spacing w:before="320" w:after="200"/>
      <w:outlineLvl w:val="2"/>
    </w:pPr>
    <w:rPr>
      <w:rFonts w:ascii="Arial" w:hAnsi="Arial" w:eastAsia="Arial" w:cs="Arial"/>
      <w:sz w:val="30"/>
      <w:szCs w:val="30"/>
    </w:rPr>
  </w:style>
  <w:style w:type="paragraph" w:styleId="814" w:customStyle="1">
    <w:name w:val="正文缩进1"/>
    <w:basedOn w:val="776"/>
    <w:next w:val="776"/>
    <w:uiPriority w:val="0"/>
    <w:qFormat/>
    <w:pPr>
      <w:ind w:firstLine="420"/>
    </w:pPr>
  </w:style>
  <w:style w:type="paragraph" w:styleId="815" w:customStyle="1">
    <w:name w:val="标题 41"/>
    <w:basedOn w:val="776"/>
    <w:next w:val="814"/>
    <w:uiPriority w:val="9"/>
    <w:unhideWhenUsed/>
    <w:qFormat/>
    <w:pPr>
      <w:keepLines/>
      <w:keepNext/>
      <w:spacing w:before="320" w:after="200"/>
      <w:outlineLvl w:val="3"/>
    </w:pPr>
    <w:rPr>
      <w:rFonts w:ascii="Arial" w:hAnsi="Arial" w:eastAsia="Arial" w:cs="Arial"/>
      <w:b/>
      <w:bCs/>
      <w:sz w:val="26"/>
      <w:szCs w:val="26"/>
    </w:rPr>
  </w:style>
  <w:style w:type="paragraph" w:styleId="816" w:customStyle="1">
    <w:name w:val="标题 51"/>
    <w:basedOn w:val="776"/>
    <w:next w:val="776"/>
    <w:link w:val="824"/>
    <w:uiPriority w:val="9"/>
    <w:unhideWhenUsed/>
    <w:qFormat/>
    <w:pPr>
      <w:keepLines/>
      <w:keepNext/>
      <w:spacing w:before="320" w:after="200"/>
      <w:outlineLvl w:val="4"/>
    </w:pPr>
    <w:rPr>
      <w:rFonts w:ascii="Arial" w:hAnsi="Arial" w:eastAsia="Arial" w:cs="Arial"/>
      <w:b/>
      <w:bCs/>
      <w:sz w:val="24"/>
      <w:szCs w:val="24"/>
    </w:rPr>
  </w:style>
  <w:style w:type="paragraph" w:styleId="817" w:customStyle="1">
    <w:name w:val="标题 61"/>
    <w:basedOn w:val="776"/>
    <w:next w:val="776"/>
    <w:link w:val="825"/>
    <w:uiPriority w:val="9"/>
    <w:unhideWhenUsed/>
    <w:qFormat/>
    <w:pPr>
      <w:keepLines/>
      <w:keepNext/>
      <w:spacing w:before="320" w:after="200"/>
      <w:outlineLvl w:val="5"/>
    </w:pPr>
    <w:rPr>
      <w:rFonts w:ascii="Arial" w:hAnsi="Arial" w:eastAsia="Arial" w:cs="Arial"/>
      <w:b/>
      <w:bCs/>
      <w:sz w:val="22"/>
      <w:szCs w:val="22"/>
    </w:rPr>
  </w:style>
  <w:style w:type="paragraph" w:styleId="818" w:customStyle="1">
    <w:name w:val="标题 71"/>
    <w:basedOn w:val="776"/>
    <w:next w:val="776"/>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819" w:customStyle="1">
    <w:name w:val="标题 81"/>
    <w:basedOn w:val="776"/>
    <w:next w:val="776"/>
    <w:link w:val="827"/>
    <w:uiPriority w:val="9"/>
    <w:unhideWhenUsed/>
    <w:qFormat/>
    <w:pPr>
      <w:keepLines/>
      <w:keepNext/>
      <w:spacing w:before="320" w:after="200"/>
      <w:outlineLvl w:val="7"/>
    </w:pPr>
    <w:rPr>
      <w:rFonts w:ascii="Arial" w:hAnsi="Arial" w:eastAsia="Arial" w:cs="Arial"/>
      <w:i/>
      <w:iCs/>
      <w:sz w:val="22"/>
      <w:szCs w:val="22"/>
    </w:rPr>
  </w:style>
  <w:style w:type="paragraph" w:styleId="820" w:customStyle="1">
    <w:name w:val="标题 91"/>
    <w:basedOn w:val="776"/>
    <w:next w:val="776"/>
    <w:link w:val="828"/>
    <w:uiPriority w:val="9"/>
    <w:unhideWhenUsed/>
    <w:qFormat/>
    <w:pPr>
      <w:keepLines/>
      <w:keepNext/>
      <w:spacing w:before="320" w:after="200"/>
      <w:outlineLvl w:val="8"/>
    </w:pPr>
    <w:rPr>
      <w:rFonts w:ascii="Arial" w:hAnsi="Arial" w:eastAsia="Arial" w:cs="Arial"/>
      <w:i/>
      <w:iCs/>
      <w:sz w:val="21"/>
      <w:szCs w:val="21"/>
    </w:rPr>
  </w:style>
  <w:style w:type="character" w:styleId="821" w:customStyle="1">
    <w:name w:val="默认段落字体1"/>
    <w:link w:val="776"/>
    <w:uiPriority w:val="0"/>
    <w:semiHidden/>
    <w:qFormat/>
  </w:style>
  <w:style w:type="table" w:styleId="822" w:customStyle="1">
    <w:name w:val="普通表格11"/>
    <w:uiPriority w:val="0"/>
    <w:semiHidden/>
    <w:qFormat/>
    <w:tblPr/>
  </w:style>
  <w:style w:type="character" w:styleId="823" w:customStyle="1">
    <w:name w:val="Heading 2 Char"/>
    <w:basedOn w:val="821"/>
    <w:link w:val="812"/>
    <w:uiPriority w:val="9"/>
    <w:qFormat/>
    <w:rPr>
      <w:rFonts w:ascii="Arial" w:hAnsi="Arial" w:eastAsia="Arial" w:cs="Arial"/>
      <w:sz w:val="34"/>
    </w:rPr>
  </w:style>
  <w:style w:type="character" w:styleId="824" w:customStyle="1">
    <w:name w:val="Heading 5 Char"/>
    <w:basedOn w:val="821"/>
    <w:link w:val="816"/>
    <w:uiPriority w:val="9"/>
    <w:qFormat/>
    <w:rPr>
      <w:rFonts w:ascii="Arial" w:hAnsi="Arial" w:eastAsia="Arial" w:cs="Arial"/>
      <w:b/>
      <w:bCs/>
      <w:sz w:val="24"/>
      <w:szCs w:val="24"/>
    </w:rPr>
  </w:style>
  <w:style w:type="character" w:styleId="825" w:customStyle="1">
    <w:name w:val="Heading 6 Char"/>
    <w:basedOn w:val="821"/>
    <w:link w:val="817"/>
    <w:uiPriority w:val="9"/>
    <w:qFormat/>
    <w:rPr>
      <w:rFonts w:ascii="Arial" w:hAnsi="Arial" w:eastAsia="Arial" w:cs="Arial"/>
      <w:b/>
      <w:bCs/>
      <w:sz w:val="22"/>
      <w:szCs w:val="22"/>
    </w:rPr>
  </w:style>
  <w:style w:type="character" w:styleId="826" w:customStyle="1">
    <w:name w:val="Heading 7 Char"/>
    <w:basedOn w:val="821"/>
    <w:link w:val="818"/>
    <w:uiPriority w:val="9"/>
    <w:qFormat/>
    <w:rPr>
      <w:rFonts w:ascii="Arial" w:hAnsi="Arial" w:eastAsia="Arial" w:cs="Arial"/>
      <w:b/>
      <w:bCs/>
      <w:i/>
      <w:iCs/>
      <w:sz w:val="22"/>
      <w:szCs w:val="22"/>
    </w:rPr>
  </w:style>
  <w:style w:type="character" w:styleId="827" w:customStyle="1">
    <w:name w:val="Heading 8 Char"/>
    <w:basedOn w:val="821"/>
    <w:link w:val="819"/>
    <w:uiPriority w:val="9"/>
    <w:qFormat/>
    <w:rPr>
      <w:rFonts w:ascii="Arial" w:hAnsi="Arial" w:eastAsia="Arial" w:cs="Arial"/>
      <w:i/>
      <w:iCs/>
      <w:sz w:val="22"/>
      <w:szCs w:val="22"/>
    </w:rPr>
  </w:style>
  <w:style w:type="character" w:styleId="828" w:customStyle="1">
    <w:name w:val="Heading 9 Char"/>
    <w:basedOn w:val="821"/>
    <w:link w:val="820"/>
    <w:uiPriority w:val="9"/>
    <w:qFormat/>
    <w:rPr>
      <w:rFonts w:ascii="Arial" w:hAnsi="Arial" w:eastAsia="Arial" w:cs="Arial"/>
      <w:i/>
      <w:iCs/>
      <w:sz w:val="21"/>
      <w:szCs w:val="21"/>
    </w:rPr>
  </w:style>
  <w:style w:type="paragraph" w:styleId="829" w:customStyle="1">
    <w:name w:val="目录 71"/>
    <w:basedOn w:val="776"/>
    <w:next w:val="776"/>
    <w:uiPriority w:val="39"/>
    <w:unhideWhenUsed/>
    <w:qFormat/>
    <w:pPr>
      <w:ind w:left="1701" w:right="0" w:firstLine="0"/>
      <w:spacing w:after="57"/>
    </w:pPr>
  </w:style>
  <w:style w:type="paragraph" w:styleId="830" w:customStyle="1">
    <w:name w:val="题注1"/>
    <w:basedOn w:val="776"/>
    <w:next w:val="776"/>
    <w:uiPriority w:val="35"/>
    <w:unhideWhenUsed/>
    <w:qFormat/>
    <w:pPr>
      <w:spacing w:line="276" w:lineRule="auto"/>
    </w:pPr>
    <w:rPr>
      <w:b/>
      <w:bCs/>
      <w:color w:val="4874cb"/>
      <w:sz w:val="18"/>
      <w:szCs w:val="18"/>
    </w:rPr>
  </w:style>
  <w:style w:type="paragraph" w:styleId="831" w:customStyle="1">
    <w:name w:val="批注文字1"/>
    <w:basedOn w:val="776"/>
    <w:uiPriority w:val="99"/>
    <w:unhideWhenUsed/>
    <w:qFormat/>
    <w:pPr>
      <w:jc w:val="left"/>
    </w:pPr>
  </w:style>
  <w:style w:type="paragraph" w:styleId="832" w:customStyle="1">
    <w:name w:val="正文文本11"/>
    <w:basedOn w:val="776"/>
    <w:next w:val="776"/>
    <w:uiPriority w:val="0"/>
    <w:qFormat/>
    <w:pPr>
      <w:jc w:val="both"/>
      <w:widowControl w:val="off"/>
    </w:pPr>
    <w:rPr>
      <w:rFonts w:ascii="楷体_GB2312" w:hAnsi="Arial" w:eastAsia="楷体_GB2312" w:cs="Times New Roman"/>
      <w:sz w:val="28"/>
      <w:szCs w:val="28"/>
      <w:lang w:val="en-US" w:eastAsia="zh-CN" w:bidi="ar-SA"/>
    </w:rPr>
  </w:style>
  <w:style w:type="paragraph" w:styleId="833" w:customStyle="1">
    <w:name w:val="目录 51"/>
    <w:basedOn w:val="776"/>
    <w:next w:val="776"/>
    <w:uiPriority w:val="39"/>
    <w:unhideWhenUsed/>
    <w:qFormat/>
    <w:pPr>
      <w:ind w:left="1134" w:right="0" w:firstLine="0"/>
      <w:spacing w:after="57"/>
    </w:pPr>
  </w:style>
  <w:style w:type="paragraph" w:styleId="834" w:customStyle="1">
    <w:name w:val="目录 31"/>
    <w:basedOn w:val="776"/>
    <w:next w:val="776"/>
    <w:uiPriority w:val="39"/>
    <w:unhideWhenUsed/>
    <w:qFormat/>
    <w:pPr>
      <w:ind w:left="567" w:right="0" w:firstLine="0"/>
      <w:spacing w:after="57"/>
    </w:pPr>
  </w:style>
  <w:style w:type="paragraph" w:styleId="835" w:customStyle="1">
    <w:name w:val="纯文本1"/>
    <w:basedOn w:val="776"/>
    <w:uiPriority w:val="0"/>
    <w:qFormat/>
    <w:rPr>
      <w:rFonts w:ascii="宋体" w:hAnsi="Courier New" w:cs="Courier New"/>
    </w:rPr>
  </w:style>
  <w:style w:type="paragraph" w:styleId="836" w:customStyle="1">
    <w:name w:val="目录 81"/>
    <w:basedOn w:val="776"/>
    <w:next w:val="776"/>
    <w:uiPriority w:val="39"/>
    <w:unhideWhenUsed/>
    <w:qFormat/>
    <w:pPr>
      <w:ind w:left="1984" w:right="0" w:firstLine="0"/>
      <w:spacing w:after="57"/>
    </w:pPr>
  </w:style>
  <w:style w:type="paragraph" w:styleId="837" w:customStyle="1">
    <w:name w:val="尾注文本1"/>
    <w:basedOn w:val="776"/>
    <w:link w:val="838"/>
    <w:uiPriority w:val="99"/>
    <w:unhideWhenUsed/>
    <w:qFormat/>
    <w:pPr>
      <w:spacing w:after="0" w:line="240" w:lineRule="auto"/>
    </w:pPr>
    <w:rPr>
      <w:sz w:val="20"/>
    </w:rPr>
  </w:style>
  <w:style w:type="character" w:styleId="838" w:customStyle="1">
    <w:name w:val="Endnote Text Char"/>
    <w:link w:val="837"/>
    <w:uiPriority w:val="99"/>
    <w:qFormat/>
    <w:rPr>
      <w:sz w:val="20"/>
    </w:rPr>
  </w:style>
  <w:style w:type="paragraph" w:styleId="839" w:customStyle="1">
    <w:name w:val="页脚1"/>
    <w:basedOn w:val="776"/>
    <w:uiPriority w:val="99"/>
    <w:unhideWhenUsed/>
    <w:qFormat/>
    <w:pPr>
      <w:tabs>
        <w:tab w:val="center" w:pos="7143" w:leader="none"/>
        <w:tab w:val="right" w:pos="14287" w:leader="none"/>
      </w:tabs>
    </w:pPr>
  </w:style>
  <w:style w:type="paragraph" w:styleId="840" w:customStyle="1">
    <w:name w:val="页眉1"/>
    <w:basedOn w:val="776"/>
    <w:uiPriority w:val="99"/>
    <w:unhideWhenUsed/>
    <w:qFormat/>
    <w:pPr>
      <w:tabs>
        <w:tab w:val="center" w:pos="7143" w:leader="none"/>
        <w:tab w:val="right" w:pos="14287" w:leader="none"/>
      </w:tabs>
    </w:pPr>
  </w:style>
  <w:style w:type="paragraph" w:styleId="841" w:customStyle="1">
    <w:name w:val="目录 11"/>
    <w:basedOn w:val="776"/>
    <w:next w:val="776"/>
    <w:uiPriority w:val="39"/>
    <w:unhideWhenUsed/>
    <w:qFormat/>
    <w:pPr>
      <w:spacing w:after="57"/>
    </w:pPr>
  </w:style>
  <w:style w:type="paragraph" w:styleId="842" w:customStyle="1">
    <w:name w:val="目录 41"/>
    <w:basedOn w:val="776"/>
    <w:next w:val="776"/>
    <w:uiPriority w:val="39"/>
    <w:unhideWhenUsed/>
    <w:qFormat/>
    <w:pPr>
      <w:ind w:left="850" w:right="0" w:firstLine="0"/>
      <w:spacing w:after="57"/>
    </w:pPr>
  </w:style>
  <w:style w:type="paragraph" w:styleId="843" w:customStyle="1">
    <w:name w:val="副标题1"/>
    <w:basedOn w:val="776"/>
    <w:next w:val="776"/>
    <w:link w:val="844"/>
    <w:uiPriority w:val="11"/>
    <w:qFormat/>
    <w:pPr>
      <w:spacing w:before="200" w:after="200"/>
    </w:pPr>
    <w:rPr>
      <w:sz w:val="24"/>
      <w:szCs w:val="24"/>
    </w:rPr>
  </w:style>
  <w:style w:type="character" w:styleId="844" w:customStyle="1">
    <w:name w:val="Subtitle Char"/>
    <w:basedOn w:val="821"/>
    <w:link w:val="843"/>
    <w:uiPriority w:val="11"/>
    <w:qFormat/>
    <w:rPr>
      <w:sz w:val="24"/>
      <w:szCs w:val="24"/>
    </w:rPr>
  </w:style>
  <w:style w:type="paragraph" w:styleId="845" w:customStyle="1">
    <w:name w:val="脚注文本1"/>
    <w:basedOn w:val="776"/>
    <w:link w:val="846"/>
    <w:uiPriority w:val="99"/>
    <w:unhideWhenUsed/>
    <w:qFormat/>
    <w:pPr>
      <w:spacing w:after="40" w:line="240" w:lineRule="auto"/>
    </w:pPr>
    <w:rPr>
      <w:sz w:val="18"/>
    </w:rPr>
  </w:style>
  <w:style w:type="character" w:styleId="846" w:customStyle="1">
    <w:name w:val="Footnote Text Char"/>
    <w:link w:val="845"/>
    <w:uiPriority w:val="99"/>
    <w:qFormat/>
    <w:rPr>
      <w:sz w:val="18"/>
    </w:rPr>
  </w:style>
  <w:style w:type="paragraph" w:styleId="847" w:customStyle="1">
    <w:name w:val="目录 61"/>
    <w:basedOn w:val="776"/>
    <w:next w:val="776"/>
    <w:uiPriority w:val="39"/>
    <w:unhideWhenUsed/>
    <w:qFormat/>
    <w:pPr>
      <w:ind w:left="1417" w:right="0" w:firstLine="0"/>
      <w:spacing w:after="57"/>
    </w:pPr>
  </w:style>
  <w:style w:type="paragraph" w:styleId="848" w:customStyle="1">
    <w:name w:val="图表目录1"/>
    <w:basedOn w:val="776"/>
    <w:next w:val="776"/>
    <w:uiPriority w:val="99"/>
    <w:unhideWhenUsed/>
    <w:qFormat/>
    <w:pPr>
      <w:spacing w:after="0" w:afterAutospacing="0"/>
    </w:pPr>
  </w:style>
  <w:style w:type="paragraph" w:styleId="849" w:customStyle="1">
    <w:name w:val="目录 21"/>
    <w:basedOn w:val="776"/>
    <w:next w:val="776"/>
    <w:uiPriority w:val="39"/>
    <w:unhideWhenUsed/>
    <w:qFormat/>
    <w:pPr>
      <w:ind w:left="283" w:right="0" w:firstLine="0"/>
      <w:spacing w:after="57"/>
    </w:pPr>
  </w:style>
  <w:style w:type="paragraph" w:styleId="850" w:customStyle="1">
    <w:name w:val="目录 91"/>
    <w:basedOn w:val="776"/>
    <w:next w:val="776"/>
    <w:uiPriority w:val="39"/>
    <w:unhideWhenUsed/>
    <w:qFormat/>
    <w:pPr>
      <w:ind w:left="2268" w:right="0" w:firstLine="0"/>
      <w:spacing w:after="57"/>
    </w:pPr>
  </w:style>
  <w:style w:type="paragraph" w:styleId="851" w:customStyle="1">
    <w:name w:val="普通(网站)11"/>
    <w:basedOn w:val="776"/>
    <w:uiPriority w:val="99"/>
    <w:qFormat/>
    <w:pPr>
      <w:spacing w:before="100" w:beforeAutospacing="1" w:after="100" w:afterAutospacing="1"/>
    </w:pPr>
    <w:rPr>
      <w:rFonts w:ascii="宋体" w:hAnsi="宋体" w:cs="宋体"/>
      <w:sz w:val="24"/>
      <w:szCs w:val="24"/>
    </w:rPr>
  </w:style>
  <w:style w:type="paragraph" w:styleId="852" w:customStyle="1">
    <w:name w:val="标题1"/>
    <w:basedOn w:val="776"/>
    <w:next w:val="776"/>
    <w:link w:val="853"/>
    <w:uiPriority w:val="10"/>
    <w:qFormat/>
    <w:pPr>
      <w:contextualSpacing/>
      <w:spacing w:before="300" w:after="200"/>
    </w:pPr>
    <w:rPr>
      <w:sz w:val="48"/>
      <w:szCs w:val="48"/>
    </w:rPr>
  </w:style>
  <w:style w:type="character" w:styleId="853" w:customStyle="1">
    <w:name w:val="Title Char"/>
    <w:basedOn w:val="821"/>
    <w:link w:val="852"/>
    <w:uiPriority w:val="10"/>
    <w:qFormat/>
    <w:rPr>
      <w:sz w:val="48"/>
      <w:szCs w:val="48"/>
    </w:rPr>
  </w:style>
  <w:style w:type="paragraph" w:styleId="854" w:customStyle="1">
    <w:name w:val="正文首行缩进1"/>
    <w:basedOn w:val="832"/>
    <w:next w:val="776"/>
    <w:uiPriority w:val="0"/>
    <w:qFormat/>
    <w:pPr>
      <w:ind w:firstLine="200"/>
      <w:spacing w:line="360" w:lineRule="auto"/>
    </w:pPr>
    <w:rPr>
      <w:rFonts w:ascii="仿宋_GB2312" w:eastAsia="仿宋_GB2312"/>
    </w:rPr>
  </w:style>
  <w:style w:type="table" w:styleId="855" w:customStyle="1">
    <w:name w:val="网格型11"/>
    <w:basedOn w:val="822"/>
    <w:uiPriority w:val="59"/>
    <w:qFormat/>
    <w:pPr>
      <w:spacing w:after="0" w:line="240" w:lineRule="auto"/>
    </w:pPr>
    <w:tblPr/>
  </w:style>
  <w:style w:type="character" w:styleId="856" w:customStyle="1">
    <w:name w:val="尾注引用1"/>
    <w:basedOn w:val="821"/>
    <w:link w:val="776"/>
    <w:uiPriority w:val="99"/>
    <w:unhideWhenUsed/>
    <w:qFormat/>
    <w:rPr>
      <w:vertAlign w:val="superscript"/>
    </w:rPr>
  </w:style>
  <w:style w:type="character" w:styleId="857" w:customStyle="1">
    <w:name w:val="超链接1"/>
    <w:link w:val="776"/>
    <w:uiPriority w:val="99"/>
    <w:unhideWhenUsed/>
    <w:qFormat/>
    <w:rPr>
      <w:color w:val="0026e5"/>
      <w:u w:val="single"/>
    </w:rPr>
  </w:style>
  <w:style w:type="character" w:styleId="858" w:customStyle="1">
    <w:name w:val="脚注引用1"/>
    <w:basedOn w:val="821"/>
    <w:link w:val="776"/>
    <w:uiPriority w:val="99"/>
    <w:unhideWhenUsed/>
    <w:qFormat/>
    <w:rPr>
      <w:vertAlign w:val="superscript"/>
    </w:rPr>
  </w:style>
  <w:style w:type="character" w:styleId="859" w:customStyle="1">
    <w:name w:val="Caption Char"/>
    <w:link w:val="776"/>
    <w:uiPriority w:val="99"/>
    <w:qFormat/>
  </w:style>
  <w:style w:type="character" w:styleId="860" w:customStyle="1">
    <w:name w:val="二级条标题 Char"/>
    <w:link w:val="776"/>
    <w:uiPriority w:val="0"/>
    <w:qFormat/>
    <w:rPr>
      <w:rFonts w:ascii="黑体" w:eastAsia="黑体" w:cs="黑体"/>
      <w:sz w:val="21"/>
      <w:szCs w:val="21"/>
      <w:lang w:val="en-US" w:eastAsia="zh-CN" w:bidi="ar-SA"/>
    </w:rPr>
  </w:style>
  <w:style w:type="character" w:styleId="861" w:customStyle="1">
    <w:name w:val="font01"/>
    <w:basedOn w:val="821"/>
    <w:link w:val="776"/>
    <w:uiPriority w:val="0"/>
    <w:qFormat/>
    <w:rPr>
      <w:rFonts w:ascii="Arial" w:hAnsi="Arial" w:cs="Arial"/>
      <w:color w:val="000000"/>
      <w:sz w:val="20"/>
      <w:szCs w:val="20"/>
      <w:u w:val="none"/>
    </w:rPr>
  </w:style>
  <w:style w:type="character" w:styleId="862" w:customStyle="1">
    <w:name w:val="Footer Char"/>
    <w:basedOn w:val="821"/>
    <w:link w:val="776"/>
    <w:uiPriority w:val="99"/>
    <w:qFormat/>
  </w:style>
  <w:style w:type="character" w:styleId="863" w:customStyle="1">
    <w:name w:val="Heading 4 Char"/>
    <w:basedOn w:val="821"/>
    <w:link w:val="776"/>
    <w:uiPriority w:val="9"/>
    <w:qFormat/>
    <w:rPr>
      <w:rFonts w:ascii="Arial" w:hAnsi="Arial" w:eastAsia="Arial" w:cs="Arial"/>
      <w:b/>
      <w:bCs/>
      <w:sz w:val="26"/>
      <w:szCs w:val="26"/>
    </w:rPr>
  </w:style>
  <w:style w:type="character" w:styleId="864" w:customStyle="1">
    <w:name w:val="Quote Char"/>
    <w:link w:val="865"/>
    <w:uiPriority w:val="29"/>
    <w:qFormat/>
    <w:rPr>
      <w:i/>
    </w:rPr>
  </w:style>
  <w:style w:type="paragraph" w:styleId="865">
    <w:name w:val="Quote"/>
    <w:basedOn w:val="776"/>
    <w:next w:val="776"/>
    <w:link w:val="864"/>
    <w:uiPriority w:val="29"/>
    <w:qFormat/>
    <w:pPr>
      <w:ind w:left="720" w:right="720"/>
    </w:pPr>
    <w:rPr>
      <w:i/>
    </w:rPr>
  </w:style>
  <w:style w:type="character" w:styleId="866" w:customStyle="1">
    <w:name w:val="Heading 1 Char"/>
    <w:basedOn w:val="821"/>
    <w:link w:val="776"/>
    <w:uiPriority w:val="9"/>
    <w:qFormat/>
    <w:rPr>
      <w:rFonts w:ascii="Arial" w:hAnsi="Arial" w:eastAsia="Arial" w:cs="Arial"/>
      <w:sz w:val="40"/>
      <w:szCs w:val="40"/>
    </w:rPr>
  </w:style>
  <w:style w:type="character" w:styleId="867" w:customStyle="1">
    <w:name w:val="Heading 3 Char"/>
    <w:basedOn w:val="821"/>
    <w:link w:val="776"/>
    <w:uiPriority w:val="9"/>
    <w:qFormat/>
    <w:rPr>
      <w:rFonts w:ascii="Arial" w:hAnsi="Arial" w:eastAsia="Arial" w:cs="Arial"/>
      <w:sz w:val="30"/>
      <w:szCs w:val="30"/>
    </w:rPr>
  </w:style>
  <w:style w:type="character" w:styleId="868" w:customStyle="1">
    <w:name w:val="Intense Quote Char"/>
    <w:link w:val="869"/>
    <w:uiPriority w:val="30"/>
    <w:qFormat/>
    <w:rPr>
      <w:i/>
    </w:rPr>
  </w:style>
  <w:style w:type="paragraph" w:styleId="869">
    <w:name w:val="Intense Quote"/>
    <w:basedOn w:val="776"/>
    <w:next w:val="776"/>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Header Char"/>
    <w:basedOn w:val="821"/>
    <w:link w:val="776"/>
    <w:uiPriority w:val="99"/>
    <w:qFormat/>
  </w:style>
  <w:style w:type="character" w:styleId="871" w:customStyle="1">
    <w:name w:val="font11"/>
    <w:basedOn w:val="821"/>
    <w:link w:val="776"/>
    <w:uiPriority w:val="0"/>
    <w:qFormat/>
    <w:rPr>
      <w:rFonts w:hint="eastAsia" w:ascii="宋体" w:hAnsi="宋体" w:eastAsia="宋体" w:cs="宋体"/>
      <w:color w:val="000000"/>
      <w:sz w:val="20"/>
      <w:szCs w:val="20"/>
      <w:u w:val="none"/>
    </w:rPr>
  </w:style>
  <w:style w:type="paragraph" w:styleId="872" w:customStyle="1">
    <w:name w:val="普通正文"/>
    <w:basedOn w:val="776"/>
    <w:uiPriority w:val="0"/>
    <w:qFormat/>
    <w:pPr>
      <w:ind w:firstLine="480"/>
      <w:spacing w:before="120" w:after="120" w:line="360" w:lineRule="auto"/>
    </w:pPr>
    <w:rPr>
      <w:rFonts w:ascii="Arial" w:hAnsi="Arial"/>
      <w:sz w:val="24"/>
      <w:szCs w:val="24"/>
    </w:rPr>
  </w:style>
  <w:style w:type="paragraph" w:styleId="873" w:customStyle="1">
    <w:name w:val="三级条标题"/>
    <w:basedOn w:val="874"/>
    <w:next w:val="876"/>
    <w:uiPriority w:val="0"/>
    <w:qFormat/>
    <w:pPr>
      <w:spacing w:before="50" w:after="50"/>
      <w:outlineLvl w:val="4"/>
    </w:pPr>
    <w:rPr>
      <w:rFonts w:ascii="黑体" w:hAnsi="Times New Roman" w:eastAsia="黑体" w:cs="Times New Roman"/>
      <w:sz w:val="21"/>
      <w:szCs w:val="21"/>
      <w:lang w:val="en-US" w:eastAsia="zh-CN" w:bidi="ar-SA"/>
    </w:rPr>
  </w:style>
  <w:style w:type="paragraph" w:styleId="874" w:customStyle="1">
    <w:name w:val="二级条标题"/>
    <w:basedOn w:val="875"/>
    <w:next w:val="876"/>
    <w:uiPriority w:val="0"/>
    <w:qFormat/>
    <w:pPr>
      <w:spacing w:before="50" w:after="50"/>
      <w:outlineLvl w:val="3"/>
    </w:pPr>
    <w:rPr>
      <w:rFonts w:ascii="黑体" w:hAnsi="Times New Roman" w:eastAsia="黑体" w:cs="Times New Roman"/>
      <w:sz w:val="21"/>
      <w:szCs w:val="21"/>
      <w:lang w:val="en-US" w:eastAsia="zh-CN" w:bidi="ar-SA"/>
    </w:rPr>
  </w:style>
  <w:style w:type="paragraph" w:styleId="875" w:customStyle="1">
    <w:name w:val="一级条标题"/>
    <w:next w:val="876"/>
    <w:uiPriority w:val="0"/>
    <w:qFormat/>
    <w:pPr>
      <w:outlineLvl w:val="2"/>
    </w:pPr>
    <w:rPr>
      <w:rFonts w:hint="default" w:ascii="黑体" w:hAnsi="Times New Roman" w:eastAsia="黑体" w:cs="Times New Roman"/>
      <w:sz w:val="21"/>
      <w:szCs w:val="21"/>
      <w:lang w:val="en-US" w:eastAsia="zh-CN" w:bidi="ar-SA"/>
    </w:rPr>
  </w:style>
  <w:style w:type="paragraph" w:styleId="876" w:customStyle="1">
    <w:name w:val="段"/>
    <w:uiPriority w:val="0"/>
    <w:qFormat/>
    <w:pPr>
      <w:ind w:firstLine="420"/>
      <w:jc w:val="both"/>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87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正文4_0"/>
    <w:uiPriority w:val="0"/>
    <w:qFormat/>
    <w:rPr>
      <w:rFonts w:hint="default" w:ascii="Tahoma" w:hAnsi="Tahoma" w:eastAsia="微软雅黑" w:cs="Times New Roman"/>
      <w:lang w:val="en-US" w:eastAsia="zh-CN" w:bidi="ar-SA"/>
    </w:rPr>
  </w:style>
  <w:style w:type="paragraph" w:styleId="879">
    <w:name w:val="No Spacing"/>
    <w:uiPriority w:val="1"/>
    <w:qFormat/>
    <w:pPr>
      <w:spacing w:before="0" w:after="0" w:line="240" w:lineRule="auto"/>
    </w:pPr>
    <w:rPr>
      <w:rFonts w:hint="default" w:ascii="Calibri" w:hAnsi="Calibri" w:eastAsia="Arial" w:cs="Times New Roman"/>
    </w:rPr>
  </w:style>
  <w:style w:type="paragraph" w:styleId="880" w:customStyle="1">
    <w:name w:val="正文_12_0_0_0_0"/>
    <w:basedOn w:val="776"/>
    <w:uiPriority w:val="0"/>
    <w:qFormat/>
    <w:rPr>
      <w:rFonts w:ascii="Times New Roman" w:hAnsi="Times New Roman"/>
      <w:szCs w:val="24"/>
    </w:rPr>
  </w:style>
  <w:style w:type="paragraph" w:styleId="881" w:customStyle="1">
    <w:name w:val="首行缩进"/>
    <w:basedOn w:val="776"/>
    <w:uiPriority w:val="0"/>
    <w:qFormat/>
    <w:pPr>
      <w:ind w:firstLine="480"/>
    </w:pPr>
    <w:rPr>
      <w:rFonts w:ascii="Times New Roman" w:hAnsi="Times New Roman" w:cs="Times New Roman"/>
      <w:lang w:val="zh-CN"/>
    </w:rPr>
  </w:style>
  <w:style w:type="paragraph" w:styleId="882" w:customStyle="1">
    <w:name w:val="TOC Heading"/>
    <w:uiPriority w:val="39"/>
    <w:unhideWhenUsed/>
    <w:qFormat/>
    <w:rPr>
      <w:rFonts w:hint="default" w:ascii="Calibri" w:hAnsi="Calibri" w:eastAsia="Arial" w:cs="Times New Roman"/>
    </w:rPr>
  </w:style>
  <w:style w:type="paragraph" w:styleId="883" w:customStyle="1">
    <w:name w:val="正文文本1"/>
    <w:next w:val="776"/>
    <w:uiPriority w:val="0"/>
    <w:qFormat/>
    <w:pPr>
      <w:jc w:val="both"/>
      <w:widowControl w:val="off"/>
    </w:pPr>
    <w:rPr>
      <w:rFonts w:hint="default" w:ascii="楷体_GB2312" w:hAnsi="Arial" w:eastAsia="楷体_GB2312" w:cs="Times New Roman"/>
      <w:sz w:val="28"/>
      <w:szCs w:val="28"/>
      <w:lang w:val="en-US" w:eastAsia="zh-CN" w:bidi="ar-SA"/>
    </w:rPr>
  </w:style>
  <w:style w:type="paragraph" w:styleId="884" w:customStyle="1">
    <w:name w:val="正文图标题"/>
    <w:next w:val="876"/>
    <w:uiPriority w:val="0"/>
    <w:qFormat/>
    <w:pPr>
      <w:numPr>
        <w:ilvl w:val="0"/>
        <w:numId w:val="1"/>
      </w:numPr>
      <w:jc w:val="center"/>
    </w:pPr>
    <w:rPr>
      <w:rFonts w:hint="default" w:ascii="黑体" w:hAnsi="Times New Roman" w:eastAsia="黑体" w:cs="Times New Roman"/>
      <w:sz w:val="21"/>
      <w:lang w:val="en-US" w:eastAsia="zh-CN" w:bidi="ar-SA"/>
    </w:rPr>
  </w:style>
  <w:style w:type="paragraph" w:styleId="885">
    <w:name w:val="List Paragraph"/>
    <w:basedOn w:val="776"/>
    <w:uiPriority w:val="34"/>
    <w:qFormat/>
    <w:pPr>
      <w:contextualSpacing/>
      <w:ind w:left="720"/>
    </w:pPr>
  </w:style>
  <w:style w:type="paragraph" w:styleId="886" w:customStyle="1">
    <w:name w:val="Char"/>
    <w:basedOn w:val="776"/>
    <w:uiPriority w:val="0"/>
    <w:qFormat/>
    <w:pPr>
      <w:ind w:firstLine="200"/>
      <w:tabs>
        <w:tab w:val="left" w:pos="360" w:leader="none"/>
      </w:tabs>
    </w:pPr>
    <w:rPr>
      <w:sz w:val="28"/>
      <w:szCs w:val="30"/>
    </w:rPr>
  </w:style>
  <w:style w:type="paragraph" w:styleId="887" w:customStyle="1">
    <w:name w:val="正文_16"/>
    <w:uiPriority w:val="0"/>
    <w:qFormat/>
    <w:pPr>
      <w:jc w:val="both"/>
      <w:widowControl w:val="off"/>
    </w:pPr>
    <w:rPr>
      <w:rFonts w:hint="default" w:ascii="Times New Roman" w:hAnsi="Times New Roman" w:eastAsia="宋体" w:cs="Calibri"/>
      <w:sz w:val="21"/>
      <w:szCs w:val="22"/>
      <w:lang w:val="en-US" w:eastAsia="zh-CN" w:bidi="ar-SA"/>
    </w:rPr>
  </w:style>
  <w:style w:type="paragraph" w:styleId="888" w:customStyle="1">
    <w:name w:val="正文空2字"/>
    <w:basedOn w:val="889"/>
    <w:uiPriority w:val="99"/>
    <w:qFormat/>
    <w:pPr>
      <w:ind w:firstLine="640"/>
      <w:spacing w:line="560" w:lineRule="exact"/>
      <w:widowControl w:val="off"/>
    </w:pPr>
    <w:rPr>
      <w:rFonts w:ascii="仿宋_GB2312" w:hAnsi="仿宋_GB2312" w:cs="仿宋_GB2312"/>
      <w:lang w:val="zh-TW"/>
    </w:rPr>
  </w:style>
  <w:style w:type="paragraph" w:styleId="889" w:customStyle="1">
    <w:name w:val="左对齐正文"/>
    <w:uiPriority w:val="99"/>
    <w:qFormat/>
    <w:rPr>
      <w:rFonts w:hint="default" w:ascii="Calibri" w:hAnsi="Calibri" w:eastAsia="仿宋_GB2312" w:cs="Calibri"/>
      <w:sz w:val="32"/>
      <w:szCs w:val="32"/>
      <w:lang w:val="en-US" w:eastAsia="zh-CN" w:bidi="ar-SA"/>
    </w:rPr>
  </w:style>
  <w:style w:type="paragraph" w:styleId="890" w:customStyle="1">
    <w:name w:val="正文4"/>
    <w:uiPriority w:val="0"/>
    <w:qFormat/>
    <w:rPr>
      <w:rFonts w:hint="default" w:ascii="Tahoma" w:hAnsi="Tahoma" w:eastAsia="微软雅黑" w:cs="Times New Roman"/>
      <w:lang w:val="en-US" w:eastAsia="zh-CN" w:bidi="ar-SA"/>
    </w:rPr>
  </w:style>
  <w:style w:type="paragraph" w:styleId="89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892" w:customStyle="1">
    <w:name w:val="正文11"/>
    <w:next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无间隔11"/>
    <w:uiPriority w:val="0"/>
    <w:qFormat/>
    <w:rPr>
      <w:rFonts w:hint="default" w:ascii="Times New Roman" w:hAnsi="Times New Roman" w:eastAsia="宋体" w:cs="Times New Roman"/>
      <w:sz w:val="22"/>
      <w:szCs w:val="22"/>
      <w:lang w:val="en-US" w:eastAsia="en-US" w:bidi="ar-SA"/>
    </w:rPr>
  </w:style>
  <w:style w:type="paragraph" w:styleId="894" w:customStyle="1">
    <w:name w:val="正文文本缩进11"/>
    <w:basedOn w:val="776"/>
    <w:next w:val="776"/>
    <w:uiPriority w:val="0"/>
    <w:qFormat/>
    <w:pPr>
      <w:ind w:firstLine="225"/>
    </w:pPr>
    <w:rPr>
      <w:rFonts w:ascii="仿宋_GB2312" w:eastAsia="仿宋_GB2312"/>
      <w:sz w:val="32"/>
    </w:rPr>
  </w:style>
  <w:style w:type="paragraph" w:styleId="895" w:customStyle="1">
    <w:name w:val="附录标识"/>
    <w:next w:val="876"/>
    <w:uiPriority w:val="0"/>
    <w:qFormat/>
    <w:pPr>
      <w:jc w:val="center"/>
      <w:keepNext/>
      <w:spacing w:before="640" w:after="280"/>
      <w:shd w:val="clear" w:color="ffffff" w:fill="ffffff"/>
      <w:widowControl/>
      <w:tabs>
        <w:tab w:val="left" w:pos="6405" w:leader="none"/>
      </w:tabs>
      <w:outlineLvl w:val="0"/>
    </w:pPr>
    <w:rPr>
      <w:rFonts w:hint="default" w:ascii="黑体" w:hAnsi="Times New Roman" w:eastAsia="黑体" w:cs="Times New Roman"/>
      <w:sz w:val="20"/>
      <w:szCs w:val="20"/>
      <w:lang w:val="en-US" w:eastAsia="zh-CN" w:bidi="ar-SA"/>
    </w:rPr>
  </w:style>
  <w:style w:type="paragraph" w:styleId="896" w:customStyle="1">
    <w:name w:val="普通(网站)1"/>
    <w:basedOn w:val="776"/>
    <w:uiPriority w:val="0"/>
    <w:qFormat/>
    <w:pPr>
      <w:jc w:val="left"/>
      <w:spacing w:beforeAutospacing="1" w:afterAutospacing="1"/>
    </w:pPr>
    <w:rPr>
      <w:sz w:val="24"/>
    </w:rPr>
  </w:style>
  <w:style w:type="paragraph" w:styleId="897" w:customStyle="1">
    <w:name w:val="Normal_20"/>
    <w:uiPriority w:val="0"/>
    <w:qFormat/>
    <w:rPr>
      <w:rFonts w:hint="default" w:ascii="黑体" w:hAnsi="黑体" w:eastAsia="黑体" w:cs="黑体"/>
      <w:b/>
      <w:sz w:val="32"/>
      <w:szCs w:val="24"/>
      <w:lang w:val="en-US" w:eastAsia="zh-CN" w:bidi="ar-SA"/>
    </w:rPr>
  </w:style>
  <w:style w:type="paragraph" w:styleId="898" w:customStyle="1">
    <w:name w:val="正文文本首行缩进1"/>
    <w:basedOn w:val="832"/>
    <w:uiPriority w:val="0"/>
    <w:qFormat/>
    <w:pPr>
      <w:ind w:firstLine="420"/>
      <w:jc w:val="left"/>
      <w:spacing w:after="120"/>
      <w:widowControl/>
    </w:pPr>
    <w:rPr>
      <w:rFonts w:ascii="Times New Roman" w:hAnsi="Times New Roman" w:eastAsia="仿宋_GB2312" w:cs="Times New Roman"/>
      <w:sz w:val="21"/>
      <w:szCs w:val="32"/>
      <w:lang w:val="en-US" w:eastAsia="zh-CN" w:bidi="ar-SA"/>
    </w:rPr>
  </w:style>
  <w:style w:type="paragraph" w:styleId="899" w:customStyle="1">
    <w:name w:val="正文表标题"/>
    <w:next w:val="876"/>
    <w:uiPriority w:val="0"/>
    <w:qFormat/>
    <w:pPr>
      <w:numPr>
        <w:ilvl w:val="0"/>
        <w:numId w:val="2"/>
      </w:numPr>
      <w:jc w:val="center"/>
    </w:pPr>
    <w:rPr>
      <w:rFonts w:hint="default" w:ascii="黑体" w:hAnsi="Times New Roman" w:eastAsia="黑体" w:cs="Times New Roman"/>
      <w:sz w:val="21"/>
      <w:lang w:val="en-US" w:eastAsia="zh-CN" w:bidi="ar-SA"/>
    </w:rPr>
  </w:style>
  <w:style w:type="paragraph" w:styleId="900" w:customStyle="1">
    <w:name w:val="Normal_12_0"/>
    <w:uiPriority w:val="0"/>
    <w:qFormat/>
    <w:rPr>
      <w:rFonts w:hint="default" w:ascii="黑体" w:hAnsi="黑体" w:eastAsia="黑体" w:cs="Times New Roman"/>
      <w:b/>
      <w:sz w:val="32"/>
      <w:szCs w:val="24"/>
      <w:lang w:val="en-US" w:eastAsia="zh-CN" w:bidi="ar-SA"/>
    </w:rPr>
  </w:style>
  <w:style w:type="paragraph" w:styleId="90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0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0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0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6" w:customStyle="1">
    <w:name w:val="章标题"/>
    <w:next w:val="876"/>
    <w:uiPriority w:val="0"/>
    <w:qFormat/>
    <w:pPr>
      <w:jc w:val="both"/>
      <w:outlineLvl w:val="1"/>
    </w:pPr>
    <w:rPr>
      <w:rFonts w:hint="default" w:ascii="黑体" w:hAnsi="Times New Roman" w:eastAsia="黑体" w:cs="Times New Roman"/>
      <w:sz w:val="21"/>
      <w:szCs w:val="22"/>
      <w:lang w:val="en-US" w:eastAsia="zh-CN" w:bidi="ar-SA"/>
    </w:rPr>
  </w:style>
  <w:style w:type="paragraph" w:styleId="907" w:customStyle="1">
    <w:name w:val="正文1"/>
    <w:basedOn w:val="892"/>
    <w:uiPriority w:val="0"/>
    <w:qFormat/>
    <w:pPr>
      <w:ind w:left="420" w:firstLine="527"/>
      <w:spacing w:before="120" w:line="360" w:lineRule="auto"/>
    </w:pPr>
    <w:rPr>
      <w:rFonts w:ascii="宋体" w:hAnsi="宋体"/>
    </w:rPr>
  </w:style>
  <w:style w:type="paragraph" w:styleId="908" w:customStyle="1">
    <w:name w:val="附录章标题"/>
    <w:next w:val="876"/>
    <w:uiPriority w:val="0"/>
    <w:qFormat/>
    <w:pPr>
      <w:jc w:val="both"/>
      <w:outlineLvl w:val="1"/>
    </w:pPr>
    <w:rPr>
      <w:rFonts w:hint="default" w:ascii="黑体" w:hAnsi="Times New Roman" w:eastAsia="黑体" w:cs="Times New Roman"/>
      <w:sz w:val="21"/>
      <w:lang w:val="en-US" w:eastAsia="zh-CN" w:bidi="ar-SA"/>
    </w:rPr>
  </w:style>
  <w:style w:type="paragraph" w:styleId="909" w:customStyle="1">
    <w:name w:val="附录图标题"/>
    <w:next w:val="876"/>
    <w:uiPriority w:val="0"/>
    <w:qFormat/>
    <w:pPr>
      <w:jc w:val="center"/>
      <w:widowControl w:val="off"/>
      <w:tabs>
        <w:tab w:val="left" w:pos="363" w:leader="none"/>
      </w:tabs>
    </w:pPr>
    <w:rPr>
      <w:rFonts w:hint="default" w:ascii="黑体" w:hAnsi="Times New Roman" w:eastAsia="黑体" w:cs="Times New Roman"/>
      <w:sz w:val="21"/>
      <w:szCs w:val="21"/>
      <w:lang w:val="en-US" w:eastAsia="zh-CN" w:bidi="ar-SA"/>
    </w:rPr>
  </w:style>
  <w:style w:type="paragraph" w:styleId="910" w:customStyle="1">
    <w:name w:val="附录一级条标题"/>
    <w:basedOn w:val="908"/>
    <w:next w:val="876"/>
    <w:uiPriority w:val="0"/>
    <w:qFormat/>
    <w:pPr>
      <w:jc w:val="both"/>
      <w:tabs>
        <w:tab w:val="left" w:pos="360" w:leader="none"/>
      </w:tabs>
      <w:outlineLvl w:val="2"/>
    </w:pPr>
    <w:rPr>
      <w:rFonts w:ascii="黑体" w:hAnsi="Times New Roman" w:eastAsia="黑体" w:cs="Times New Roman"/>
      <w:sz w:val="21"/>
      <w:lang w:val="en-US" w:eastAsia="zh-CN" w:bidi="ar-SA"/>
    </w:rPr>
  </w:style>
  <w:style w:type="paragraph" w:styleId="911" w:customStyle="1">
    <w:name w:val="正文_0_1"/>
    <w:uiPriority w:val="0"/>
    <w:qFormat/>
    <w:pPr>
      <w:jc w:val="both"/>
      <w:widowControl w:val="off"/>
    </w:pPr>
    <w:rPr>
      <w:rFonts w:hint="default" w:ascii="Calibri" w:hAnsi="Calibri" w:eastAsia="宋体" w:cs="Times New Roman"/>
      <w:lang w:val="en-US" w:eastAsia="zh-CN" w:bidi="ar-SA"/>
    </w:rPr>
  </w:style>
  <w:style w:type="table" w:styleId="912" w:customStyle="1">
    <w:name w:val="List Table 2 - Accent 1"/>
    <w:basedOn w:val="822"/>
    <w:uiPriority w:val="99"/>
    <w:qFormat/>
    <w:pPr>
      <w:spacing w:after="0" w:line="240" w:lineRule="auto"/>
    </w:pPr>
    <w:tblPr/>
  </w:style>
  <w:style w:type="table" w:styleId="913" w:customStyle="1">
    <w:name w:val="Grid Table 3 - Accent 6"/>
    <w:basedOn w:val="822"/>
    <w:uiPriority w:val="99"/>
    <w:qFormat/>
    <w:pPr>
      <w:spacing w:after="0" w:line="240" w:lineRule="auto"/>
    </w:pPr>
    <w:tblPr/>
  </w:style>
  <w:style w:type="table" w:styleId="914" w:customStyle="1">
    <w:name w:val="List Table 3 - Accent 5"/>
    <w:basedOn w:val="822"/>
    <w:uiPriority w:val="99"/>
    <w:qFormat/>
    <w:pPr>
      <w:spacing w:after="0" w:line="240" w:lineRule="auto"/>
    </w:pPr>
    <w:tblPr/>
  </w:style>
  <w:style w:type="table" w:styleId="915" w:customStyle="1">
    <w:name w:val="Grid Table 3 - Accent 4"/>
    <w:basedOn w:val="822"/>
    <w:uiPriority w:val="99"/>
    <w:qFormat/>
    <w:pPr>
      <w:spacing w:after="0" w:line="240" w:lineRule="auto"/>
    </w:pPr>
    <w:tblPr/>
  </w:style>
  <w:style w:type="table" w:styleId="916" w:customStyle="1">
    <w:name w:val="Bordered &amp; Lined - Accent 6"/>
    <w:basedOn w:val="822"/>
    <w:uiPriority w:val="99"/>
    <w:qFormat/>
    <w:pPr>
      <w:spacing w:after="0" w:line="240" w:lineRule="auto"/>
    </w:pPr>
    <w:rPr>
      <w:color w:val="404040"/>
    </w:rPr>
    <w:tblPr/>
  </w:style>
  <w:style w:type="table" w:styleId="917" w:customStyle="1">
    <w:name w:val="Grid Table 6 Colorful - Accent 5"/>
    <w:basedOn w:val="822"/>
    <w:uiPriority w:val="99"/>
    <w:qFormat/>
    <w:pPr>
      <w:spacing w:after="0" w:line="240" w:lineRule="auto"/>
    </w:pPr>
    <w:tblPr/>
  </w:style>
  <w:style w:type="table" w:styleId="918" w:customStyle="1">
    <w:name w:val="List Table 6 Colorful - Accent 1"/>
    <w:basedOn w:val="822"/>
    <w:uiPriority w:val="99"/>
    <w:qFormat/>
    <w:pPr>
      <w:spacing w:after="0" w:line="240" w:lineRule="auto"/>
    </w:pPr>
    <w:tblPr/>
  </w:style>
  <w:style w:type="table" w:styleId="919" w:customStyle="1">
    <w:name w:val="Grid Table 2 - Accent 6"/>
    <w:basedOn w:val="822"/>
    <w:uiPriority w:val="99"/>
    <w:qFormat/>
    <w:pPr>
      <w:spacing w:after="0" w:line="240" w:lineRule="auto"/>
    </w:pPr>
    <w:tblPr/>
  </w:style>
  <w:style w:type="table" w:styleId="920" w:customStyle="1">
    <w:name w:val="Lined - Accent 2"/>
    <w:basedOn w:val="822"/>
    <w:uiPriority w:val="99"/>
    <w:qFormat/>
    <w:pPr>
      <w:spacing w:after="0" w:line="240" w:lineRule="auto"/>
    </w:pPr>
    <w:rPr>
      <w:color w:val="404040"/>
    </w:rPr>
    <w:tblPr/>
  </w:style>
  <w:style w:type="table" w:styleId="921" w:customStyle="1">
    <w:name w:val="Lined - Accent"/>
    <w:basedOn w:val="822"/>
    <w:uiPriority w:val="99"/>
    <w:qFormat/>
    <w:pPr>
      <w:spacing w:after="0" w:line="240" w:lineRule="auto"/>
    </w:pPr>
    <w:rPr>
      <w:color w:val="404040"/>
    </w:rPr>
    <w:tblPr/>
  </w:style>
  <w:style w:type="table" w:styleId="922" w:customStyle="1">
    <w:name w:val="List Table 7 Colorful - Accent 5"/>
    <w:basedOn w:val="822"/>
    <w:uiPriority w:val="99"/>
    <w:qFormat/>
    <w:pPr>
      <w:spacing w:after="0" w:line="240" w:lineRule="auto"/>
    </w:pPr>
    <w:tblPr/>
  </w:style>
  <w:style w:type="table" w:styleId="923" w:customStyle="1">
    <w:name w:val="Grid Table 2"/>
    <w:basedOn w:val="822"/>
    <w:uiPriority w:val="99"/>
    <w:qFormat/>
    <w:pPr>
      <w:spacing w:after="0" w:line="240" w:lineRule="auto"/>
    </w:pPr>
    <w:tblPr/>
  </w:style>
  <w:style w:type="table" w:styleId="924" w:customStyle="1">
    <w:name w:val="List Table 2 - Accent 2"/>
    <w:basedOn w:val="822"/>
    <w:uiPriority w:val="99"/>
    <w:qFormat/>
    <w:pPr>
      <w:spacing w:after="0" w:line="240" w:lineRule="auto"/>
    </w:pPr>
    <w:tblPr/>
  </w:style>
  <w:style w:type="table" w:styleId="925" w:customStyle="1">
    <w:name w:val="Grid Table 7 Colorful - Accent 2"/>
    <w:basedOn w:val="822"/>
    <w:uiPriority w:val="99"/>
    <w:qFormat/>
    <w:pPr>
      <w:spacing w:after="0" w:line="240" w:lineRule="auto"/>
    </w:pPr>
    <w:tblPr/>
  </w:style>
  <w:style w:type="table" w:styleId="926" w:customStyle="1">
    <w:name w:val="网格型1"/>
    <w:basedOn w:val="927"/>
    <w:uiPriority w:val="0"/>
    <w:qFormat/>
    <w:pPr>
      <w:jc w:val="both"/>
      <w:widowControl w:val="off"/>
    </w:pPr>
    <w:tblPr/>
  </w:style>
  <w:style w:type="table" w:styleId="927" w:customStyle="1">
    <w:name w:val="普通表格1"/>
    <w:uiPriority w:val="99"/>
    <w:unhideWhenUsed/>
    <w:qFormat/>
    <w:tblPr/>
  </w:style>
  <w:style w:type="table" w:styleId="928" w:customStyle="1">
    <w:name w:val="Bordered - Accent 6"/>
    <w:basedOn w:val="822"/>
    <w:uiPriority w:val="99"/>
    <w:qFormat/>
    <w:pPr>
      <w:spacing w:after="0" w:line="240" w:lineRule="auto"/>
    </w:pPr>
    <w:tblPr/>
  </w:style>
  <w:style w:type="table" w:styleId="929" w:customStyle="1">
    <w:name w:val="Grid Table 5 Dark - Accent 5"/>
    <w:basedOn w:val="822"/>
    <w:uiPriority w:val="99"/>
    <w:qFormat/>
    <w:pPr>
      <w:spacing w:after="0" w:line="240" w:lineRule="auto"/>
    </w:pPr>
    <w:tblPr/>
  </w:style>
  <w:style w:type="table" w:styleId="930" w:customStyle="1">
    <w:name w:val="Grid Table 5 Dark - Accent 3"/>
    <w:basedOn w:val="822"/>
    <w:uiPriority w:val="99"/>
    <w:qFormat/>
    <w:pPr>
      <w:spacing w:after="0" w:line="240" w:lineRule="auto"/>
    </w:pPr>
    <w:tblPr/>
  </w:style>
  <w:style w:type="table" w:styleId="931" w:customStyle="1">
    <w:name w:val="List Table 1 Light - Accent 3"/>
    <w:basedOn w:val="822"/>
    <w:uiPriority w:val="99"/>
    <w:qFormat/>
    <w:pPr>
      <w:spacing w:after="0" w:line="240" w:lineRule="auto"/>
    </w:pPr>
    <w:tblPr/>
  </w:style>
  <w:style w:type="table" w:styleId="932" w:customStyle="1">
    <w:name w:val="Bordered &amp; Lined - Accent 1"/>
    <w:basedOn w:val="822"/>
    <w:uiPriority w:val="99"/>
    <w:qFormat/>
    <w:pPr>
      <w:spacing w:after="0" w:line="240" w:lineRule="auto"/>
    </w:pPr>
    <w:rPr>
      <w:color w:val="404040"/>
    </w:rPr>
    <w:tblPr/>
  </w:style>
  <w:style w:type="table" w:styleId="933" w:customStyle="1">
    <w:name w:val="Plain Table 3"/>
    <w:basedOn w:val="822"/>
    <w:uiPriority w:val="99"/>
    <w:qFormat/>
    <w:pPr>
      <w:spacing w:after="0" w:line="240" w:lineRule="auto"/>
    </w:pPr>
    <w:tblPr/>
  </w:style>
  <w:style w:type="table" w:styleId="934" w:customStyle="1">
    <w:name w:val="Bordered"/>
    <w:basedOn w:val="822"/>
    <w:uiPriority w:val="99"/>
    <w:qFormat/>
    <w:pPr>
      <w:spacing w:after="0" w:line="240" w:lineRule="auto"/>
    </w:pPr>
    <w:tblPr/>
  </w:style>
  <w:style w:type="table" w:styleId="935" w:customStyle="1">
    <w:name w:val="Grid Table 6 Colorful - Accent 4"/>
    <w:basedOn w:val="822"/>
    <w:uiPriority w:val="99"/>
    <w:qFormat/>
    <w:pPr>
      <w:spacing w:after="0" w:line="240" w:lineRule="auto"/>
    </w:pPr>
    <w:tblPr/>
  </w:style>
  <w:style w:type="table" w:styleId="936" w:customStyle="1">
    <w:name w:val="Grid Table 6 Colorful - Accent 2"/>
    <w:basedOn w:val="822"/>
    <w:uiPriority w:val="99"/>
    <w:qFormat/>
    <w:pPr>
      <w:spacing w:after="0" w:line="240" w:lineRule="auto"/>
    </w:pPr>
    <w:tblPr/>
  </w:style>
  <w:style w:type="table" w:styleId="937" w:customStyle="1">
    <w:name w:val="List Table 6 Colorful - Accent 3"/>
    <w:basedOn w:val="822"/>
    <w:uiPriority w:val="99"/>
    <w:qFormat/>
    <w:pPr>
      <w:spacing w:after="0" w:line="240" w:lineRule="auto"/>
    </w:pPr>
    <w:tblPr/>
  </w:style>
  <w:style w:type="table" w:styleId="938" w:customStyle="1">
    <w:name w:val="List Table 5 Dark - Accent 6"/>
    <w:basedOn w:val="822"/>
    <w:uiPriority w:val="99"/>
    <w:qFormat/>
    <w:pPr>
      <w:spacing w:after="0" w:line="240" w:lineRule="auto"/>
    </w:pPr>
    <w:tblPr/>
  </w:style>
  <w:style w:type="table" w:styleId="939" w:customStyle="1">
    <w:name w:val="Grid Table 1 Light - Accent 3"/>
    <w:basedOn w:val="822"/>
    <w:uiPriority w:val="99"/>
    <w:qFormat/>
    <w:pPr>
      <w:spacing w:after="0" w:line="240" w:lineRule="auto"/>
    </w:pPr>
    <w:tblPr/>
  </w:style>
  <w:style w:type="table" w:styleId="940" w:customStyle="1">
    <w:name w:val="Grid Table 6 Colorful - Accent 6"/>
    <w:basedOn w:val="822"/>
    <w:uiPriority w:val="99"/>
    <w:qFormat/>
    <w:pPr>
      <w:spacing w:after="0" w:line="240" w:lineRule="auto"/>
    </w:pPr>
    <w:tblPr/>
  </w:style>
  <w:style w:type="table" w:styleId="941" w:customStyle="1">
    <w:name w:val="List Table 5 Dark - Accent 1"/>
    <w:basedOn w:val="822"/>
    <w:uiPriority w:val="99"/>
    <w:qFormat/>
    <w:pPr>
      <w:spacing w:after="0" w:line="240" w:lineRule="auto"/>
    </w:pPr>
    <w:tblPr/>
  </w:style>
  <w:style w:type="table" w:styleId="942" w:customStyle="1">
    <w:name w:val="Bordered - Accent 1"/>
    <w:basedOn w:val="822"/>
    <w:uiPriority w:val="99"/>
    <w:qFormat/>
    <w:pPr>
      <w:spacing w:after="0" w:line="240" w:lineRule="auto"/>
    </w:pPr>
    <w:tblPr/>
  </w:style>
  <w:style w:type="table" w:styleId="943" w:customStyle="1">
    <w:name w:val="List Table 2 - Accent 4"/>
    <w:basedOn w:val="822"/>
    <w:uiPriority w:val="99"/>
    <w:qFormat/>
    <w:pPr>
      <w:spacing w:after="0" w:line="240" w:lineRule="auto"/>
    </w:pPr>
    <w:tblPr/>
  </w:style>
  <w:style w:type="table" w:styleId="944" w:customStyle="1">
    <w:name w:val="List Table 7 Colorful - Accent 2"/>
    <w:basedOn w:val="822"/>
    <w:uiPriority w:val="99"/>
    <w:qFormat/>
    <w:pPr>
      <w:spacing w:after="0" w:line="240" w:lineRule="auto"/>
    </w:pPr>
    <w:tblPr/>
  </w:style>
  <w:style w:type="table" w:styleId="945" w:customStyle="1">
    <w:name w:val="Grid Table 3 - Accent 1"/>
    <w:basedOn w:val="822"/>
    <w:uiPriority w:val="99"/>
    <w:qFormat/>
    <w:pPr>
      <w:spacing w:after="0" w:line="240" w:lineRule="auto"/>
    </w:pPr>
    <w:tblPr/>
  </w:style>
  <w:style w:type="table" w:styleId="946" w:customStyle="1">
    <w:name w:val="List Table 6 Colorful - Accent 6"/>
    <w:basedOn w:val="822"/>
    <w:uiPriority w:val="99"/>
    <w:qFormat/>
    <w:pPr>
      <w:spacing w:after="0" w:line="240" w:lineRule="auto"/>
    </w:pPr>
    <w:tblPr/>
  </w:style>
  <w:style w:type="table" w:styleId="947" w:customStyle="1">
    <w:name w:val="Grid Table 2 - Accent 1"/>
    <w:basedOn w:val="822"/>
    <w:uiPriority w:val="99"/>
    <w:qFormat/>
    <w:pPr>
      <w:spacing w:after="0" w:line="240" w:lineRule="auto"/>
    </w:pPr>
    <w:tblPr/>
  </w:style>
  <w:style w:type="table" w:styleId="948" w:customStyle="1">
    <w:name w:val="Grid Table 1 Light - Accent 4"/>
    <w:basedOn w:val="822"/>
    <w:uiPriority w:val="99"/>
    <w:qFormat/>
    <w:pPr>
      <w:spacing w:after="0" w:line="240" w:lineRule="auto"/>
    </w:pPr>
    <w:tblPr/>
  </w:style>
  <w:style w:type="table" w:styleId="949" w:customStyle="1">
    <w:name w:val="Plain Table 2"/>
    <w:basedOn w:val="822"/>
    <w:uiPriority w:val="59"/>
    <w:qFormat/>
    <w:pPr>
      <w:spacing w:after="0" w:line="240" w:lineRule="auto"/>
    </w:pPr>
    <w:tblPr/>
  </w:style>
  <w:style w:type="table" w:styleId="950" w:customStyle="1">
    <w:name w:val="Bordered &amp; Lined - Accent 2"/>
    <w:basedOn w:val="822"/>
    <w:uiPriority w:val="99"/>
    <w:qFormat/>
    <w:pPr>
      <w:spacing w:after="0" w:line="240" w:lineRule="auto"/>
    </w:pPr>
    <w:rPr>
      <w:color w:val="404040"/>
    </w:rPr>
    <w:tblPr/>
  </w:style>
  <w:style w:type="table" w:styleId="951" w:customStyle="1">
    <w:name w:val="Grid Table 4 - Accent 1"/>
    <w:basedOn w:val="822"/>
    <w:uiPriority w:val="59"/>
    <w:qFormat/>
    <w:pPr>
      <w:spacing w:after="0" w:line="240" w:lineRule="auto"/>
    </w:pPr>
    <w:tblPr/>
  </w:style>
  <w:style w:type="table" w:styleId="952" w:customStyle="1">
    <w:name w:val="List Table 5 Dark - Accent 4"/>
    <w:basedOn w:val="822"/>
    <w:uiPriority w:val="99"/>
    <w:qFormat/>
    <w:pPr>
      <w:spacing w:after="0" w:line="240" w:lineRule="auto"/>
    </w:pPr>
    <w:tblPr/>
  </w:style>
  <w:style w:type="table" w:styleId="953" w:customStyle="1">
    <w:name w:val="Grid Table 4 - Accent 6"/>
    <w:basedOn w:val="822"/>
    <w:uiPriority w:val="59"/>
    <w:qFormat/>
    <w:pPr>
      <w:spacing w:after="0" w:line="240" w:lineRule="auto"/>
    </w:pPr>
    <w:tblPr/>
  </w:style>
  <w:style w:type="table" w:styleId="954" w:customStyle="1">
    <w:name w:val="Bordered &amp; Lined - Accent 3"/>
    <w:basedOn w:val="822"/>
    <w:uiPriority w:val="99"/>
    <w:qFormat/>
    <w:pPr>
      <w:spacing w:after="0" w:line="240" w:lineRule="auto"/>
    </w:pPr>
    <w:rPr>
      <w:color w:val="404040"/>
    </w:rPr>
    <w:tblPr/>
  </w:style>
  <w:style w:type="table" w:styleId="955" w:customStyle="1">
    <w:name w:val="Grid Table 5 Dark - Accent 2"/>
    <w:basedOn w:val="822"/>
    <w:uiPriority w:val="99"/>
    <w:qFormat/>
    <w:pPr>
      <w:spacing w:after="0" w:line="240" w:lineRule="auto"/>
    </w:pPr>
    <w:tblPr/>
  </w:style>
  <w:style w:type="table" w:styleId="956" w:customStyle="1">
    <w:name w:val="Grid Table 4"/>
    <w:basedOn w:val="822"/>
    <w:uiPriority w:val="59"/>
    <w:qFormat/>
    <w:pPr>
      <w:spacing w:after="0" w:line="240" w:lineRule="auto"/>
    </w:pPr>
    <w:tblPr/>
  </w:style>
  <w:style w:type="table" w:styleId="957" w:customStyle="1">
    <w:name w:val="Bordered &amp; Lined - Accent 4"/>
    <w:basedOn w:val="822"/>
    <w:uiPriority w:val="99"/>
    <w:qFormat/>
    <w:pPr>
      <w:spacing w:after="0" w:line="240" w:lineRule="auto"/>
    </w:pPr>
    <w:rPr>
      <w:color w:val="404040"/>
    </w:rPr>
    <w:tblPr/>
  </w:style>
  <w:style w:type="table" w:styleId="958" w:customStyle="1">
    <w:name w:val="List Table 6 Colorful"/>
    <w:basedOn w:val="822"/>
    <w:uiPriority w:val="99"/>
    <w:qFormat/>
    <w:pPr>
      <w:spacing w:after="0" w:line="240" w:lineRule="auto"/>
    </w:pPr>
    <w:tblPr/>
  </w:style>
  <w:style w:type="table" w:styleId="959" w:customStyle="1">
    <w:name w:val="List Table 5 Dark - Accent 5"/>
    <w:basedOn w:val="822"/>
    <w:uiPriority w:val="99"/>
    <w:qFormat/>
    <w:pPr>
      <w:spacing w:after="0" w:line="240" w:lineRule="auto"/>
    </w:pPr>
    <w:tblPr/>
  </w:style>
  <w:style w:type="table" w:styleId="960" w:customStyle="1">
    <w:name w:val="Grid Table 3"/>
    <w:basedOn w:val="822"/>
    <w:uiPriority w:val="99"/>
    <w:qFormat/>
    <w:pPr>
      <w:spacing w:after="0" w:line="240" w:lineRule="auto"/>
    </w:pPr>
    <w:tblPr/>
  </w:style>
  <w:style w:type="table" w:styleId="961" w:customStyle="1">
    <w:name w:val="Grid Table 1 Light"/>
    <w:basedOn w:val="822"/>
    <w:uiPriority w:val="99"/>
    <w:qFormat/>
    <w:pPr>
      <w:spacing w:after="0" w:line="240" w:lineRule="auto"/>
    </w:pPr>
    <w:tblPr/>
  </w:style>
  <w:style w:type="table" w:styleId="962" w:customStyle="1">
    <w:name w:val="Grid Table 7 Colorful - Accent 5"/>
    <w:basedOn w:val="822"/>
    <w:uiPriority w:val="99"/>
    <w:qFormat/>
    <w:pPr>
      <w:spacing w:after="0" w:line="240" w:lineRule="auto"/>
    </w:pPr>
    <w:tblPr/>
  </w:style>
  <w:style w:type="table" w:styleId="963" w:customStyle="1">
    <w:name w:val="List Table 5 Dark"/>
    <w:basedOn w:val="822"/>
    <w:uiPriority w:val="99"/>
    <w:qFormat/>
    <w:pPr>
      <w:spacing w:after="0" w:line="240" w:lineRule="auto"/>
    </w:pPr>
    <w:tblPr/>
  </w:style>
  <w:style w:type="table" w:styleId="964" w:customStyle="1">
    <w:name w:val="List Table 4 - Accent 5"/>
    <w:basedOn w:val="822"/>
    <w:uiPriority w:val="99"/>
    <w:qFormat/>
    <w:pPr>
      <w:spacing w:after="0" w:line="240" w:lineRule="auto"/>
    </w:pPr>
    <w:tblPr/>
  </w:style>
  <w:style w:type="table" w:styleId="965" w:customStyle="1">
    <w:name w:val="List Table 3 - Accent 3"/>
    <w:basedOn w:val="822"/>
    <w:uiPriority w:val="99"/>
    <w:qFormat/>
    <w:pPr>
      <w:spacing w:after="0" w:line="240" w:lineRule="auto"/>
    </w:pPr>
    <w:tblPr/>
  </w:style>
  <w:style w:type="table" w:styleId="966" w:customStyle="1">
    <w:name w:val="Grid Table 6 Colorful - Accent 3"/>
    <w:basedOn w:val="822"/>
    <w:uiPriority w:val="99"/>
    <w:qFormat/>
    <w:pPr>
      <w:spacing w:after="0" w:line="240" w:lineRule="auto"/>
    </w:pPr>
    <w:tblPr/>
  </w:style>
  <w:style w:type="table" w:styleId="967" w:customStyle="1">
    <w:name w:val="Grid Table 2 - Accent 3"/>
    <w:basedOn w:val="822"/>
    <w:uiPriority w:val="99"/>
    <w:qFormat/>
    <w:pPr>
      <w:spacing w:after="0" w:line="240" w:lineRule="auto"/>
    </w:pPr>
    <w:tblPr/>
  </w:style>
  <w:style w:type="table" w:styleId="968" w:customStyle="1">
    <w:name w:val="List Table 2"/>
    <w:basedOn w:val="822"/>
    <w:uiPriority w:val="99"/>
    <w:qFormat/>
    <w:pPr>
      <w:spacing w:after="0" w:line="240" w:lineRule="auto"/>
    </w:pPr>
    <w:tblPr/>
  </w:style>
  <w:style w:type="table" w:styleId="969" w:customStyle="1">
    <w:name w:val="Grid Table 3 - Accent 5"/>
    <w:basedOn w:val="822"/>
    <w:uiPriority w:val="99"/>
    <w:qFormat/>
    <w:pPr>
      <w:spacing w:after="0" w:line="240" w:lineRule="auto"/>
    </w:pPr>
    <w:tblPr/>
  </w:style>
  <w:style w:type="table" w:styleId="970" w:customStyle="1">
    <w:name w:val="List Table 3 - Accent 2"/>
    <w:basedOn w:val="822"/>
    <w:uiPriority w:val="99"/>
    <w:qFormat/>
    <w:pPr>
      <w:spacing w:after="0" w:line="240" w:lineRule="auto"/>
    </w:pPr>
    <w:tblPr/>
  </w:style>
  <w:style w:type="table" w:styleId="971" w:customStyle="1">
    <w:name w:val="Table Grid Light"/>
    <w:basedOn w:val="822"/>
    <w:uiPriority w:val="59"/>
    <w:qFormat/>
    <w:pPr>
      <w:spacing w:after="0" w:line="240" w:lineRule="auto"/>
    </w:pPr>
    <w:tblPr/>
  </w:style>
  <w:style w:type="table" w:styleId="972" w:customStyle="1">
    <w:name w:val="List Table 3 - Accent 1"/>
    <w:basedOn w:val="822"/>
    <w:uiPriority w:val="99"/>
    <w:qFormat/>
    <w:pPr>
      <w:spacing w:after="0" w:line="240" w:lineRule="auto"/>
    </w:pPr>
    <w:tblPr/>
  </w:style>
  <w:style w:type="table" w:styleId="973" w:customStyle="1">
    <w:name w:val="Grid Table 6 Colorful"/>
    <w:basedOn w:val="822"/>
    <w:uiPriority w:val="99"/>
    <w:qFormat/>
    <w:pPr>
      <w:spacing w:after="0" w:line="240" w:lineRule="auto"/>
    </w:pPr>
    <w:tblPr/>
  </w:style>
  <w:style w:type="table" w:styleId="974" w:customStyle="1">
    <w:name w:val="Lined - Accent 5"/>
    <w:basedOn w:val="822"/>
    <w:uiPriority w:val="99"/>
    <w:qFormat/>
    <w:pPr>
      <w:spacing w:after="0" w:line="240" w:lineRule="auto"/>
    </w:pPr>
    <w:rPr>
      <w:color w:val="404040"/>
    </w:rPr>
    <w:tblPr/>
  </w:style>
  <w:style w:type="table" w:styleId="975" w:customStyle="1">
    <w:name w:val="List Table 1 Light"/>
    <w:basedOn w:val="822"/>
    <w:uiPriority w:val="99"/>
    <w:qFormat/>
    <w:pPr>
      <w:spacing w:after="0" w:line="240" w:lineRule="auto"/>
    </w:pPr>
    <w:tblPr/>
  </w:style>
  <w:style w:type="table" w:styleId="976" w:customStyle="1">
    <w:name w:val="List Table 5 Dark - Accent 2"/>
    <w:basedOn w:val="822"/>
    <w:uiPriority w:val="99"/>
    <w:qFormat/>
    <w:pPr>
      <w:spacing w:after="0" w:line="240" w:lineRule="auto"/>
    </w:pPr>
    <w:tblPr/>
  </w:style>
  <w:style w:type="table" w:styleId="977" w:customStyle="1">
    <w:name w:val="Plain Table 1"/>
    <w:basedOn w:val="822"/>
    <w:uiPriority w:val="59"/>
    <w:qFormat/>
    <w:pPr>
      <w:spacing w:after="0" w:line="240" w:lineRule="auto"/>
    </w:pPr>
    <w:tblPr/>
  </w:style>
  <w:style w:type="table" w:styleId="978" w:customStyle="1">
    <w:name w:val="List Table 7 Colorful - Accent 3"/>
    <w:basedOn w:val="822"/>
    <w:uiPriority w:val="99"/>
    <w:qFormat/>
    <w:pPr>
      <w:spacing w:after="0" w:line="240" w:lineRule="auto"/>
    </w:pPr>
    <w:tblPr/>
  </w:style>
  <w:style w:type="table" w:styleId="979" w:customStyle="1">
    <w:name w:val="Grid Table 4 - Accent 2"/>
    <w:basedOn w:val="822"/>
    <w:uiPriority w:val="59"/>
    <w:qFormat/>
    <w:pPr>
      <w:spacing w:after="0" w:line="240" w:lineRule="auto"/>
    </w:pPr>
    <w:tblPr/>
  </w:style>
  <w:style w:type="table" w:styleId="980" w:customStyle="1">
    <w:name w:val="List Table 4 - Accent 4"/>
    <w:basedOn w:val="822"/>
    <w:uiPriority w:val="99"/>
    <w:qFormat/>
    <w:pPr>
      <w:spacing w:after="0" w:line="240" w:lineRule="auto"/>
    </w:pPr>
    <w:tblPr/>
  </w:style>
  <w:style w:type="table" w:styleId="981" w:customStyle="1">
    <w:name w:val="Grid Table 3 - Accent 2"/>
    <w:basedOn w:val="822"/>
    <w:uiPriority w:val="99"/>
    <w:qFormat/>
    <w:pPr>
      <w:spacing w:after="0" w:line="240" w:lineRule="auto"/>
    </w:pPr>
    <w:tblPr/>
  </w:style>
  <w:style w:type="table" w:styleId="982" w:customStyle="1">
    <w:name w:val="List Table 2 - Accent 6"/>
    <w:basedOn w:val="822"/>
    <w:uiPriority w:val="99"/>
    <w:qFormat/>
    <w:pPr>
      <w:spacing w:after="0" w:line="240" w:lineRule="auto"/>
    </w:pPr>
    <w:tblPr/>
  </w:style>
  <w:style w:type="table" w:styleId="983" w:customStyle="1">
    <w:name w:val="Grid Table 5 Dark- Accent 4"/>
    <w:basedOn w:val="822"/>
    <w:uiPriority w:val="99"/>
    <w:qFormat/>
    <w:pPr>
      <w:spacing w:after="0" w:line="240" w:lineRule="auto"/>
    </w:pPr>
    <w:tblPr/>
  </w:style>
  <w:style w:type="table" w:styleId="984" w:customStyle="1">
    <w:name w:val="Grid Table 3 - Accent 3"/>
    <w:basedOn w:val="822"/>
    <w:uiPriority w:val="99"/>
    <w:qFormat/>
    <w:pPr>
      <w:spacing w:after="0" w:line="240" w:lineRule="auto"/>
    </w:pPr>
    <w:tblPr/>
  </w:style>
  <w:style w:type="table" w:styleId="985" w:customStyle="1">
    <w:name w:val="List Table 4 - Accent 3"/>
    <w:basedOn w:val="822"/>
    <w:uiPriority w:val="99"/>
    <w:qFormat/>
    <w:pPr>
      <w:spacing w:after="0" w:line="240" w:lineRule="auto"/>
    </w:pPr>
    <w:tblPr/>
  </w:style>
  <w:style w:type="table" w:styleId="986" w:customStyle="1">
    <w:name w:val="List Table 4 - Accent 1"/>
    <w:basedOn w:val="822"/>
    <w:uiPriority w:val="99"/>
    <w:qFormat/>
    <w:pPr>
      <w:spacing w:after="0" w:line="240" w:lineRule="auto"/>
    </w:pPr>
    <w:tblPr/>
  </w:style>
  <w:style w:type="table" w:styleId="987" w:customStyle="1">
    <w:name w:val="Grid Table 5 Dark - Accent 6"/>
    <w:basedOn w:val="822"/>
    <w:uiPriority w:val="99"/>
    <w:qFormat/>
    <w:pPr>
      <w:spacing w:after="0" w:line="240" w:lineRule="auto"/>
    </w:pPr>
    <w:tblPr/>
  </w:style>
  <w:style w:type="table" w:styleId="988" w:customStyle="1">
    <w:name w:val="Grid Table 5 Dark"/>
    <w:basedOn w:val="822"/>
    <w:uiPriority w:val="99"/>
    <w:qFormat/>
    <w:pPr>
      <w:spacing w:after="0" w:line="240" w:lineRule="auto"/>
    </w:pPr>
    <w:tblPr/>
  </w:style>
  <w:style w:type="table" w:styleId="989" w:customStyle="1">
    <w:name w:val="Bordered - Accent 3"/>
    <w:basedOn w:val="822"/>
    <w:uiPriority w:val="99"/>
    <w:qFormat/>
    <w:pPr>
      <w:spacing w:after="0" w:line="240" w:lineRule="auto"/>
    </w:pPr>
    <w:tblPr/>
  </w:style>
  <w:style w:type="table" w:styleId="990" w:customStyle="1">
    <w:name w:val="Grid Table 1 Light - Accent 2"/>
    <w:basedOn w:val="822"/>
    <w:uiPriority w:val="99"/>
    <w:qFormat/>
    <w:pPr>
      <w:spacing w:after="0" w:line="240" w:lineRule="auto"/>
    </w:pPr>
    <w:tblPr/>
  </w:style>
  <w:style w:type="table" w:styleId="991" w:customStyle="1">
    <w:name w:val="Plain Table 5"/>
    <w:basedOn w:val="822"/>
    <w:uiPriority w:val="99"/>
    <w:qFormat/>
    <w:pPr>
      <w:spacing w:after="0" w:line="240" w:lineRule="auto"/>
    </w:pPr>
    <w:tblPr/>
  </w:style>
  <w:style w:type="table" w:styleId="992" w:customStyle="1">
    <w:name w:val="Grid Table 7 Colorful"/>
    <w:basedOn w:val="822"/>
    <w:uiPriority w:val="99"/>
    <w:qFormat/>
    <w:pPr>
      <w:spacing w:after="0" w:line="240" w:lineRule="auto"/>
    </w:pPr>
    <w:tblPr/>
  </w:style>
  <w:style w:type="table" w:styleId="993" w:customStyle="1">
    <w:name w:val="Grid Table 2 - Accent 4"/>
    <w:basedOn w:val="822"/>
    <w:uiPriority w:val="99"/>
    <w:qFormat/>
    <w:pPr>
      <w:spacing w:after="0" w:line="240" w:lineRule="auto"/>
    </w:pPr>
    <w:tblPr/>
  </w:style>
  <w:style w:type="table" w:styleId="994" w:customStyle="1">
    <w:name w:val="Bordered &amp; Lined - Accent"/>
    <w:basedOn w:val="822"/>
    <w:uiPriority w:val="99"/>
    <w:qFormat/>
    <w:pPr>
      <w:spacing w:after="0" w:line="240" w:lineRule="auto"/>
    </w:pPr>
    <w:rPr>
      <w:color w:val="404040"/>
    </w:rPr>
    <w:tblPr/>
  </w:style>
  <w:style w:type="table" w:styleId="995" w:customStyle="1">
    <w:name w:val="Grid Table 4 - Accent 4"/>
    <w:basedOn w:val="822"/>
    <w:uiPriority w:val="59"/>
    <w:qFormat/>
    <w:pPr>
      <w:spacing w:after="0" w:line="240" w:lineRule="auto"/>
    </w:pPr>
    <w:tblPr/>
  </w:style>
  <w:style w:type="table" w:styleId="996" w:customStyle="1">
    <w:name w:val="Lined - Accent 3"/>
    <w:basedOn w:val="822"/>
    <w:uiPriority w:val="99"/>
    <w:qFormat/>
    <w:pPr>
      <w:spacing w:after="0" w:line="240" w:lineRule="auto"/>
    </w:pPr>
    <w:rPr>
      <w:color w:val="404040"/>
    </w:rPr>
    <w:tblPr/>
  </w:style>
  <w:style w:type="table" w:styleId="997" w:customStyle="1">
    <w:name w:val="List Table 7 Colorful - Accent 1"/>
    <w:basedOn w:val="822"/>
    <w:uiPriority w:val="99"/>
    <w:qFormat/>
    <w:pPr>
      <w:spacing w:after="0" w:line="240" w:lineRule="auto"/>
    </w:pPr>
    <w:tblPr/>
  </w:style>
  <w:style w:type="table" w:styleId="998" w:customStyle="1">
    <w:name w:val="List Table 5 Dark - Accent 3"/>
    <w:basedOn w:val="822"/>
    <w:uiPriority w:val="99"/>
    <w:qFormat/>
    <w:pPr>
      <w:spacing w:after="0" w:line="240" w:lineRule="auto"/>
    </w:pPr>
    <w:tblPr/>
  </w:style>
  <w:style w:type="table" w:styleId="999" w:customStyle="1">
    <w:name w:val="Grid Table 7 Colorful - Accent 4"/>
    <w:basedOn w:val="822"/>
    <w:uiPriority w:val="99"/>
    <w:qFormat/>
    <w:pPr>
      <w:spacing w:after="0" w:line="240" w:lineRule="auto"/>
    </w:pPr>
    <w:tblPr/>
  </w:style>
  <w:style w:type="table" w:styleId="1000" w:customStyle="1">
    <w:name w:val="Grid Table 2 - Accent 2"/>
    <w:basedOn w:val="822"/>
    <w:uiPriority w:val="99"/>
    <w:qFormat/>
    <w:pPr>
      <w:spacing w:after="0" w:line="240" w:lineRule="auto"/>
    </w:pPr>
    <w:tblPr/>
  </w:style>
  <w:style w:type="table" w:styleId="1001" w:customStyle="1">
    <w:name w:val="List Table 1 Light - Accent 2"/>
    <w:basedOn w:val="822"/>
    <w:uiPriority w:val="99"/>
    <w:qFormat/>
    <w:pPr>
      <w:spacing w:after="0" w:line="240" w:lineRule="auto"/>
    </w:pPr>
    <w:tblPr/>
  </w:style>
  <w:style w:type="table" w:styleId="1002" w:customStyle="1">
    <w:name w:val="List Table 1 Light - Accent 6"/>
    <w:basedOn w:val="822"/>
    <w:uiPriority w:val="99"/>
    <w:qFormat/>
    <w:pPr>
      <w:spacing w:after="0" w:line="240" w:lineRule="auto"/>
    </w:pPr>
    <w:tblPr/>
  </w:style>
  <w:style w:type="table" w:styleId="1003" w:customStyle="1">
    <w:name w:val="Grid Table 4 - Accent 5"/>
    <w:basedOn w:val="822"/>
    <w:uiPriority w:val="59"/>
    <w:qFormat/>
    <w:pPr>
      <w:spacing w:after="0" w:line="240" w:lineRule="auto"/>
    </w:pPr>
    <w:tblPr/>
  </w:style>
  <w:style w:type="table" w:styleId="1004" w:customStyle="1">
    <w:name w:val="Grid Table 1 Light - Accent 1"/>
    <w:basedOn w:val="822"/>
    <w:uiPriority w:val="99"/>
    <w:qFormat/>
    <w:pPr>
      <w:spacing w:after="0" w:line="240" w:lineRule="auto"/>
    </w:pPr>
    <w:tblPr/>
  </w:style>
  <w:style w:type="table" w:styleId="1005" w:customStyle="1">
    <w:name w:val="Grid Table 2 - Accent 5"/>
    <w:basedOn w:val="822"/>
    <w:uiPriority w:val="99"/>
    <w:qFormat/>
    <w:pPr>
      <w:spacing w:after="0" w:line="240" w:lineRule="auto"/>
    </w:pPr>
    <w:tblPr/>
  </w:style>
  <w:style w:type="table" w:styleId="1006" w:customStyle="1">
    <w:name w:val="Grid Table 6 Colorful - Accent 1"/>
    <w:basedOn w:val="822"/>
    <w:uiPriority w:val="99"/>
    <w:qFormat/>
    <w:pPr>
      <w:spacing w:after="0" w:line="240" w:lineRule="auto"/>
    </w:pPr>
    <w:tblPr/>
  </w:style>
  <w:style w:type="table" w:styleId="1007" w:customStyle="1">
    <w:name w:val="Bordered - Accent 4"/>
    <w:basedOn w:val="822"/>
    <w:uiPriority w:val="99"/>
    <w:qFormat/>
    <w:pPr>
      <w:spacing w:after="0" w:line="240" w:lineRule="auto"/>
    </w:pPr>
    <w:tblPr/>
  </w:style>
  <w:style w:type="table" w:styleId="1008" w:customStyle="1">
    <w:name w:val="Lined - Accent 4"/>
    <w:basedOn w:val="822"/>
    <w:uiPriority w:val="99"/>
    <w:qFormat/>
    <w:pPr>
      <w:spacing w:after="0" w:line="240" w:lineRule="auto"/>
    </w:pPr>
    <w:rPr>
      <w:color w:val="404040"/>
    </w:rPr>
    <w:tblPr/>
  </w:style>
  <w:style w:type="table" w:styleId="1009" w:customStyle="1">
    <w:name w:val="Plain Table 4"/>
    <w:basedOn w:val="822"/>
    <w:uiPriority w:val="99"/>
    <w:qFormat/>
    <w:pPr>
      <w:spacing w:after="0" w:line="240" w:lineRule="auto"/>
    </w:pPr>
    <w:tblPr/>
  </w:style>
  <w:style w:type="table" w:styleId="1010" w:customStyle="1">
    <w:name w:val="Grid Table 5 Dark- Accent 1"/>
    <w:basedOn w:val="822"/>
    <w:uiPriority w:val="99"/>
    <w:qFormat/>
    <w:pPr>
      <w:spacing w:after="0" w:line="240" w:lineRule="auto"/>
    </w:pPr>
    <w:tblPr/>
  </w:style>
  <w:style w:type="table" w:styleId="1011" w:customStyle="1">
    <w:name w:val="Bordered - Accent 2"/>
    <w:basedOn w:val="822"/>
    <w:uiPriority w:val="99"/>
    <w:qFormat/>
    <w:pPr>
      <w:spacing w:after="0" w:line="240" w:lineRule="auto"/>
    </w:pPr>
    <w:tblPr/>
  </w:style>
  <w:style w:type="table" w:styleId="1012" w:customStyle="1">
    <w:name w:val="List Table 2 - Accent 3"/>
    <w:basedOn w:val="822"/>
    <w:uiPriority w:val="99"/>
    <w:qFormat/>
    <w:pPr>
      <w:spacing w:after="0" w:line="240" w:lineRule="auto"/>
    </w:pPr>
    <w:tblPr/>
  </w:style>
  <w:style w:type="table" w:styleId="1013" w:customStyle="1">
    <w:name w:val="Grid Table 4 - Accent 3"/>
    <w:basedOn w:val="822"/>
    <w:uiPriority w:val="59"/>
    <w:qFormat/>
    <w:pPr>
      <w:spacing w:after="0" w:line="240" w:lineRule="auto"/>
    </w:pPr>
    <w:tblPr/>
  </w:style>
  <w:style w:type="table" w:styleId="1014" w:customStyle="1">
    <w:name w:val="List Table 1 Light - Accent 5"/>
    <w:basedOn w:val="822"/>
    <w:uiPriority w:val="99"/>
    <w:qFormat/>
    <w:pPr>
      <w:spacing w:after="0" w:line="240" w:lineRule="auto"/>
    </w:pPr>
    <w:tblPr/>
  </w:style>
  <w:style w:type="table" w:styleId="1015" w:customStyle="1">
    <w:name w:val="Bordered - Accent 5"/>
    <w:basedOn w:val="822"/>
    <w:uiPriority w:val="99"/>
    <w:qFormat/>
    <w:pPr>
      <w:spacing w:after="0" w:line="240" w:lineRule="auto"/>
    </w:pPr>
    <w:tblPr/>
  </w:style>
  <w:style w:type="table" w:styleId="1016" w:customStyle="1">
    <w:name w:val="Lined - Accent 1"/>
    <w:basedOn w:val="822"/>
    <w:uiPriority w:val="99"/>
    <w:qFormat/>
    <w:pPr>
      <w:spacing w:after="0" w:line="240" w:lineRule="auto"/>
    </w:pPr>
    <w:rPr>
      <w:color w:val="404040"/>
    </w:rPr>
    <w:tblPr/>
  </w:style>
  <w:style w:type="table" w:styleId="1017" w:customStyle="1">
    <w:name w:val="List Table 3 - Accent 6"/>
    <w:basedOn w:val="822"/>
    <w:uiPriority w:val="99"/>
    <w:qFormat/>
    <w:pPr>
      <w:spacing w:after="0" w:line="240" w:lineRule="auto"/>
    </w:pPr>
    <w:tblPr/>
  </w:style>
  <w:style w:type="table" w:styleId="1018" w:customStyle="1">
    <w:name w:val="List Table 7 Colorful"/>
    <w:basedOn w:val="822"/>
    <w:uiPriority w:val="99"/>
    <w:qFormat/>
    <w:pPr>
      <w:spacing w:after="0" w:line="240" w:lineRule="auto"/>
    </w:pPr>
    <w:tblPr/>
  </w:style>
  <w:style w:type="table" w:styleId="1019" w:customStyle="1">
    <w:name w:val="Grid Table 7 Colorful - Accent 6"/>
    <w:basedOn w:val="822"/>
    <w:uiPriority w:val="99"/>
    <w:qFormat/>
    <w:pPr>
      <w:spacing w:after="0" w:line="240" w:lineRule="auto"/>
    </w:pPr>
    <w:tblPr/>
  </w:style>
  <w:style w:type="table" w:styleId="1020" w:customStyle="1">
    <w:name w:val="List Table 7 Colorful - Accent 6"/>
    <w:basedOn w:val="822"/>
    <w:uiPriority w:val="99"/>
    <w:qFormat/>
    <w:pPr>
      <w:spacing w:after="0" w:line="240" w:lineRule="auto"/>
    </w:pPr>
    <w:tblPr/>
  </w:style>
  <w:style w:type="table" w:styleId="1021" w:customStyle="1">
    <w:name w:val="Lined - Accent 6"/>
    <w:basedOn w:val="822"/>
    <w:uiPriority w:val="99"/>
    <w:qFormat/>
    <w:pPr>
      <w:spacing w:after="0" w:line="240" w:lineRule="auto"/>
    </w:pPr>
    <w:rPr>
      <w:color w:val="404040"/>
    </w:rPr>
    <w:tblPr/>
  </w:style>
  <w:style w:type="table" w:styleId="1022" w:customStyle="1">
    <w:name w:val="List Table 4 - Accent 6"/>
    <w:basedOn w:val="822"/>
    <w:uiPriority w:val="99"/>
    <w:qFormat/>
    <w:pPr>
      <w:spacing w:after="0" w:line="240" w:lineRule="auto"/>
    </w:pPr>
    <w:tblPr/>
  </w:style>
  <w:style w:type="table" w:styleId="1023" w:customStyle="1">
    <w:name w:val="Grid Table 7 Colorful - Accent 1"/>
    <w:basedOn w:val="822"/>
    <w:uiPriority w:val="99"/>
    <w:qFormat/>
    <w:pPr>
      <w:spacing w:after="0" w:line="240" w:lineRule="auto"/>
    </w:pPr>
    <w:tblPr/>
  </w:style>
  <w:style w:type="table" w:styleId="1024" w:customStyle="1">
    <w:name w:val="Grid Table 1 Light - Accent 6"/>
    <w:basedOn w:val="822"/>
    <w:uiPriority w:val="99"/>
    <w:qFormat/>
    <w:pPr>
      <w:spacing w:after="0" w:line="240" w:lineRule="auto"/>
    </w:pPr>
    <w:tblPr/>
  </w:style>
  <w:style w:type="table" w:styleId="1025" w:customStyle="1">
    <w:name w:val="Grid Table 1 Light - Accent 5"/>
    <w:basedOn w:val="822"/>
    <w:uiPriority w:val="99"/>
    <w:qFormat/>
    <w:pPr>
      <w:spacing w:after="0" w:line="240" w:lineRule="auto"/>
    </w:pPr>
    <w:tblPr/>
  </w:style>
  <w:style w:type="table" w:styleId="1026" w:customStyle="1">
    <w:name w:val="List Table 3 - Accent 4"/>
    <w:basedOn w:val="822"/>
    <w:uiPriority w:val="99"/>
    <w:qFormat/>
    <w:pPr>
      <w:spacing w:after="0" w:line="240" w:lineRule="auto"/>
    </w:pPr>
    <w:tblPr/>
  </w:style>
  <w:style w:type="table" w:styleId="1027" w:customStyle="1">
    <w:name w:val="List Table 4 - Accent 2"/>
    <w:basedOn w:val="822"/>
    <w:uiPriority w:val="99"/>
    <w:qFormat/>
    <w:pPr>
      <w:spacing w:after="0" w:line="240" w:lineRule="auto"/>
    </w:pPr>
    <w:tblPr/>
  </w:style>
  <w:style w:type="table" w:styleId="1028" w:customStyle="1">
    <w:name w:val="Grid Table 7 Colorful - Accent 3"/>
    <w:basedOn w:val="822"/>
    <w:uiPriority w:val="99"/>
    <w:qFormat/>
    <w:pPr>
      <w:spacing w:after="0" w:line="240" w:lineRule="auto"/>
    </w:pPr>
    <w:tblPr/>
  </w:style>
  <w:style w:type="table" w:styleId="1029" w:customStyle="1">
    <w:name w:val="List Table 4"/>
    <w:basedOn w:val="822"/>
    <w:uiPriority w:val="99"/>
    <w:qFormat/>
    <w:pPr>
      <w:spacing w:after="0" w:line="240" w:lineRule="auto"/>
    </w:pPr>
    <w:tblPr/>
  </w:style>
  <w:style w:type="table" w:styleId="1030" w:customStyle="1">
    <w:name w:val="List Table 2 - Accent 5"/>
    <w:basedOn w:val="822"/>
    <w:uiPriority w:val="99"/>
    <w:qFormat/>
    <w:pPr>
      <w:spacing w:after="0" w:line="240" w:lineRule="auto"/>
    </w:pPr>
    <w:tblPr/>
  </w:style>
  <w:style w:type="table" w:styleId="1031" w:customStyle="1">
    <w:name w:val="List Table 1 Light - Accent 1"/>
    <w:basedOn w:val="822"/>
    <w:uiPriority w:val="99"/>
    <w:qFormat/>
    <w:pPr>
      <w:spacing w:after="0" w:line="240" w:lineRule="auto"/>
    </w:pPr>
    <w:tblPr/>
  </w:style>
  <w:style w:type="table" w:styleId="1032" w:customStyle="1">
    <w:name w:val="List Table 6 Colorful - Accent 5"/>
    <w:basedOn w:val="822"/>
    <w:uiPriority w:val="99"/>
    <w:qFormat/>
    <w:pPr>
      <w:spacing w:after="0" w:line="240" w:lineRule="auto"/>
    </w:pPr>
    <w:tblPr/>
  </w:style>
  <w:style w:type="table" w:styleId="1033" w:customStyle="1">
    <w:name w:val="List Table 3"/>
    <w:basedOn w:val="822"/>
    <w:uiPriority w:val="99"/>
    <w:qFormat/>
    <w:pPr>
      <w:spacing w:after="0" w:line="240" w:lineRule="auto"/>
    </w:pPr>
    <w:tblPr/>
  </w:style>
  <w:style w:type="table" w:styleId="1034" w:customStyle="1">
    <w:name w:val="List Table 6 Colorful - Accent 4"/>
    <w:basedOn w:val="822"/>
    <w:uiPriority w:val="99"/>
    <w:qFormat/>
    <w:pPr>
      <w:spacing w:after="0" w:line="240" w:lineRule="auto"/>
    </w:pPr>
    <w:tblPr/>
  </w:style>
  <w:style w:type="table" w:styleId="1035" w:customStyle="1">
    <w:name w:val="List Table 6 Colorful - Accent 2"/>
    <w:basedOn w:val="822"/>
    <w:uiPriority w:val="99"/>
    <w:qFormat/>
    <w:pPr>
      <w:spacing w:after="0" w:line="240" w:lineRule="auto"/>
    </w:pPr>
    <w:tblPr/>
  </w:style>
  <w:style w:type="table" w:styleId="1036" w:customStyle="1">
    <w:name w:val="List Table 1 Light - Accent 4"/>
    <w:basedOn w:val="822"/>
    <w:uiPriority w:val="99"/>
    <w:qFormat/>
    <w:pPr>
      <w:spacing w:after="0" w:line="240" w:lineRule="auto"/>
    </w:pPr>
    <w:tblPr/>
  </w:style>
  <w:style w:type="table" w:styleId="1037" w:customStyle="1">
    <w:name w:val="List Table 7 Colorful - Accent 4"/>
    <w:basedOn w:val="822"/>
    <w:uiPriority w:val="99"/>
    <w:qFormat/>
    <w:pPr>
      <w:spacing w:after="0" w:line="240" w:lineRule="auto"/>
    </w:pPr>
    <w:tblPr/>
  </w:style>
  <w:style w:type="table" w:styleId="1038" w:customStyle="1">
    <w:name w:val="Bordered &amp; Lined - Accent 5"/>
    <w:basedOn w:val="822"/>
    <w:uiPriority w:val="99"/>
    <w:qFormat/>
    <w:pPr>
      <w:spacing w:after="0" w:line="240" w:lineRule="auto"/>
    </w:pPr>
    <w:rPr>
      <w:color w:val="404040"/>
    </w:rPr>
    <w:tblPr/>
  </w:style>
  <w:style w:type="numbering" w:styleId="16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陈强</cp:lastModifiedBy>
  <cp:revision>3</cp:revision>
  <dcterms:created xsi:type="dcterms:W3CDTF">2022-10-10T12:43:00Z</dcterms:created>
  <dcterms:modified xsi:type="dcterms:W3CDTF">2026-09-04T09:56:23Z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eyJoZGlkIjoiMzE4MjgyYjQxMzBhNWI5N2UyOWMzNzg5OWU5ODFlNzUiLCJ1c2VySWQiOiI0MTY5NzY1MjQifQ==</vt:lpwstr>
  </property>
  <property fmtid="{D5CDD505-2E9C-101B-9397-08002B2CF9AE}" pid="3" name="KSOProductBuildVer">
    <vt:lpwstr>2052-12.1.0.28043</vt:lpwstr>
  </property>
  <property fmtid="{D5CDD505-2E9C-101B-9397-08002B2CF9AE}" pid="4" name="ICV">
    <vt:lpwstr>4896DCE7745D44A5951E68B124BA4E32_12</vt:lpwstr>
  </property>
</Properties>
</file>