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2"/>
        <w:ind w:firstLine="0"/>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rPr>
      </w:r>
    </w:p>
    <w:p>
      <w:pPr>
        <w:pStyle w:val="1012"/>
        <w:ind w:firstLine="0"/>
        <w:rPr>
          <w:rFonts w:hint="eastAsia" w:ascii="宋体" w:hAnsi="宋体"/>
          <w:color w:val="000000" w:themeColor="text1"/>
          <w:highlight w:val="none"/>
        </w:rPr>
      </w:pPr>
      <w:r>
        <w:rPr>
          <w:rFonts w:hint="eastAsia" w:ascii="宋体" w:hAnsi="宋体"/>
          <w:color w:val="000000" w:themeColor="text1"/>
          <w:highlight w:val="none"/>
        </w:rPr>
        <w:t xml:space="preserve">                                         </w:t>
      </w:r>
      <w:r>
        <w:rPr>
          <w:rFonts w:hint="eastAsia" w:ascii="宋体" w:hAnsi="宋体"/>
          <w:color w:val="000000" w:themeColor="text1"/>
          <w:highlight w:val="none"/>
        </w:rPr>
      </w:r>
      <w:r>
        <w:rPr>
          <w:color w:val="000000" w:themeColor="text1"/>
        </w:rPr>
      </w:r>
    </w:p>
    <w:p>
      <w:pPr>
        <w:pStyle w:val="1249"/>
        <w:ind w:firstLine="480"/>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rPr>
      </w:r>
    </w:p>
    <w:p>
      <w:pPr>
        <w:pStyle w:val="1012"/>
        <w:rPr>
          <w:rFonts w:hint="eastAsia"/>
          <w:color w:val="000000" w:themeColor="text1"/>
          <w:highlight w:val="none"/>
        </w:rPr>
      </w:pPr>
      <w:r>
        <w:rPr>
          <w:rFonts w:hint="eastAsia"/>
          <w:color w:val="000000" w:themeColor="text1"/>
          <w:highlight w:val="none"/>
        </w:rPr>
      </w:r>
      <w:r>
        <w:rPr>
          <w:color w:val="000000" w:themeColor="text1"/>
        </w:rPr>
      </w:r>
    </w:p>
    <w:p>
      <w:pPr>
        <w:pStyle w:val="1093"/>
        <w:tabs>
          <w:tab w:val="right" w:pos="8296" w:leader="dot"/>
        </w:tabs>
        <w:rPr>
          <w:rFonts w:hint="eastAsia"/>
          <w:color w:val="000000" w:themeColor="text1"/>
          <w:highlight w:val="none"/>
        </w:rPr>
      </w:pPr>
      <w:r>
        <w:rPr>
          <w:rFonts w:hint="eastAsia"/>
          <w:color w:val="000000" w:themeColor="text1"/>
          <w:highlight w:val="none"/>
        </w:rPr>
      </w:r>
      <w:r>
        <w:rPr>
          <w:color w:val="000000" w:themeColor="text1"/>
        </w:rPr>
      </w:r>
    </w:p>
    <w:p>
      <w:pPr>
        <w:pStyle w:val="1249"/>
        <w:ind w:firstLine="480"/>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rPr>
      </w:r>
    </w:p>
    <w:p>
      <w:pPr>
        <w:pStyle w:val="1012"/>
        <w:ind w:firstLine="0"/>
        <w:jc w:val="center"/>
        <w:rPr>
          <w:rFonts w:hint="eastAsia" w:ascii="方正小标宋_GBK" w:hAnsi="方正小标宋_GBK" w:eastAsia="方正小标宋_GBK" w:cs="方正小标宋_GBK"/>
          <w:bCs/>
          <w:color w:val="000000" w:themeColor="text1"/>
          <w:spacing w:val="227"/>
          <w:sz w:val="96"/>
          <w:szCs w:val="21"/>
          <w:highlight w:val="none"/>
        </w:rPr>
      </w:pPr>
      <w:r>
        <w:rPr>
          <w:rFonts w:hint="eastAsia" w:ascii="方正小标宋_GBK" w:hAnsi="方正小标宋_GBK" w:eastAsia="方正小标宋_GBK" w:cs="方正小标宋_GBK"/>
          <w:bCs/>
          <w:color w:val="000000" w:themeColor="text1"/>
          <w:spacing w:val="227"/>
          <w:sz w:val="96"/>
          <w:szCs w:val="21"/>
          <w:highlight w:val="none"/>
        </w:rPr>
        <w:t xml:space="preserve">招标文件</w:t>
      </w:r>
      <w:r>
        <w:rPr>
          <w:rFonts w:hint="eastAsia" w:ascii="方正小标宋_GBK" w:hAnsi="方正小标宋_GBK" w:eastAsia="方正小标宋_GBK" w:cs="方正小标宋_GBK"/>
          <w:bCs/>
          <w:color w:val="000000" w:themeColor="text1"/>
          <w:spacing w:val="227"/>
          <w:sz w:val="96"/>
          <w:szCs w:val="21"/>
          <w:highlight w:val="none"/>
        </w:rPr>
      </w:r>
      <w:r>
        <w:rPr>
          <w:color w:val="000000" w:themeColor="text1"/>
        </w:rPr>
      </w:r>
    </w:p>
    <w:p>
      <w:pPr>
        <w:pStyle w:val="1012"/>
        <w:ind w:firstLine="482"/>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r>
      <w:r>
        <w:rPr>
          <w:color w:val="000000" w:themeColor="text1"/>
        </w:rPr>
      </w:r>
    </w:p>
    <w:p>
      <w:pPr>
        <w:pStyle w:val="1012"/>
        <w:ind w:firstLine="482"/>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t xml:space="preserve"> </w:t>
      </w:r>
      <w:r>
        <w:rPr>
          <w:rFonts w:hint="eastAsia" w:ascii="宋体" w:hAnsi="宋体" w:eastAsia="宋体" w:cs="宋体"/>
          <w:b/>
          <w:color w:val="000000" w:themeColor="text1"/>
          <w:highlight w:val="none"/>
        </w:rPr>
      </w:r>
      <w:r>
        <w:rPr>
          <w:color w:val="000000" w:themeColor="text1"/>
        </w:rPr>
      </w:r>
    </w:p>
    <w:p>
      <w:pPr>
        <w:pStyle w:val="1012"/>
        <w:ind w:left="0" w:firstLine="1200"/>
        <w:keepLines w:val="0"/>
        <w:keepNext w:val="0"/>
        <w:pageBreakBefore w:val="0"/>
        <w:spacing w:line="500" w:lineRule="atLeast"/>
        <w:widowControl w:val="off"/>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rPr>
          <w:color w:val="000000" w:themeColor="text1"/>
        </w:rPr>
      </w:r>
    </w:p>
    <w:p>
      <w:pPr>
        <w:pStyle w:val="1012"/>
        <w:ind w:left="0" w:firstLine="1200"/>
        <w:keepLines w:val="0"/>
        <w:keepNext w:val="0"/>
        <w:pageBreakBefore w:val="0"/>
        <w:spacing w:line="500" w:lineRule="atLeast"/>
        <w:widowControl w:val="off"/>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lang w:val="en-US" w:eastAsia="zh-CN"/>
        </w:rPr>
        <w:t xml:space="preserve">项目编号：JSZC-320321-JSTQ-G2026-0005</w:t>
      </w:r>
      <w:r>
        <w:rPr>
          <w:rFonts w:hint="eastAsia" w:ascii="宋体" w:hAnsi="宋体" w:eastAsia="宋体" w:cs="宋体"/>
          <w:color w:val="000000" w:themeColor="text1"/>
          <w:sz w:val="30"/>
          <w:szCs w:val="30"/>
          <w:highlight w:val="none"/>
        </w:rPr>
      </w:r>
      <w:r>
        <w:rPr>
          <w:color w:val="000000" w:themeColor="text1"/>
        </w:rPr>
      </w:r>
    </w:p>
    <w:p>
      <w:pPr>
        <w:pStyle w:val="1012"/>
        <w:ind w:left="0" w:firstLine="1200"/>
        <w:keepLines w:val="0"/>
        <w:keepNext w:val="0"/>
        <w:pageBreakBefore w:val="0"/>
        <w:spacing w:line="500" w:lineRule="atLeast"/>
        <w:widowControl w:val="off"/>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lang w:val="en-US" w:eastAsia="zh-CN"/>
        </w:rPr>
        <w:t xml:space="preserve">项目名称：丰县中医医院机房改扩建项目</w:t>
      </w:r>
      <w:r>
        <w:rPr>
          <w:rFonts w:hint="eastAsia" w:ascii="宋体" w:hAnsi="宋体" w:eastAsia="宋体" w:cs="宋体"/>
          <w:color w:val="000000" w:themeColor="text1"/>
          <w:sz w:val="30"/>
          <w:szCs w:val="30"/>
          <w:highlight w:val="none"/>
        </w:rPr>
      </w:r>
      <w:r>
        <w:rPr>
          <w:color w:val="000000" w:themeColor="text1"/>
        </w:rPr>
      </w:r>
    </w:p>
    <w:p>
      <w:pPr>
        <w:pStyle w:val="1012"/>
        <w:ind w:left="0" w:firstLine="1200"/>
        <w:keepLines w:val="0"/>
        <w:keepNext w:val="0"/>
        <w:pageBreakBefore w:val="0"/>
        <w:spacing w:line="500" w:lineRule="atLeast"/>
        <w:widowControl w:val="off"/>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lang w:val="en-US" w:eastAsia="zh-CN"/>
        </w:rPr>
        <w:t xml:space="preserve">采 购 人：丰县中医医院</w:t>
      </w:r>
      <w:r>
        <w:rPr>
          <w:rFonts w:hint="eastAsia" w:ascii="宋体" w:hAnsi="宋体" w:eastAsia="宋体" w:cs="宋体"/>
          <w:color w:val="000000" w:themeColor="text1"/>
          <w:sz w:val="30"/>
          <w:szCs w:val="30"/>
          <w:highlight w:val="none"/>
        </w:rPr>
      </w:r>
      <w:r>
        <w:rPr>
          <w:color w:val="000000" w:themeColor="text1"/>
        </w:rPr>
      </w:r>
    </w:p>
    <w:p>
      <w:pPr>
        <w:pStyle w:val="1012"/>
        <w:ind w:left="0" w:firstLine="1200"/>
        <w:keepLines w:val="0"/>
        <w:keepNext w:val="0"/>
        <w:pageBreakBefore w:val="0"/>
        <w:spacing w:line="500" w:lineRule="atLeast"/>
        <w:widowControl w:val="off"/>
        <w:rPr>
          <w:rFonts w:ascii="宋体" w:hAnsi="宋体" w:eastAsia="宋体" w:cs="宋体"/>
          <w:color w:val="000000" w:themeColor="text1"/>
          <w:sz w:val="30"/>
          <w:szCs w:val="30"/>
          <w:highlight w:val="none"/>
        </w:rPr>
      </w:pPr>
      <w:r>
        <w:rPr>
          <w:rFonts w:ascii="宋体" w:hAnsi="宋体" w:eastAsia="宋体" w:cs="宋体"/>
          <w:color w:val="000000" w:themeColor="text1"/>
          <w:sz w:val="30"/>
          <w:szCs w:val="30"/>
          <w:highlight w:val="none"/>
        </w:rPr>
      </w:r>
      <w:r>
        <w:rPr>
          <w:color w:val="000000" w:themeColor="text1"/>
        </w:rPr>
      </w:r>
    </w:p>
    <w:p>
      <w:pPr>
        <w:pStyle w:val="1012"/>
        <w:ind w:left="600" w:firstLine="0"/>
        <w:spacing w:line="500" w:lineRule="atLeast"/>
        <w:rPr>
          <w:rFonts w:ascii="宋体" w:hAnsi="宋体" w:eastAsia="宋体" w:cs="宋体"/>
          <w:color w:val="000000" w:themeColor="text1"/>
          <w:sz w:val="30"/>
          <w:szCs w:val="30"/>
          <w:highlight w:val="none"/>
        </w:rPr>
      </w:pPr>
      <w:r>
        <w:rPr>
          <w:rFonts w:ascii="宋体" w:hAnsi="宋体" w:eastAsia="宋体" w:cs="宋体"/>
          <w:color w:val="000000" w:themeColor="text1"/>
          <w:sz w:val="30"/>
          <w:szCs w:val="30"/>
          <w:highlight w:val="none"/>
        </w:rPr>
      </w:r>
      <w:r>
        <w:rPr>
          <w:color w:val="000000" w:themeColor="text1"/>
        </w:rPr>
      </w:r>
    </w:p>
    <w:p>
      <w:pPr>
        <w:pStyle w:val="1012"/>
        <w:ind w:firstLine="482"/>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r>
      <w:r>
        <w:rPr>
          <w:color w:val="000000" w:themeColor="text1"/>
        </w:rPr>
      </w:r>
    </w:p>
    <w:p>
      <w:pPr>
        <w:pStyle w:val="1249"/>
        <w:rPr>
          <w:rFonts w:hint="eastAsia"/>
          <w:color w:val="000000" w:themeColor="text1"/>
          <w:highlight w:val="none"/>
        </w:rPr>
      </w:pPr>
      <w:r>
        <w:rPr>
          <w:rFonts w:hint="eastAsia"/>
          <w:color w:val="000000" w:themeColor="text1"/>
          <w:highlight w:val="none"/>
        </w:rPr>
      </w:r>
      <w:r>
        <w:rPr>
          <w:color w:val="000000" w:themeColor="text1"/>
        </w:rPr>
      </w:r>
    </w:p>
    <w:p>
      <w:pPr>
        <w:pStyle w:val="1012"/>
        <w:ind w:firstLine="480"/>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1084"/>
        <w:ind w:firstLine="420"/>
        <w:rPr>
          <w:rFonts w:hint="eastAsia"/>
          <w:color w:val="000000" w:themeColor="text1"/>
          <w:highlight w:val="none"/>
        </w:rPr>
      </w:pPr>
      <w:r>
        <w:rPr>
          <w:rFonts w:hint="eastAsia"/>
          <w:color w:val="000000" w:themeColor="text1"/>
          <w:highlight w:val="none"/>
        </w:rPr>
      </w:r>
      <w:r>
        <w:rPr>
          <w:color w:val="000000" w:themeColor="text1"/>
        </w:rPr>
      </w:r>
    </w:p>
    <w:p>
      <w:pPr>
        <w:pStyle w:val="1091"/>
        <w:rPr>
          <w:rFonts w:hint="eastAsia"/>
          <w:color w:val="000000" w:themeColor="text1"/>
          <w:highlight w:val="none"/>
        </w:rPr>
      </w:pPr>
      <w:r>
        <w:rPr>
          <w:rFonts w:hint="eastAsia"/>
          <w:color w:val="000000" w:themeColor="text1"/>
          <w:highlight w:val="none"/>
        </w:rPr>
      </w:r>
      <w:r>
        <w:rPr>
          <w:color w:val="000000" w:themeColor="text1"/>
        </w:rPr>
      </w:r>
    </w:p>
    <w:p>
      <w:pPr>
        <w:pStyle w:val="1012"/>
        <w:ind w:firstLine="640"/>
        <w:jc w:val="center"/>
        <w:rPr>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r>
      <w:r>
        <w:rPr>
          <w:color w:val="000000" w:themeColor="text1"/>
        </w:rPr>
      </w:r>
    </w:p>
    <w:p>
      <w:pPr>
        <w:pStyle w:val="1012"/>
        <w:ind w:left="0" w:firstLine="0"/>
        <w:jc w:val="center"/>
        <w:rPr>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t xml:space="preserve">招标采购代理单位：</w:t>
      </w:r>
      <w:r>
        <w:rPr>
          <w:rFonts w:hint="eastAsia" w:ascii="宋体" w:hAnsi="宋体" w:eastAsia="宋体" w:cs="宋体"/>
          <w:color w:val="000000" w:themeColor="text1"/>
          <w:sz w:val="32"/>
          <w:szCs w:val="32"/>
          <w:highlight w:val="none"/>
          <w:lang w:eastAsia="zh-CN"/>
        </w:rPr>
        <w:t xml:space="preserve">江苏天奇项目管理咨询有限公司</w:t>
      </w:r>
      <w:r>
        <w:rPr>
          <w:rFonts w:hint="eastAsia" w:ascii="宋体" w:hAnsi="宋体" w:eastAsia="宋体" w:cs="宋体"/>
          <w:color w:val="000000" w:themeColor="text1"/>
          <w:sz w:val="32"/>
          <w:szCs w:val="32"/>
          <w:highlight w:val="none"/>
        </w:rPr>
      </w:r>
      <w:r>
        <w:rPr>
          <w:color w:val="000000" w:themeColor="text1"/>
        </w:rPr>
      </w:r>
    </w:p>
    <w:p>
      <w:pPr>
        <w:pStyle w:val="1012"/>
        <w:ind w:firstLine="0"/>
        <w:jc w:val="center"/>
        <w:rPr>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t xml:space="preserve">二〇二</w:t>
      </w:r>
      <w:r>
        <w:rPr>
          <w:rFonts w:hint="eastAsia" w:ascii="宋体" w:hAnsi="宋体" w:eastAsia="宋体" w:cs="宋体"/>
          <w:color w:val="000000" w:themeColor="text1"/>
          <w:sz w:val="32"/>
          <w:szCs w:val="32"/>
          <w:highlight w:val="none"/>
          <w:lang w:val="en-US" w:eastAsia="zh-CN"/>
        </w:rPr>
        <w:t xml:space="preserve">六</w:t>
      </w:r>
      <w:r>
        <w:rPr>
          <w:rFonts w:hint="eastAsia" w:ascii="宋体" w:hAnsi="宋体" w:eastAsia="宋体" w:cs="宋体"/>
          <w:color w:val="000000" w:themeColor="text1"/>
          <w:sz w:val="32"/>
          <w:szCs w:val="32"/>
          <w:highlight w:val="none"/>
        </w:rPr>
        <w:t xml:space="preserve">年</w:t>
      </w:r>
      <w:r>
        <w:rPr>
          <w:rFonts w:hint="eastAsia" w:ascii="宋体" w:hAnsi="宋体" w:eastAsia="宋体" w:cs="宋体"/>
          <w:color w:val="000000" w:themeColor="text1"/>
          <w:sz w:val="32"/>
          <w:szCs w:val="32"/>
          <w:highlight w:val="none"/>
          <w:lang w:val="en-US" w:eastAsia="zh-CN"/>
        </w:rPr>
        <w:t xml:space="preserve">八</w:t>
      </w:r>
      <w:r>
        <w:rPr>
          <w:rFonts w:hint="eastAsia" w:ascii="宋体" w:hAnsi="宋体" w:eastAsia="宋体" w:cs="宋体"/>
          <w:color w:val="000000" w:themeColor="text1"/>
          <w:sz w:val="32"/>
          <w:szCs w:val="32"/>
          <w:highlight w:val="none"/>
        </w:rPr>
        <w:t xml:space="preserve">月</w:t>
      </w:r>
      <w:r>
        <w:rPr>
          <w:rFonts w:hint="eastAsia" w:ascii="宋体" w:hAnsi="宋体" w:eastAsia="宋体" w:cs="宋体"/>
          <w:color w:val="000000" w:themeColor="text1"/>
          <w:sz w:val="32"/>
          <w:szCs w:val="32"/>
          <w:highlight w:val="none"/>
        </w:rPr>
      </w:r>
      <w:r>
        <w:rPr>
          <w:color w:val="000000" w:themeColor="text1"/>
        </w:rPr>
      </w:r>
    </w:p>
    <w:p>
      <w:pPr>
        <w:pStyle w:val="1012"/>
        <w:ind w:firstLine="0"/>
        <w:rPr>
          <w:rFonts w:hint="eastAsia" w:ascii="宋体" w:hAnsi="宋体" w:eastAsia="宋体" w:cs="宋体"/>
          <w:color w:val="000000" w:themeColor="text1"/>
          <w:sz w:val="44"/>
          <w:szCs w:val="44"/>
          <w:highlight w:val="none"/>
        </w:rPr>
      </w:pPr>
      <w:r>
        <w:rPr>
          <w:rFonts w:hint="eastAsia" w:ascii="宋体" w:hAnsi="宋体" w:eastAsia="宋体" w:cs="宋体"/>
          <w:color w:val="000000" w:themeColor="text1"/>
          <w:sz w:val="44"/>
          <w:szCs w:val="44"/>
          <w:highlight w:val="none"/>
        </w:rPr>
      </w:r>
      <w:r>
        <w:rPr>
          <w:color w:val="000000" w:themeColor="text1"/>
        </w:rPr>
      </w:r>
    </w:p>
    <w:p>
      <w:pPr>
        <w:pStyle w:val="1012"/>
        <w:ind w:firstLine="0"/>
        <w:rPr>
          <w:rFonts w:hint="eastAsia" w:ascii="宋体" w:hAnsi="宋体" w:eastAsia="宋体" w:cs="宋体"/>
          <w:color w:val="000000" w:themeColor="text1"/>
          <w:sz w:val="44"/>
          <w:szCs w:val="44"/>
          <w:highlight w:val="none"/>
        </w:rPr>
      </w:pPr>
      <w:r>
        <w:rPr>
          <w:rFonts w:hint="eastAsia" w:ascii="宋体" w:hAnsi="宋体" w:eastAsia="宋体" w:cs="宋体"/>
          <w:color w:val="000000" w:themeColor="text1"/>
          <w:sz w:val="44"/>
          <w:szCs w:val="44"/>
          <w:highlight w:val="none"/>
        </w:rPr>
      </w:r>
      <w:r>
        <w:rPr>
          <w:color w:val="000000" w:themeColor="text1"/>
        </w:rPr>
      </w:r>
    </w:p>
    <w:p>
      <w:pPr>
        <w:pStyle w:val="1012"/>
        <w:ind w:firstLine="0"/>
        <w:jc w:val="center"/>
        <w:rPr>
          <w:rFonts w:hint="eastAsia" w:ascii="宋体" w:hAnsi="宋体" w:eastAsia="宋体" w:cs="宋体"/>
          <w:b/>
          <w:bCs/>
          <w:color w:val="000000" w:themeColor="text1"/>
          <w:sz w:val="44"/>
          <w:szCs w:val="44"/>
          <w:highlight w:val="none"/>
        </w:rPr>
      </w:pPr>
      <w:r>
        <w:rPr>
          <w:rFonts w:hint="eastAsia" w:ascii="宋体" w:hAnsi="宋体" w:eastAsia="宋体" w:cs="宋体"/>
          <w:b/>
          <w:bCs/>
          <w:color w:val="000000" w:themeColor="text1"/>
          <w:sz w:val="44"/>
          <w:szCs w:val="44"/>
          <w:highlight w:val="none"/>
        </w:rPr>
      </w:r>
      <w:r>
        <w:rPr>
          <w:color w:val="000000" w:themeColor="text1"/>
        </w:rPr>
      </w:r>
    </w:p>
    <w:p>
      <w:pPr>
        <w:pStyle w:val="1030"/>
        <w:rPr>
          <w:rFonts w:hint="eastAsia" w:ascii="宋体" w:hAnsi="宋体" w:eastAsia="宋体" w:cs="宋体"/>
          <w:b/>
          <w:bCs/>
          <w:color w:val="000000" w:themeColor="text1"/>
          <w:sz w:val="44"/>
          <w:szCs w:val="44"/>
          <w:highlight w:val="none"/>
        </w:rPr>
      </w:pPr>
      <w:r>
        <w:rPr>
          <w:rFonts w:hint="eastAsia" w:ascii="宋体" w:hAnsi="宋体" w:eastAsia="宋体" w:cs="宋体"/>
          <w:b/>
          <w:bCs/>
          <w:color w:val="000000" w:themeColor="text1"/>
          <w:sz w:val="44"/>
          <w:szCs w:val="44"/>
          <w:highlight w:val="none"/>
        </w:rPr>
      </w:r>
      <w:r>
        <w:rPr>
          <w:color w:val="000000" w:themeColor="text1"/>
        </w:rPr>
      </w:r>
    </w:p>
    <w:p>
      <w:pPr>
        <w:pStyle w:val="1012"/>
        <w:rPr>
          <w:rFonts w:hint="eastAsia"/>
          <w:color w:val="000000" w:themeColor="text1"/>
          <w:highlight w:val="none"/>
        </w:rPr>
      </w:pPr>
      <w:r>
        <w:rPr>
          <w:rFonts w:hint="eastAsia"/>
          <w:color w:val="000000" w:themeColor="text1"/>
          <w:highlight w:val="none"/>
        </w:rPr>
      </w:r>
      <w:r>
        <w:rPr>
          <w:color w:val="000000" w:themeColor="text1"/>
        </w:rPr>
      </w:r>
    </w:p>
    <w:p>
      <w:pPr>
        <w:pStyle w:val="1012"/>
        <w:ind w:firstLine="0"/>
        <w:jc w:val="center"/>
        <w:rPr>
          <w:rFonts w:hint="eastAsia" w:ascii="宋体" w:hAnsi="宋体" w:eastAsia="宋体" w:cs="宋体"/>
          <w:b/>
          <w:bCs/>
          <w:color w:val="000000" w:themeColor="text1"/>
          <w:sz w:val="44"/>
          <w:szCs w:val="44"/>
          <w:highlight w:val="none"/>
        </w:rPr>
      </w:pPr>
      <w:r>
        <w:rPr>
          <w:rFonts w:hint="eastAsia" w:ascii="宋体" w:hAnsi="宋体" w:eastAsia="宋体" w:cs="宋体"/>
          <w:b/>
          <w:bCs/>
          <w:color w:val="000000" w:themeColor="text1"/>
          <w:sz w:val="44"/>
          <w:szCs w:val="44"/>
          <w:highlight w:val="none"/>
        </w:rPr>
        <w:t xml:space="preserve">总目录</w:t>
      </w:r>
      <w:r>
        <w:rPr>
          <w:rFonts w:hint="eastAsia" w:ascii="宋体" w:hAnsi="宋体" w:eastAsia="宋体" w:cs="宋体"/>
          <w:b/>
          <w:bCs/>
          <w:color w:val="000000" w:themeColor="text1"/>
          <w:sz w:val="44"/>
          <w:szCs w:val="44"/>
          <w:highlight w:val="none"/>
        </w:rPr>
      </w:r>
      <w:r>
        <w:rPr>
          <w:color w:val="000000" w:themeColor="text1"/>
        </w:rPr>
      </w:r>
    </w:p>
    <w:p>
      <w:pPr>
        <w:pStyle w:val="1084"/>
        <w:ind w:firstLine="562"/>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r>
      <w:r>
        <w:rPr>
          <w:color w:val="000000" w:themeColor="text1"/>
        </w:rPr>
      </w:r>
    </w:p>
    <w:p>
      <w:pPr>
        <w:pStyle w:val="1093"/>
        <w:tabs>
          <w:tab w:val="right" w:pos="8296" w:leader="dot"/>
          <w:tab w:val="right" w:pos="8306" w:leader="dot"/>
        </w:tabs>
        <w:rPr>
          <w:color w:val="000000" w:themeColor="text1"/>
          <w:sz w:val="28"/>
          <w:szCs w:val="28"/>
          <w:highlight w:val="none"/>
        </w:rPr>
      </w:pP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TOC \o "1-2" \h \z \u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HYPERLINK \l _Toc9375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bCs/>
          <w:color w:val="000000" w:themeColor="text1"/>
          <w:sz w:val="28"/>
          <w:szCs w:val="28"/>
          <w:highlight w:val="none"/>
        </w:rPr>
        <w:t xml:space="preserve">第一章 </w:t>
      </w:r>
      <w:r>
        <w:rPr>
          <w:rFonts w:hint="eastAsia" w:ascii="宋体" w:hAnsi="宋体" w:eastAsia="宋体" w:cs="宋体"/>
          <w:bCs/>
          <w:color w:val="000000" w:themeColor="text1"/>
          <w:sz w:val="28"/>
          <w:szCs w:val="28"/>
          <w:highlight w:val="none"/>
          <w:lang w:val="en-US" w:eastAsia="zh-CN"/>
        </w:rPr>
        <w:t xml:space="preserve">投标邀请</w:t>
      </w:r>
      <w:r>
        <w:rPr>
          <w:color w:val="000000" w:themeColor="text1"/>
          <w:sz w:val="28"/>
          <w:szCs w:val="28"/>
          <w:highlight w:val="none"/>
        </w:rPr>
        <w:tab/>
      </w:r>
      <w:r>
        <w:rPr>
          <w:color w:val="000000" w:themeColor="text1"/>
          <w:sz w:val="28"/>
          <w:szCs w:val="28"/>
          <w:highlight w:val="none"/>
        </w:rPr>
        <w:fldChar w:fldCharType="begin"/>
      </w:r>
      <w:r>
        <w:rPr>
          <w:color w:val="000000" w:themeColor="text1"/>
          <w:sz w:val="28"/>
          <w:szCs w:val="28"/>
          <w:highlight w:val="none"/>
        </w:rPr>
        <w:instrText xml:space="preserve"> PAGEREF _Toc28387 </w:instrText>
      </w:r>
      <w:r>
        <w:rPr>
          <w:color w:val="000000" w:themeColor="text1"/>
          <w:sz w:val="28"/>
          <w:szCs w:val="28"/>
          <w:highlight w:val="none"/>
        </w:rPr>
        <w:fldChar w:fldCharType="separate"/>
      </w:r>
      <w:r>
        <w:rPr>
          <w:color w:val="000000" w:themeColor="text1"/>
          <w:sz w:val="28"/>
          <w:szCs w:val="28"/>
          <w:highlight w:val="none"/>
        </w:rPr>
        <w:t xml:space="preserve">- </w:t>
      </w:r>
      <w:r>
        <w:rPr>
          <w:rFonts w:hint="eastAsia"/>
          <w:color w:val="000000" w:themeColor="text1"/>
          <w:sz w:val="28"/>
          <w:szCs w:val="28"/>
          <w:highlight w:val="none"/>
          <w:lang w:val="en-US" w:eastAsia="zh-CN"/>
        </w:rPr>
        <w:t xml:space="preserve">3</w:t>
      </w:r>
      <w:r>
        <w:rPr>
          <w:color w:val="000000" w:themeColor="text1"/>
          <w:sz w:val="28"/>
          <w:szCs w:val="28"/>
          <w:highlight w:val="none"/>
        </w:rPr>
        <w:t xml:space="preserve"> -</w:t>
      </w:r>
      <w:r>
        <w:rPr>
          <w:color w:val="000000" w:themeColor="text1"/>
          <w:sz w:val="28"/>
          <w:szCs w:val="28"/>
          <w:highlight w:val="none"/>
        </w:rPr>
        <w:fldChar w:fldCharType="end"/>
      </w:r>
      <w:r>
        <w:rPr>
          <w:rFonts w:hint="eastAsia" w:ascii="宋体" w:hAnsi="宋体" w:eastAsia="宋体" w:cs="宋体"/>
          <w:color w:val="000000" w:themeColor="text1"/>
          <w:sz w:val="28"/>
          <w:szCs w:val="28"/>
          <w:highlight w:val="none"/>
        </w:rPr>
        <w:fldChar w:fldCharType="end"/>
      </w:r>
      <w:r>
        <w:rPr>
          <w:color w:val="000000" w:themeColor="text1"/>
          <w:sz w:val="28"/>
          <w:szCs w:val="28"/>
          <w:highlight w:val="none"/>
        </w:rPr>
      </w:r>
      <w:r>
        <w:rPr>
          <w:color w:val="000000" w:themeColor="text1"/>
        </w:rPr>
      </w:r>
    </w:p>
    <w:p>
      <w:pPr>
        <w:pStyle w:val="1093"/>
        <w:tabs>
          <w:tab w:val="right" w:pos="8296" w:leader="dot"/>
          <w:tab w:val="right" w:pos="8306" w:leader="dot"/>
        </w:tabs>
        <w:rPr>
          <w:color w:val="000000" w:themeColor="text1"/>
          <w:sz w:val="28"/>
          <w:szCs w:val="28"/>
          <w:highlight w:val="none"/>
        </w:rPr>
      </w:pPr>
      <w:r>
        <w:rPr>
          <w:rFonts w:hint="eastAsia" w:ascii="宋体" w:hAnsi="宋体" w:eastAsia="宋体" w:cs="宋体"/>
          <w:bCs w:val="0"/>
          <w:caps w:val="0"/>
          <w:color w:val="000000" w:themeColor="text1"/>
          <w:sz w:val="28"/>
          <w:szCs w:val="28"/>
          <w:highlight w:val="none"/>
        </w:rPr>
        <w:fldChar w:fldCharType="begin"/>
      </w:r>
      <w:r>
        <w:rPr>
          <w:rFonts w:hint="eastAsia" w:ascii="宋体" w:hAnsi="宋体" w:eastAsia="宋体" w:cs="宋体"/>
          <w:bCs w:val="0"/>
          <w:caps w:val="0"/>
          <w:color w:val="000000" w:themeColor="text1"/>
          <w:sz w:val="28"/>
          <w:szCs w:val="28"/>
          <w:highlight w:val="none"/>
        </w:rPr>
        <w:instrText xml:space="preserve"> HYPERLINK \l _Toc28387 </w:instrText>
      </w:r>
      <w:r>
        <w:rPr>
          <w:rFonts w:hint="eastAsia" w:ascii="宋体" w:hAnsi="宋体" w:eastAsia="宋体" w:cs="宋体"/>
          <w:bCs w:val="0"/>
          <w:caps w:val="0"/>
          <w:color w:val="000000" w:themeColor="text1"/>
          <w:sz w:val="28"/>
          <w:szCs w:val="28"/>
          <w:highlight w:val="none"/>
        </w:rPr>
        <w:fldChar w:fldCharType="separate"/>
      </w:r>
      <w:r>
        <w:rPr>
          <w:rFonts w:hint="eastAsia" w:ascii="宋体" w:hAnsi="宋体" w:eastAsia="宋体" w:cs="宋体"/>
          <w:bCs/>
          <w:color w:val="000000" w:themeColor="text1"/>
          <w:sz w:val="28"/>
          <w:szCs w:val="28"/>
          <w:highlight w:val="none"/>
        </w:rPr>
        <w:t xml:space="preserve">第二章 投标人须知</w:t>
      </w:r>
      <w:r>
        <w:rPr>
          <w:color w:val="000000" w:themeColor="text1"/>
          <w:sz w:val="28"/>
          <w:szCs w:val="28"/>
          <w:highlight w:val="none"/>
        </w:rPr>
        <w:tab/>
      </w:r>
      <w:r>
        <w:rPr>
          <w:color w:val="000000" w:themeColor="text1"/>
          <w:sz w:val="28"/>
          <w:szCs w:val="28"/>
          <w:highlight w:val="none"/>
        </w:rPr>
        <w:fldChar w:fldCharType="begin"/>
      </w:r>
      <w:r>
        <w:rPr>
          <w:color w:val="000000" w:themeColor="text1"/>
          <w:sz w:val="28"/>
          <w:szCs w:val="28"/>
          <w:highlight w:val="none"/>
        </w:rPr>
        <w:instrText xml:space="preserve"> PAGEREF _Toc28387 </w:instrText>
      </w:r>
      <w:r>
        <w:rPr>
          <w:color w:val="000000" w:themeColor="text1"/>
          <w:sz w:val="28"/>
          <w:szCs w:val="28"/>
          <w:highlight w:val="none"/>
        </w:rPr>
        <w:fldChar w:fldCharType="separate"/>
      </w:r>
      <w:r>
        <w:rPr>
          <w:color w:val="000000" w:themeColor="text1"/>
          <w:sz w:val="28"/>
          <w:szCs w:val="28"/>
          <w:highlight w:val="none"/>
        </w:rPr>
        <w:t xml:space="preserve">- 4 -</w:t>
      </w:r>
      <w:r>
        <w:rPr>
          <w:color w:val="000000" w:themeColor="text1"/>
          <w:sz w:val="28"/>
          <w:szCs w:val="28"/>
          <w:highlight w:val="none"/>
        </w:rPr>
        <w:fldChar w:fldCharType="end"/>
      </w:r>
      <w:r>
        <w:rPr>
          <w:rFonts w:hint="eastAsia" w:ascii="宋体" w:hAnsi="宋体" w:eastAsia="宋体" w:cs="宋体"/>
          <w:bCs w:val="0"/>
          <w:caps w:val="0"/>
          <w:color w:val="000000" w:themeColor="text1"/>
          <w:sz w:val="28"/>
          <w:szCs w:val="28"/>
          <w:highlight w:val="none"/>
        </w:rPr>
        <w:fldChar w:fldCharType="end"/>
      </w:r>
      <w:r>
        <w:rPr>
          <w:color w:val="000000" w:themeColor="text1"/>
          <w:sz w:val="28"/>
          <w:szCs w:val="28"/>
          <w:highlight w:val="none"/>
        </w:rPr>
      </w:r>
      <w:r>
        <w:rPr>
          <w:color w:val="000000" w:themeColor="text1"/>
        </w:rPr>
      </w:r>
    </w:p>
    <w:p>
      <w:pPr>
        <w:pStyle w:val="1093"/>
        <w:tabs>
          <w:tab w:val="right" w:pos="8296" w:leader="dot"/>
          <w:tab w:val="right" w:pos="8306" w:leader="dot"/>
        </w:tabs>
        <w:rPr>
          <w:color w:val="000000" w:themeColor="text1"/>
          <w:sz w:val="28"/>
          <w:szCs w:val="28"/>
          <w:highlight w:val="none"/>
        </w:rPr>
      </w:pPr>
      <w:r>
        <w:rPr>
          <w:rFonts w:hint="eastAsia" w:ascii="宋体" w:hAnsi="宋体" w:eastAsia="宋体" w:cs="宋体"/>
          <w:bCs w:val="0"/>
          <w:caps w:val="0"/>
          <w:color w:val="000000" w:themeColor="text1"/>
          <w:sz w:val="28"/>
          <w:szCs w:val="28"/>
          <w:highlight w:val="none"/>
        </w:rPr>
        <w:fldChar w:fldCharType="begin"/>
      </w:r>
      <w:r>
        <w:rPr>
          <w:rFonts w:hint="eastAsia" w:ascii="宋体" w:hAnsi="宋体" w:eastAsia="宋体" w:cs="宋体"/>
          <w:bCs w:val="0"/>
          <w:caps w:val="0"/>
          <w:color w:val="000000" w:themeColor="text1"/>
          <w:sz w:val="28"/>
          <w:szCs w:val="28"/>
          <w:highlight w:val="none"/>
        </w:rPr>
        <w:instrText xml:space="preserve"> HYPERLINK \l _Toc23298 </w:instrText>
      </w:r>
      <w:r>
        <w:rPr>
          <w:rFonts w:hint="eastAsia" w:ascii="宋体" w:hAnsi="宋体" w:eastAsia="宋体" w:cs="宋体"/>
          <w:bCs w:val="0"/>
          <w:caps w:val="0"/>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第三章 投标资料表</w:t>
      </w:r>
      <w:r>
        <w:rPr>
          <w:color w:val="000000" w:themeColor="text1"/>
          <w:sz w:val="28"/>
          <w:szCs w:val="28"/>
          <w:highlight w:val="none"/>
        </w:rPr>
        <w:tab/>
      </w:r>
      <w:r>
        <w:rPr>
          <w:color w:val="000000" w:themeColor="text1"/>
          <w:sz w:val="28"/>
          <w:szCs w:val="28"/>
          <w:highlight w:val="none"/>
        </w:rPr>
        <w:fldChar w:fldCharType="begin"/>
      </w:r>
      <w:r>
        <w:rPr>
          <w:color w:val="000000" w:themeColor="text1"/>
          <w:sz w:val="28"/>
          <w:szCs w:val="28"/>
          <w:highlight w:val="none"/>
        </w:rPr>
        <w:instrText xml:space="preserve"> PAGEREF _Toc23298 </w:instrText>
      </w:r>
      <w:r>
        <w:rPr>
          <w:color w:val="000000" w:themeColor="text1"/>
          <w:sz w:val="28"/>
          <w:szCs w:val="28"/>
          <w:highlight w:val="none"/>
        </w:rPr>
        <w:fldChar w:fldCharType="separate"/>
      </w:r>
      <w:r>
        <w:rPr>
          <w:color w:val="000000" w:themeColor="text1"/>
          <w:sz w:val="28"/>
          <w:szCs w:val="28"/>
          <w:highlight w:val="none"/>
        </w:rPr>
        <w:t xml:space="preserve">- 1</w:t>
      </w:r>
      <w:r>
        <w:rPr>
          <w:rFonts w:hint="eastAsia"/>
          <w:color w:val="000000" w:themeColor="text1"/>
          <w:sz w:val="28"/>
          <w:szCs w:val="28"/>
          <w:highlight w:val="none"/>
          <w:lang w:val="en-US" w:eastAsia="zh-CN"/>
        </w:rPr>
        <w:t xml:space="preserve">7</w:t>
      </w:r>
      <w:r>
        <w:rPr>
          <w:color w:val="000000" w:themeColor="text1"/>
          <w:sz w:val="28"/>
          <w:szCs w:val="28"/>
          <w:highlight w:val="none"/>
        </w:rPr>
        <w:t xml:space="preserve"> -</w:t>
      </w:r>
      <w:r>
        <w:rPr>
          <w:color w:val="000000" w:themeColor="text1"/>
          <w:sz w:val="28"/>
          <w:szCs w:val="28"/>
          <w:highlight w:val="none"/>
        </w:rPr>
        <w:fldChar w:fldCharType="end"/>
      </w:r>
      <w:r>
        <w:rPr>
          <w:rFonts w:hint="eastAsia" w:ascii="宋体" w:hAnsi="宋体" w:eastAsia="宋体" w:cs="宋体"/>
          <w:bCs w:val="0"/>
          <w:caps w:val="0"/>
          <w:color w:val="000000" w:themeColor="text1"/>
          <w:sz w:val="28"/>
          <w:szCs w:val="28"/>
          <w:highlight w:val="none"/>
        </w:rPr>
        <w:fldChar w:fldCharType="end"/>
      </w:r>
      <w:r>
        <w:rPr>
          <w:color w:val="000000" w:themeColor="text1"/>
          <w:sz w:val="28"/>
          <w:szCs w:val="28"/>
          <w:highlight w:val="none"/>
        </w:rPr>
      </w:r>
      <w:r>
        <w:rPr>
          <w:color w:val="000000" w:themeColor="text1"/>
        </w:rPr>
      </w:r>
    </w:p>
    <w:p>
      <w:pPr>
        <w:pStyle w:val="1093"/>
        <w:tabs>
          <w:tab w:val="right" w:pos="8296" w:leader="dot"/>
          <w:tab w:val="right" w:pos="8306" w:leader="dot"/>
        </w:tabs>
        <w:rPr>
          <w:color w:val="000000" w:themeColor="text1"/>
          <w:sz w:val="28"/>
          <w:szCs w:val="28"/>
          <w:highlight w:val="none"/>
        </w:rPr>
      </w:pPr>
      <w:r>
        <w:rPr>
          <w:rFonts w:hint="eastAsia" w:ascii="宋体" w:hAnsi="宋体" w:eastAsia="宋体" w:cs="宋体"/>
          <w:bCs w:val="0"/>
          <w:caps w:val="0"/>
          <w:color w:val="000000" w:themeColor="text1"/>
          <w:sz w:val="28"/>
          <w:szCs w:val="28"/>
          <w:highlight w:val="none"/>
        </w:rPr>
        <w:fldChar w:fldCharType="begin"/>
      </w:r>
      <w:r>
        <w:rPr>
          <w:rFonts w:hint="eastAsia" w:ascii="宋体" w:hAnsi="宋体" w:eastAsia="宋体" w:cs="宋体"/>
          <w:bCs w:val="0"/>
          <w:caps w:val="0"/>
          <w:color w:val="000000" w:themeColor="text1"/>
          <w:sz w:val="28"/>
          <w:szCs w:val="28"/>
          <w:highlight w:val="none"/>
        </w:rPr>
        <w:instrText xml:space="preserve"> HYPERLINK \l _Toc9360 </w:instrText>
      </w:r>
      <w:r>
        <w:rPr>
          <w:rFonts w:hint="eastAsia" w:ascii="宋体" w:hAnsi="宋体" w:eastAsia="宋体" w:cs="宋体"/>
          <w:bCs w:val="0"/>
          <w:caps w:val="0"/>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第四章 评标标准</w:t>
      </w:r>
      <w:r>
        <w:rPr>
          <w:color w:val="000000" w:themeColor="text1"/>
          <w:sz w:val="28"/>
          <w:szCs w:val="28"/>
          <w:highlight w:val="none"/>
        </w:rPr>
        <w:tab/>
      </w:r>
      <w:r>
        <w:rPr>
          <w:color w:val="000000" w:themeColor="text1"/>
          <w:sz w:val="28"/>
          <w:szCs w:val="28"/>
          <w:highlight w:val="none"/>
        </w:rPr>
        <w:fldChar w:fldCharType="begin"/>
      </w:r>
      <w:r>
        <w:rPr>
          <w:color w:val="000000" w:themeColor="text1"/>
          <w:sz w:val="28"/>
          <w:szCs w:val="28"/>
          <w:highlight w:val="none"/>
        </w:rPr>
        <w:instrText xml:space="preserve"> PAGEREF _Toc9360 </w:instrText>
      </w:r>
      <w:r>
        <w:rPr>
          <w:color w:val="000000" w:themeColor="text1"/>
          <w:sz w:val="28"/>
          <w:szCs w:val="28"/>
          <w:highlight w:val="none"/>
        </w:rPr>
        <w:fldChar w:fldCharType="separate"/>
      </w:r>
      <w:r>
        <w:rPr>
          <w:color w:val="000000" w:themeColor="text1"/>
          <w:sz w:val="28"/>
          <w:szCs w:val="28"/>
          <w:highlight w:val="none"/>
        </w:rPr>
        <w:t xml:space="preserve">- 29 -</w:t>
      </w:r>
      <w:r>
        <w:rPr>
          <w:color w:val="000000" w:themeColor="text1"/>
          <w:sz w:val="28"/>
          <w:szCs w:val="28"/>
          <w:highlight w:val="none"/>
        </w:rPr>
        <w:fldChar w:fldCharType="end"/>
      </w:r>
      <w:r>
        <w:rPr>
          <w:rFonts w:hint="eastAsia" w:ascii="宋体" w:hAnsi="宋体" w:eastAsia="宋体" w:cs="宋体"/>
          <w:bCs w:val="0"/>
          <w:caps w:val="0"/>
          <w:color w:val="000000" w:themeColor="text1"/>
          <w:sz w:val="28"/>
          <w:szCs w:val="28"/>
          <w:highlight w:val="none"/>
        </w:rPr>
        <w:fldChar w:fldCharType="end"/>
      </w:r>
      <w:r>
        <w:rPr>
          <w:color w:val="000000" w:themeColor="text1"/>
          <w:sz w:val="28"/>
          <w:szCs w:val="28"/>
          <w:highlight w:val="none"/>
        </w:rPr>
      </w:r>
      <w:r>
        <w:rPr>
          <w:color w:val="000000" w:themeColor="text1"/>
        </w:rPr>
      </w:r>
    </w:p>
    <w:p>
      <w:pPr>
        <w:pStyle w:val="1093"/>
        <w:tabs>
          <w:tab w:val="right" w:pos="8296" w:leader="dot"/>
          <w:tab w:val="right" w:pos="8306" w:leader="dot"/>
        </w:tabs>
        <w:rPr>
          <w:color w:val="000000" w:themeColor="text1"/>
          <w:sz w:val="28"/>
          <w:szCs w:val="28"/>
          <w:highlight w:val="none"/>
        </w:rPr>
      </w:pPr>
      <w:r>
        <w:rPr>
          <w:rFonts w:hint="eastAsia" w:ascii="宋体" w:hAnsi="宋体" w:eastAsia="宋体" w:cs="宋体"/>
          <w:bCs w:val="0"/>
          <w:caps w:val="0"/>
          <w:color w:val="000000" w:themeColor="text1"/>
          <w:sz w:val="28"/>
          <w:szCs w:val="28"/>
          <w:highlight w:val="none"/>
        </w:rPr>
        <w:fldChar w:fldCharType="begin"/>
      </w:r>
      <w:r>
        <w:rPr>
          <w:rFonts w:hint="eastAsia" w:ascii="宋体" w:hAnsi="宋体" w:eastAsia="宋体" w:cs="宋体"/>
          <w:bCs w:val="0"/>
          <w:caps w:val="0"/>
          <w:color w:val="000000" w:themeColor="text1"/>
          <w:sz w:val="28"/>
          <w:szCs w:val="28"/>
          <w:highlight w:val="none"/>
        </w:rPr>
        <w:instrText xml:space="preserve"> HYPERLINK \l _Toc4628 </w:instrText>
      </w:r>
      <w:r>
        <w:rPr>
          <w:rFonts w:hint="eastAsia" w:ascii="宋体" w:hAnsi="宋体" w:eastAsia="宋体" w:cs="宋体"/>
          <w:bCs w:val="0"/>
          <w:caps w:val="0"/>
          <w:color w:val="000000" w:themeColor="text1"/>
          <w:sz w:val="28"/>
          <w:szCs w:val="28"/>
          <w:highlight w:val="none"/>
        </w:rPr>
        <w:fldChar w:fldCharType="separate"/>
      </w:r>
      <w:r>
        <w:rPr>
          <w:rFonts w:hint="eastAsia" w:ascii="宋体" w:hAnsi="宋体" w:eastAsia="宋体" w:cs="宋体"/>
          <w:bCs/>
          <w:color w:val="000000" w:themeColor="text1"/>
          <w:sz w:val="28"/>
          <w:szCs w:val="28"/>
          <w:highlight w:val="none"/>
        </w:rPr>
        <w:t xml:space="preserve">第五章 拟签订的合同文本</w:t>
      </w:r>
      <w:r>
        <w:rPr>
          <w:color w:val="000000" w:themeColor="text1"/>
          <w:sz w:val="28"/>
          <w:szCs w:val="28"/>
          <w:highlight w:val="none"/>
        </w:rPr>
        <w:tab/>
      </w:r>
      <w:r>
        <w:rPr>
          <w:color w:val="000000" w:themeColor="text1"/>
          <w:sz w:val="28"/>
          <w:szCs w:val="28"/>
          <w:highlight w:val="none"/>
        </w:rPr>
        <w:fldChar w:fldCharType="begin"/>
      </w:r>
      <w:r>
        <w:rPr>
          <w:color w:val="000000" w:themeColor="text1"/>
          <w:sz w:val="28"/>
          <w:szCs w:val="28"/>
          <w:highlight w:val="none"/>
        </w:rPr>
        <w:instrText xml:space="preserve"> PAGEREF _Toc4628 </w:instrText>
      </w:r>
      <w:r>
        <w:rPr>
          <w:color w:val="000000" w:themeColor="text1"/>
          <w:sz w:val="28"/>
          <w:szCs w:val="28"/>
          <w:highlight w:val="none"/>
        </w:rPr>
        <w:fldChar w:fldCharType="separate"/>
      </w:r>
      <w:r>
        <w:rPr>
          <w:color w:val="000000" w:themeColor="text1"/>
          <w:sz w:val="28"/>
          <w:szCs w:val="28"/>
          <w:highlight w:val="none"/>
        </w:rPr>
        <w:t xml:space="preserve">- 31 -</w:t>
      </w:r>
      <w:r>
        <w:rPr>
          <w:color w:val="000000" w:themeColor="text1"/>
          <w:sz w:val="28"/>
          <w:szCs w:val="28"/>
          <w:highlight w:val="none"/>
        </w:rPr>
        <w:fldChar w:fldCharType="end"/>
      </w:r>
      <w:r>
        <w:rPr>
          <w:rFonts w:hint="eastAsia" w:ascii="宋体" w:hAnsi="宋体" w:eastAsia="宋体" w:cs="宋体"/>
          <w:bCs w:val="0"/>
          <w:caps w:val="0"/>
          <w:color w:val="000000" w:themeColor="text1"/>
          <w:sz w:val="28"/>
          <w:szCs w:val="28"/>
          <w:highlight w:val="none"/>
        </w:rPr>
        <w:fldChar w:fldCharType="end"/>
      </w:r>
      <w:r>
        <w:rPr>
          <w:color w:val="000000" w:themeColor="text1"/>
          <w:sz w:val="28"/>
          <w:szCs w:val="28"/>
          <w:highlight w:val="none"/>
        </w:rPr>
      </w:r>
      <w:r>
        <w:rPr>
          <w:color w:val="000000" w:themeColor="text1"/>
        </w:rPr>
      </w:r>
    </w:p>
    <w:p>
      <w:pPr>
        <w:pStyle w:val="1093"/>
        <w:tabs>
          <w:tab w:val="right" w:pos="8296" w:leader="dot"/>
          <w:tab w:val="right" w:pos="8306" w:leader="dot"/>
        </w:tabs>
        <w:rPr>
          <w:color w:val="000000" w:themeColor="text1"/>
          <w:sz w:val="28"/>
          <w:szCs w:val="28"/>
          <w:highlight w:val="none"/>
        </w:rPr>
      </w:pPr>
      <w:r>
        <w:rPr>
          <w:rFonts w:hint="eastAsia" w:ascii="宋体" w:hAnsi="宋体" w:eastAsia="宋体" w:cs="宋体"/>
          <w:bCs w:val="0"/>
          <w:caps w:val="0"/>
          <w:color w:val="000000" w:themeColor="text1"/>
          <w:sz w:val="28"/>
          <w:szCs w:val="28"/>
          <w:highlight w:val="none"/>
        </w:rPr>
        <w:fldChar w:fldCharType="begin"/>
      </w:r>
      <w:r>
        <w:rPr>
          <w:rFonts w:hint="eastAsia" w:ascii="宋体" w:hAnsi="宋体" w:eastAsia="宋体" w:cs="宋体"/>
          <w:bCs w:val="0"/>
          <w:caps w:val="0"/>
          <w:color w:val="000000" w:themeColor="text1"/>
          <w:sz w:val="28"/>
          <w:szCs w:val="28"/>
          <w:highlight w:val="none"/>
        </w:rPr>
        <w:instrText xml:space="preserve"> HYPERLINK \l _Toc20278 </w:instrText>
      </w:r>
      <w:r>
        <w:rPr>
          <w:rFonts w:hint="eastAsia" w:ascii="宋体" w:hAnsi="宋体" w:eastAsia="宋体" w:cs="宋体"/>
          <w:bCs w:val="0"/>
          <w:caps w:val="0"/>
          <w:color w:val="000000" w:themeColor="text1"/>
          <w:sz w:val="28"/>
          <w:szCs w:val="28"/>
          <w:highlight w:val="none"/>
        </w:rPr>
        <w:fldChar w:fldCharType="separate"/>
      </w:r>
      <w:r>
        <w:rPr>
          <w:rFonts w:hint="eastAsia" w:ascii="宋体" w:hAnsi="宋体" w:eastAsia="宋体" w:cs="宋体"/>
          <w:bCs w:val="0"/>
          <w:color w:val="000000" w:themeColor="text1"/>
          <w:sz w:val="28"/>
          <w:szCs w:val="28"/>
          <w:highlight w:val="none"/>
        </w:rPr>
        <w:t xml:space="preserve">第六章 </w:t>
      </w:r>
      <w:r>
        <w:rPr>
          <w:rFonts w:hint="eastAsia" w:ascii="宋体" w:hAnsi="宋体" w:eastAsia="宋体" w:cs="宋体"/>
          <w:bCs/>
          <w:color w:val="000000" w:themeColor="text1"/>
          <w:sz w:val="28"/>
          <w:szCs w:val="28"/>
          <w:highlight w:val="none"/>
        </w:rPr>
        <w:t xml:space="preserve">采购需求</w:t>
      </w:r>
      <w:r>
        <w:rPr>
          <w:color w:val="000000" w:themeColor="text1"/>
          <w:sz w:val="28"/>
          <w:szCs w:val="28"/>
          <w:highlight w:val="none"/>
        </w:rPr>
        <w:tab/>
      </w:r>
      <w:r>
        <w:rPr>
          <w:color w:val="000000" w:themeColor="text1"/>
          <w:sz w:val="28"/>
          <w:szCs w:val="28"/>
          <w:highlight w:val="none"/>
        </w:rPr>
        <w:fldChar w:fldCharType="begin"/>
      </w:r>
      <w:r>
        <w:rPr>
          <w:color w:val="000000" w:themeColor="text1"/>
          <w:sz w:val="28"/>
          <w:szCs w:val="28"/>
          <w:highlight w:val="none"/>
        </w:rPr>
        <w:instrText xml:space="preserve"> PAGEREF _Toc20278 </w:instrText>
      </w:r>
      <w:r>
        <w:rPr>
          <w:color w:val="000000" w:themeColor="text1"/>
          <w:sz w:val="28"/>
          <w:szCs w:val="28"/>
          <w:highlight w:val="none"/>
        </w:rPr>
        <w:fldChar w:fldCharType="separate"/>
      </w:r>
      <w:r>
        <w:rPr>
          <w:color w:val="000000" w:themeColor="text1"/>
          <w:sz w:val="28"/>
          <w:szCs w:val="28"/>
          <w:highlight w:val="none"/>
        </w:rPr>
        <w:t xml:space="preserve">- 48 -</w:t>
      </w:r>
      <w:r>
        <w:rPr>
          <w:color w:val="000000" w:themeColor="text1"/>
          <w:sz w:val="28"/>
          <w:szCs w:val="28"/>
          <w:highlight w:val="none"/>
        </w:rPr>
        <w:fldChar w:fldCharType="end"/>
      </w:r>
      <w:r>
        <w:rPr>
          <w:rFonts w:hint="eastAsia" w:ascii="宋体" w:hAnsi="宋体" w:eastAsia="宋体" w:cs="宋体"/>
          <w:bCs w:val="0"/>
          <w:caps w:val="0"/>
          <w:color w:val="000000" w:themeColor="text1"/>
          <w:sz w:val="28"/>
          <w:szCs w:val="28"/>
          <w:highlight w:val="none"/>
        </w:rPr>
        <w:fldChar w:fldCharType="end"/>
      </w:r>
      <w:r>
        <w:rPr>
          <w:color w:val="000000" w:themeColor="text1"/>
          <w:sz w:val="28"/>
          <w:szCs w:val="28"/>
          <w:highlight w:val="none"/>
        </w:rPr>
      </w:r>
      <w:r>
        <w:rPr>
          <w:color w:val="000000" w:themeColor="text1"/>
        </w:rPr>
      </w:r>
    </w:p>
    <w:p>
      <w:pPr>
        <w:pStyle w:val="1093"/>
        <w:tabs>
          <w:tab w:val="right" w:pos="8296" w:leader="dot"/>
          <w:tab w:val="right" w:pos="8306" w:leader="dot"/>
        </w:tabs>
        <w:rPr>
          <w:rFonts w:hint="eastAsia" w:eastAsia="宋体"/>
          <w:color w:val="000000" w:themeColor="text1"/>
          <w:sz w:val="28"/>
          <w:szCs w:val="28"/>
          <w:highlight w:val="none"/>
        </w:rPr>
      </w:pPr>
      <w:r>
        <w:rPr>
          <w:rFonts w:hint="eastAsia" w:ascii="宋体" w:hAnsi="宋体" w:eastAsia="宋体" w:cs="宋体"/>
          <w:bCs w:val="0"/>
          <w:caps w:val="0"/>
          <w:color w:val="000000" w:themeColor="text1"/>
          <w:sz w:val="28"/>
          <w:szCs w:val="28"/>
          <w:highlight w:val="none"/>
        </w:rPr>
        <w:fldChar w:fldCharType="begin"/>
      </w:r>
      <w:r>
        <w:rPr>
          <w:rFonts w:hint="eastAsia" w:ascii="宋体" w:hAnsi="宋体" w:eastAsia="宋体" w:cs="宋体"/>
          <w:bCs w:val="0"/>
          <w:caps w:val="0"/>
          <w:color w:val="000000" w:themeColor="text1"/>
          <w:sz w:val="28"/>
          <w:szCs w:val="28"/>
          <w:highlight w:val="none"/>
        </w:rPr>
        <w:instrText xml:space="preserve"> HYPERLINK \l _Toc4773 </w:instrText>
      </w:r>
      <w:r>
        <w:rPr>
          <w:rFonts w:hint="eastAsia" w:ascii="宋体" w:hAnsi="宋体" w:eastAsia="宋体" w:cs="宋体"/>
          <w:bCs w:val="0"/>
          <w:caps w:val="0"/>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第七章 投标文件相关格式</w:t>
      </w:r>
      <w:r>
        <w:rPr>
          <w:color w:val="000000" w:themeColor="text1"/>
          <w:sz w:val="28"/>
          <w:szCs w:val="28"/>
          <w:highlight w:val="none"/>
        </w:rPr>
        <w:tab/>
      </w:r>
      <w:r>
        <w:rPr>
          <w:color w:val="000000" w:themeColor="text1"/>
          <w:sz w:val="28"/>
          <w:szCs w:val="28"/>
          <w:highlight w:val="none"/>
        </w:rPr>
        <w:fldChar w:fldCharType="begin"/>
      </w:r>
      <w:r>
        <w:rPr>
          <w:color w:val="000000" w:themeColor="text1"/>
          <w:sz w:val="28"/>
          <w:szCs w:val="28"/>
          <w:highlight w:val="none"/>
        </w:rPr>
        <w:instrText xml:space="preserve"> PAGEREF _Toc20278 </w:instrText>
      </w:r>
      <w:r>
        <w:rPr>
          <w:color w:val="000000" w:themeColor="text1"/>
          <w:sz w:val="28"/>
          <w:szCs w:val="28"/>
          <w:highlight w:val="none"/>
        </w:rPr>
        <w:fldChar w:fldCharType="separate"/>
      </w:r>
      <w:r>
        <w:rPr>
          <w:color w:val="000000" w:themeColor="text1"/>
          <w:sz w:val="28"/>
          <w:szCs w:val="28"/>
          <w:highlight w:val="none"/>
        </w:rPr>
        <w:t xml:space="preserve">- </w:t>
      </w:r>
      <w:r>
        <w:rPr>
          <w:rFonts w:hint="eastAsia"/>
          <w:color w:val="000000" w:themeColor="text1"/>
          <w:sz w:val="28"/>
          <w:szCs w:val="28"/>
          <w:highlight w:val="none"/>
          <w:lang w:val="en-US" w:eastAsia="zh-CN"/>
        </w:rPr>
        <w:t xml:space="preserve">72</w:t>
      </w:r>
      <w:r>
        <w:rPr>
          <w:color w:val="000000" w:themeColor="text1"/>
          <w:sz w:val="28"/>
          <w:szCs w:val="28"/>
          <w:highlight w:val="none"/>
        </w:rPr>
        <w:t xml:space="preserve"> -</w:t>
      </w:r>
      <w:r>
        <w:rPr>
          <w:color w:val="000000" w:themeColor="text1"/>
          <w:sz w:val="28"/>
          <w:szCs w:val="28"/>
          <w:highlight w:val="none"/>
        </w:rPr>
        <w:fldChar w:fldCharType="end"/>
      </w:r>
      <w:r>
        <w:rPr>
          <w:rFonts w:hint="eastAsia" w:ascii="宋体" w:hAnsi="宋体" w:eastAsia="宋体" w:cs="宋体"/>
          <w:bCs w:val="0"/>
          <w:caps w:val="0"/>
          <w:color w:val="000000" w:themeColor="text1"/>
          <w:sz w:val="28"/>
          <w:szCs w:val="28"/>
          <w:highlight w:val="none"/>
        </w:rPr>
        <w:fldChar w:fldCharType="end"/>
      </w:r>
      <w:r>
        <w:rPr>
          <w:rFonts w:hint="eastAsia" w:eastAsia="宋体"/>
          <w:color w:val="000000" w:themeColor="text1"/>
          <w:sz w:val="28"/>
          <w:szCs w:val="28"/>
          <w:highlight w:val="none"/>
        </w:rPr>
      </w:r>
      <w:r>
        <w:rPr>
          <w:color w:val="000000" w:themeColor="text1"/>
        </w:rPr>
      </w:r>
    </w:p>
    <w:p>
      <w:pPr>
        <w:pStyle w:val="1012"/>
        <w:ind w:firstLine="0"/>
        <w:spacing w:line="360" w:lineRule="auto"/>
        <w:rPr>
          <w:rFonts w:hint="eastAsia" w:ascii="宋体" w:hAnsi="宋体" w:eastAsia="宋体" w:cs="宋体"/>
          <w:color w:val="000000" w:themeColor="text1"/>
          <w:sz w:val="28"/>
          <w:szCs w:val="28"/>
          <w:highlight w:val="none"/>
        </w:rPr>
        <w:sectPr>
          <w:headerReference w:type="default" r:id="rId9"/>
          <w:headerReference w:type="even" r:id="rId10"/>
          <w:headerReference w:type="first" r:id="rId11"/>
          <w:footerReference w:type="default" r:id="rId18"/>
          <w:footerReference w:type="even" r:id="rId19"/>
          <w:footerReference w:type="first" r:id="rId20"/>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Cs/>
          <w:caps/>
          <w:color w:val="000000" w:themeColor="text1"/>
          <w:sz w:val="28"/>
          <w:szCs w:val="28"/>
          <w:highlight w:val="none"/>
        </w:rPr>
        <w:fldChar w:fldCharType="end"/>
      </w:r>
      <w:bookmarkStart w:id="0" w:name="_Toc484939564"/>
      <w:r>
        <w:rPr>
          <w:color w:val="000000" w:themeColor="text1"/>
        </w:rPr>
      </w:r>
      <w:bookmarkEnd w:id="0"/>
      <w:r>
        <w:rPr>
          <w:rFonts w:hint="eastAsia" w:ascii="宋体" w:hAnsi="宋体" w:eastAsia="宋体" w:cs="宋体"/>
          <w:color w:val="000000" w:themeColor="text1"/>
          <w:sz w:val="28"/>
          <w:szCs w:val="28"/>
          <w:highlight w:val="none"/>
        </w:rPr>
      </w:r>
      <w:r>
        <w:rPr>
          <w:color w:val="000000" w:themeColor="text1"/>
        </w:rPr>
      </w:r>
    </w:p>
    <w:p>
      <w:pPr>
        <w:pStyle w:val="1012"/>
        <w:ind w:firstLine="0"/>
        <w:jc w:val="center"/>
        <w:spacing w:line="360" w:lineRule="auto"/>
        <w:rPr>
          <w:rFonts w:ascii="宋体" w:hAnsi="宋体" w:eastAsia="宋体" w:cs="宋体"/>
          <w:b/>
          <w:color w:val="000000" w:themeColor="text1"/>
          <w:sz w:val="30"/>
          <w:szCs w:val="30"/>
          <w:highlight w:val="none"/>
        </w:rPr>
        <w:outlineLvl w:val="0"/>
      </w:pPr>
      <w:r>
        <w:rPr>
          <w:color w:val="000000" w:themeColor="text1"/>
        </w:rPr>
      </w:r>
      <w:bookmarkStart w:id="1" w:name="_Toc5879"/>
      <w:r>
        <w:rPr>
          <w:color w:val="000000" w:themeColor="text1"/>
        </w:rPr>
      </w:r>
      <w:bookmarkStart w:id="2" w:name="_Toc35393627"/>
      <w:r>
        <w:rPr>
          <w:color w:val="000000" w:themeColor="text1"/>
        </w:rPr>
      </w:r>
      <w:bookmarkStart w:id="3" w:name="_Toc35393796"/>
      <w:r>
        <w:rPr>
          <w:color w:val="000000" w:themeColor="text1"/>
        </w:rPr>
      </w:r>
      <w:bookmarkStart w:id="4" w:name="_Toc28359008"/>
      <w:r>
        <w:rPr>
          <w:color w:val="000000" w:themeColor="text1"/>
        </w:rPr>
      </w:r>
      <w:bookmarkStart w:id="5" w:name="_Toc28359085"/>
      <w:r>
        <w:rPr>
          <w:rFonts w:hint="eastAsia" w:ascii="宋体" w:hAnsi="宋体" w:eastAsia="宋体" w:cs="宋体"/>
          <w:b/>
          <w:bCs/>
          <w:color w:val="000000" w:themeColor="text1"/>
          <w:sz w:val="36"/>
          <w:szCs w:val="36"/>
          <w:highlight w:val="none"/>
        </w:rPr>
        <w:t xml:space="preserve">第一章 </w:t>
      </w:r>
      <w:bookmarkEnd w:id="1"/>
      <w:r>
        <w:rPr>
          <w:rFonts w:hint="eastAsia" w:ascii="宋体" w:hAnsi="宋体" w:eastAsia="宋体" w:cs="宋体"/>
          <w:b/>
          <w:bCs/>
          <w:color w:val="000000" w:themeColor="text1"/>
          <w:sz w:val="36"/>
          <w:szCs w:val="36"/>
          <w:highlight w:val="none"/>
        </w:rPr>
        <w:t xml:space="preserve">投标邀请</w:t>
      </w:r>
      <w:r>
        <w:rPr>
          <w:rFonts w:ascii="宋体" w:hAnsi="宋体" w:eastAsia="宋体" w:cs="宋体"/>
          <w:b/>
          <w:color w:val="000000" w:themeColor="text1"/>
          <w:sz w:val="30"/>
          <w:szCs w:val="30"/>
          <w:highlight w:val="none"/>
        </w:rPr>
      </w:r>
      <w:r>
        <w:rPr>
          <w:color w:val="000000" w:themeColor="text1"/>
        </w:rPr>
      </w:r>
    </w:p>
    <w:p>
      <w:pPr>
        <w:pStyle w:val="1012"/>
        <w:ind w:firstLine="480"/>
        <w:spacing w:line="440" w:lineRule="exact"/>
        <w:rPr>
          <w:rFonts w:ascii="宋体" w:hAnsi="宋体" w:eastAsia="宋体" w:cs="宋体"/>
          <w:color w:val="000000" w:themeColor="text1"/>
          <w:highlight w:val="none"/>
        </w:rPr>
      </w:pPr>
      <w:r>
        <w:rPr>
          <w:rFonts w:hint="eastAsia" w:ascii="宋体" w:hAnsi="宋体" w:eastAsia="宋体" w:cs="宋体"/>
          <w:color w:val="000000" w:themeColor="text1"/>
          <w:highlight w:val="none"/>
          <w:u w:val="single"/>
          <w:lang w:eastAsia="zh-CN"/>
        </w:rPr>
        <w:t xml:space="preserve">江苏天奇项目管理咨询有限公司</w:t>
      </w:r>
      <w:r>
        <w:rPr>
          <w:rFonts w:hint="eastAsia" w:ascii="宋体" w:hAnsi="宋体" w:eastAsia="宋体" w:cs="宋体"/>
          <w:color w:val="000000" w:themeColor="text1"/>
          <w:highlight w:val="none"/>
        </w:rPr>
        <w:t xml:space="preserve">对</w:t>
      </w:r>
      <w:r>
        <w:rPr>
          <w:rFonts w:hint="eastAsia" w:ascii="宋体" w:hAnsi="宋体" w:eastAsia="宋体" w:cs="宋体"/>
          <w:color w:val="000000" w:themeColor="text1"/>
          <w:highlight w:val="none"/>
          <w:u w:val="single"/>
          <w:lang w:val="en-US" w:eastAsia="zh-CN"/>
        </w:rPr>
        <w:t xml:space="preserve">丰县中医医院机房改扩建项目</w:t>
      </w:r>
      <w:r>
        <w:rPr>
          <w:rFonts w:hint="eastAsia" w:ascii="宋体" w:hAnsi="宋体" w:eastAsia="宋体" w:cs="宋体"/>
          <w:color w:val="000000" w:themeColor="text1"/>
          <w:highlight w:val="none"/>
        </w:rPr>
        <w:t xml:space="preserve">进行公开招标采购，现欢迎符合相关条件的供应商投标。</w:t>
      </w:r>
      <w:r>
        <w:rPr>
          <w:rFonts w:ascii="宋体" w:hAnsi="宋体" w:eastAsia="宋体" w:cs="宋体"/>
          <w:color w:val="000000" w:themeColor="text1"/>
          <w:highlight w:val="none"/>
        </w:rPr>
      </w:r>
      <w:r>
        <w:rPr>
          <w:color w:val="000000" w:themeColor="text1"/>
        </w:rPr>
      </w:r>
    </w:p>
    <w:p>
      <w:pPr>
        <w:pStyle w:val="1012"/>
        <w:ind w:firstLine="480"/>
        <w:spacing w:line="44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一、项目名称和项目编号</w:t>
      </w:r>
      <w:r>
        <w:rPr>
          <w:rFonts w:hint="eastAsia" w:ascii="宋体" w:hAnsi="宋体" w:eastAsia="宋体" w:cs="宋体"/>
          <w:color w:val="000000" w:themeColor="text1"/>
          <w:highlight w:val="none"/>
        </w:rPr>
      </w:r>
      <w:r>
        <w:rPr>
          <w:color w:val="000000" w:themeColor="text1"/>
        </w:rPr>
      </w:r>
    </w:p>
    <w:p>
      <w:pPr>
        <w:pStyle w:val="1012"/>
        <w:ind w:firstLine="480"/>
        <w:spacing w:line="44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项目名称：</w:t>
      </w:r>
      <w:r>
        <w:rPr>
          <w:rFonts w:hint="eastAsia" w:ascii="宋体" w:hAnsi="宋体" w:eastAsia="宋体" w:cs="宋体"/>
          <w:color w:val="000000" w:themeColor="text1"/>
          <w:highlight w:val="none"/>
          <w:lang w:val="en-US" w:eastAsia="zh-CN"/>
        </w:rPr>
        <w:t xml:space="preserve">丰县中医医院机房改扩建项目</w:t>
      </w:r>
      <w:r>
        <w:rPr>
          <w:rFonts w:hint="eastAsia" w:ascii="宋体" w:hAnsi="宋体" w:eastAsia="宋体" w:cs="宋体"/>
          <w:color w:val="000000" w:themeColor="text1"/>
          <w:highlight w:val="none"/>
        </w:rPr>
      </w:r>
      <w:r>
        <w:rPr>
          <w:color w:val="000000" w:themeColor="text1"/>
        </w:rPr>
      </w:r>
    </w:p>
    <w:p>
      <w:pPr>
        <w:pStyle w:val="1012"/>
        <w:ind w:firstLine="480"/>
        <w:spacing w:line="44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项目编号：</w:t>
      </w:r>
      <w:r>
        <w:rPr>
          <w:rFonts w:hint="eastAsia" w:ascii="宋体" w:hAnsi="宋体" w:eastAsia="宋体" w:cs="宋体"/>
          <w:color w:val="000000" w:themeColor="text1"/>
          <w:highlight w:val="none"/>
          <w:lang w:val="en-US" w:eastAsia="zh-CN"/>
        </w:rPr>
        <w:t xml:space="preserve">JSZC-320321-JSTQ-G2026-0005</w:t>
      </w:r>
      <w:r>
        <w:rPr>
          <w:rFonts w:hint="eastAsia" w:ascii="宋体" w:hAnsi="宋体" w:eastAsia="宋体" w:cs="宋体"/>
          <w:color w:val="000000" w:themeColor="text1"/>
          <w:highlight w:val="none"/>
        </w:rPr>
      </w:r>
      <w:r>
        <w:rPr>
          <w:color w:val="000000" w:themeColor="text1"/>
        </w:rPr>
      </w:r>
    </w:p>
    <w:p>
      <w:pPr>
        <w:pStyle w:val="1012"/>
        <w:ind w:firstLine="480"/>
        <w:spacing w:line="44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二、投标人的资格要求：</w:t>
      </w:r>
      <w:r>
        <w:rPr>
          <w:rFonts w:hint="eastAsia" w:ascii="宋体" w:hAnsi="宋体" w:eastAsia="宋体" w:cs="宋体"/>
          <w:color w:val="000000" w:themeColor="text1"/>
          <w:highlight w:val="none"/>
        </w:rPr>
      </w:r>
      <w:r>
        <w:rPr>
          <w:color w:val="000000" w:themeColor="text1"/>
        </w:rPr>
      </w:r>
    </w:p>
    <w:p>
      <w:pPr>
        <w:pStyle w:val="1012"/>
        <w:ind w:firstLine="480"/>
        <w:spacing w:line="440" w:lineRule="exact"/>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见本项目公开招标公告。</w:t>
      </w:r>
      <w:r>
        <w:rPr>
          <w:rFonts w:ascii="宋体" w:hAnsi="宋体" w:eastAsia="宋体" w:cs="宋体"/>
          <w:color w:val="000000" w:themeColor="text1"/>
          <w:highlight w:val="none"/>
        </w:rPr>
      </w:r>
      <w:r>
        <w:rPr>
          <w:color w:val="000000" w:themeColor="text1"/>
        </w:rPr>
      </w:r>
    </w:p>
    <w:p>
      <w:pPr>
        <w:pStyle w:val="1012"/>
        <w:ind w:firstLine="480"/>
        <w:spacing w:line="440" w:lineRule="exact"/>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三、获取招标文件的时间期限、地点、方式及招标文件售价</w:t>
      </w:r>
      <w:r>
        <w:rPr>
          <w:rFonts w:ascii="宋体" w:hAnsi="宋体" w:eastAsia="宋体" w:cs="宋体"/>
          <w:color w:val="000000" w:themeColor="text1"/>
          <w:highlight w:val="none"/>
        </w:rPr>
      </w:r>
      <w:r>
        <w:rPr>
          <w:color w:val="000000" w:themeColor="text1"/>
        </w:rPr>
      </w:r>
    </w:p>
    <w:p>
      <w:pPr>
        <w:pStyle w:val="1012"/>
        <w:ind w:firstLine="439"/>
        <w:spacing w:line="440" w:lineRule="exact"/>
        <w:rPr>
          <w:rFonts w:hint="eastAsia" w:ascii="宋体" w:hAnsi="宋体" w:eastAsia="宋体" w:cs="宋体"/>
          <w:bCs/>
          <w:color w:val="000000" w:themeColor="text1"/>
          <w:highlight w:val="none"/>
        </w:rPr>
      </w:pPr>
      <w:r>
        <w:rPr>
          <w:rFonts w:hint="eastAsia" w:ascii="宋体" w:hAnsi="宋体" w:eastAsia="宋体" w:cs="宋体"/>
          <w:color w:val="000000" w:themeColor="text1"/>
          <w:highlight w:val="none"/>
          <w:lang w:eastAsia="zh-CN"/>
        </w:rPr>
        <w:t xml:space="preserve">1.</w:t>
      </w:r>
      <w:r>
        <w:rPr>
          <w:rFonts w:hint="eastAsia" w:ascii="宋体" w:hAnsi="宋体" w:eastAsia="宋体" w:cs="宋体"/>
          <w:bCs/>
          <w:color w:val="000000" w:themeColor="text1"/>
          <w:highlight w:val="none"/>
        </w:rPr>
        <w:t xml:space="preserve">时间（时间期限）、地点、方式：</w:t>
      </w:r>
      <w:r>
        <w:rPr>
          <w:rFonts w:hint="eastAsia" w:ascii="宋体" w:hAnsi="宋体" w:eastAsia="宋体" w:cs="宋体"/>
          <w:bCs/>
          <w:color w:val="000000" w:themeColor="text1"/>
          <w:highlight w:val="none"/>
        </w:rPr>
      </w:r>
      <w:r>
        <w:rPr>
          <w:color w:val="000000" w:themeColor="text1"/>
        </w:rPr>
      </w:r>
    </w:p>
    <w:p>
      <w:pPr>
        <w:pStyle w:val="1012"/>
        <w:ind w:firstLine="480"/>
        <w:spacing w:line="44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招标文件提供期限：自招标文件公告发布之日起5个工作日 </w:t>
      </w:r>
      <w:r>
        <w:rPr>
          <w:rFonts w:hint="eastAsia" w:ascii="宋体" w:hAnsi="宋体" w:eastAsia="宋体" w:cs="宋体"/>
          <w:color w:val="000000" w:themeColor="text1"/>
          <w:highlight w:val="none"/>
        </w:rPr>
      </w:r>
      <w:r>
        <w:rPr>
          <w:color w:val="000000" w:themeColor="text1"/>
        </w:rPr>
      </w:r>
    </w:p>
    <w:p>
      <w:pPr>
        <w:pStyle w:val="1012"/>
        <w:ind w:firstLine="439"/>
        <w:spacing w:line="44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地点：“苏采云”系统</w:t>
      </w:r>
      <w:r>
        <w:rPr>
          <w:rFonts w:hint="eastAsia" w:ascii="宋体" w:hAnsi="宋体" w:eastAsia="宋体" w:cs="宋体"/>
          <w:color w:val="000000" w:themeColor="text1"/>
          <w:highlight w:val="none"/>
        </w:rPr>
      </w:r>
      <w:r>
        <w:rPr>
          <w:color w:val="000000" w:themeColor="text1"/>
        </w:rPr>
      </w:r>
    </w:p>
    <w:p>
      <w:pPr>
        <w:pStyle w:val="1012"/>
        <w:ind w:firstLine="480"/>
        <w:spacing w:line="440" w:lineRule="exact"/>
        <w:rPr>
          <w:rFonts w:hint="eastAsia" w:ascii="宋体" w:hAnsi="宋体" w:eastAsia="宋体" w:cs="宋体"/>
          <w:color w:val="000000" w:themeColor="text1"/>
          <w:highlight w:val="none"/>
        </w:rPr>
      </w:pPr>
      <w:r>
        <w:rPr>
          <w:rFonts w:hint="eastAsia" w:ascii="宋体" w:hAnsi="宋体" w:eastAsia="宋体" w:cs="宋体"/>
          <w:color w:val="000000" w:themeColor="text1"/>
          <w:sz w:val="24"/>
          <w:szCs w:val="24"/>
          <w:highlight w:val="none"/>
        </w:rPr>
        <w:t xml:space="preserve">方式：</w:t>
      </w:r>
      <w:r>
        <w:rPr>
          <w:rFonts w:hint="eastAsia" w:ascii="宋体" w:hAnsi="宋体" w:eastAsia="宋体" w:cs="宋体"/>
          <w:i w:val="0"/>
          <w:caps w:val="0"/>
          <w:color w:val="000000" w:themeColor="text1"/>
          <w:spacing w:val="0"/>
          <w:sz w:val="24"/>
          <w:szCs w:val="24"/>
          <w:highlight w:val="none"/>
        </w:rPr>
        <w:t xml:space="preserve">自行下载</w:t>
      </w:r>
      <w:r>
        <w:rPr>
          <w:rFonts w:hint="eastAsia" w:ascii="宋体" w:hAnsi="宋体" w:eastAsia="宋体" w:cs="宋体"/>
          <w:color w:val="000000" w:themeColor="text1"/>
          <w:highlight w:val="none"/>
        </w:rPr>
      </w:r>
      <w:r>
        <w:rPr>
          <w:color w:val="000000" w:themeColor="text1"/>
        </w:rPr>
      </w:r>
    </w:p>
    <w:p>
      <w:pPr>
        <w:pStyle w:val="1012"/>
        <w:ind w:firstLine="439"/>
        <w:spacing w:line="440" w:lineRule="exact"/>
        <w:rPr>
          <w:rFonts w:ascii="宋体" w:hAnsi="宋体" w:eastAsia="宋体" w:cs="宋体"/>
          <w:color w:val="000000" w:themeColor="text1"/>
          <w:highlight w:val="none"/>
        </w:rPr>
      </w:pPr>
      <w:r>
        <w:rPr>
          <w:rFonts w:hint="eastAsia" w:ascii="宋体" w:hAnsi="宋体" w:eastAsia="宋体" w:cs="宋体"/>
          <w:color w:val="000000" w:themeColor="text1"/>
          <w:highlight w:val="none"/>
          <w:lang w:eastAsia="zh-CN"/>
        </w:rPr>
        <w:t xml:space="preserve">2.</w:t>
      </w:r>
      <w:r>
        <w:rPr>
          <w:rFonts w:hint="eastAsia" w:ascii="宋体" w:hAnsi="宋体" w:eastAsia="宋体" w:cs="宋体"/>
          <w:color w:val="000000" w:themeColor="text1"/>
          <w:highlight w:val="none"/>
        </w:rPr>
        <w:t xml:space="preserve">招标文件售价：免费</w:t>
      </w:r>
      <w:r>
        <w:rPr>
          <w:rFonts w:ascii="宋体" w:hAnsi="宋体" w:eastAsia="宋体" w:cs="宋体"/>
          <w:color w:val="000000" w:themeColor="text1"/>
          <w:highlight w:val="none"/>
        </w:rPr>
      </w:r>
      <w:r>
        <w:rPr>
          <w:color w:val="000000" w:themeColor="text1"/>
        </w:rPr>
      </w:r>
    </w:p>
    <w:p>
      <w:pPr>
        <w:pStyle w:val="1012"/>
        <w:ind w:firstLine="480"/>
        <w:spacing w:line="440" w:lineRule="exact"/>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四、投标有关信息</w:t>
      </w:r>
      <w:r>
        <w:rPr>
          <w:rFonts w:ascii="宋体" w:hAnsi="宋体" w:eastAsia="宋体" w:cs="宋体"/>
          <w:color w:val="000000" w:themeColor="text1"/>
          <w:highlight w:val="none"/>
        </w:rPr>
      </w:r>
      <w:r>
        <w:rPr>
          <w:color w:val="000000" w:themeColor="text1"/>
        </w:rPr>
      </w:r>
    </w:p>
    <w:p>
      <w:pPr>
        <w:pStyle w:val="1012"/>
        <w:ind w:firstLine="480"/>
        <w:spacing w:line="440" w:lineRule="exact"/>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1.投标截止时间：</w:t>
      </w:r>
      <w:r>
        <w:rPr>
          <w:rFonts w:hint="eastAsia" w:ascii="宋体" w:hAnsi="宋体" w:eastAsia="宋体" w:cs="宋体"/>
          <w:color w:val="000000" w:themeColor="text1"/>
          <w:highlight w:val="none"/>
          <w:lang w:eastAsia="zh-CN"/>
        </w:rPr>
        <w:t xml:space="preserve">2026年9月3日</w:t>
      </w:r>
      <w:r>
        <w:rPr>
          <w:rFonts w:hint="eastAsia" w:ascii="宋体" w:hAnsi="宋体" w:eastAsia="宋体" w:cs="宋体"/>
          <w:b w:val="0"/>
          <w:bCs w:val="0"/>
          <w:color w:val="000000" w:themeColor="text1"/>
          <w:highlight w:val="none"/>
        </w:rPr>
        <w:t xml:space="preserve">9</w:t>
      </w:r>
      <w:r>
        <w:rPr>
          <w:rFonts w:hint="eastAsia" w:ascii="宋体" w:hAnsi="宋体" w:eastAsia="宋体" w:cs="宋体"/>
          <w:b w:val="0"/>
          <w:bCs w:val="0"/>
          <w:color w:val="000000" w:themeColor="text1"/>
          <w:highlight w:val="none"/>
          <w:lang w:eastAsia="zh-CN"/>
        </w:rPr>
        <w:t xml:space="preserve">:</w:t>
      </w:r>
      <w:r>
        <w:rPr>
          <w:rFonts w:hint="eastAsia" w:ascii="宋体" w:hAnsi="宋体" w:eastAsia="宋体" w:cs="宋体"/>
          <w:b w:val="0"/>
          <w:bCs w:val="0"/>
          <w:color w:val="000000" w:themeColor="text1"/>
          <w:highlight w:val="none"/>
        </w:rPr>
        <w:t xml:space="preserve">30（</w:t>
      </w:r>
      <w:r>
        <w:rPr>
          <w:rFonts w:hint="eastAsia" w:ascii="宋体" w:hAnsi="宋体" w:eastAsia="宋体" w:cs="宋体"/>
          <w:color w:val="000000" w:themeColor="text1"/>
          <w:highlight w:val="none"/>
        </w:rPr>
        <w:t xml:space="preserve">电子招标投标交易平台（即“苏采云”系统）的国家授时中心标准时间，下同）</w:t>
      </w:r>
      <w:r>
        <w:rPr>
          <w:rFonts w:ascii="宋体" w:hAnsi="宋体" w:eastAsia="宋体" w:cs="宋体"/>
          <w:color w:val="000000" w:themeColor="text1"/>
          <w:highlight w:val="none"/>
        </w:rPr>
      </w:r>
      <w:r>
        <w:rPr>
          <w:color w:val="000000" w:themeColor="text1"/>
        </w:rPr>
      </w:r>
    </w:p>
    <w:p>
      <w:pPr>
        <w:pStyle w:val="1012"/>
        <w:ind w:firstLine="480"/>
        <w:spacing w:line="44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2.开标时间：</w:t>
      </w:r>
      <w:r>
        <w:rPr>
          <w:rFonts w:hint="eastAsia" w:ascii="宋体" w:hAnsi="宋体" w:eastAsia="宋体" w:cs="宋体"/>
          <w:color w:val="000000" w:themeColor="text1"/>
          <w:highlight w:val="none"/>
          <w:lang w:eastAsia="zh-CN"/>
        </w:rPr>
        <w:t xml:space="preserve">2026年9月3日9:30（</w:t>
      </w:r>
      <w:r>
        <w:rPr>
          <w:rFonts w:hint="eastAsia" w:ascii="宋体" w:hAnsi="宋体" w:eastAsia="宋体" w:cs="宋体"/>
          <w:b/>
          <w:bCs/>
          <w:color w:val="000000" w:themeColor="text1"/>
          <w:highlight w:val="none"/>
          <w:lang w:val="en-US" w:eastAsia="zh-CN"/>
        </w:rPr>
        <w:t xml:space="preserve">北京时间</w:t>
      </w:r>
      <w:r>
        <w:rPr>
          <w:rFonts w:hint="eastAsia" w:ascii="宋体" w:hAnsi="宋体" w:eastAsia="宋体" w:cs="宋体"/>
          <w:b/>
          <w:bCs/>
          <w:color w:val="000000" w:themeColor="text1"/>
          <w:highlight w:val="none"/>
          <w:lang w:eastAsia="zh-CN"/>
        </w:rPr>
        <w:t xml:space="preserve">）</w:t>
      </w:r>
      <w:r>
        <w:rPr>
          <w:rFonts w:hint="eastAsia" w:ascii="宋体" w:hAnsi="宋体" w:eastAsia="宋体" w:cs="宋体"/>
          <w:color w:val="000000" w:themeColor="text1"/>
          <w:highlight w:val="none"/>
        </w:rPr>
      </w:r>
      <w:r>
        <w:rPr>
          <w:color w:val="000000" w:themeColor="text1"/>
        </w:rPr>
      </w:r>
    </w:p>
    <w:p>
      <w:pPr>
        <w:pStyle w:val="1012"/>
        <w:ind w:firstLine="480"/>
        <w:spacing w:line="440" w:lineRule="exact"/>
        <w:rPr>
          <w:rFonts w:ascii="宋体" w:hAnsi="宋体" w:eastAsia="宋体" w:cs="宋体"/>
          <w:bCs/>
          <w:color w:val="000000" w:themeColor="text1"/>
          <w:highlight w:val="none"/>
          <w:u w:val="single"/>
        </w:rPr>
      </w:pPr>
      <w:r>
        <w:rPr>
          <w:rFonts w:hint="eastAsia" w:ascii="宋体" w:hAnsi="宋体" w:eastAsia="宋体" w:cs="宋体"/>
          <w:color w:val="000000" w:themeColor="text1"/>
          <w:highlight w:val="none"/>
        </w:rPr>
        <w:t xml:space="preserve">3.开标地点：“苏采云”系统（网址： http://jszfcg.jsczt.cn/）“开标大厅”或进入徐州政府采购网（网址：https://czj.xz.gov.cn/zfcg/）-业务工作</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用户登录，点击“苏采云”进入系统“开标大厅”。 </w:t>
      </w:r>
      <w:r>
        <w:rPr>
          <w:rFonts w:ascii="宋体" w:hAnsi="宋体" w:eastAsia="宋体" w:cs="宋体"/>
          <w:bCs/>
          <w:color w:val="000000" w:themeColor="text1"/>
          <w:highlight w:val="none"/>
          <w:u w:val="single"/>
        </w:rPr>
      </w:r>
      <w:r>
        <w:rPr>
          <w:color w:val="000000" w:themeColor="text1"/>
        </w:rPr>
      </w:r>
    </w:p>
    <w:p>
      <w:pPr>
        <w:pStyle w:val="1012"/>
        <w:ind w:firstLine="480"/>
        <w:spacing w:line="44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五、采购人</w:t>
      </w:r>
      <w:r>
        <w:rPr>
          <w:rFonts w:hint="eastAsia" w:ascii="宋体" w:hAnsi="宋体" w:eastAsia="宋体" w:cs="宋体"/>
          <w:color w:val="000000" w:themeColor="text1"/>
          <w:highlight w:val="none"/>
        </w:rPr>
      </w:r>
      <w:r>
        <w:rPr>
          <w:color w:val="000000" w:themeColor="text1"/>
        </w:rPr>
      </w:r>
    </w:p>
    <w:p>
      <w:pPr>
        <w:pStyle w:val="1012"/>
        <w:ind w:firstLine="480"/>
        <w:spacing w:line="440" w:lineRule="exact"/>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1.名称：</w:t>
      </w:r>
      <w:r>
        <w:rPr>
          <w:rFonts w:hint="eastAsia" w:ascii="宋体" w:hAnsi="宋体" w:eastAsia="宋体" w:cs="宋体"/>
          <w:color w:val="000000" w:themeColor="text1"/>
          <w:highlight w:val="none"/>
          <w:lang w:val="en-US" w:eastAsia="zh-CN"/>
        </w:rPr>
        <w:t xml:space="preserve">丰县中医医院</w:t>
      </w:r>
      <w:r>
        <w:rPr>
          <w:rFonts w:ascii="宋体" w:hAnsi="宋体" w:eastAsia="宋体" w:cs="宋体"/>
          <w:color w:val="000000" w:themeColor="text1"/>
          <w:highlight w:val="none"/>
        </w:rPr>
      </w:r>
      <w:r>
        <w:rPr>
          <w:color w:val="000000" w:themeColor="text1"/>
        </w:rPr>
      </w:r>
    </w:p>
    <w:p>
      <w:pPr>
        <w:pStyle w:val="1012"/>
        <w:ind w:firstLine="480"/>
        <w:spacing w:line="44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2.地址：</w:t>
      </w:r>
      <w:r>
        <w:rPr>
          <w:rFonts w:hint="eastAsia" w:ascii="宋体" w:hAnsi="宋体" w:eastAsia="宋体" w:cs="宋体"/>
          <w:color w:val="000000" w:themeColor="text1"/>
          <w:highlight w:val="none"/>
          <w:lang w:val="en-US" w:eastAsia="zh-CN"/>
        </w:rPr>
        <w:t xml:space="preserve">丰县中医医院</w:t>
      </w:r>
      <w:r>
        <w:rPr>
          <w:rFonts w:hint="eastAsia" w:ascii="宋体" w:hAnsi="宋体" w:eastAsia="宋体" w:cs="宋体"/>
          <w:color w:val="000000" w:themeColor="text1"/>
          <w:highlight w:val="none"/>
        </w:rPr>
      </w:r>
      <w:r>
        <w:rPr>
          <w:color w:val="000000" w:themeColor="text1"/>
        </w:rPr>
      </w:r>
    </w:p>
    <w:p>
      <w:pPr>
        <w:pStyle w:val="1012"/>
        <w:ind w:firstLine="480"/>
        <w:spacing w:line="44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t xml:space="preserve">3.</w:t>
      </w:r>
      <w:r>
        <w:rPr>
          <w:rFonts w:hint="eastAsia" w:ascii="宋体" w:hAnsi="宋体" w:eastAsia="宋体" w:cs="宋体"/>
          <w:color w:val="000000" w:themeColor="text1"/>
          <w:highlight w:val="none"/>
        </w:rPr>
        <w:t xml:space="preserve">采购项目联系人：</w:t>
      </w:r>
      <w:r>
        <w:rPr>
          <w:rFonts w:hint="eastAsia" w:ascii="宋体" w:hAnsi="宋体" w:eastAsia="宋体" w:cs="宋体"/>
          <w:color w:val="000000" w:themeColor="text1"/>
          <w:highlight w:val="none"/>
          <w:lang w:val="en-US" w:eastAsia="zh-CN"/>
        </w:rPr>
        <w:t xml:space="preserve">张庆康</w:t>
      </w:r>
      <w:r>
        <w:rPr>
          <w:rFonts w:hint="eastAsia" w:ascii="宋体" w:hAnsi="宋体" w:eastAsia="宋体" w:cs="宋体"/>
          <w:color w:val="000000" w:themeColor="text1"/>
          <w:highlight w:val="none"/>
        </w:rPr>
      </w:r>
      <w:r>
        <w:rPr>
          <w:color w:val="000000" w:themeColor="text1"/>
        </w:rPr>
      </w:r>
    </w:p>
    <w:p>
      <w:pPr>
        <w:pStyle w:val="1012"/>
        <w:ind w:firstLine="480"/>
        <w:spacing w:line="440" w:lineRule="exact"/>
        <w:rPr>
          <w:rFonts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t xml:space="preserve">4.</w:t>
      </w:r>
      <w:r>
        <w:rPr>
          <w:rFonts w:hint="eastAsia" w:ascii="宋体" w:hAnsi="宋体" w:eastAsia="宋体" w:cs="宋体"/>
          <w:color w:val="000000" w:themeColor="text1"/>
          <w:highlight w:val="none"/>
        </w:rPr>
        <w:t xml:space="preserve">联系方法：</w:t>
      </w:r>
      <w:r>
        <w:rPr>
          <w:rFonts w:hint="eastAsia" w:ascii="宋体" w:hAnsi="宋体" w:eastAsia="宋体" w:cs="宋体"/>
          <w:color w:val="000000" w:themeColor="text1"/>
          <w:highlight w:val="none"/>
          <w:lang w:val="en-US" w:eastAsia="zh-CN"/>
        </w:rPr>
        <w:t xml:space="preserve">18021821518</w:t>
      </w:r>
      <w:r>
        <w:rPr>
          <w:rFonts w:ascii="宋体" w:hAnsi="宋体" w:eastAsia="宋体" w:cs="宋体"/>
          <w:color w:val="000000" w:themeColor="text1"/>
          <w:highlight w:val="none"/>
        </w:rPr>
      </w:r>
      <w:r>
        <w:rPr>
          <w:color w:val="000000" w:themeColor="text1"/>
        </w:rPr>
      </w:r>
    </w:p>
    <w:p>
      <w:pPr>
        <w:pStyle w:val="1012"/>
        <w:ind w:firstLine="480"/>
        <w:spacing w:line="44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六、采购代理机构</w:t>
      </w:r>
      <w:r>
        <w:rPr>
          <w:rFonts w:hint="eastAsia" w:ascii="宋体" w:hAnsi="宋体" w:eastAsia="宋体" w:cs="宋体"/>
          <w:color w:val="000000" w:themeColor="text1"/>
          <w:highlight w:val="none"/>
        </w:rPr>
      </w:r>
      <w:r>
        <w:rPr>
          <w:color w:val="000000" w:themeColor="text1"/>
        </w:rPr>
      </w:r>
    </w:p>
    <w:p>
      <w:pPr>
        <w:pStyle w:val="1012"/>
        <w:ind w:firstLine="480"/>
        <w:spacing w:line="44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eastAsia="zh-CN"/>
        </w:rPr>
        <w:t xml:space="preserve">1.</w:t>
      </w:r>
      <w:r>
        <w:rPr>
          <w:rFonts w:hint="eastAsia" w:ascii="宋体" w:hAnsi="宋体" w:eastAsia="宋体" w:cs="宋体"/>
          <w:color w:val="000000" w:themeColor="text1"/>
          <w:highlight w:val="none"/>
        </w:rPr>
        <w:t xml:space="preserve">名称：</w:t>
      </w:r>
      <w:r>
        <w:rPr>
          <w:rFonts w:hint="eastAsia" w:ascii="宋体" w:hAnsi="宋体" w:eastAsia="宋体" w:cs="宋体"/>
          <w:color w:val="000000" w:themeColor="text1"/>
          <w:highlight w:val="none"/>
          <w:lang w:eastAsia="zh-CN"/>
        </w:rPr>
        <w:t xml:space="preserve">江苏天奇项目管理咨询有限公司</w:t>
      </w:r>
      <w:r>
        <w:rPr>
          <w:rFonts w:hint="eastAsia" w:ascii="宋体" w:hAnsi="宋体" w:eastAsia="宋体" w:cs="宋体"/>
          <w:color w:val="000000" w:themeColor="text1"/>
          <w:highlight w:val="none"/>
        </w:rPr>
      </w:r>
      <w:r>
        <w:rPr>
          <w:color w:val="000000" w:themeColor="text1"/>
        </w:rPr>
      </w:r>
    </w:p>
    <w:p>
      <w:pPr>
        <w:pStyle w:val="1012"/>
        <w:ind w:firstLine="480"/>
        <w:spacing w:line="44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eastAsia="zh-CN"/>
        </w:rPr>
        <w:t xml:space="preserve">2.</w:t>
      </w:r>
      <w:r>
        <w:rPr>
          <w:rFonts w:hint="eastAsia" w:ascii="宋体" w:hAnsi="宋体" w:eastAsia="宋体" w:cs="宋体"/>
          <w:color w:val="000000" w:themeColor="text1"/>
          <w:highlight w:val="none"/>
        </w:rPr>
        <w:t xml:space="preserve">地址：</w:t>
      </w:r>
      <w:r>
        <w:rPr>
          <w:rFonts w:hint="eastAsia" w:ascii="宋体" w:hAnsi="宋体" w:eastAsia="宋体" w:cs="宋体"/>
          <w:color w:val="000000" w:themeColor="text1"/>
          <w:sz w:val="24"/>
          <w:highlight w:val="none"/>
          <w:lang w:val="en-US" w:eastAsia="zh-CN"/>
        </w:rPr>
        <w:t xml:space="preserve">丰县金地首府状元街114号四楼</w:t>
      </w:r>
      <w:r>
        <w:rPr>
          <w:rFonts w:hint="eastAsia" w:ascii="宋体" w:hAnsi="宋体" w:eastAsia="宋体" w:cs="宋体"/>
          <w:color w:val="000000" w:themeColor="text1"/>
          <w:highlight w:val="none"/>
        </w:rPr>
      </w:r>
      <w:r>
        <w:rPr>
          <w:color w:val="000000" w:themeColor="text1"/>
        </w:rPr>
      </w:r>
    </w:p>
    <w:p>
      <w:pPr>
        <w:pStyle w:val="1012"/>
        <w:ind w:firstLine="480"/>
        <w:spacing w:line="440" w:lineRule="exact"/>
        <w:rPr>
          <w:rFonts w:ascii="宋体" w:hAnsi="宋体" w:eastAsia="宋体" w:cs="宋体"/>
          <w:color w:val="000000" w:themeColor="text1"/>
          <w:highlight w:val="none"/>
        </w:rPr>
      </w:pPr>
      <w:r>
        <w:rPr>
          <w:rFonts w:hint="eastAsia" w:ascii="宋体" w:hAnsi="宋体" w:eastAsia="宋体" w:cs="宋体"/>
          <w:color w:val="000000" w:themeColor="text1"/>
          <w:highlight w:val="none"/>
          <w:lang w:eastAsia="zh-CN"/>
        </w:rPr>
        <w:t xml:space="preserve">3.</w:t>
      </w:r>
      <w:r>
        <w:rPr>
          <w:rFonts w:hint="eastAsia" w:ascii="宋体" w:hAnsi="宋体" w:eastAsia="宋体" w:cs="宋体"/>
          <w:color w:val="000000" w:themeColor="text1"/>
          <w:highlight w:val="none"/>
        </w:rPr>
        <w:t xml:space="preserve">联系方法：</w:t>
      </w:r>
      <w:r>
        <w:rPr>
          <w:rFonts w:hint="eastAsia" w:ascii="宋体" w:hAnsi="宋体" w:eastAsia="宋体" w:cs="宋体"/>
          <w:color w:val="000000" w:themeColor="text1"/>
          <w:highlight w:val="none"/>
          <w:lang w:val="en-US" w:eastAsia="zh-CN"/>
        </w:rPr>
        <w:t xml:space="preserve">15351691837</w:t>
      </w:r>
      <w:r>
        <w:rPr>
          <w:rFonts w:ascii="宋体" w:hAnsi="宋体" w:eastAsia="宋体" w:cs="宋体"/>
          <w:color w:val="000000" w:themeColor="text1"/>
          <w:highlight w:val="none"/>
        </w:rPr>
      </w:r>
      <w:r>
        <w:rPr>
          <w:color w:val="000000" w:themeColor="text1"/>
        </w:rPr>
      </w:r>
    </w:p>
    <w:p>
      <w:pPr>
        <w:pStyle w:val="1012"/>
        <w:ind w:firstLine="439"/>
        <w:spacing w:line="440" w:lineRule="exact"/>
        <w:rPr>
          <w:rFonts w:ascii="Arial" w:hAnsi="Arial" w:eastAsia="Arial" w:cs="宋体"/>
          <w:b/>
          <w:bCs/>
          <w:color w:val="000000" w:themeColor="text1"/>
          <w:sz w:val="36"/>
          <w:szCs w:val="32"/>
          <w:highlight w:val="none"/>
        </w:rPr>
      </w:pPr>
      <w:r>
        <w:rPr>
          <w:rFonts w:hint="eastAsia" w:ascii="宋体" w:hAnsi="宋体" w:eastAsia="宋体" w:cs="宋体"/>
          <w:color w:val="000000" w:themeColor="text1"/>
          <w:highlight w:val="none"/>
          <w:lang w:eastAsia="zh-CN"/>
        </w:rPr>
        <w:t xml:space="preserve">4.</w:t>
      </w:r>
      <w:r>
        <w:rPr>
          <w:rFonts w:hint="eastAsia" w:ascii="宋体" w:hAnsi="宋体" w:eastAsia="宋体" w:cs="宋体"/>
          <w:color w:val="000000" w:themeColor="text1"/>
          <w:highlight w:val="none"/>
        </w:rPr>
        <w:t xml:space="preserve">采购项目联系人：</w:t>
      </w:r>
      <w:r>
        <w:rPr>
          <w:rFonts w:hint="eastAsia" w:ascii="宋体" w:hAnsi="宋体" w:eastAsia="宋体" w:cs="宋体"/>
          <w:color w:val="000000" w:themeColor="text1"/>
          <w:highlight w:val="none"/>
          <w:lang w:val="en-US" w:eastAsia="zh-CN"/>
        </w:rPr>
        <w:t xml:space="preserve">史青春</w:t>
      </w:r>
      <w:r>
        <w:rPr>
          <w:rFonts w:hint="eastAsia" w:ascii="宋体" w:hAnsi="宋体" w:eastAsia="宋体" w:cs="宋体"/>
          <w:color w:val="000000" w:themeColor="text1"/>
          <w:highlight w:val="none"/>
        </w:rPr>
        <w:t xml:space="preserve">       </w:t>
      </w:r>
      <w:bookmarkEnd w:id="2"/>
      <w:r>
        <w:rPr>
          <w:color w:val="000000" w:themeColor="text1"/>
        </w:rPr>
      </w:r>
      <w:bookmarkEnd w:id="3"/>
      <w:r>
        <w:rPr>
          <w:color w:val="000000" w:themeColor="text1"/>
        </w:rPr>
      </w:r>
      <w:bookmarkEnd w:id="4"/>
      <w:r>
        <w:rPr>
          <w:color w:val="000000" w:themeColor="text1"/>
        </w:rPr>
      </w:r>
      <w:bookmarkEnd w:id="5"/>
      <w:r>
        <w:rPr>
          <w:rFonts w:ascii="Arial" w:hAnsi="Arial" w:eastAsia="Arial" w:cs="宋体"/>
          <w:b/>
          <w:bCs/>
          <w:color w:val="000000" w:themeColor="text1"/>
          <w:sz w:val="36"/>
          <w:szCs w:val="32"/>
          <w:highlight w:val="none"/>
        </w:rPr>
      </w:r>
      <w:r>
        <w:rPr>
          <w:color w:val="000000" w:themeColor="text1"/>
        </w:rPr>
      </w:r>
    </w:p>
    <w:p>
      <w:pPr>
        <w:pStyle w:val="1012"/>
        <w:rPr>
          <w:rFonts w:ascii="Arial" w:hAnsi="Arial" w:eastAsia="Arial"/>
          <w:color w:val="000000" w:themeColor="text1"/>
          <w:highlight w:val="none"/>
        </w:rPr>
      </w:pPr>
      <w:r>
        <w:rPr>
          <w:rFonts w:ascii="Arial" w:hAnsi="Arial" w:eastAsia="Arial"/>
          <w:color w:val="000000" w:themeColor="text1"/>
          <w:highlight w:val="none"/>
        </w:rPr>
      </w:r>
      <w:r>
        <w:rPr>
          <w:color w:val="000000" w:themeColor="text1"/>
        </w:rPr>
      </w:r>
    </w:p>
    <w:p>
      <w:pPr>
        <w:pStyle w:val="1012"/>
        <w:ind w:firstLine="723"/>
        <w:jc w:val="center"/>
        <w:spacing w:line="460" w:lineRule="atLeast"/>
        <w:rPr>
          <w:rFonts w:hint="eastAsia" w:ascii="宋体" w:hAnsi="宋体" w:eastAsia="宋体" w:cs="宋体"/>
          <w:color w:val="000000" w:themeColor="text1"/>
          <w:sz w:val="30"/>
          <w:szCs w:val="30"/>
          <w:highlight w:val="none"/>
        </w:rPr>
        <w:outlineLvl w:val="0"/>
      </w:pPr>
      <w:r>
        <w:rPr>
          <w:color w:val="000000" w:themeColor="text1"/>
        </w:rPr>
      </w:r>
      <w:bookmarkStart w:id="6" w:name="_Toc28387"/>
      <w:r>
        <w:rPr>
          <w:rFonts w:hint="eastAsia" w:ascii="宋体" w:hAnsi="宋体" w:eastAsia="宋体" w:cs="宋体"/>
          <w:b/>
          <w:bCs/>
          <w:color w:val="000000" w:themeColor="text1"/>
          <w:sz w:val="36"/>
          <w:szCs w:val="32"/>
          <w:highlight w:val="none"/>
        </w:rPr>
        <w:t xml:space="preserve">第二章 投标人须知</w:t>
      </w:r>
      <w:bookmarkEnd w:id="6"/>
      <w:r>
        <w:rPr>
          <w:rFonts w:hint="eastAsia" w:ascii="宋体" w:hAnsi="宋体" w:eastAsia="宋体" w:cs="宋体"/>
          <w:color w:val="000000" w:themeColor="text1"/>
          <w:sz w:val="30"/>
          <w:szCs w:val="30"/>
          <w:highlight w:val="none"/>
        </w:rPr>
      </w:r>
      <w:r>
        <w:rPr>
          <w:color w:val="000000" w:themeColor="text1"/>
        </w:rPr>
      </w:r>
    </w:p>
    <w:p>
      <w:pPr>
        <w:pStyle w:val="1012"/>
        <w:ind w:firstLine="600"/>
        <w:jc w:val="center"/>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rPr>
          <w:color w:val="000000" w:themeColor="text1"/>
        </w:rPr>
      </w:r>
    </w:p>
    <w:p>
      <w:pPr>
        <w:pStyle w:val="1012"/>
        <w:ind w:firstLine="602"/>
        <w:jc w:val="center"/>
        <w:rPr>
          <w:rFonts w:hint="eastAsia" w:ascii="宋体" w:hAnsi="宋体" w:eastAsia="宋体" w:cs="宋体"/>
          <w:b/>
          <w:bCs/>
          <w:color w:val="000000" w:themeColor="text1"/>
          <w:sz w:val="30"/>
          <w:szCs w:val="30"/>
          <w:highlight w:val="none"/>
        </w:rPr>
      </w:pPr>
      <w:r>
        <w:rPr>
          <w:rFonts w:hint="eastAsia" w:ascii="宋体" w:hAnsi="宋体" w:eastAsia="宋体" w:cs="宋体"/>
          <w:b/>
          <w:bCs/>
          <w:color w:val="000000" w:themeColor="text1"/>
          <w:sz w:val="30"/>
          <w:szCs w:val="30"/>
          <w:highlight w:val="none"/>
        </w:rPr>
        <w:t xml:space="preserve">目   录</w:t>
      </w:r>
      <w:r>
        <w:rPr>
          <w:rFonts w:hint="eastAsia" w:ascii="宋体" w:hAnsi="宋体" w:eastAsia="宋体" w:cs="宋体"/>
          <w:b/>
          <w:bCs/>
          <w:color w:val="000000" w:themeColor="text1"/>
          <w:sz w:val="30"/>
          <w:szCs w:val="30"/>
          <w:highlight w:val="none"/>
        </w:rPr>
      </w:r>
      <w:r>
        <w:rPr>
          <w:color w:val="000000" w:themeColor="text1"/>
        </w:rPr>
      </w:r>
    </w:p>
    <w:p>
      <w:pPr>
        <w:pStyle w:val="1012"/>
        <w:ind w:left="480" w:firstLine="600"/>
        <w:spacing w:line="360" w:lineRule="auto"/>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rPr>
          <w:color w:val="000000" w:themeColor="text1"/>
        </w:rPr>
      </w:r>
    </w:p>
    <w:p>
      <w:pPr>
        <w:pStyle w:val="1012"/>
        <w:ind w:left="480" w:firstLine="600"/>
        <w:spacing w:line="360" w:lineRule="auto"/>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t xml:space="preserve">一、总则</w:t>
      </w:r>
      <w:r>
        <w:rPr>
          <w:rFonts w:hint="eastAsia" w:ascii="宋体" w:hAnsi="宋体" w:eastAsia="宋体" w:cs="宋体"/>
          <w:color w:val="000000" w:themeColor="text1"/>
          <w:sz w:val="30"/>
          <w:szCs w:val="30"/>
          <w:highlight w:val="none"/>
        </w:rPr>
      </w:r>
      <w:r>
        <w:rPr>
          <w:color w:val="000000" w:themeColor="text1"/>
        </w:rPr>
      </w:r>
    </w:p>
    <w:p>
      <w:pPr>
        <w:pStyle w:val="1012"/>
        <w:ind w:left="480" w:firstLine="600"/>
        <w:spacing w:line="360" w:lineRule="auto"/>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t xml:space="preserve">二、招标</w:t>
      </w:r>
      <w:r>
        <w:rPr>
          <w:rFonts w:hint="eastAsia" w:ascii="宋体" w:hAnsi="宋体" w:eastAsia="宋体" w:cs="宋体"/>
          <w:color w:val="000000" w:themeColor="text1"/>
          <w:sz w:val="30"/>
          <w:szCs w:val="30"/>
          <w:highlight w:val="none"/>
        </w:rPr>
      </w:r>
      <w:r>
        <w:rPr>
          <w:color w:val="000000" w:themeColor="text1"/>
        </w:rPr>
      </w:r>
    </w:p>
    <w:p>
      <w:pPr>
        <w:pStyle w:val="1012"/>
        <w:ind w:left="480" w:firstLine="600"/>
        <w:spacing w:line="360" w:lineRule="auto"/>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t xml:space="preserve">三、投标</w:t>
      </w:r>
      <w:r>
        <w:rPr>
          <w:rFonts w:hint="eastAsia" w:ascii="宋体" w:hAnsi="宋体" w:eastAsia="宋体" w:cs="宋体"/>
          <w:color w:val="000000" w:themeColor="text1"/>
          <w:sz w:val="30"/>
          <w:szCs w:val="30"/>
          <w:highlight w:val="none"/>
        </w:rPr>
      </w:r>
      <w:r>
        <w:rPr>
          <w:color w:val="000000" w:themeColor="text1"/>
        </w:rPr>
      </w:r>
    </w:p>
    <w:p>
      <w:pPr>
        <w:pStyle w:val="1012"/>
        <w:ind w:left="480" w:firstLine="600"/>
        <w:spacing w:line="360" w:lineRule="auto"/>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t xml:space="preserve">四、开标</w:t>
      </w:r>
      <w:r>
        <w:rPr>
          <w:rFonts w:hint="eastAsia" w:ascii="宋体" w:hAnsi="宋体" w:eastAsia="宋体" w:cs="宋体"/>
          <w:color w:val="000000" w:themeColor="text1"/>
          <w:sz w:val="30"/>
          <w:szCs w:val="30"/>
          <w:highlight w:val="none"/>
        </w:rPr>
      </w:r>
      <w:r>
        <w:rPr>
          <w:color w:val="000000" w:themeColor="text1"/>
        </w:rPr>
      </w:r>
    </w:p>
    <w:p>
      <w:pPr>
        <w:pStyle w:val="1012"/>
        <w:ind w:left="480" w:firstLine="600"/>
        <w:spacing w:line="360" w:lineRule="auto"/>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t xml:space="preserve">五、评标</w:t>
      </w:r>
      <w:r>
        <w:rPr>
          <w:rFonts w:hint="eastAsia" w:ascii="宋体" w:hAnsi="宋体" w:eastAsia="宋体" w:cs="宋体"/>
          <w:color w:val="000000" w:themeColor="text1"/>
          <w:sz w:val="30"/>
          <w:szCs w:val="30"/>
          <w:highlight w:val="none"/>
        </w:rPr>
      </w:r>
      <w:r>
        <w:rPr>
          <w:color w:val="000000" w:themeColor="text1"/>
        </w:rPr>
      </w:r>
    </w:p>
    <w:p>
      <w:pPr>
        <w:pStyle w:val="1012"/>
        <w:ind w:left="480" w:firstLine="600"/>
        <w:spacing w:line="360" w:lineRule="auto"/>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t xml:space="preserve">六、定标</w:t>
      </w:r>
      <w:r>
        <w:rPr>
          <w:rFonts w:hint="eastAsia" w:ascii="宋体" w:hAnsi="宋体" w:eastAsia="宋体" w:cs="宋体"/>
          <w:color w:val="000000" w:themeColor="text1"/>
          <w:sz w:val="30"/>
          <w:szCs w:val="30"/>
          <w:highlight w:val="none"/>
        </w:rPr>
      </w:r>
      <w:r>
        <w:rPr>
          <w:color w:val="000000" w:themeColor="text1"/>
        </w:rPr>
      </w:r>
    </w:p>
    <w:p>
      <w:pPr>
        <w:pStyle w:val="1012"/>
        <w:ind w:left="480" w:firstLine="600"/>
        <w:spacing w:line="360" w:lineRule="auto"/>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t xml:space="preserve">七、政府采购合同</w:t>
      </w:r>
      <w:r>
        <w:rPr>
          <w:rFonts w:hint="eastAsia" w:ascii="宋体" w:hAnsi="宋体" w:eastAsia="宋体" w:cs="宋体"/>
          <w:color w:val="000000" w:themeColor="text1"/>
          <w:sz w:val="30"/>
          <w:szCs w:val="30"/>
          <w:highlight w:val="none"/>
        </w:rPr>
      </w:r>
      <w:r>
        <w:rPr>
          <w:color w:val="000000" w:themeColor="text1"/>
        </w:rPr>
      </w:r>
    </w:p>
    <w:p>
      <w:pPr>
        <w:pStyle w:val="1012"/>
        <w:ind w:left="480" w:firstLine="600"/>
        <w:spacing w:line="360" w:lineRule="auto"/>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t xml:space="preserve">八、询问和质疑</w:t>
      </w:r>
      <w:r>
        <w:rPr>
          <w:rFonts w:hint="eastAsia" w:ascii="宋体" w:hAnsi="宋体" w:eastAsia="宋体" w:cs="宋体"/>
          <w:color w:val="000000" w:themeColor="text1"/>
          <w:sz w:val="30"/>
          <w:szCs w:val="30"/>
          <w:highlight w:val="none"/>
        </w:rPr>
      </w:r>
      <w:r>
        <w:rPr>
          <w:color w:val="000000" w:themeColor="text1"/>
        </w:rPr>
      </w:r>
    </w:p>
    <w:p>
      <w:pPr>
        <w:pStyle w:val="1012"/>
        <w:ind w:left="480" w:firstLine="600"/>
        <w:spacing w:line="360" w:lineRule="auto"/>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t xml:space="preserve">九、电子招标投标交易平台</w:t>
      </w:r>
      <w:r>
        <w:rPr>
          <w:rFonts w:hint="eastAsia" w:ascii="宋体" w:hAnsi="宋体" w:eastAsia="宋体" w:cs="宋体"/>
          <w:color w:val="000000" w:themeColor="text1"/>
          <w:sz w:val="30"/>
          <w:szCs w:val="30"/>
          <w:highlight w:val="none"/>
        </w:rPr>
      </w:r>
      <w:r>
        <w:rPr>
          <w:color w:val="000000" w:themeColor="text1"/>
        </w:rPr>
      </w:r>
    </w:p>
    <w:p>
      <w:pPr>
        <w:pStyle w:val="1012"/>
        <w:ind w:left="480" w:firstLine="600"/>
        <w:spacing w:line="360" w:lineRule="auto"/>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rPr>
          <w:color w:val="000000" w:themeColor="text1"/>
        </w:rPr>
      </w:r>
    </w:p>
    <w:p>
      <w:pPr>
        <w:pStyle w:val="1012"/>
        <w:ind w:firstLine="0"/>
        <w:jc w:val="center"/>
        <w:rPr>
          <w:rFonts w:hint="eastAsia" w:ascii="宋体" w:hAnsi="宋体" w:eastAsia="宋体" w:cs="宋体"/>
          <w:b/>
          <w:color w:val="000000" w:themeColor="text1"/>
          <w:sz w:val="28"/>
          <w:szCs w:val="28"/>
          <w:highlight w:val="none"/>
        </w:rPr>
      </w:pPr>
      <w:r>
        <w:rPr>
          <w:rFonts w:hint="eastAsia" w:ascii="宋体" w:hAnsi="宋体" w:eastAsia="宋体" w:cs="宋体"/>
          <w:color w:val="000000" w:themeColor="text1"/>
          <w:sz w:val="30"/>
          <w:szCs w:val="30"/>
          <w:highlight w:val="none"/>
        </w:rPr>
        <w:br w:type="page" w:clear="all"/>
      </w:r>
      <w:r>
        <w:rPr>
          <w:rFonts w:hint="eastAsia" w:ascii="宋体" w:hAnsi="宋体" w:eastAsia="宋体" w:cs="宋体"/>
          <w:b/>
          <w:color w:val="000000" w:themeColor="text1"/>
          <w:sz w:val="28"/>
          <w:szCs w:val="28"/>
          <w:highlight w:val="none"/>
        </w:rPr>
        <w:t xml:space="preserve">一、总  则</w:t>
      </w:r>
      <w:r>
        <w:rPr>
          <w:rFonts w:hint="eastAsia" w:ascii="宋体" w:hAnsi="宋体" w:eastAsia="宋体" w:cs="宋体"/>
          <w:b/>
          <w:color w:val="000000" w:themeColor="text1"/>
          <w:sz w:val="28"/>
          <w:szCs w:val="28"/>
          <w:highlight w:val="none"/>
        </w:rPr>
      </w:r>
      <w:r>
        <w:rPr>
          <w:color w:val="000000" w:themeColor="text1"/>
        </w:rPr>
      </w:r>
    </w:p>
    <w:p>
      <w:pPr>
        <w:pStyle w:val="1012"/>
        <w:ind w:firstLine="480"/>
        <w:keepLines w:val="0"/>
        <w:keepNext w:val="0"/>
        <w:pageBreakBefore w:val="0"/>
        <w:spacing w:line="440" w:lineRule="exact"/>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 采购人</w:t>
      </w:r>
      <w:r>
        <w:rPr>
          <w:rFonts w:hint="eastAsia" w:ascii="宋体" w:hAnsi="宋体" w:eastAsia="宋体" w:cs="宋体"/>
          <w:color w:val="000000" w:themeColor="text1"/>
          <w:highlight w:val="none"/>
        </w:rPr>
      </w:r>
      <w:r>
        <w:rPr>
          <w:color w:val="000000" w:themeColor="text1"/>
        </w:rPr>
      </w:r>
    </w:p>
    <w:p>
      <w:pPr>
        <w:pStyle w:val="1012"/>
        <w:ind w:firstLine="480"/>
        <w:keepLines w:val="0"/>
        <w:keepNext w:val="0"/>
        <w:pageBreakBefore w:val="0"/>
        <w:spacing w:line="440" w:lineRule="exact"/>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1.1采购人是指依法进行政府采购的国家机关、事业单位、团体组织。</w:t>
      </w:r>
      <w:r>
        <w:rPr>
          <w:rFonts w:hint="eastAsia" w:ascii="宋体" w:hAnsi="宋体" w:eastAsia="宋体" w:cs="宋体"/>
          <w:color w:val="000000" w:themeColor="text1"/>
          <w:highlight w:val="none"/>
        </w:rPr>
      </w:r>
      <w:r>
        <w:rPr>
          <w:color w:val="000000" w:themeColor="text1"/>
        </w:rPr>
      </w:r>
    </w:p>
    <w:p>
      <w:pPr>
        <w:pStyle w:val="1012"/>
        <w:ind w:firstLine="480"/>
        <w:keepLines w:val="0"/>
        <w:keepNext w:val="0"/>
        <w:pageBreakBefore w:val="0"/>
        <w:spacing w:line="440" w:lineRule="exact"/>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2. 政府采购方式</w:t>
      </w:r>
      <w:r>
        <w:rPr>
          <w:rFonts w:hint="eastAsia" w:ascii="宋体" w:hAnsi="宋体" w:eastAsia="宋体" w:cs="宋体"/>
          <w:color w:val="000000" w:themeColor="text1"/>
          <w:highlight w:val="none"/>
        </w:rPr>
      </w:r>
      <w:r>
        <w:rPr>
          <w:color w:val="000000" w:themeColor="text1"/>
        </w:rPr>
      </w:r>
    </w:p>
    <w:p>
      <w:pPr>
        <w:pStyle w:val="1012"/>
        <w:ind w:firstLine="480"/>
        <w:keepLines w:val="0"/>
        <w:keepNext w:val="0"/>
        <w:pageBreakBefore w:val="0"/>
        <w:spacing w:line="440" w:lineRule="exact"/>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2.1政府采购货物或者服务（以下简称“货物服务”）招标分为公开招标和邀请招标。</w:t>
      </w:r>
      <w:r>
        <w:rPr>
          <w:rFonts w:hint="eastAsia" w:ascii="宋体" w:hAnsi="宋体" w:eastAsia="宋体" w:cs="宋体"/>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3. 采购人应当在货物服务招标投标活动中落实节约能源、保护环境、扶持不发达地区和少数民族地区、促进中小企业发展等政府采购政策。</w:t>
      </w:r>
      <w:r>
        <w:rPr>
          <w:rFonts w:hint="eastAsia" w:ascii="宋体" w:hAnsi="宋体" w:eastAsia="宋体" w:cs="宋体"/>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4. 采购人应当按照财政部制定的《政府采购品目分类目录》确定采购项目属性。按照《政府采购品目分类目录》无法确定的，按照有利于采购项目实施的原则确定。</w:t>
      </w:r>
      <w:r>
        <w:rPr>
          <w:rFonts w:hint="eastAsia" w:ascii="宋体" w:hAnsi="宋体" w:eastAsia="宋体" w:cs="宋体"/>
          <w:color w:val="000000" w:themeColor="text1"/>
          <w:highlight w:val="none"/>
        </w:rPr>
      </w:r>
      <w:r>
        <w:rPr>
          <w:color w:val="000000" w:themeColor="text1"/>
        </w:rPr>
      </w:r>
    </w:p>
    <w:p>
      <w:pPr>
        <w:pStyle w:val="1012"/>
        <w:ind w:firstLine="480"/>
        <w:keepLines w:val="0"/>
        <w:keepNext w:val="0"/>
        <w:pageBreakBefore w:val="0"/>
        <w:spacing w:line="440" w:lineRule="exact"/>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5.采购人委托采购代理机构代理招标的，采购代理机构应当在采购人委托的范围内依法开展采购活动。</w:t>
      </w:r>
      <w:r>
        <w:rPr>
          <w:rFonts w:hint="eastAsia" w:ascii="宋体" w:hAnsi="宋体" w:eastAsia="宋体" w:cs="宋体"/>
          <w:color w:val="000000" w:themeColor="text1"/>
          <w:highlight w:val="none"/>
        </w:rPr>
      </w:r>
      <w:r>
        <w:rPr>
          <w:color w:val="000000" w:themeColor="text1"/>
        </w:rPr>
      </w:r>
    </w:p>
    <w:p>
      <w:pPr>
        <w:pStyle w:val="1012"/>
        <w:ind w:firstLine="480"/>
        <w:keepLines w:val="0"/>
        <w:keepNext w:val="0"/>
        <w:pageBreakBefore w:val="0"/>
        <w:spacing w:line="440" w:lineRule="exact"/>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6. 投标人的资格条件</w:t>
      </w:r>
      <w:r>
        <w:rPr>
          <w:rFonts w:hint="eastAsia" w:ascii="宋体" w:hAnsi="宋体" w:eastAsia="宋体" w:cs="宋体"/>
          <w:color w:val="000000" w:themeColor="text1"/>
          <w:highlight w:val="none"/>
        </w:rPr>
      </w:r>
      <w:r>
        <w:rPr>
          <w:color w:val="000000" w:themeColor="text1"/>
        </w:rPr>
      </w:r>
    </w:p>
    <w:p>
      <w:pPr>
        <w:pStyle w:val="1012"/>
        <w:ind w:firstLine="480"/>
        <w:keepLines w:val="0"/>
        <w:keepNext w:val="0"/>
        <w:pageBreakBefore w:val="0"/>
        <w:spacing w:line="440" w:lineRule="exact"/>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6.1参加政府采购货物服务投标活动的供应商（以下简称“投标人”），应当是提供本国货物服务的本国供应商，但法律、行政法规规定外国供应商可以参加货物服务招标投标活动的除外。</w:t>
      </w:r>
      <w:r>
        <w:rPr>
          <w:rFonts w:hint="eastAsia" w:ascii="宋体" w:hAnsi="宋体" w:eastAsia="宋体" w:cs="宋体"/>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投标人，是指响应招标、参加投标竞争的法人、其他组织或者自然人。</w:t>
      </w:r>
      <w:r>
        <w:rPr>
          <w:rFonts w:hint="eastAsia" w:ascii="宋体" w:hAnsi="宋体" w:eastAsia="宋体" w:cs="宋体"/>
          <w:color w:val="000000" w:themeColor="text1"/>
          <w:highlight w:val="none"/>
        </w:rPr>
      </w:r>
      <w:r>
        <w:rPr>
          <w:color w:val="000000" w:themeColor="text1"/>
        </w:rPr>
      </w:r>
    </w:p>
    <w:p>
      <w:pPr>
        <w:pStyle w:val="1012"/>
        <w:ind w:firstLine="480"/>
        <w:keepLines w:val="0"/>
        <w:keepNext w:val="0"/>
        <w:pageBreakBefore w:val="0"/>
        <w:spacing w:line="440" w:lineRule="exact"/>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6.2 投标人授权代表系指法定代表人（负责人）或受法人委托的受托人。</w:t>
      </w:r>
      <w:r>
        <w:rPr>
          <w:rFonts w:hint="eastAsia" w:ascii="宋体" w:hAnsi="宋体" w:eastAsia="宋体" w:cs="宋体"/>
          <w:color w:val="000000" w:themeColor="text1"/>
          <w:highlight w:val="none"/>
        </w:rPr>
      </w:r>
      <w:r>
        <w:rPr>
          <w:color w:val="000000" w:themeColor="text1"/>
        </w:rPr>
      </w:r>
    </w:p>
    <w:p>
      <w:pPr>
        <w:pStyle w:val="1012"/>
        <w:ind w:firstLine="480"/>
        <w:keepLines w:val="0"/>
        <w:keepNext w:val="0"/>
        <w:pageBreakBefore w:val="0"/>
        <w:spacing w:line="440" w:lineRule="exact"/>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7. 投标费用</w:t>
      </w:r>
      <w:r>
        <w:rPr>
          <w:rFonts w:hint="eastAsia" w:ascii="宋体" w:hAnsi="宋体" w:eastAsia="宋体" w:cs="宋体"/>
          <w:color w:val="000000" w:themeColor="text1"/>
          <w:highlight w:val="none"/>
        </w:rPr>
      </w:r>
      <w:r>
        <w:rPr>
          <w:color w:val="000000" w:themeColor="text1"/>
        </w:rPr>
      </w:r>
    </w:p>
    <w:p>
      <w:pPr>
        <w:pStyle w:val="1012"/>
        <w:ind w:firstLine="480"/>
        <w:keepLines w:val="0"/>
        <w:keepNext w:val="0"/>
        <w:pageBreakBefore w:val="0"/>
        <w:spacing w:line="440" w:lineRule="exact"/>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7.1 投标人应承担所有与准备和参加投标有关的费用。无论投标的结果如何，采购代理机构对上述费用不承担任何责任和义务。</w:t>
      </w:r>
      <w:r>
        <w:rPr>
          <w:rFonts w:hint="eastAsia" w:ascii="宋体" w:hAnsi="宋体" w:eastAsia="宋体" w:cs="宋体"/>
          <w:color w:val="000000" w:themeColor="text1"/>
          <w:highlight w:val="none"/>
        </w:rPr>
      </w:r>
      <w:r>
        <w:rPr>
          <w:color w:val="000000" w:themeColor="text1"/>
        </w:rPr>
      </w:r>
    </w:p>
    <w:p>
      <w:pPr>
        <w:pStyle w:val="1012"/>
        <w:ind w:firstLine="480"/>
        <w:keepLines w:val="0"/>
        <w:keepNext w:val="0"/>
        <w:pageBreakBefore w:val="0"/>
        <w:spacing w:line="440" w:lineRule="exact"/>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rPr>
      </w:r>
    </w:p>
    <w:p>
      <w:pPr>
        <w:pStyle w:val="1012"/>
        <w:ind w:firstLine="0"/>
        <w:jc w:val="center"/>
        <w:keepLines w:val="0"/>
        <w:keepNext w:val="0"/>
        <w:pageBreakBefore w:val="0"/>
        <w:spacing w:line="440" w:lineRule="exact"/>
        <w:rPr>
          <w:rFonts w:hint="eastAsia" w:ascii="宋体" w:hAnsi="宋体" w:eastAsia="宋体" w:cs="宋体"/>
          <w:b/>
          <w:color w:val="000000" w:themeColor="text1"/>
          <w:sz w:val="28"/>
          <w:szCs w:val="28"/>
          <w:highlight w:val="none"/>
        </w:rPr>
        <w:outlineLvl w:val="9"/>
      </w:pPr>
      <w:r>
        <w:rPr>
          <w:rFonts w:hint="eastAsia" w:ascii="宋体" w:hAnsi="宋体" w:eastAsia="宋体" w:cs="宋体"/>
          <w:b/>
          <w:color w:val="000000" w:themeColor="text1"/>
          <w:sz w:val="28"/>
          <w:szCs w:val="28"/>
          <w:highlight w:val="none"/>
        </w:rPr>
        <w:t xml:space="preserve">二、招  标</w:t>
      </w:r>
      <w:r>
        <w:rPr>
          <w:rFonts w:hint="eastAsia" w:ascii="宋体" w:hAnsi="宋体" w:eastAsia="宋体" w:cs="宋体"/>
          <w:b/>
          <w:color w:val="000000" w:themeColor="text1"/>
          <w:sz w:val="28"/>
          <w:szCs w:val="28"/>
          <w:highlight w:val="none"/>
        </w:rPr>
      </w:r>
      <w:r>
        <w:rPr>
          <w:color w:val="000000" w:themeColor="text1"/>
        </w:rPr>
      </w:r>
    </w:p>
    <w:p>
      <w:pPr>
        <w:pStyle w:val="1012"/>
        <w:ind w:firstLine="480"/>
        <w:jc w:val="center"/>
        <w:keepLines w:val="0"/>
        <w:keepNext w:val="0"/>
        <w:pageBreakBefore w:val="0"/>
        <w:spacing w:line="440" w:lineRule="exact"/>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rPr>
      </w:r>
    </w:p>
    <w:p>
      <w:pPr>
        <w:pStyle w:val="1012"/>
        <w:ind w:firstLine="360"/>
        <w:keepLines w:val="0"/>
        <w:keepNext w:val="0"/>
        <w:pageBreakBefore w:val="0"/>
        <w:spacing w:line="440" w:lineRule="exact"/>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8. 招标文件的内容</w:t>
      </w:r>
      <w:r>
        <w:rPr>
          <w:rFonts w:hint="eastAsia" w:ascii="宋体" w:hAnsi="宋体" w:eastAsia="宋体" w:cs="宋体"/>
          <w:color w:val="000000" w:themeColor="text1"/>
          <w:highlight w:val="none"/>
        </w:rPr>
      </w:r>
      <w:r>
        <w:rPr>
          <w:color w:val="000000" w:themeColor="text1"/>
        </w:rPr>
      </w:r>
    </w:p>
    <w:p>
      <w:pPr>
        <w:pStyle w:val="1012"/>
        <w:ind w:firstLine="360"/>
        <w:keepLines w:val="0"/>
        <w:keepNext w:val="0"/>
        <w:pageBreakBefore w:val="0"/>
        <w:spacing w:line="440" w:lineRule="exact"/>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8.1招标文件包括以下内容：</w:t>
      </w:r>
      <w:r>
        <w:rPr>
          <w:rFonts w:hint="eastAsia" w:ascii="宋体" w:hAnsi="宋体" w:eastAsia="宋体" w:cs="宋体"/>
          <w:color w:val="000000" w:themeColor="text1"/>
          <w:highlight w:val="none"/>
        </w:rPr>
      </w:r>
      <w:r>
        <w:rPr>
          <w:color w:val="000000" w:themeColor="text1"/>
        </w:rPr>
      </w:r>
    </w:p>
    <w:p>
      <w:pPr>
        <w:pStyle w:val="1012"/>
        <w:ind w:firstLine="360"/>
        <w:keepLines w:val="0"/>
        <w:keepNext w:val="0"/>
        <w:pageBreakBefore w:val="0"/>
        <w:spacing w:line="440" w:lineRule="exact"/>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第一章 投标邀请</w:t>
      </w:r>
      <w:r>
        <w:rPr>
          <w:rFonts w:hint="eastAsia" w:ascii="宋体" w:hAnsi="宋体" w:eastAsia="宋体" w:cs="宋体"/>
          <w:color w:val="000000" w:themeColor="text1"/>
          <w:highlight w:val="none"/>
        </w:rPr>
      </w:r>
      <w:r>
        <w:rPr>
          <w:color w:val="000000" w:themeColor="text1"/>
        </w:rPr>
      </w:r>
    </w:p>
    <w:p>
      <w:pPr>
        <w:pStyle w:val="1012"/>
        <w:ind w:firstLine="360"/>
        <w:keepLines w:val="0"/>
        <w:keepNext w:val="0"/>
        <w:pageBreakBefore w:val="0"/>
        <w:spacing w:line="440" w:lineRule="exact"/>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第二章 投标人须知</w:t>
      </w:r>
      <w:r>
        <w:rPr>
          <w:rFonts w:hint="eastAsia" w:ascii="宋体" w:hAnsi="宋体" w:eastAsia="宋体" w:cs="宋体"/>
          <w:color w:val="000000" w:themeColor="text1"/>
          <w:highlight w:val="none"/>
        </w:rPr>
      </w:r>
      <w:r>
        <w:rPr>
          <w:color w:val="000000" w:themeColor="text1"/>
        </w:rPr>
      </w:r>
    </w:p>
    <w:p>
      <w:pPr>
        <w:pStyle w:val="1012"/>
        <w:ind w:firstLine="360"/>
        <w:keepLines w:val="0"/>
        <w:keepNext w:val="0"/>
        <w:pageBreakBefore w:val="0"/>
        <w:spacing w:line="440" w:lineRule="exact"/>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第三章 投标资料表</w:t>
      </w:r>
      <w:r>
        <w:rPr>
          <w:rFonts w:hint="eastAsia" w:ascii="宋体" w:hAnsi="宋体" w:eastAsia="宋体" w:cs="宋体"/>
          <w:color w:val="000000" w:themeColor="text1"/>
          <w:highlight w:val="none"/>
        </w:rPr>
      </w:r>
      <w:r>
        <w:rPr>
          <w:color w:val="000000" w:themeColor="text1"/>
        </w:rPr>
      </w:r>
    </w:p>
    <w:p>
      <w:pPr>
        <w:pStyle w:val="1012"/>
        <w:ind w:firstLine="360"/>
        <w:keepLines w:val="0"/>
        <w:keepNext w:val="0"/>
        <w:pageBreakBefore w:val="0"/>
        <w:spacing w:line="440" w:lineRule="exact"/>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第四章 评标标准</w:t>
      </w:r>
      <w:r>
        <w:rPr>
          <w:rFonts w:hint="eastAsia" w:ascii="宋体" w:hAnsi="宋体" w:eastAsia="宋体" w:cs="宋体"/>
          <w:color w:val="000000" w:themeColor="text1"/>
          <w:highlight w:val="none"/>
        </w:rPr>
      </w:r>
      <w:r>
        <w:rPr>
          <w:color w:val="000000" w:themeColor="text1"/>
        </w:rPr>
      </w:r>
    </w:p>
    <w:p>
      <w:pPr>
        <w:pStyle w:val="1012"/>
        <w:ind w:firstLine="360"/>
        <w:keepLines w:val="0"/>
        <w:keepNext w:val="0"/>
        <w:pageBreakBefore w:val="0"/>
        <w:spacing w:line="440" w:lineRule="exact"/>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第五章 拟签订的合同文本</w:t>
      </w:r>
      <w:r>
        <w:rPr>
          <w:rFonts w:hint="eastAsia" w:ascii="宋体" w:hAnsi="宋体" w:eastAsia="宋体" w:cs="宋体"/>
          <w:color w:val="000000" w:themeColor="text1"/>
          <w:highlight w:val="none"/>
        </w:rPr>
      </w:r>
      <w:r>
        <w:rPr>
          <w:color w:val="000000" w:themeColor="text1"/>
        </w:rPr>
      </w:r>
    </w:p>
    <w:p>
      <w:pPr>
        <w:pStyle w:val="1012"/>
        <w:ind w:firstLine="360"/>
        <w:keepLines w:val="0"/>
        <w:keepNext w:val="0"/>
        <w:pageBreakBefore w:val="0"/>
        <w:spacing w:line="440" w:lineRule="exact"/>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第六章 采购需求</w:t>
      </w:r>
      <w:r>
        <w:rPr>
          <w:rFonts w:hint="eastAsia" w:ascii="宋体" w:hAnsi="宋体" w:eastAsia="宋体" w:cs="宋体"/>
          <w:color w:val="000000" w:themeColor="text1"/>
          <w:highlight w:val="none"/>
        </w:rPr>
      </w:r>
      <w:r>
        <w:rPr>
          <w:color w:val="000000" w:themeColor="text1"/>
        </w:rPr>
      </w:r>
    </w:p>
    <w:p>
      <w:pPr>
        <w:pStyle w:val="1012"/>
        <w:ind w:firstLine="360"/>
        <w:keepLines w:val="0"/>
        <w:keepNext w:val="0"/>
        <w:pageBreakBefore w:val="0"/>
        <w:spacing w:line="440" w:lineRule="exact"/>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第七章 投标文件相关格式</w:t>
      </w:r>
      <w:r>
        <w:rPr>
          <w:rFonts w:hint="eastAsia" w:ascii="宋体" w:hAnsi="宋体" w:eastAsia="宋体" w:cs="宋体"/>
          <w:color w:val="000000" w:themeColor="text1"/>
          <w:highlight w:val="none"/>
        </w:rPr>
      </w:r>
      <w:r>
        <w:rPr>
          <w:color w:val="000000" w:themeColor="text1"/>
        </w:rPr>
      </w:r>
    </w:p>
    <w:p>
      <w:pPr>
        <w:pStyle w:val="1012"/>
        <w:ind w:firstLine="360"/>
        <w:keepLines w:val="0"/>
        <w:keepNext w:val="0"/>
        <w:pageBreakBefore w:val="0"/>
        <w:spacing w:line="440" w:lineRule="exact"/>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9. 招标文件澄清或者修改</w:t>
      </w:r>
      <w:r>
        <w:rPr>
          <w:rFonts w:hint="eastAsia" w:ascii="宋体" w:hAnsi="宋体" w:eastAsia="宋体" w:cs="宋体"/>
          <w:color w:val="000000" w:themeColor="text1"/>
          <w:highlight w:val="none"/>
        </w:rPr>
      </w:r>
      <w:r>
        <w:rPr>
          <w:color w:val="000000" w:themeColor="text1"/>
        </w:rPr>
      </w:r>
    </w:p>
    <w:p>
      <w:pPr>
        <w:pStyle w:val="1012"/>
        <w:ind w:firstLine="360"/>
        <w:keepLines w:val="0"/>
        <w:keepNext w:val="0"/>
        <w:pageBreakBefore w:val="0"/>
        <w:spacing w:line="440" w:lineRule="exact"/>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9.1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hint="eastAsia" w:ascii="宋体" w:hAnsi="宋体" w:eastAsia="宋体" w:cs="宋体"/>
          <w:color w:val="000000" w:themeColor="text1"/>
          <w:highlight w:val="none"/>
        </w:rPr>
      </w:r>
      <w:r>
        <w:rPr>
          <w:color w:val="000000" w:themeColor="text1"/>
        </w:rPr>
      </w:r>
    </w:p>
    <w:p>
      <w:pPr>
        <w:pStyle w:val="1012"/>
        <w:ind w:firstLine="480"/>
        <w:keepLines w:val="0"/>
        <w:keepNext w:val="0"/>
        <w:pageBreakBefore w:val="0"/>
        <w:spacing w:line="440" w:lineRule="exact"/>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hint="eastAsia" w:ascii="宋体" w:hAnsi="宋体" w:eastAsia="宋体" w:cs="宋体"/>
          <w:color w:val="000000" w:themeColor="text1"/>
          <w:highlight w:val="none"/>
        </w:rPr>
      </w:r>
      <w:r>
        <w:rPr>
          <w:color w:val="000000" w:themeColor="text1"/>
        </w:rPr>
      </w:r>
    </w:p>
    <w:p>
      <w:pPr>
        <w:pStyle w:val="1012"/>
        <w:ind w:firstLine="360"/>
        <w:keepLines w:val="0"/>
        <w:keepNext w:val="0"/>
        <w:pageBreakBefore w:val="0"/>
        <w:spacing w:line="440" w:lineRule="exact"/>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9.2现场考察以招标文件第三章《投标资料表》中的要求为准。</w:t>
      </w:r>
      <w:r>
        <w:rPr>
          <w:rFonts w:hint="eastAsia" w:ascii="宋体" w:hAnsi="宋体" w:eastAsia="宋体" w:cs="宋体"/>
          <w:color w:val="000000" w:themeColor="text1"/>
          <w:highlight w:val="none"/>
        </w:rPr>
      </w:r>
      <w:r>
        <w:rPr>
          <w:color w:val="000000" w:themeColor="text1"/>
        </w:rPr>
      </w:r>
    </w:p>
    <w:p>
      <w:pPr>
        <w:pStyle w:val="1012"/>
        <w:ind w:firstLine="360"/>
        <w:keepLines w:val="0"/>
        <w:keepNext w:val="0"/>
        <w:pageBreakBefore w:val="0"/>
        <w:spacing w:line="440" w:lineRule="exact"/>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9.3开标前答疑会以招标文件第三章《投标资料表》中的要求为准。</w:t>
      </w:r>
      <w:r>
        <w:rPr>
          <w:rFonts w:hint="eastAsia" w:ascii="宋体" w:hAnsi="宋体" w:eastAsia="宋体" w:cs="宋体"/>
          <w:color w:val="000000" w:themeColor="text1"/>
          <w:highlight w:val="none"/>
        </w:rPr>
      </w:r>
      <w:r>
        <w:rPr>
          <w:color w:val="000000" w:themeColor="text1"/>
        </w:rPr>
      </w:r>
    </w:p>
    <w:p>
      <w:pPr>
        <w:pStyle w:val="1012"/>
        <w:ind w:firstLine="0"/>
        <w:jc w:val="center"/>
        <w:keepLines w:val="0"/>
        <w:keepNext w:val="0"/>
        <w:pageBreakBefore w:val="0"/>
        <w:spacing w:line="440" w:lineRule="exact"/>
        <w:rPr>
          <w:rFonts w:hint="eastAsia" w:ascii="宋体" w:hAnsi="宋体" w:eastAsia="宋体" w:cs="宋体"/>
          <w:b/>
          <w:color w:val="000000" w:themeColor="text1"/>
          <w:sz w:val="28"/>
          <w:szCs w:val="28"/>
          <w:highlight w:val="none"/>
        </w:rPr>
        <w:outlineLvl w:val="9"/>
      </w:pPr>
      <w:r>
        <w:rPr>
          <w:rFonts w:hint="eastAsia" w:ascii="宋体" w:hAnsi="宋体" w:eastAsia="宋体" w:cs="宋体"/>
          <w:b/>
          <w:color w:val="000000" w:themeColor="text1"/>
          <w:sz w:val="28"/>
          <w:szCs w:val="28"/>
          <w:highlight w:val="none"/>
        </w:rPr>
      </w:r>
      <w:r>
        <w:rPr>
          <w:color w:val="000000" w:themeColor="text1"/>
        </w:rPr>
      </w:r>
    </w:p>
    <w:p>
      <w:pPr>
        <w:pStyle w:val="1012"/>
        <w:ind w:firstLine="0"/>
        <w:jc w:val="center"/>
        <w:keepLines w:val="0"/>
        <w:keepNext w:val="0"/>
        <w:pageBreakBefore w:val="0"/>
        <w:spacing w:line="440" w:lineRule="exact"/>
        <w:rPr>
          <w:rFonts w:hint="eastAsia" w:ascii="宋体" w:hAnsi="宋体" w:eastAsia="宋体" w:cs="宋体"/>
          <w:b/>
          <w:color w:val="000000" w:themeColor="text1"/>
          <w:sz w:val="28"/>
          <w:szCs w:val="28"/>
          <w:highlight w:val="none"/>
        </w:rPr>
        <w:outlineLvl w:val="9"/>
      </w:pPr>
      <w:r>
        <w:rPr>
          <w:rFonts w:hint="eastAsia" w:ascii="宋体" w:hAnsi="宋体" w:eastAsia="宋体" w:cs="宋体"/>
          <w:b/>
          <w:color w:val="000000" w:themeColor="text1"/>
          <w:sz w:val="28"/>
          <w:szCs w:val="28"/>
          <w:highlight w:val="none"/>
        </w:rPr>
        <w:t xml:space="preserve">三、投  标</w:t>
      </w:r>
      <w:r>
        <w:rPr>
          <w:rFonts w:hint="eastAsia" w:ascii="宋体" w:hAnsi="宋体" w:eastAsia="宋体" w:cs="宋体"/>
          <w:b/>
          <w:color w:val="000000" w:themeColor="text1"/>
          <w:sz w:val="28"/>
          <w:szCs w:val="28"/>
          <w:highlight w:val="none"/>
        </w:rPr>
      </w:r>
      <w:r>
        <w:rPr>
          <w:color w:val="000000" w:themeColor="text1"/>
        </w:rPr>
      </w:r>
    </w:p>
    <w:p>
      <w:pPr>
        <w:pStyle w:val="1012"/>
        <w:ind w:firstLine="480"/>
        <w:keepLines w:val="0"/>
        <w:keepNext w:val="0"/>
        <w:pageBreakBefore w:val="0"/>
        <w:spacing w:line="440" w:lineRule="exact"/>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10. 投标人应当按照招标文件的要求编制投标文件。投标文件应对招标文件提出的要求和条件作出实质性响应。</w:t>
      </w:r>
      <w:r>
        <w:rPr>
          <w:rFonts w:hint="eastAsia" w:ascii="宋体" w:hAnsi="宋体" w:eastAsia="宋体" w:cs="宋体"/>
          <w:color w:val="000000" w:themeColor="text1"/>
          <w:highlight w:val="none"/>
        </w:rPr>
      </w:r>
      <w:r>
        <w:rPr>
          <w:color w:val="000000" w:themeColor="text1"/>
        </w:rPr>
      </w:r>
    </w:p>
    <w:p>
      <w:pPr>
        <w:pStyle w:val="1012"/>
        <w:ind w:firstLine="480"/>
        <w:keepLines w:val="0"/>
        <w:keepNext w:val="0"/>
        <w:pageBreakBefore w:val="0"/>
        <w:spacing w:line="440" w:lineRule="exact"/>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11. 投标文件的语言</w:t>
      </w:r>
      <w:r>
        <w:rPr>
          <w:rFonts w:hint="eastAsia" w:ascii="宋体" w:hAnsi="宋体" w:eastAsia="宋体" w:cs="宋体"/>
          <w:color w:val="000000" w:themeColor="text1"/>
          <w:highlight w:val="none"/>
        </w:rPr>
      </w:r>
      <w:r>
        <w:rPr>
          <w:color w:val="000000" w:themeColor="text1"/>
        </w:rPr>
      </w:r>
    </w:p>
    <w:p>
      <w:pPr>
        <w:pStyle w:val="1012"/>
        <w:ind w:firstLine="480"/>
        <w:keepLines w:val="0"/>
        <w:keepNext w:val="0"/>
        <w:pageBreakBefore w:val="0"/>
        <w:spacing w:line="440" w:lineRule="exact"/>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11.1 投标文件以及投标人与采购代理机构就有关投标的往来函电均应使用招标文件第三章《投标资料表》规定的语言书写，否则无效。</w:t>
      </w:r>
      <w:r>
        <w:rPr>
          <w:rFonts w:hint="eastAsia" w:ascii="宋体" w:hAnsi="宋体" w:eastAsia="宋体" w:cs="宋体"/>
          <w:color w:val="000000" w:themeColor="text1"/>
          <w:highlight w:val="none"/>
        </w:rPr>
      </w:r>
      <w:r>
        <w:rPr>
          <w:color w:val="000000" w:themeColor="text1"/>
        </w:rPr>
      </w:r>
    </w:p>
    <w:p>
      <w:pPr>
        <w:pStyle w:val="1012"/>
        <w:ind w:firstLine="480"/>
        <w:keepLines w:val="0"/>
        <w:keepNext w:val="0"/>
        <w:pageBreakBefore w:val="0"/>
        <w:spacing w:line="440" w:lineRule="exact"/>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12. 投标文件的构成</w:t>
      </w:r>
      <w:r>
        <w:rPr>
          <w:rFonts w:hint="eastAsia" w:ascii="宋体" w:hAnsi="宋体" w:eastAsia="宋体" w:cs="宋体"/>
          <w:color w:val="000000" w:themeColor="text1"/>
          <w:highlight w:val="none"/>
        </w:rPr>
      </w:r>
      <w:r>
        <w:rPr>
          <w:color w:val="000000" w:themeColor="text1"/>
        </w:rPr>
      </w:r>
    </w:p>
    <w:p>
      <w:pPr>
        <w:pStyle w:val="1012"/>
        <w:ind w:firstLine="480"/>
        <w:keepLines w:val="0"/>
        <w:keepNext w:val="0"/>
        <w:pageBreakBefore w:val="0"/>
        <w:spacing w:line="440" w:lineRule="exact"/>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12.1 投标文件的构成以招标文件第三章《投标资料表》中的要求为准。</w:t>
      </w:r>
      <w:r>
        <w:rPr>
          <w:rFonts w:hint="eastAsia" w:ascii="宋体" w:hAnsi="宋体" w:eastAsia="宋体" w:cs="宋体"/>
          <w:color w:val="000000" w:themeColor="text1"/>
          <w:highlight w:val="none"/>
        </w:rPr>
      </w:r>
      <w:r>
        <w:rPr>
          <w:color w:val="000000" w:themeColor="text1"/>
        </w:rPr>
      </w:r>
    </w:p>
    <w:p>
      <w:pPr>
        <w:pStyle w:val="1012"/>
        <w:ind w:firstLine="480"/>
        <w:keepLines w:val="0"/>
        <w:keepNext w:val="0"/>
        <w:pageBreakBefore w:val="0"/>
        <w:spacing w:line="440" w:lineRule="exact"/>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12.2投标人应当提交的资格、资信证明文件：以招标文件第三章《投标资料表》中的要求为准。</w:t>
      </w:r>
      <w:r>
        <w:rPr>
          <w:rFonts w:hint="eastAsia" w:ascii="宋体" w:hAnsi="宋体" w:eastAsia="宋体" w:cs="宋体"/>
          <w:color w:val="000000" w:themeColor="text1"/>
          <w:highlight w:val="none"/>
        </w:rPr>
      </w:r>
      <w:r>
        <w:rPr>
          <w:color w:val="000000" w:themeColor="text1"/>
        </w:rPr>
      </w:r>
    </w:p>
    <w:p>
      <w:pPr>
        <w:pStyle w:val="1012"/>
        <w:ind w:firstLine="480"/>
        <w:keepLines w:val="0"/>
        <w:keepNext w:val="0"/>
        <w:pageBreakBefore w:val="0"/>
        <w:spacing w:line="440" w:lineRule="exact"/>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13. 投标函和价格表、商务条件、交货和提供服务的时间</w:t>
      </w:r>
      <w:r>
        <w:rPr>
          <w:rFonts w:hint="eastAsia" w:ascii="宋体" w:hAnsi="宋体" w:eastAsia="宋体" w:cs="宋体"/>
          <w:color w:val="000000" w:themeColor="text1"/>
          <w:highlight w:val="none"/>
        </w:rPr>
      </w:r>
      <w:r>
        <w:rPr>
          <w:color w:val="000000" w:themeColor="text1"/>
        </w:rPr>
      </w:r>
    </w:p>
    <w:p>
      <w:pPr>
        <w:pStyle w:val="1012"/>
        <w:ind w:firstLine="480"/>
        <w:keepLines w:val="0"/>
        <w:keepNext w:val="0"/>
        <w:pageBreakBefore w:val="0"/>
        <w:spacing w:line="440" w:lineRule="exact"/>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13.1 投标函和价格表：要求见本章12、13，格式见招标文件第七章《投标文件相关格式》中《投标函》和《开标一览表》。</w:t>
      </w:r>
      <w:r>
        <w:rPr>
          <w:rFonts w:hint="eastAsia" w:ascii="宋体" w:hAnsi="宋体" w:eastAsia="宋体" w:cs="宋体"/>
          <w:color w:val="000000" w:themeColor="text1"/>
          <w:highlight w:val="none"/>
        </w:rPr>
      </w:r>
      <w:r>
        <w:rPr>
          <w:color w:val="000000" w:themeColor="text1"/>
        </w:rPr>
      </w:r>
    </w:p>
    <w:p>
      <w:pPr>
        <w:pStyle w:val="1012"/>
        <w:ind w:firstLine="480"/>
        <w:keepLines w:val="0"/>
        <w:keepNext w:val="0"/>
        <w:pageBreakBefore w:val="0"/>
        <w:spacing w:line="440" w:lineRule="exact"/>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13.2商务条件：以招标文件第三章《投标资料表》中的要求为准。</w:t>
      </w:r>
      <w:r>
        <w:rPr>
          <w:rFonts w:hint="eastAsia" w:ascii="宋体" w:hAnsi="宋体" w:eastAsia="宋体" w:cs="宋体"/>
          <w:color w:val="000000" w:themeColor="text1"/>
          <w:highlight w:val="none"/>
        </w:rPr>
      </w:r>
      <w:r>
        <w:rPr>
          <w:color w:val="000000" w:themeColor="text1"/>
        </w:rPr>
      </w:r>
    </w:p>
    <w:p>
      <w:pPr>
        <w:pStyle w:val="1012"/>
        <w:ind w:firstLine="480"/>
        <w:keepLines w:val="0"/>
        <w:keepNext w:val="0"/>
        <w:pageBreakBefore w:val="0"/>
        <w:spacing w:line="440" w:lineRule="exact"/>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14.投标报价要求</w:t>
      </w:r>
      <w:r>
        <w:rPr>
          <w:rFonts w:hint="eastAsia" w:ascii="宋体" w:hAnsi="宋体" w:eastAsia="宋体" w:cs="宋体"/>
          <w:color w:val="000000" w:themeColor="text1"/>
          <w:highlight w:val="none"/>
        </w:rPr>
      </w:r>
      <w:r>
        <w:rPr>
          <w:color w:val="000000" w:themeColor="text1"/>
        </w:rPr>
      </w:r>
    </w:p>
    <w:p>
      <w:pPr>
        <w:pStyle w:val="1012"/>
        <w:ind w:firstLine="480"/>
        <w:keepLines w:val="0"/>
        <w:keepNext w:val="0"/>
        <w:pageBreakBefore w:val="0"/>
        <w:spacing w:line="440" w:lineRule="exact"/>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14.1 投标人应按照招标文件的要求报出分项价格和总价。</w:t>
      </w:r>
      <w:r>
        <w:rPr>
          <w:rFonts w:hint="eastAsia" w:ascii="宋体" w:hAnsi="宋体" w:eastAsia="宋体" w:cs="宋体"/>
          <w:color w:val="000000" w:themeColor="text1"/>
          <w:highlight w:val="none"/>
        </w:rPr>
      </w:r>
      <w:r>
        <w:rPr>
          <w:color w:val="000000" w:themeColor="text1"/>
        </w:rPr>
      </w:r>
    </w:p>
    <w:p>
      <w:pPr>
        <w:pStyle w:val="1012"/>
        <w:ind w:firstLine="480"/>
        <w:keepLines w:val="0"/>
        <w:keepNext w:val="0"/>
        <w:pageBreakBefore w:val="0"/>
        <w:spacing w:line="440" w:lineRule="exact"/>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14.2 投标人应按照招标文件的要求进行报价，如投标人作出偏离，应在《偏离表》中列出。</w:t>
      </w:r>
      <w:r>
        <w:rPr>
          <w:rFonts w:hint="eastAsia" w:ascii="宋体" w:hAnsi="宋体" w:eastAsia="宋体" w:cs="宋体"/>
          <w:color w:val="000000" w:themeColor="text1"/>
          <w:highlight w:val="none"/>
        </w:rPr>
      </w:r>
      <w:r>
        <w:rPr>
          <w:color w:val="000000" w:themeColor="text1"/>
        </w:rPr>
      </w:r>
    </w:p>
    <w:p>
      <w:pPr>
        <w:pStyle w:val="1012"/>
        <w:ind w:firstLine="480"/>
        <w:keepLines w:val="0"/>
        <w:keepNext w:val="0"/>
        <w:pageBreakBefore w:val="0"/>
        <w:spacing w:line="440" w:lineRule="exact"/>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14.3 采购人不支付报价以外的任何费用。</w:t>
      </w:r>
      <w:r>
        <w:rPr>
          <w:rFonts w:hint="eastAsia" w:ascii="宋体" w:hAnsi="宋体" w:eastAsia="宋体" w:cs="宋体"/>
          <w:color w:val="000000" w:themeColor="text1"/>
          <w:highlight w:val="none"/>
        </w:rPr>
      </w:r>
      <w:r>
        <w:rPr>
          <w:color w:val="000000" w:themeColor="text1"/>
        </w:rPr>
      </w:r>
    </w:p>
    <w:p>
      <w:pPr>
        <w:pStyle w:val="1012"/>
        <w:ind w:firstLine="480"/>
        <w:keepLines w:val="0"/>
        <w:keepNext w:val="0"/>
        <w:pageBreakBefore w:val="0"/>
        <w:spacing w:line="440" w:lineRule="exact"/>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14.4 投标人所报的价格在合同执行过程中是固定的，不得以任何理由予以变更。投标人提交滑动价格的投标文件在资格性、符合性检查时按照无效投标处理。</w:t>
      </w:r>
      <w:r>
        <w:rPr>
          <w:rFonts w:hint="eastAsia" w:ascii="宋体" w:hAnsi="宋体" w:eastAsia="宋体" w:cs="宋体"/>
          <w:color w:val="000000" w:themeColor="text1"/>
          <w:highlight w:val="none"/>
        </w:rPr>
      </w:r>
      <w:r>
        <w:rPr>
          <w:color w:val="000000" w:themeColor="text1"/>
        </w:rPr>
      </w:r>
    </w:p>
    <w:p>
      <w:pPr>
        <w:pStyle w:val="1012"/>
        <w:ind w:firstLine="480"/>
        <w:keepLines w:val="0"/>
        <w:keepNext w:val="0"/>
        <w:pageBreakBefore w:val="0"/>
        <w:spacing w:line="440" w:lineRule="exact"/>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14.5投标人只能提交一个投标价格，投标人提交多个价格的投标文件在资格性、符合性检查时按照无效投标处理。</w:t>
      </w:r>
      <w:r>
        <w:rPr>
          <w:rFonts w:hint="eastAsia" w:ascii="宋体" w:hAnsi="宋体" w:eastAsia="宋体" w:cs="宋体"/>
          <w:color w:val="000000" w:themeColor="text1"/>
          <w:highlight w:val="none"/>
        </w:rPr>
      </w:r>
      <w:r>
        <w:rPr>
          <w:color w:val="000000" w:themeColor="text1"/>
        </w:rPr>
      </w:r>
    </w:p>
    <w:p>
      <w:pPr>
        <w:pStyle w:val="1012"/>
        <w:ind w:firstLine="480"/>
        <w:keepLines w:val="0"/>
        <w:keepNext w:val="0"/>
        <w:pageBreakBefore w:val="0"/>
        <w:spacing w:line="440" w:lineRule="exact"/>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14.6 </w:t>
      </w:r>
      <w:r>
        <w:rPr>
          <w:rFonts w:hint="eastAsia" w:ascii="宋体" w:hAnsi="宋体" w:eastAsia="宋体" w:cs="宋体"/>
          <w:color w:val="000000" w:themeColor="text1"/>
          <w:highlight w:val="none"/>
        </w:rPr>
        <w:t xml:space="preserve">不接受超过采购项目预算金额的投标报价。具体见招标文件第三章《投标资料表》。</w:t>
      </w:r>
      <w:r>
        <w:rPr>
          <w:rFonts w:hint="eastAsia" w:ascii="宋体" w:hAnsi="宋体" w:eastAsia="宋体" w:cs="宋体"/>
          <w:color w:val="000000" w:themeColor="text1"/>
          <w:highlight w:val="none"/>
        </w:rPr>
      </w:r>
      <w:r>
        <w:rPr>
          <w:color w:val="000000" w:themeColor="text1"/>
        </w:rPr>
      </w:r>
    </w:p>
    <w:p>
      <w:pPr>
        <w:pStyle w:val="1012"/>
        <w:ind w:firstLine="480"/>
        <w:keepLines w:val="0"/>
        <w:keepNext w:val="0"/>
        <w:pageBreakBefore w:val="0"/>
        <w:spacing w:line="440" w:lineRule="exact"/>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15. 投标货币</w:t>
      </w:r>
      <w:r>
        <w:rPr>
          <w:rFonts w:hint="eastAsia" w:ascii="宋体" w:hAnsi="宋体" w:eastAsia="宋体" w:cs="宋体"/>
          <w:color w:val="000000" w:themeColor="text1"/>
          <w:highlight w:val="none"/>
        </w:rPr>
      </w:r>
      <w:r>
        <w:rPr>
          <w:color w:val="000000" w:themeColor="text1"/>
        </w:rPr>
      </w:r>
    </w:p>
    <w:p>
      <w:pPr>
        <w:pStyle w:val="1012"/>
        <w:ind w:firstLine="480"/>
        <w:keepLines w:val="0"/>
        <w:keepNext w:val="0"/>
        <w:pageBreakBefore w:val="0"/>
        <w:spacing w:line="440" w:lineRule="exact"/>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15.1以招标文件第三章《投标资料表》中的要求为准。</w:t>
      </w:r>
      <w:r>
        <w:rPr>
          <w:rFonts w:hint="eastAsia" w:ascii="宋体" w:hAnsi="宋体" w:eastAsia="宋体" w:cs="宋体"/>
          <w:color w:val="000000" w:themeColor="text1"/>
          <w:highlight w:val="none"/>
        </w:rPr>
      </w:r>
      <w:r>
        <w:rPr>
          <w:color w:val="000000" w:themeColor="text1"/>
        </w:rPr>
      </w:r>
    </w:p>
    <w:p>
      <w:pPr>
        <w:pStyle w:val="1012"/>
        <w:ind w:firstLine="480"/>
        <w:keepLines w:val="0"/>
        <w:keepNext w:val="0"/>
        <w:pageBreakBefore w:val="0"/>
        <w:spacing w:line="440" w:lineRule="exact"/>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16. 投标保证金：</w:t>
      </w:r>
      <w:r>
        <w:rPr>
          <w:rFonts w:hint="eastAsia" w:ascii="宋体" w:hAnsi="宋体" w:eastAsia="宋体" w:cs="宋体"/>
          <w:color w:val="000000" w:themeColor="text1"/>
          <w:highlight w:val="none"/>
        </w:rPr>
      </w:r>
      <w:r>
        <w:rPr>
          <w:color w:val="000000" w:themeColor="text1"/>
        </w:rPr>
      </w:r>
    </w:p>
    <w:p>
      <w:pPr>
        <w:pStyle w:val="1012"/>
        <w:ind w:firstLine="480"/>
        <w:keepLines w:val="0"/>
        <w:keepNext w:val="0"/>
        <w:pageBreakBefore w:val="0"/>
        <w:spacing w:line="440" w:lineRule="exact"/>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16.1以招标文件第三章《投标资料表》中的要求为准。</w:t>
      </w:r>
      <w:r>
        <w:rPr>
          <w:rFonts w:hint="eastAsia" w:ascii="宋体" w:hAnsi="宋体" w:eastAsia="宋体" w:cs="宋体"/>
          <w:color w:val="000000" w:themeColor="text1"/>
          <w:highlight w:val="none"/>
        </w:rPr>
      </w:r>
      <w:r>
        <w:rPr>
          <w:color w:val="000000" w:themeColor="text1"/>
        </w:rPr>
      </w:r>
    </w:p>
    <w:p>
      <w:pPr>
        <w:pStyle w:val="1012"/>
        <w:ind w:firstLine="480"/>
        <w:keepLines w:val="0"/>
        <w:keepNext w:val="0"/>
        <w:pageBreakBefore w:val="0"/>
        <w:spacing w:line="440" w:lineRule="exact"/>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17. 投标有效期</w:t>
      </w:r>
      <w:r>
        <w:rPr>
          <w:rFonts w:hint="eastAsia" w:ascii="宋体" w:hAnsi="宋体" w:eastAsia="宋体" w:cs="宋体"/>
          <w:color w:val="000000" w:themeColor="text1"/>
          <w:highlight w:val="none"/>
        </w:rPr>
      </w:r>
      <w:r>
        <w:rPr>
          <w:color w:val="000000" w:themeColor="text1"/>
        </w:rPr>
      </w:r>
    </w:p>
    <w:p>
      <w:pPr>
        <w:pStyle w:val="1012"/>
        <w:ind w:firstLine="480"/>
        <w:keepLines w:val="0"/>
        <w:keepNext w:val="0"/>
        <w:pageBreakBefore w:val="0"/>
        <w:spacing w:line="440" w:lineRule="exact"/>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17.1投标有效期为开标之日后90天。采购人可以要求对投标有效期延长一次，但该延长期最长不超过30天。</w:t>
      </w:r>
      <w:r>
        <w:rPr>
          <w:rFonts w:hint="eastAsia" w:ascii="宋体" w:hAnsi="宋体" w:eastAsia="宋体" w:cs="宋体"/>
          <w:color w:val="000000" w:themeColor="text1"/>
          <w:highlight w:val="none"/>
        </w:rPr>
      </w:r>
      <w:r>
        <w:rPr>
          <w:color w:val="000000" w:themeColor="text1"/>
        </w:rPr>
      </w:r>
    </w:p>
    <w:p>
      <w:pPr>
        <w:pStyle w:val="1012"/>
        <w:ind w:firstLine="480"/>
        <w:keepLines w:val="0"/>
        <w:keepNext w:val="0"/>
        <w:pageBreakBefore w:val="0"/>
        <w:spacing w:line="440" w:lineRule="exact"/>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17.2采购人应在距投标有效期满20日之前书面通知投标人，要求其延长投标有效期。如果有关投标人同意延长投标有效期的要求，其应在原投标有效期期满前以书面形式向采购人确认。</w:t>
      </w:r>
      <w:r>
        <w:rPr>
          <w:rFonts w:hint="eastAsia" w:ascii="宋体" w:hAnsi="宋体" w:eastAsia="宋体" w:cs="宋体"/>
          <w:color w:val="000000" w:themeColor="text1"/>
          <w:highlight w:val="none"/>
        </w:rPr>
      </w:r>
      <w:r>
        <w:rPr>
          <w:color w:val="000000" w:themeColor="text1"/>
        </w:rPr>
      </w:r>
    </w:p>
    <w:p>
      <w:pPr>
        <w:pStyle w:val="1012"/>
        <w:ind w:firstLine="480"/>
        <w:keepLines w:val="0"/>
        <w:keepNext w:val="0"/>
        <w:pageBreakBefore w:val="0"/>
        <w:spacing w:line="440" w:lineRule="exact"/>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18. 投标文件的编制要求和签署要求</w:t>
      </w:r>
      <w:r>
        <w:rPr>
          <w:rFonts w:hint="eastAsia" w:ascii="宋体" w:hAnsi="宋体" w:eastAsia="宋体" w:cs="宋体"/>
          <w:color w:val="000000" w:themeColor="text1"/>
          <w:highlight w:val="none"/>
        </w:rPr>
      </w:r>
      <w:r>
        <w:rPr>
          <w:color w:val="000000" w:themeColor="text1"/>
        </w:rPr>
      </w:r>
    </w:p>
    <w:p>
      <w:pPr>
        <w:pStyle w:val="1012"/>
        <w:ind w:firstLine="480"/>
        <w:keepLines w:val="0"/>
        <w:keepNext w:val="0"/>
        <w:pageBreakBefore w:val="0"/>
        <w:spacing w:line="440" w:lineRule="exact"/>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18.1.电子投标文件要求</w:t>
      </w:r>
      <w:r>
        <w:rPr>
          <w:rFonts w:hint="eastAsia" w:ascii="宋体" w:hAnsi="宋体" w:eastAsia="宋体" w:cs="宋体"/>
          <w:color w:val="000000" w:themeColor="text1"/>
          <w:highlight w:val="none"/>
        </w:rPr>
      </w:r>
      <w:r>
        <w:rPr>
          <w:color w:val="000000" w:themeColor="text1"/>
        </w:rPr>
      </w:r>
    </w:p>
    <w:p>
      <w:pPr>
        <w:pStyle w:val="1012"/>
        <w:ind w:firstLine="480"/>
        <w:keepLines w:val="0"/>
        <w:keepNext w:val="0"/>
        <w:pageBreakBefore w:val="0"/>
        <w:spacing w:line="440" w:lineRule="exact"/>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18.1.1电子招标投标交易平台（即“苏采云”系统）相关要求是本招标文件的组成部分。</w:t>
      </w:r>
      <w:r>
        <w:rPr>
          <w:rFonts w:hint="eastAsia" w:ascii="宋体" w:hAnsi="宋体" w:eastAsia="宋体" w:cs="宋体"/>
          <w:color w:val="000000" w:themeColor="text1"/>
          <w:highlight w:val="none"/>
        </w:rPr>
      </w:r>
      <w:r>
        <w:rPr>
          <w:color w:val="000000" w:themeColor="text1"/>
        </w:rPr>
      </w:r>
    </w:p>
    <w:p>
      <w:pPr>
        <w:pStyle w:val="1012"/>
        <w:ind w:firstLine="480"/>
        <w:keepLines w:val="0"/>
        <w:keepNext w:val="0"/>
        <w:pageBreakBefore w:val="0"/>
        <w:spacing w:line="440" w:lineRule="exact"/>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18.1.2投标人</w:t>
      </w:r>
      <w:r>
        <w:rPr>
          <w:rFonts w:ascii="宋体" w:hAnsi="宋体" w:eastAsia="宋体" w:cs="宋体"/>
          <w:color w:val="000000" w:themeColor="text1"/>
          <w:highlight w:val="none"/>
        </w:rPr>
        <w:t xml:space="preserve">应在规定的网上</w:t>
      </w:r>
      <w:r>
        <w:rPr>
          <w:rFonts w:hint="eastAsia" w:ascii="宋体" w:hAnsi="宋体" w:eastAsia="宋体" w:cs="宋体"/>
          <w:color w:val="000000" w:themeColor="text1"/>
          <w:highlight w:val="none"/>
        </w:rPr>
        <w:t xml:space="preserve">投标</w:t>
      </w:r>
      <w:r>
        <w:rPr>
          <w:rFonts w:ascii="宋体" w:hAnsi="宋体" w:eastAsia="宋体" w:cs="宋体"/>
          <w:color w:val="000000" w:themeColor="text1"/>
          <w:highlight w:val="none"/>
        </w:rPr>
        <w:t xml:space="preserve">时间</w:t>
      </w:r>
      <w:r>
        <w:rPr>
          <w:rFonts w:hint="eastAsia" w:ascii="宋体" w:hAnsi="宋体" w:eastAsia="宋体" w:cs="宋体"/>
          <w:color w:val="000000" w:themeColor="text1"/>
          <w:highlight w:val="none"/>
        </w:rPr>
        <w:t xml:space="preserve">内</w:t>
      </w:r>
      <w:r>
        <w:rPr>
          <w:rFonts w:ascii="宋体" w:hAnsi="宋体" w:eastAsia="宋体" w:cs="宋体"/>
          <w:color w:val="000000" w:themeColor="text1"/>
          <w:highlight w:val="none"/>
        </w:rPr>
        <w:t xml:space="preserve">使用</w:t>
      </w:r>
      <w:r>
        <w:rPr>
          <w:rFonts w:hint="eastAsia" w:ascii="宋体" w:hAnsi="宋体" w:eastAsia="宋体" w:cs="宋体"/>
          <w:color w:val="000000" w:themeColor="text1"/>
          <w:highlight w:val="none"/>
        </w:rPr>
        <w:t xml:space="preserve">“</w:t>
      </w:r>
      <w:r>
        <w:rPr>
          <w:rFonts w:ascii="宋体" w:hAnsi="宋体" w:eastAsia="宋体" w:cs="宋体"/>
          <w:color w:val="000000" w:themeColor="text1"/>
          <w:highlight w:val="none"/>
        </w:rPr>
        <w:t xml:space="preserve">政府采购客户端</w:t>
      </w:r>
      <w:r>
        <w:rPr>
          <w:rFonts w:hint="eastAsia" w:ascii="宋体" w:hAnsi="宋体" w:eastAsia="宋体" w:cs="宋体"/>
          <w:color w:val="000000" w:themeColor="text1"/>
          <w:highlight w:val="none"/>
        </w:rPr>
        <w:t xml:space="preserve">”</w:t>
      </w:r>
      <w:r>
        <w:rPr>
          <w:rFonts w:ascii="宋体" w:hAnsi="宋体" w:eastAsia="宋体" w:cs="宋体"/>
          <w:color w:val="000000" w:themeColor="text1"/>
          <w:highlight w:val="none"/>
        </w:rPr>
        <w:t xml:space="preserve">编制电子</w:t>
      </w:r>
      <w:r>
        <w:rPr>
          <w:rFonts w:hint="eastAsia" w:ascii="宋体" w:hAnsi="宋体" w:eastAsia="宋体" w:cs="宋体"/>
          <w:color w:val="000000" w:themeColor="text1"/>
          <w:highlight w:val="none"/>
        </w:rPr>
        <w:t xml:space="preserve">投标</w:t>
      </w:r>
      <w:r>
        <w:rPr>
          <w:rFonts w:ascii="宋体" w:hAnsi="宋体" w:eastAsia="宋体" w:cs="宋体"/>
          <w:color w:val="000000" w:themeColor="text1"/>
          <w:highlight w:val="none"/>
        </w:rPr>
        <w:t xml:space="preserve">文件，并在提交</w:t>
      </w:r>
      <w:r>
        <w:rPr>
          <w:rFonts w:hint="eastAsia" w:ascii="宋体" w:hAnsi="宋体" w:eastAsia="宋体" w:cs="宋体"/>
          <w:color w:val="000000" w:themeColor="text1"/>
          <w:highlight w:val="none"/>
        </w:rPr>
        <w:t xml:space="preserve">投标</w:t>
      </w:r>
      <w:r>
        <w:rPr>
          <w:rFonts w:ascii="宋体" w:hAnsi="宋体" w:eastAsia="宋体" w:cs="宋体"/>
          <w:color w:val="000000" w:themeColor="text1"/>
          <w:highlight w:val="none"/>
        </w:rPr>
        <w:t xml:space="preserve">文件截止时间之前上传</w:t>
      </w:r>
      <w:r>
        <w:rPr>
          <w:rFonts w:hint="eastAsia" w:ascii="宋体" w:hAnsi="宋体" w:eastAsia="宋体" w:cs="宋体"/>
          <w:color w:val="000000" w:themeColor="text1"/>
          <w:highlight w:val="none"/>
        </w:rPr>
        <w:t xml:space="preserve">投标</w:t>
      </w:r>
      <w:r>
        <w:rPr>
          <w:rFonts w:ascii="宋体" w:hAnsi="宋体" w:eastAsia="宋体" w:cs="宋体"/>
          <w:color w:val="000000" w:themeColor="text1"/>
          <w:highlight w:val="none"/>
        </w:rPr>
        <w:t xml:space="preserve">文件。</w:t>
      </w:r>
      <w:r>
        <w:rPr>
          <w:rFonts w:hint="eastAsia" w:ascii="宋体" w:hAnsi="宋体" w:eastAsia="宋体" w:cs="宋体"/>
          <w:color w:val="000000" w:themeColor="text1"/>
          <w:highlight w:val="none"/>
        </w:rPr>
      </w:r>
      <w:r>
        <w:rPr>
          <w:color w:val="000000" w:themeColor="text1"/>
        </w:rPr>
      </w:r>
    </w:p>
    <w:p>
      <w:pPr>
        <w:pStyle w:val="1012"/>
        <w:ind w:firstLine="480"/>
        <w:keepLines w:val="0"/>
        <w:keepNext w:val="0"/>
        <w:pageBreakBefore w:val="0"/>
        <w:spacing w:line="440" w:lineRule="exact"/>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18.1.3投标人应当对招标文件提出的要求和条件作出实质性响应，并在电子投标系统逐条应答。</w:t>
      </w:r>
      <w:r>
        <w:rPr>
          <w:rFonts w:hint="eastAsia" w:ascii="宋体" w:hAnsi="宋体" w:eastAsia="宋体" w:cs="宋体"/>
          <w:color w:val="000000" w:themeColor="text1"/>
          <w:highlight w:val="none"/>
        </w:rPr>
      </w:r>
      <w:r>
        <w:rPr>
          <w:color w:val="000000" w:themeColor="text1"/>
        </w:rPr>
      </w:r>
    </w:p>
    <w:p>
      <w:pPr>
        <w:pStyle w:val="1012"/>
        <w:numPr>
          <w:ilvl w:val="0"/>
          <w:numId w:val="6"/>
        </w:numPr>
        <w:ind w:firstLine="480"/>
        <w:keepLines w:val="0"/>
        <w:keepNext w:val="0"/>
        <w:pageBreakBefore w:val="0"/>
        <w:spacing w:line="440" w:lineRule="exact"/>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18.1.4投标人应对要求提供的资格证明文件（如资质证书、资格证书）、技术资料（如白皮书、彩页、手册、检测报告等）扫描上传至投标系统。</w:t>
      </w:r>
      <w:r>
        <w:rPr>
          <w:rFonts w:hint="eastAsia" w:ascii="宋体" w:hAnsi="宋体" w:eastAsia="宋体" w:cs="宋体"/>
          <w:color w:val="000000" w:themeColor="text1"/>
          <w:highlight w:val="none"/>
        </w:rPr>
      </w:r>
      <w:r>
        <w:rPr>
          <w:color w:val="000000" w:themeColor="text1"/>
        </w:rPr>
      </w:r>
    </w:p>
    <w:p>
      <w:pPr>
        <w:pStyle w:val="1012"/>
        <w:numPr>
          <w:ilvl w:val="0"/>
          <w:numId w:val="6"/>
        </w:numPr>
        <w:ind w:firstLine="480"/>
        <w:keepLines w:val="0"/>
        <w:keepNext w:val="0"/>
        <w:pageBreakBefore w:val="0"/>
        <w:spacing w:line="440" w:lineRule="exact"/>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投标文件的加密、提交与接收</w:t>
      </w:r>
      <w:r>
        <w:rPr>
          <w:rFonts w:hint="eastAsia" w:ascii="宋体" w:hAnsi="宋体" w:eastAsia="宋体" w:cs="宋体"/>
          <w:color w:val="000000" w:themeColor="text1"/>
          <w:highlight w:val="none"/>
        </w:rPr>
      </w:r>
      <w:r>
        <w:rPr>
          <w:color w:val="000000" w:themeColor="text1"/>
        </w:rPr>
      </w:r>
    </w:p>
    <w:p>
      <w:pPr>
        <w:pStyle w:val="1012"/>
        <w:ind w:firstLine="480"/>
        <w:keepLines w:val="0"/>
        <w:keepNext w:val="0"/>
        <w:pageBreakBefore w:val="0"/>
        <w:spacing w:line="440" w:lineRule="exact"/>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19.1投标文件的加密、签署、盖章要求：见招标文件第三章《投标资料表》。</w:t>
      </w:r>
      <w:r>
        <w:rPr>
          <w:rFonts w:hint="eastAsia" w:ascii="宋体" w:hAnsi="宋体" w:eastAsia="宋体" w:cs="宋体"/>
          <w:color w:val="000000" w:themeColor="text1"/>
          <w:highlight w:val="none"/>
        </w:rPr>
      </w:r>
      <w:r>
        <w:rPr>
          <w:color w:val="000000" w:themeColor="text1"/>
        </w:rPr>
      </w:r>
    </w:p>
    <w:p>
      <w:pPr>
        <w:pStyle w:val="1012"/>
        <w:ind w:firstLine="480"/>
        <w:keepLines w:val="0"/>
        <w:keepNext w:val="0"/>
        <w:pageBreakBefore w:val="0"/>
        <w:spacing w:line="440" w:lineRule="exact"/>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19.2提交投标文件的截止时间（投标截止时间）：见招标文件第三章《投标资料表》。</w:t>
      </w:r>
      <w:r>
        <w:rPr>
          <w:rFonts w:hint="eastAsia" w:ascii="宋体" w:hAnsi="宋体" w:eastAsia="宋体" w:cs="宋体"/>
          <w:color w:val="000000" w:themeColor="text1"/>
          <w:highlight w:val="none"/>
        </w:rPr>
      </w:r>
      <w:r>
        <w:rPr>
          <w:color w:val="000000" w:themeColor="text1"/>
        </w:rPr>
      </w:r>
    </w:p>
    <w:p>
      <w:pPr>
        <w:pStyle w:val="1079"/>
        <w:ind w:firstLine="480"/>
        <w:keepLines w:val="0"/>
        <w:keepNext w:val="0"/>
        <w:pageBreakBefore w:val="0"/>
        <w:spacing w:line="440" w:lineRule="exact"/>
        <w:rPr>
          <w:rFonts w:hint="eastAsia" w:ascii="宋体" w:hAnsi="宋体" w:cs="宋体"/>
          <w:color w:val="000000" w:themeColor="text1"/>
          <w:sz w:val="24"/>
          <w:highlight w:val="none"/>
        </w:rPr>
        <w:outlineLvl w:val="9"/>
      </w:pPr>
      <w:r>
        <w:rPr>
          <w:rFonts w:hint="eastAsia" w:ascii="宋体" w:hAnsi="宋体" w:cs="宋体"/>
          <w:color w:val="000000" w:themeColor="text1"/>
          <w:sz w:val="24"/>
          <w:highlight w:val="none"/>
        </w:rPr>
        <w:t xml:space="preserve">19.3投标人应当在招标文件要求提交投标文件的截止时间前，将投标文件提交至“苏采云”系统，逾期提交的投标文件，“苏采云”系统将自动拒收。</w:t>
      </w:r>
      <w:r>
        <w:rPr>
          <w:rFonts w:hint="eastAsia" w:ascii="宋体" w:hAnsi="宋体" w:cs="宋体"/>
          <w:color w:val="000000" w:themeColor="text1"/>
          <w:sz w:val="24"/>
          <w:highlight w:val="none"/>
        </w:rPr>
      </w:r>
      <w:r>
        <w:rPr>
          <w:color w:val="000000" w:themeColor="text1"/>
        </w:rPr>
      </w:r>
    </w:p>
    <w:p>
      <w:pPr>
        <w:pStyle w:val="1012"/>
        <w:ind w:firstLine="480"/>
        <w:keepLines w:val="0"/>
        <w:keepNext w:val="0"/>
        <w:pageBreakBefore w:val="0"/>
        <w:spacing w:line="440" w:lineRule="exact"/>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20. 投标人在投标截止时间前，可以对所递交的投标文件进行补充、修改或者撤回，并书面通知采购代理机构。补充、修改的内容应当按照招标文件要求签署、盖章、密封后，作为投标文件的组成部分。</w:t>
      </w:r>
      <w:r>
        <w:rPr>
          <w:rFonts w:hint="eastAsia" w:ascii="宋体" w:hAnsi="宋体" w:eastAsia="宋体" w:cs="宋体"/>
          <w:color w:val="000000" w:themeColor="text1"/>
          <w:highlight w:val="none"/>
        </w:rPr>
      </w:r>
      <w:r>
        <w:rPr>
          <w:color w:val="000000" w:themeColor="text1"/>
        </w:rPr>
      </w:r>
    </w:p>
    <w:p>
      <w:pPr>
        <w:pStyle w:val="1012"/>
        <w:ind w:firstLine="480"/>
        <w:keepLines w:val="0"/>
        <w:keepNext w:val="0"/>
        <w:pageBreakBefore w:val="0"/>
        <w:spacing w:line="440" w:lineRule="exact"/>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21. 分包</w:t>
      </w:r>
      <w:r>
        <w:rPr>
          <w:rFonts w:hint="eastAsia" w:ascii="宋体" w:hAnsi="宋体" w:eastAsia="宋体" w:cs="宋体"/>
          <w:color w:val="000000" w:themeColor="text1"/>
          <w:highlight w:val="none"/>
        </w:rPr>
      </w:r>
      <w:r>
        <w:rPr>
          <w:color w:val="000000" w:themeColor="text1"/>
        </w:rPr>
      </w:r>
    </w:p>
    <w:p>
      <w:pPr>
        <w:pStyle w:val="1012"/>
        <w:ind w:firstLine="480"/>
        <w:keepLines w:val="0"/>
        <w:keepNext w:val="0"/>
        <w:pageBreakBefore w:val="0"/>
        <w:spacing w:line="440" w:lineRule="exact"/>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 21.1投标人根据招标文件的规定和采购项目的实际情况，拟在中标后将中标项目的非主体、非关键性工作分包的，应当在投标文件中载明分包承担主体，分包承担主体应当具备相应资质条件且不得再次分包。</w:t>
      </w:r>
      <w:r>
        <w:rPr>
          <w:rFonts w:hint="eastAsia" w:ascii="宋体" w:hAnsi="宋体" w:eastAsia="宋体" w:cs="宋体"/>
          <w:color w:val="000000" w:themeColor="text1"/>
          <w:highlight w:val="none"/>
        </w:rPr>
      </w:r>
      <w:r>
        <w:rPr>
          <w:color w:val="000000" w:themeColor="text1"/>
        </w:rPr>
      </w:r>
    </w:p>
    <w:p>
      <w:pPr>
        <w:pStyle w:val="1012"/>
        <w:ind w:firstLine="480"/>
        <w:keepLines w:val="0"/>
        <w:keepNext w:val="0"/>
        <w:pageBreakBefore w:val="0"/>
        <w:spacing w:line="440" w:lineRule="exact"/>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21.2 招标文件对本项目分包的规定：见招标文件第三章《投标资料表》。</w:t>
      </w:r>
      <w:r>
        <w:rPr>
          <w:rFonts w:hint="eastAsia" w:ascii="宋体" w:hAnsi="宋体" w:eastAsia="宋体" w:cs="宋体"/>
          <w:color w:val="000000" w:themeColor="text1"/>
          <w:highlight w:val="none"/>
        </w:rPr>
      </w:r>
      <w:r>
        <w:rPr>
          <w:color w:val="000000" w:themeColor="text1"/>
        </w:rPr>
      </w:r>
    </w:p>
    <w:p>
      <w:pPr>
        <w:pStyle w:val="1012"/>
        <w:ind w:firstLine="480"/>
        <w:keepLines w:val="0"/>
        <w:keepNext w:val="0"/>
        <w:pageBreakBefore w:val="0"/>
        <w:spacing w:line="440" w:lineRule="exact"/>
        <w:rPr>
          <w:rFonts w:hint="eastAsia" w:ascii="宋体" w:hAnsi="宋体" w:eastAsia="宋体" w:cs="宋体"/>
          <w:bCs/>
          <w:color w:val="000000" w:themeColor="text1"/>
          <w:highlight w:val="none"/>
        </w:rPr>
        <w:outlineLvl w:val="9"/>
      </w:pPr>
      <w:r>
        <w:rPr>
          <w:rFonts w:hint="eastAsia" w:ascii="宋体" w:hAnsi="宋体" w:eastAsia="宋体" w:cs="宋体"/>
          <w:color w:val="000000" w:themeColor="text1"/>
          <w:highlight w:val="none"/>
        </w:rPr>
        <w:t xml:space="preserve">22. 投标人应当</w:t>
      </w:r>
      <w:r>
        <w:rPr>
          <w:rFonts w:hint="eastAsia" w:ascii="宋体" w:hAnsi="宋体" w:eastAsia="宋体" w:cs="宋体"/>
          <w:bCs/>
          <w:color w:val="000000" w:themeColor="text1"/>
          <w:highlight w:val="none"/>
        </w:rPr>
        <w:t xml:space="preserve">遵循公平竞争的原则，不得恶意串通，不得妨碍其他投标人的竞争行为，不得损害采购人或者其他投标人的合法权益。</w:t>
      </w:r>
      <w:r>
        <w:rPr>
          <w:rFonts w:hint="eastAsia" w:ascii="宋体" w:hAnsi="宋体" w:eastAsia="宋体" w:cs="宋体"/>
          <w:bCs/>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bCs/>
          <w:color w:val="000000" w:themeColor="text1"/>
          <w:highlight w:val="none"/>
        </w:rPr>
        <w:outlineLvl w:val="9"/>
      </w:pPr>
      <w:r>
        <w:rPr>
          <w:rFonts w:hint="eastAsia" w:ascii="宋体" w:hAnsi="宋体" w:eastAsia="宋体" w:cs="宋体"/>
          <w:bCs/>
          <w:color w:val="000000" w:themeColor="text1"/>
          <w:highlight w:val="none"/>
        </w:rPr>
        <w:t xml:space="preserve">在评标过程中发现投标人有上述情形的，评标委员会应当认定其投标无效，并书面报告本级财政部门。</w:t>
      </w:r>
      <w:r>
        <w:rPr>
          <w:rFonts w:hint="eastAsia" w:ascii="宋体" w:hAnsi="宋体" w:eastAsia="宋体" w:cs="宋体"/>
          <w:bCs/>
          <w:color w:val="000000" w:themeColor="text1"/>
          <w:highlight w:val="none"/>
        </w:rPr>
      </w:r>
      <w:r>
        <w:rPr>
          <w:color w:val="000000" w:themeColor="text1"/>
        </w:rPr>
      </w:r>
    </w:p>
    <w:p>
      <w:pPr>
        <w:pStyle w:val="1012"/>
        <w:ind w:firstLine="480"/>
        <w:keepLines w:val="0"/>
        <w:keepNext w:val="0"/>
        <w:pageBreakBefore w:val="0"/>
        <w:spacing w:line="440" w:lineRule="exact"/>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23</w:t>
      </w:r>
      <w:r>
        <w:rPr>
          <w:rFonts w:hint="eastAsia" w:ascii="宋体" w:hAnsi="宋体" w:eastAsia="宋体" w:cs="宋体"/>
          <w:color w:val="000000" w:themeColor="text1"/>
          <w:highlight w:val="none"/>
        </w:rPr>
        <w:t xml:space="preserve">. 有下列情形之一的，视为投标人串通投标，其投标无效：</w:t>
      </w:r>
      <w:r>
        <w:rPr>
          <w:rFonts w:hint="eastAsia" w:ascii="宋体" w:hAnsi="宋体" w:eastAsia="宋体" w:cs="宋体"/>
          <w:color w:val="000000" w:themeColor="text1"/>
          <w:highlight w:val="none"/>
        </w:rPr>
      </w:r>
      <w:r>
        <w:rPr>
          <w:color w:val="000000" w:themeColor="text1"/>
        </w:rPr>
      </w:r>
    </w:p>
    <w:p>
      <w:pPr>
        <w:pStyle w:val="1012"/>
        <w:ind w:firstLine="480"/>
        <w:keepLines w:val="0"/>
        <w:keepNext w:val="0"/>
        <w:pageBreakBefore w:val="0"/>
        <w:spacing w:line="440" w:lineRule="exact"/>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23.1</w:t>
      </w:r>
      <w:r>
        <w:rPr>
          <w:rFonts w:hint="eastAsia" w:ascii="宋体" w:hAnsi="宋体" w:eastAsia="宋体" w:cs="宋体"/>
          <w:color w:val="000000" w:themeColor="text1"/>
          <w:highlight w:val="none"/>
        </w:rPr>
        <w:t xml:space="preserve">不同投标人的投标文件由同一单位或者个人编制；</w:t>
      </w:r>
      <w:r>
        <w:rPr>
          <w:rFonts w:hint="eastAsia" w:ascii="宋体" w:hAnsi="宋体" w:eastAsia="宋体" w:cs="宋体"/>
          <w:color w:val="000000" w:themeColor="text1"/>
          <w:highlight w:val="none"/>
        </w:rPr>
      </w:r>
      <w:r>
        <w:rPr>
          <w:color w:val="000000" w:themeColor="text1"/>
        </w:rPr>
      </w:r>
    </w:p>
    <w:p>
      <w:pPr>
        <w:pStyle w:val="1012"/>
        <w:ind w:firstLine="480"/>
        <w:keepLines w:val="0"/>
        <w:keepNext w:val="0"/>
        <w:pageBreakBefore w:val="0"/>
        <w:spacing w:line="440" w:lineRule="exact"/>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23.2</w:t>
      </w:r>
      <w:r>
        <w:rPr>
          <w:rFonts w:hint="eastAsia" w:ascii="宋体" w:hAnsi="宋体" w:eastAsia="宋体" w:cs="宋体"/>
          <w:color w:val="000000" w:themeColor="text1"/>
          <w:highlight w:val="none"/>
        </w:rPr>
        <w:t xml:space="preserve">不同投标人委托同一单位或者个人办理投标事宜；</w:t>
      </w:r>
      <w:r>
        <w:rPr>
          <w:rFonts w:hint="eastAsia" w:ascii="宋体" w:hAnsi="宋体" w:eastAsia="宋体" w:cs="宋体"/>
          <w:color w:val="000000" w:themeColor="text1"/>
          <w:highlight w:val="none"/>
        </w:rPr>
      </w:r>
      <w:r>
        <w:rPr>
          <w:color w:val="000000" w:themeColor="text1"/>
        </w:rPr>
      </w:r>
    </w:p>
    <w:p>
      <w:pPr>
        <w:pStyle w:val="1012"/>
        <w:ind w:firstLine="480"/>
        <w:keepLines w:val="0"/>
        <w:keepNext w:val="0"/>
        <w:pageBreakBefore w:val="0"/>
        <w:spacing w:line="440" w:lineRule="exact"/>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23.3</w:t>
      </w:r>
      <w:r>
        <w:rPr>
          <w:rFonts w:hint="eastAsia" w:ascii="宋体" w:hAnsi="宋体" w:eastAsia="宋体" w:cs="宋体"/>
          <w:color w:val="000000" w:themeColor="text1"/>
          <w:highlight w:val="none"/>
        </w:rPr>
        <w:t xml:space="preserve">不同投标人的投标文件载明的项目管理成员或者联系人员为同一人；</w:t>
      </w:r>
      <w:r>
        <w:rPr>
          <w:rFonts w:hint="eastAsia" w:ascii="宋体" w:hAnsi="宋体" w:eastAsia="宋体" w:cs="宋体"/>
          <w:color w:val="000000" w:themeColor="text1"/>
          <w:highlight w:val="none"/>
        </w:rPr>
      </w:r>
      <w:r>
        <w:rPr>
          <w:color w:val="000000" w:themeColor="text1"/>
        </w:rPr>
      </w:r>
    </w:p>
    <w:p>
      <w:pPr>
        <w:pStyle w:val="1012"/>
        <w:ind w:firstLine="480"/>
        <w:keepLines w:val="0"/>
        <w:keepNext w:val="0"/>
        <w:pageBreakBefore w:val="0"/>
        <w:spacing w:line="440" w:lineRule="exact"/>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23.4</w:t>
      </w:r>
      <w:r>
        <w:rPr>
          <w:rFonts w:hint="eastAsia" w:ascii="宋体" w:hAnsi="宋体" w:eastAsia="宋体" w:cs="宋体"/>
          <w:color w:val="000000" w:themeColor="text1"/>
          <w:highlight w:val="none"/>
        </w:rPr>
        <w:t xml:space="preserve">不同投标人的投标文件异常一致或者投标报价呈规律性差异</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r>
      <w:r>
        <w:rPr>
          <w:color w:val="000000" w:themeColor="text1"/>
        </w:rPr>
      </w:r>
    </w:p>
    <w:p>
      <w:pPr>
        <w:pStyle w:val="1012"/>
        <w:ind w:firstLine="0"/>
        <w:jc w:val="left"/>
        <w:keepLines w:val="0"/>
        <w:keepNext w:val="0"/>
        <w:pageBreakBefore w:val="0"/>
        <w:spacing w:line="440" w:lineRule="exact"/>
        <w:widowControl/>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rPr>
      </w:r>
    </w:p>
    <w:p>
      <w:pPr>
        <w:pStyle w:val="1012"/>
        <w:jc w:val="center"/>
        <w:keepLines w:val="0"/>
        <w:keepNext w:val="0"/>
        <w:pageBreakBefore w:val="0"/>
        <w:spacing w:line="440" w:lineRule="exact"/>
        <w:rPr>
          <w:rFonts w:hint="eastAsia" w:ascii="宋体" w:hAnsi="宋体" w:eastAsia="宋体" w:cs="宋体"/>
          <w:color w:val="000000" w:themeColor="text1"/>
          <w:highlight w:val="none"/>
        </w:rPr>
        <w:outlineLvl w:val="9"/>
      </w:pPr>
      <w:r>
        <w:rPr>
          <w:rFonts w:hint="eastAsia" w:ascii="宋体" w:hAnsi="宋体" w:eastAsia="宋体" w:cs="宋体"/>
          <w:b/>
          <w:color w:val="000000" w:themeColor="text1"/>
          <w:sz w:val="28"/>
          <w:szCs w:val="28"/>
          <w:highlight w:val="none"/>
        </w:rPr>
        <w:t xml:space="preserve">四、开标</w:t>
      </w:r>
      <w:r>
        <w:rPr>
          <w:rFonts w:hint="eastAsia" w:ascii="宋体" w:hAnsi="宋体" w:eastAsia="宋体" w:cs="宋体"/>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bidi="ar"/>
        </w:rPr>
        <w:t xml:space="preserve">24.开标</w:t>
      </w:r>
      <w:r>
        <w:rPr>
          <w:rFonts w:hint="eastAsia" w:ascii="宋体" w:hAnsi="宋体" w:eastAsia="宋体" w:cs="宋体"/>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bidi="ar"/>
        </w:rPr>
        <w:t xml:space="preserve">24.1 开标应当在招标文件确定的提交投标文件截止时间的同一时间进行。开标地点应当为招标文件中预先确定的地点。开标时间及地点：见招标文件第三章《投标资料表》。</w:t>
      </w:r>
      <w:r>
        <w:rPr>
          <w:rFonts w:hint="eastAsia" w:ascii="宋体" w:hAnsi="宋体" w:eastAsia="宋体" w:cs="宋体"/>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bidi="ar"/>
        </w:rPr>
        <w:t xml:space="preserve">24.2 开标仪式由采购代理机构组织。苏采云系统将自动对项目进行开标，并宣布各投标人名称和投标价格。</w:t>
      </w:r>
      <w:r>
        <w:rPr>
          <w:rFonts w:hint="eastAsia" w:ascii="宋体" w:hAnsi="宋体" w:eastAsia="宋体" w:cs="宋体"/>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bidi="ar"/>
        </w:rPr>
        <w:t xml:space="preserve">24.3 开标时，由采购代理机构工作人员宣布投标人名称、投标价格和招标文件规定的需要宣布的其他内容。招标文件规定的需要宣布的内容：见招标文件第三章《投标资料表》。</w:t>
      </w:r>
      <w:r>
        <w:rPr>
          <w:rFonts w:hint="eastAsia" w:ascii="宋体" w:hAnsi="宋体" w:eastAsia="宋体" w:cs="宋体"/>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bidi="ar"/>
        </w:rPr>
        <w:t xml:space="preserve">24.4开标过程应当由采购人或者采购代理机构负责记录，由参加开标的各投标人代表线上确认和相关工作人员签字确认后随采购文件一并存档。</w:t>
      </w:r>
      <w:r>
        <w:rPr>
          <w:rFonts w:hint="eastAsia" w:ascii="宋体" w:hAnsi="宋体" w:eastAsia="宋体" w:cs="宋体"/>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bidi="ar"/>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rPr>
          <w:rFonts w:hint="eastAsia" w:ascii="宋体" w:hAnsi="宋体" w:eastAsia="宋体" w:cs="宋体"/>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bidi="ar"/>
        </w:rPr>
        <w:t xml:space="preserve">投标人未参加开标的，视同认可开标结果。</w:t>
      </w:r>
      <w:r>
        <w:rPr>
          <w:rFonts w:hint="eastAsia" w:ascii="宋体" w:hAnsi="宋体" w:eastAsia="宋体" w:cs="宋体"/>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bidi="ar"/>
        </w:rPr>
        <w:t xml:space="preserve">24.5因投标人原因造成投标文件未解密的，视为撤销其投标文件；因投标人之外的原因造成投标文件未解密的，视为撤回其投标文件，投标人有权要求责任方（如责任方为电子招标投标交易平台，电子招标投标交易平台免责）赔偿因此遭受的直接损失。部分投标文件未解密的，其他投标文件的开标可以继续进行。</w:t>
      </w:r>
      <w:r>
        <w:rPr>
          <w:rFonts w:hint="eastAsia" w:ascii="宋体" w:hAnsi="宋体" w:eastAsia="宋体" w:cs="宋体"/>
          <w:color w:val="000000" w:themeColor="text1"/>
          <w:highlight w:val="none"/>
        </w:rPr>
      </w:r>
      <w:r>
        <w:rPr>
          <w:color w:val="000000" w:themeColor="text1"/>
        </w:rPr>
      </w:r>
    </w:p>
    <w:p>
      <w:pPr>
        <w:pStyle w:val="1012"/>
        <w:ind w:firstLine="480"/>
        <w:keepLines w:val="0"/>
        <w:keepNext w:val="0"/>
        <w:pageBreakBefore w:val="0"/>
        <w:spacing w:line="440" w:lineRule="exact"/>
        <w:rPr>
          <w:rFonts w:hint="eastAsia"/>
          <w:color w:val="000000" w:themeColor="text1"/>
          <w:highlight w:val="none"/>
        </w:rPr>
        <w:pBdr>
          <w:top w:val="none" w:color="000000" w:sz="0" w:space="0"/>
          <w:left w:val="none" w:color="000000" w:sz="0" w:space="0"/>
          <w:bottom w:val="none" w:color="000000" w:sz="0" w:space="0"/>
          <w:right w:val="none" w:color="000000" w:sz="0" w:space="0"/>
        </w:pBdr>
        <w:outlineLvl w:val="9"/>
      </w:pPr>
      <w:r>
        <w:rPr>
          <w:rFonts w:hint="eastAsia"/>
          <w:color w:val="000000" w:themeColor="text1"/>
          <w:highlight w:val="none"/>
        </w:rPr>
      </w:r>
      <w:r>
        <w:rPr>
          <w:color w:val="000000" w:themeColor="text1"/>
        </w:rPr>
      </w:r>
    </w:p>
    <w:p>
      <w:pPr>
        <w:pStyle w:val="1012"/>
        <w:ind w:left="0" w:firstLine="0"/>
        <w:jc w:val="center"/>
        <w:keepLines w:val="0"/>
        <w:keepNext w:val="0"/>
        <w:pageBreakBefore w:val="0"/>
        <w:spacing w:line="440" w:lineRule="exact"/>
        <w:rPr>
          <w:rFonts w:hint="eastAsia" w:ascii="宋体" w:hAnsi="宋体" w:eastAsia="宋体" w:cs="宋体"/>
          <w:color w:val="000000" w:themeColor="text1"/>
          <w:highlight w:val="none"/>
        </w:rPr>
        <w:outlineLvl w:val="9"/>
      </w:pPr>
      <w:r>
        <w:rPr>
          <w:rFonts w:hint="eastAsia" w:ascii="宋体" w:hAnsi="宋体" w:eastAsia="宋体" w:cs="宋体"/>
          <w:b/>
          <w:color w:val="000000" w:themeColor="text1"/>
          <w:sz w:val="28"/>
          <w:szCs w:val="28"/>
          <w:highlight w:val="none"/>
        </w:rPr>
        <w:t xml:space="preserve">五、评标</w:t>
      </w:r>
      <w:r>
        <w:rPr>
          <w:rFonts w:hint="eastAsia" w:ascii="宋体" w:hAnsi="宋体" w:eastAsia="宋体" w:cs="宋体"/>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25. 公开招标采购项目开标结束后，采购人依法对投标人的资格进行审查。</w:t>
      </w:r>
      <w:r>
        <w:rPr>
          <w:rFonts w:hint="eastAsia" w:ascii="宋体" w:hAnsi="宋体" w:eastAsia="宋体" w:cs="宋体"/>
          <w:color w:val="000000" w:themeColor="text1"/>
          <w:highlight w:val="none"/>
        </w:rPr>
      </w:r>
      <w:r>
        <w:rPr>
          <w:color w:val="000000" w:themeColor="text1"/>
        </w:rPr>
      </w:r>
    </w:p>
    <w:p>
      <w:pPr>
        <w:pStyle w:val="1012"/>
        <w:ind w:left="0" w:firstLine="0"/>
        <w:jc w:val="left"/>
        <w:keepLines w:val="0"/>
        <w:keepNext w:val="0"/>
        <w:pageBreakBefore w:val="0"/>
        <w:spacing w:line="440" w:lineRule="exact"/>
        <w:widowControl/>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合格投标人不足3家的，不得评标。</w:t>
      </w:r>
      <w:r>
        <w:rPr>
          <w:rFonts w:hint="eastAsia" w:ascii="宋体" w:hAnsi="宋体" w:eastAsia="宋体" w:cs="宋体"/>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25.1 评标工作由采购代理机构负责组织，并履行下列职责：</w:t>
      </w:r>
      <w:r>
        <w:rPr>
          <w:rFonts w:hint="eastAsia" w:ascii="宋体" w:hAnsi="宋体" w:eastAsia="宋体" w:cs="宋体"/>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（一）核对评审专家身份和采购人代表授权函，对评审专家在政府采购活动中的职责履行情况予以记录，并及时将有关违法违规行为向财政部门报告；</w:t>
      </w:r>
      <w:r>
        <w:rPr>
          <w:rFonts w:hint="eastAsia" w:ascii="宋体" w:hAnsi="宋体" w:eastAsia="宋体" w:cs="宋体"/>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（二）宣布评标纪律；</w:t>
      </w:r>
      <w:r>
        <w:rPr>
          <w:rFonts w:hint="eastAsia" w:ascii="宋体" w:hAnsi="宋体" w:eastAsia="宋体" w:cs="宋体"/>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（三）公布投标人名单，告知评审专家应当回避的情形；</w:t>
      </w:r>
      <w:r>
        <w:rPr>
          <w:rFonts w:hint="eastAsia" w:ascii="宋体" w:hAnsi="宋体" w:eastAsia="宋体" w:cs="宋体"/>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（四）组织评标委员会推选评标组长，采购人代表不得担任组长；</w:t>
      </w:r>
      <w:r>
        <w:rPr>
          <w:rFonts w:hint="eastAsia" w:ascii="宋体" w:hAnsi="宋体" w:eastAsia="宋体" w:cs="宋体"/>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（五）在评标期间采取必要的通讯管理措施，保证评标活动不受外界干扰；</w:t>
      </w:r>
      <w:r>
        <w:rPr>
          <w:rFonts w:hint="eastAsia" w:ascii="宋体" w:hAnsi="宋体" w:eastAsia="宋体" w:cs="宋体"/>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（六）根据评标委员会的要求介绍政府采购相关政策法规、招标文件；</w:t>
      </w:r>
      <w:r>
        <w:rPr>
          <w:rFonts w:hint="eastAsia" w:ascii="宋体" w:hAnsi="宋体" w:eastAsia="宋体" w:cs="宋体"/>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（七）维护评标秩序，监督评标委员会依照招标文件规定的评标程序、方法和标准进行独立评审，及时制止和纠正采购人代表、评审专家的倾向性言论或者违法违规行为；</w:t>
      </w:r>
      <w:r>
        <w:rPr>
          <w:rFonts w:hint="eastAsia" w:ascii="宋体" w:hAnsi="宋体" w:eastAsia="宋体" w:cs="宋体"/>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（八）核对评标结果，有《</w:t>
      </w:r>
      <w:r>
        <w:rPr>
          <w:rFonts w:hint="eastAsia" w:ascii="宋体" w:hAnsi="宋体" w:eastAsia="宋体" w:cs="宋体"/>
          <w:color w:val="000000" w:themeColor="text1"/>
          <w:highlight w:val="none"/>
        </w:rPr>
        <w:fldChar w:fldCharType="begin"/>
      </w:r>
      <w:r>
        <w:rPr>
          <w:rFonts w:hint="eastAsia" w:ascii="宋体" w:hAnsi="宋体" w:eastAsia="宋体" w:cs="宋体"/>
          <w:color w:val="000000" w:themeColor="text1"/>
          <w:highlight w:val="none"/>
        </w:rPr>
        <w:instrText xml:space="preserve"> HYPERLINK "http://www.caigou2003.com/" \t "_blank" </w:instrText>
      </w:r>
      <w:r>
        <w:rPr>
          <w:rFonts w:hint="eastAsia" w:ascii="宋体" w:hAnsi="宋体" w:eastAsia="宋体" w:cs="宋体"/>
          <w:color w:val="000000" w:themeColor="text1"/>
          <w:highlight w:val="none"/>
        </w:rPr>
        <w:fldChar w:fldCharType="separate"/>
      </w:r>
      <w:r>
        <w:rPr>
          <w:rFonts w:hint="eastAsia" w:ascii="宋体" w:hAnsi="宋体" w:eastAsia="宋体" w:cs="宋体"/>
          <w:color w:val="000000" w:themeColor="text1"/>
          <w:highlight w:val="none"/>
        </w:rPr>
        <w:t xml:space="preserve">政府采购</w:t>
      </w:r>
      <w:r>
        <w:rPr>
          <w:rFonts w:hint="eastAsia" w:ascii="宋体" w:hAnsi="宋体" w:eastAsia="宋体" w:cs="宋体"/>
          <w:color w:val="000000" w:themeColor="text1"/>
          <w:highlight w:val="none"/>
        </w:rPr>
        <w:fldChar w:fldCharType="end"/>
      </w:r>
      <w:r>
        <w:rPr>
          <w:rFonts w:hint="eastAsia" w:ascii="宋体" w:hAnsi="宋体" w:eastAsia="宋体" w:cs="宋体"/>
          <w:color w:val="000000" w:themeColor="text1"/>
          <w:highlight w:val="none"/>
        </w:rPr>
        <w:t xml:space="preserve">货物和服务招标投标管理办法》第六十四条规定情形的，要求评标委员会复核或者书面说明理由，评标委员会拒绝的，应予记录并向本级财政部门报告；</w:t>
      </w:r>
      <w:r>
        <w:rPr>
          <w:rFonts w:hint="eastAsia" w:ascii="宋体" w:hAnsi="宋体" w:eastAsia="宋体" w:cs="宋体"/>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（九）评审工作完成后，按照规定向评审专家支付劳务报酬和异地评审差旅费，不得向评审专家以外的其他人员支付评审劳务报酬；</w:t>
      </w:r>
      <w:r>
        <w:rPr>
          <w:rFonts w:hint="eastAsia" w:ascii="宋体" w:hAnsi="宋体" w:eastAsia="宋体" w:cs="宋体"/>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（十）处理与评标有关的其他事项。</w:t>
      </w:r>
      <w:r>
        <w:rPr>
          <w:rFonts w:hint="eastAsia" w:ascii="宋体" w:hAnsi="宋体" w:eastAsia="宋体" w:cs="宋体"/>
          <w:color w:val="000000" w:themeColor="text1"/>
          <w:highlight w:val="none"/>
        </w:rPr>
      </w:r>
      <w:r>
        <w:rPr>
          <w:color w:val="000000" w:themeColor="text1"/>
        </w:rPr>
      </w:r>
    </w:p>
    <w:p>
      <w:pPr>
        <w:pStyle w:val="1012"/>
        <w:ind w:firstLine="360"/>
        <w:jc w:val="left"/>
        <w:keepLines w:val="0"/>
        <w:keepNext w:val="0"/>
        <w:pageBreakBefore w:val="0"/>
        <w:spacing w:line="440" w:lineRule="exact"/>
        <w:widowControl/>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采购人可以在评标前说明项目背景和采购需求，说明内容不得含有歧视性、倾向性意见，不得超出招标文件所述范围。说明应当提交书面材料，并随采购文件一并存档。</w:t>
      </w:r>
      <w:r>
        <w:rPr>
          <w:rFonts w:hint="eastAsia" w:ascii="宋体" w:hAnsi="宋体" w:eastAsia="宋体" w:cs="宋体"/>
          <w:color w:val="000000" w:themeColor="text1"/>
          <w:highlight w:val="none"/>
        </w:rPr>
      </w:r>
      <w:r>
        <w:rPr>
          <w:color w:val="000000" w:themeColor="text1"/>
        </w:rPr>
      </w:r>
    </w:p>
    <w:p>
      <w:pPr>
        <w:pStyle w:val="1012"/>
        <w:ind w:firstLine="360"/>
        <w:jc w:val="left"/>
        <w:keepLines w:val="0"/>
        <w:keepNext w:val="0"/>
        <w:pageBreakBefore w:val="0"/>
        <w:spacing w:line="440" w:lineRule="exact"/>
        <w:widowControl/>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 25.2 评标委员会负责具体评标事务，并独立履行下列职责：</w:t>
      </w:r>
      <w:r>
        <w:rPr>
          <w:rFonts w:hint="eastAsia" w:ascii="宋体" w:hAnsi="宋体" w:eastAsia="宋体" w:cs="宋体"/>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（一）审查、评价投标文件是否符合招标文件的商务、技术等实质性要求；</w:t>
      </w:r>
      <w:r>
        <w:rPr>
          <w:rFonts w:hint="eastAsia" w:ascii="宋体" w:hAnsi="宋体" w:eastAsia="宋体" w:cs="宋体"/>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（二）要求投标人对投标文件有关事项作出澄清或者说明；</w:t>
      </w:r>
      <w:r>
        <w:rPr>
          <w:rFonts w:hint="eastAsia" w:ascii="宋体" w:hAnsi="宋体" w:eastAsia="宋体" w:cs="宋体"/>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（三）对投标文件进行比较和评价；</w:t>
      </w:r>
      <w:r>
        <w:rPr>
          <w:rFonts w:hint="eastAsia" w:ascii="宋体" w:hAnsi="宋体" w:eastAsia="宋体" w:cs="宋体"/>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（四）确定中标候选人名单，以及根据采购人委托直接确定中标人；</w:t>
      </w:r>
      <w:r>
        <w:rPr>
          <w:rFonts w:hint="eastAsia" w:ascii="宋体" w:hAnsi="宋体" w:eastAsia="宋体" w:cs="宋体"/>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（五）向采购人、采购代理机构或者有关部门报告评标中发现的违法行为。</w:t>
      </w:r>
      <w:r>
        <w:rPr>
          <w:rFonts w:hint="eastAsia" w:ascii="宋体" w:hAnsi="宋体" w:eastAsia="宋体" w:cs="宋体"/>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26. 评标方法、评标标准</w:t>
      </w:r>
      <w:r>
        <w:rPr>
          <w:rFonts w:hint="eastAsia" w:ascii="宋体" w:hAnsi="宋体" w:eastAsia="宋体" w:cs="宋体"/>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26.1评标方法分为最低评标价法和综合评分法。本项目的评标方法：见招标文件第三章《投标资料表》。</w:t>
      </w:r>
      <w:r>
        <w:rPr>
          <w:rFonts w:hint="eastAsia" w:ascii="宋体" w:hAnsi="宋体" w:eastAsia="宋体" w:cs="宋体"/>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26.2本项目的评标标准：见招标文件第四章《评标标准》。</w:t>
      </w:r>
      <w:r>
        <w:rPr>
          <w:rFonts w:hint="eastAsia" w:ascii="宋体" w:hAnsi="宋体" w:eastAsia="宋体" w:cs="宋体"/>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27.评标</w:t>
      </w:r>
      <w:r>
        <w:rPr>
          <w:rFonts w:hint="eastAsia" w:ascii="宋体" w:hAnsi="宋体" w:eastAsia="宋体" w:cs="宋体"/>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27.1评标工作程序：</w:t>
      </w:r>
      <w:r>
        <w:rPr>
          <w:rFonts w:hint="eastAsia" w:ascii="宋体" w:hAnsi="宋体" w:eastAsia="宋体" w:cs="宋体"/>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（一）投标文件初审。</w:t>
      </w:r>
      <w:r>
        <w:rPr>
          <w:rFonts w:hint="eastAsia" w:ascii="宋体" w:hAnsi="宋体" w:eastAsia="宋体" w:cs="宋体"/>
          <w:color w:val="000000" w:themeColor="text1"/>
          <w:highlight w:val="none"/>
        </w:rPr>
      </w:r>
      <w:r>
        <w:rPr>
          <w:color w:val="000000" w:themeColor="text1"/>
        </w:rPr>
      </w:r>
    </w:p>
    <w:p>
      <w:pPr>
        <w:pStyle w:val="1012"/>
        <w:ind w:firstLine="840"/>
        <w:jc w:val="left"/>
        <w:keepLines w:val="0"/>
        <w:keepNext w:val="0"/>
        <w:pageBreakBefore w:val="0"/>
        <w:spacing w:line="440" w:lineRule="exact"/>
        <w:widowControl/>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w:t>
      </w:r>
      <w:r>
        <w:rPr>
          <w:rFonts w:hint="eastAsia" w:ascii="宋体" w:hAnsi="宋体" w:eastAsia="宋体" w:cs="宋体"/>
          <w:color w:val="000000" w:themeColor="text1"/>
          <w:highlight w:val="none"/>
          <w:lang w:val="en-US" w:eastAsia="zh-CN"/>
        </w:rPr>
        <w:t xml:space="preserve">.</w:t>
      </w:r>
      <w:r>
        <w:rPr>
          <w:rFonts w:hint="eastAsia" w:ascii="宋体" w:hAnsi="宋体" w:eastAsia="宋体" w:cs="宋体"/>
          <w:color w:val="000000" w:themeColor="text1"/>
          <w:highlight w:val="none"/>
        </w:rPr>
        <w:t xml:space="preserve">资格性检查。</w:t>
      </w:r>
      <w:r>
        <w:rPr>
          <w:rFonts w:hint="eastAsia" w:ascii="宋体" w:hAnsi="宋体" w:eastAsia="宋体" w:cs="宋体"/>
          <w:color w:val="000000" w:themeColor="text1"/>
          <w:highlight w:val="none"/>
        </w:rPr>
      </w:r>
      <w:r>
        <w:rPr>
          <w:color w:val="000000" w:themeColor="text1"/>
        </w:rPr>
      </w:r>
    </w:p>
    <w:p>
      <w:pPr>
        <w:pStyle w:val="1012"/>
        <w:ind w:firstLine="840"/>
        <w:jc w:val="left"/>
        <w:keepLines w:val="0"/>
        <w:keepNext w:val="0"/>
        <w:pageBreakBefore w:val="0"/>
        <w:spacing w:line="440" w:lineRule="exact"/>
        <w:widowControl/>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2</w:t>
      </w:r>
      <w:r>
        <w:rPr>
          <w:rFonts w:hint="eastAsia" w:ascii="宋体" w:hAnsi="宋体" w:eastAsia="宋体" w:cs="宋体"/>
          <w:color w:val="000000" w:themeColor="text1"/>
          <w:highlight w:val="none"/>
          <w:lang w:val="en-US" w:eastAsia="zh-CN"/>
        </w:rPr>
        <w:t xml:space="preserve">.</w:t>
      </w:r>
      <w:r>
        <w:rPr>
          <w:rFonts w:hint="eastAsia" w:ascii="宋体" w:hAnsi="宋体" w:eastAsia="宋体" w:cs="宋体"/>
          <w:color w:val="000000" w:themeColor="text1"/>
          <w:highlight w:val="none"/>
        </w:rPr>
        <w:t xml:space="preserve">符合性检查。</w:t>
      </w:r>
      <w:r>
        <w:rPr>
          <w:rFonts w:hint="eastAsia" w:ascii="宋体" w:hAnsi="宋体" w:eastAsia="宋体" w:cs="宋体"/>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（二）澄清有关问题。</w:t>
      </w:r>
      <w:r>
        <w:rPr>
          <w:rFonts w:hint="eastAsia" w:ascii="宋体" w:hAnsi="宋体" w:eastAsia="宋体" w:cs="宋体"/>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（三）比较与评价。</w:t>
      </w:r>
      <w:r>
        <w:rPr>
          <w:rFonts w:hint="eastAsia" w:ascii="宋体" w:hAnsi="宋体" w:eastAsia="宋体" w:cs="宋体"/>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（四）推荐中标候选供应商名单。</w:t>
      </w:r>
      <w:r>
        <w:rPr>
          <w:rFonts w:hint="eastAsia" w:ascii="宋体" w:hAnsi="宋体" w:eastAsia="宋体" w:cs="宋体"/>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（五）编写评审报告（评标报告）。</w:t>
      </w:r>
      <w:r>
        <w:rPr>
          <w:rFonts w:hint="eastAsia" w:ascii="宋体" w:hAnsi="宋体" w:eastAsia="宋体" w:cs="宋体"/>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27.2在评标中，不得改变招标文件中规定的评标标准、方法和中标条件。评标委员会对投标文件响应性的判定基于投标文件本身的内容，而不寻求外部的证据。</w:t>
      </w:r>
      <w:r>
        <w:rPr>
          <w:rFonts w:hint="eastAsia" w:ascii="宋体" w:hAnsi="宋体" w:eastAsia="宋体" w:cs="宋体"/>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27.3相同品牌产品投标</w:t>
      </w:r>
      <w:r>
        <w:rPr>
          <w:rFonts w:hint="eastAsia" w:ascii="宋体" w:hAnsi="宋体" w:eastAsia="宋体" w:cs="宋体"/>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27.3.1采用</w:t>
      </w:r>
      <w:r>
        <w:rPr>
          <w:rFonts w:hint="eastAsia" w:ascii="宋体" w:hAnsi="宋体" w:eastAsia="宋体" w:cs="宋体"/>
          <w:color w:val="000000" w:themeColor="text1"/>
          <w:highlight w:val="none"/>
        </w:rPr>
        <w:fldChar w:fldCharType="begin"/>
      </w:r>
      <w:r>
        <w:rPr>
          <w:rFonts w:hint="eastAsia" w:ascii="宋体" w:hAnsi="宋体" w:eastAsia="宋体" w:cs="宋体"/>
          <w:color w:val="000000" w:themeColor="text1"/>
          <w:highlight w:val="none"/>
        </w:rPr>
        <w:instrText xml:space="preserve"> HYPERLINK "http://lilun.caigou2003.com/recijiedu/2365668.html" \t "_blank" </w:instrText>
      </w:r>
      <w:r>
        <w:rPr>
          <w:rFonts w:hint="eastAsia" w:ascii="宋体" w:hAnsi="宋体" w:eastAsia="宋体" w:cs="宋体"/>
          <w:color w:val="000000" w:themeColor="text1"/>
          <w:highlight w:val="none"/>
        </w:rPr>
        <w:fldChar w:fldCharType="separate"/>
      </w:r>
      <w:r>
        <w:rPr>
          <w:rFonts w:hint="eastAsia" w:ascii="宋体" w:hAnsi="宋体" w:eastAsia="宋体" w:cs="宋体"/>
          <w:color w:val="000000" w:themeColor="text1"/>
          <w:highlight w:val="none"/>
        </w:rPr>
        <w:t xml:space="preserve">最低评标价法</w:t>
      </w:r>
      <w:r>
        <w:rPr>
          <w:rFonts w:hint="eastAsia" w:ascii="宋体" w:hAnsi="宋体" w:eastAsia="宋体" w:cs="宋体"/>
          <w:color w:val="000000" w:themeColor="text1"/>
          <w:highlight w:val="none"/>
        </w:rPr>
        <w:fldChar w:fldCharType="end"/>
      </w:r>
      <w:r>
        <w:rPr>
          <w:rFonts w:hint="eastAsia" w:ascii="宋体" w:hAnsi="宋体" w:eastAsia="宋体" w:cs="宋体"/>
          <w:color w:val="000000" w:themeColor="text1"/>
          <w:highlight w:val="none"/>
        </w:rPr>
        <w:t xml:space="preserve">的采购项目，提供相同品牌产品的不同投标人参加同一合同项下投标的，以其中通过资格审查、符合性审查且报价最低的参加评标；报价相同的，采取随机抽取方式确定，其他投标无效。</w:t>
      </w:r>
      <w:r>
        <w:rPr>
          <w:rFonts w:hint="eastAsia" w:ascii="宋体" w:hAnsi="宋体" w:eastAsia="宋体" w:cs="宋体"/>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27.3.2使用</w:t>
      </w:r>
      <w:r>
        <w:rPr>
          <w:rFonts w:hint="eastAsia" w:ascii="宋体" w:hAnsi="宋体" w:eastAsia="宋体" w:cs="宋体"/>
          <w:color w:val="000000" w:themeColor="text1"/>
          <w:highlight w:val="none"/>
        </w:rPr>
        <w:fldChar w:fldCharType="begin"/>
      </w:r>
      <w:r>
        <w:rPr>
          <w:rFonts w:hint="eastAsia" w:ascii="宋体" w:hAnsi="宋体" w:eastAsia="宋体" w:cs="宋体"/>
          <w:color w:val="000000" w:themeColor="text1"/>
          <w:highlight w:val="none"/>
        </w:rPr>
        <w:instrText xml:space="preserve"> HYPERLINK "http://lilun.caigou2003.com/recijiedu/2365667.html" \t "_blank" </w:instrText>
      </w:r>
      <w:r>
        <w:rPr>
          <w:rFonts w:hint="eastAsia" w:ascii="宋体" w:hAnsi="宋体" w:eastAsia="宋体" w:cs="宋体"/>
          <w:color w:val="000000" w:themeColor="text1"/>
          <w:highlight w:val="none"/>
        </w:rPr>
        <w:fldChar w:fldCharType="separate"/>
      </w:r>
      <w:r>
        <w:rPr>
          <w:rFonts w:hint="eastAsia" w:ascii="宋体" w:hAnsi="宋体" w:eastAsia="宋体" w:cs="宋体"/>
          <w:color w:val="000000" w:themeColor="text1"/>
          <w:highlight w:val="none"/>
        </w:rPr>
        <w:t xml:space="preserve">综合评分法</w:t>
      </w:r>
      <w:r>
        <w:rPr>
          <w:rFonts w:hint="eastAsia" w:ascii="宋体" w:hAnsi="宋体" w:eastAsia="宋体" w:cs="宋体"/>
          <w:color w:val="000000" w:themeColor="text1"/>
          <w:highlight w:val="none"/>
        </w:rPr>
        <w:fldChar w:fldCharType="end"/>
      </w:r>
      <w:r>
        <w:rPr>
          <w:rFonts w:hint="eastAsia" w:ascii="宋体" w:hAnsi="宋体" w:eastAsia="宋体" w:cs="宋体"/>
          <w:color w:val="000000" w:themeColor="text1"/>
          <w:highlight w:val="none"/>
        </w:rPr>
        <w:t xml:space="preserve">的采购项目，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的采取随机抽取方式确定，其他同品牌投标人不作为中标候选人。</w:t>
      </w:r>
      <w:r>
        <w:rPr>
          <w:rFonts w:hint="eastAsia" w:ascii="宋体" w:hAnsi="宋体" w:eastAsia="宋体" w:cs="宋体"/>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27.3.3非单一产品采购项目，采购人应当根据采购项目技术构成、产品价格比重等合理确定核心产品，并在招标文件中载明。多家投标人提供的核心产品品牌相同的，按前两款规定处理。采购人根据采购项目技术构成、产品价格比重等确定核心产品：见招标文件第三章《投标资料表》。</w:t>
      </w:r>
      <w:r>
        <w:rPr>
          <w:rFonts w:hint="eastAsia" w:ascii="宋体" w:hAnsi="宋体" w:eastAsia="宋体" w:cs="宋体"/>
          <w:color w:val="000000" w:themeColor="text1"/>
          <w:highlight w:val="none"/>
        </w:rPr>
      </w:r>
      <w:r>
        <w:rPr>
          <w:color w:val="000000" w:themeColor="text1"/>
        </w:rPr>
      </w:r>
    </w:p>
    <w:p>
      <w:pPr>
        <w:pStyle w:val="1012"/>
        <w:ind w:left="480" w:firstLine="0"/>
        <w:jc w:val="left"/>
        <w:keepLines w:val="0"/>
        <w:keepNext w:val="0"/>
        <w:pageBreakBefore w:val="0"/>
        <w:spacing w:line="440" w:lineRule="exact"/>
        <w:widowControl/>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28. 投标文件报价出现前后不一致的（明显笔误的除外），按照下列规定修正：（一）投标文件中开标一览表（报价表）内容与投标文件中相应内容不一致的，以开标一览表（报价表）为准；</w:t>
      </w:r>
      <w:r>
        <w:rPr>
          <w:rFonts w:hint="eastAsia" w:ascii="宋体" w:hAnsi="宋体" w:eastAsia="宋体" w:cs="宋体"/>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（二）大写金额和小写金额不一致的，以大写金额为准；</w:t>
      </w:r>
      <w:r>
        <w:rPr>
          <w:rFonts w:hint="eastAsia" w:ascii="宋体" w:hAnsi="宋体" w:eastAsia="宋体" w:cs="宋体"/>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（三）单价金额小数点或者百分比有明显错位的，以开标一览表的总价为准，并修改单价；</w:t>
      </w:r>
      <w:r>
        <w:rPr>
          <w:rFonts w:hint="eastAsia" w:ascii="宋体" w:hAnsi="宋体" w:eastAsia="宋体" w:cs="宋体"/>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（四）总价金额与按单价汇总金额不一致的，以单价金额计算结果为准。</w:t>
      </w:r>
      <w:r>
        <w:rPr>
          <w:rFonts w:hint="eastAsia" w:ascii="宋体" w:hAnsi="宋体" w:eastAsia="宋体" w:cs="宋体"/>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同时出现两种以上不一致的，按照前款规定的顺序修正。修正后的报价按照投标人的澄清、说明或者补正，经投标人确认后产生约束力，投标人不确认的，其投标无效投标人的澄清、说明或者补正应当采用书面形式，并加盖公章。或者由法定代表人或其授权的代表签字。投标人的澄清、说明或者补正不得超出投标文件的范围或者改变投标文件的实质性内容。</w:t>
      </w:r>
      <w:r>
        <w:rPr>
          <w:rFonts w:hint="eastAsia" w:ascii="宋体" w:hAnsi="宋体" w:eastAsia="宋体" w:cs="宋体"/>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b/>
          <w:bCs/>
          <w:color w:val="000000" w:themeColor="text1"/>
          <w:highlight w:val="none"/>
          <w:shd w:val="clear" w:color="auto" w:fill="auto"/>
        </w:rPr>
        <w:outlineLvl w:val="9"/>
      </w:pPr>
      <w:r>
        <w:rPr>
          <w:rFonts w:hint="eastAsia" w:ascii="宋体" w:hAnsi="宋体" w:eastAsia="宋体" w:cs="宋体"/>
          <w:b/>
          <w:bCs/>
          <w:color w:val="000000" w:themeColor="text1"/>
          <w:highlight w:val="none"/>
          <w:shd w:val="clear" w:color="auto" w:fill="auto"/>
          <w:lang w:val="en-US" w:eastAsia="zh-CN"/>
        </w:rPr>
        <w:t xml:space="preserve">29.政府采购异常低价投标审查</w:t>
      </w:r>
      <w:r>
        <w:rPr>
          <w:rFonts w:hint="eastAsia" w:ascii="宋体" w:hAnsi="宋体" w:eastAsia="宋体" w:cs="宋体"/>
          <w:b/>
          <w:bCs/>
          <w:color w:val="000000" w:themeColor="text1"/>
          <w:highlight w:val="none"/>
          <w:shd w:val="clear" w:color="auto" w:fill="auto"/>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b/>
          <w:bCs/>
          <w:color w:val="000000" w:themeColor="text1"/>
          <w:highlight w:val="none"/>
          <w:shd w:val="clear" w:color="auto" w:fill="auto"/>
        </w:rPr>
        <w:outlineLvl w:val="9"/>
      </w:pPr>
      <w:r>
        <w:rPr>
          <w:rFonts w:hint="eastAsia" w:ascii="宋体" w:hAnsi="宋体" w:eastAsia="宋体" w:cs="宋体"/>
          <w:b/>
          <w:bCs/>
          <w:color w:val="000000" w:themeColor="text1"/>
          <w:highlight w:val="none"/>
          <w:shd w:val="clear" w:color="auto" w:fill="auto"/>
          <w:lang w:val="en-US" w:eastAsia="zh-CN"/>
        </w:rPr>
        <w:t xml:space="preserve">（一）评标过程中出现下列情形之一的，评标委员会应当启动异常低价投标审查程序：</w:t>
      </w:r>
      <w:r>
        <w:rPr>
          <w:rFonts w:hint="eastAsia" w:ascii="宋体" w:hAnsi="宋体" w:eastAsia="宋体" w:cs="宋体"/>
          <w:b/>
          <w:bCs/>
          <w:color w:val="000000" w:themeColor="text1"/>
          <w:highlight w:val="none"/>
          <w:shd w:val="clear" w:color="auto" w:fill="auto"/>
        </w:rPr>
      </w:r>
      <w:r>
        <w:rPr>
          <w:color w:val="000000" w:themeColor="text1"/>
        </w:rPr>
      </w:r>
    </w:p>
    <w:p>
      <w:pPr>
        <w:pStyle w:val="1012"/>
        <w:ind w:firstLine="480"/>
        <w:jc w:val="left"/>
        <w:keepLines w:val="0"/>
        <w:keepNext w:val="0"/>
        <w:pageBreakBefore w:val="0"/>
        <w:spacing w:line="440" w:lineRule="exact"/>
        <w:widowControl/>
        <w:rPr>
          <w:rFonts w:ascii="宋体" w:hAnsi="宋体" w:eastAsia="宋体" w:cs="宋体"/>
          <w:b/>
          <w:bCs/>
          <w:color w:val="000000" w:themeColor="text1"/>
          <w:highlight w:val="none"/>
          <w:shd w:val="clear" w:color="auto" w:fill="auto"/>
        </w:rPr>
        <w:outlineLvl w:val="9"/>
      </w:pPr>
      <w:r>
        <w:rPr>
          <w:rFonts w:ascii="宋体" w:hAnsi="宋体" w:eastAsia="宋体" w:cs="宋体"/>
          <w:b/>
          <w:bCs/>
          <w:color w:val="000000" w:themeColor="text1"/>
          <w:highlight w:val="none"/>
          <w:shd w:val="clear" w:color="auto" w:fill="auto"/>
          <w:lang w:val="en-US" w:eastAsia="zh-CN"/>
        </w:rPr>
        <w:t xml:space="preserve">1.投标报价低于全部通过符合性审查供应商投标报价平均值50%的，即投标报价</w:t>
      </w:r>
      <w:r>
        <w:rPr>
          <w:rFonts w:hint="eastAsia" w:ascii="宋体" w:hAnsi="宋体" w:eastAsia="宋体" w:cs="宋体"/>
          <w:b/>
          <w:bCs/>
          <w:color w:val="000000" w:themeColor="text1"/>
          <w:highlight w:val="none"/>
          <w:shd w:val="clear" w:color="auto" w:fill="auto"/>
          <w:lang w:val="en-US" w:eastAsia="zh-CN"/>
        </w:rPr>
        <w:t xml:space="preserve">＜</w:t>
      </w:r>
      <w:r>
        <w:rPr>
          <w:rFonts w:ascii="宋体" w:hAnsi="宋体" w:eastAsia="宋体" w:cs="宋体"/>
          <w:b/>
          <w:bCs/>
          <w:color w:val="000000" w:themeColor="text1"/>
          <w:highlight w:val="none"/>
          <w:shd w:val="clear" w:color="auto" w:fill="auto"/>
          <w:lang w:val="en-US" w:eastAsia="zh-CN"/>
        </w:rPr>
        <w:t xml:space="preserve">全部通过符合性审查供应商投标报价平均值×50%；</w:t>
      </w:r>
      <w:r>
        <w:rPr>
          <w:rFonts w:ascii="宋体" w:hAnsi="宋体" w:eastAsia="宋体" w:cs="宋体"/>
          <w:b/>
          <w:bCs/>
          <w:color w:val="000000" w:themeColor="text1"/>
          <w:highlight w:val="none"/>
          <w:shd w:val="clear" w:color="auto" w:fill="auto"/>
        </w:rPr>
      </w:r>
      <w:r>
        <w:rPr>
          <w:color w:val="000000" w:themeColor="text1"/>
        </w:rPr>
      </w:r>
    </w:p>
    <w:p>
      <w:pPr>
        <w:pStyle w:val="1012"/>
        <w:ind w:firstLine="480"/>
        <w:jc w:val="left"/>
        <w:keepLines w:val="0"/>
        <w:keepNext w:val="0"/>
        <w:pageBreakBefore w:val="0"/>
        <w:spacing w:line="440" w:lineRule="exact"/>
        <w:widowControl/>
        <w:rPr>
          <w:rFonts w:ascii="宋体" w:hAnsi="宋体" w:eastAsia="宋体" w:cs="宋体"/>
          <w:b/>
          <w:bCs/>
          <w:color w:val="000000" w:themeColor="text1"/>
          <w:highlight w:val="none"/>
          <w:shd w:val="clear" w:color="auto" w:fill="auto"/>
        </w:rPr>
        <w:outlineLvl w:val="9"/>
      </w:pPr>
      <w:r>
        <w:rPr>
          <w:rFonts w:ascii="宋体" w:hAnsi="宋体" w:eastAsia="宋体" w:cs="宋体"/>
          <w:b/>
          <w:bCs/>
          <w:color w:val="000000" w:themeColor="text1"/>
          <w:highlight w:val="none"/>
          <w:shd w:val="clear" w:color="auto" w:fill="auto"/>
          <w:lang w:val="en-US" w:eastAsia="zh-CN"/>
        </w:rPr>
        <w:t xml:space="preserve">2.投标报价低于通过符合性审查的次低报价供应商投标报价50%的，即投标报价</w:t>
      </w:r>
      <w:r>
        <w:rPr>
          <w:rFonts w:hint="eastAsia" w:ascii="宋体" w:hAnsi="宋体" w:eastAsia="宋体" w:cs="宋体"/>
          <w:b/>
          <w:bCs/>
          <w:color w:val="000000" w:themeColor="text1"/>
          <w:highlight w:val="none"/>
          <w:shd w:val="clear" w:color="auto" w:fill="auto"/>
          <w:lang w:val="en-US" w:eastAsia="zh-CN"/>
        </w:rPr>
        <w:t xml:space="preserve">＜</w:t>
      </w:r>
      <w:r>
        <w:rPr>
          <w:rFonts w:ascii="宋体" w:hAnsi="宋体" w:eastAsia="宋体" w:cs="宋体"/>
          <w:b/>
          <w:bCs/>
          <w:color w:val="000000" w:themeColor="text1"/>
          <w:highlight w:val="none"/>
          <w:shd w:val="clear" w:color="auto" w:fill="auto"/>
          <w:lang w:val="en-US" w:eastAsia="zh-CN"/>
        </w:rPr>
        <w:t xml:space="preserve">通过符合性审查的次低报价供应商投标报价×50%；</w:t>
      </w:r>
      <w:r>
        <w:rPr>
          <w:rFonts w:ascii="宋体" w:hAnsi="宋体" w:eastAsia="宋体" w:cs="宋体"/>
          <w:b/>
          <w:bCs/>
          <w:color w:val="000000" w:themeColor="text1"/>
          <w:highlight w:val="none"/>
          <w:shd w:val="clear" w:color="auto" w:fill="auto"/>
        </w:rPr>
      </w:r>
      <w:r>
        <w:rPr>
          <w:color w:val="000000" w:themeColor="text1"/>
        </w:rPr>
      </w:r>
    </w:p>
    <w:p>
      <w:pPr>
        <w:pStyle w:val="1012"/>
        <w:ind w:firstLine="480"/>
        <w:jc w:val="left"/>
        <w:keepLines w:val="0"/>
        <w:keepNext w:val="0"/>
        <w:pageBreakBefore w:val="0"/>
        <w:spacing w:line="440" w:lineRule="exact"/>
        <w:widowControl/>
        <w:rPr>
          <w:rFonts w:ascii="宋体" w:hAnsi="宋体" w:eastAsia="宋体" w:cs="宋体"/>
          <w:b/>
          <w:bCs/>
          <w:color w:val="000000" w:themeColor="text1"/>
          <w:highlight w:val="none"/>
          <w:shd w:val="clear" w:color="auto" w:fill="auto"/>
        </w:rPr>
        <w:outlineLvl w:val="9"/>
      </w:pPr>
      <w:r>
        <w:rPr>
          <w:rFonts w:ascii="宋体" w:hAnsi="宋体" w:eastAsia="宋体" w:cs="宋体"/>
          <w:b/>
          <w:bCs/>
          <w:color w:val="000000" w:themeColor="text1"/>
          <w:highlight w:val="none"/>
          <w:shd w:val="clear" w:color="auto" w:fill="auto"/>
          <w:lang w:val="en-US" w:eastAsia="zh-CN"/>
        </w:rPr>
        <w:t xml:space="preserve">3.投标报价低于采购项目最高限价45%的，即投标报价</w:t>
      </w:r>
      <w:r>
        <w:rPr>
          <w:rFonts w:hint="eastAsia" w:ascii="宋体" w:hAnsi="宋体" w:eastAsia="宋体" w:cs="宋体"/>
          <w:b/>
          <w:bCs/>
          <w:color w:val="000000" w:themeColor="text1"/>
          <w:highlight w:val="none"/>
          <w:shd w:val="clear" w:color="auto" w:fill="auto"/>
          <w:lang w:val="en-US" w:eastAsia="zh-CN"/>
        </w:rPr>
        <w:t xml:space="preserve">＜</w:t>
      </w:r>
      <w:r>
        <w:rPr>
          <w:rFonts w:ascii="宋体" w:hAnsi="宋体" w:eastAsia="宋体" w:cs="宋体"/>
          <w:b/>
          <w:bCs/>
          <w:color w:val="000000" w:themeColor="text1"/>
          <w:highlight w:val="none"/>
          <w:shd w:val="clear" w:color="auto" w:fill="auto"/>
          <w:lang w:val="en-US" w:eastAsia="zh-CN"/>
        </w:rPr>
        <w:t xml:space="preserve">采购项目最高限价×45%；</w:t>
      </w:r>
      <w:r>
        <w:rPr>
          <w:rFonts w:ascii="宋体" w:hAnsi="宋体" w:eastAsia="宋体" w:cs="宋体"/>
          <w:b/>
          <w:bCs/>
          <w:color w:val="000000" w:themeColor="text1"/>
          <w:highlight w:val="none"/>
          <w:shd w:val="clear" w:color="auto" w:fill="auto"/>
        </w:rPr>
      </w:r>
      <w:r>
        <w:rPr>
          <w:color w:val="000000" w:themeColor="text1"/>
        </w:rPr>
      </w:r>
    </w:p>
    <w:p>
      <w:pPr>
        <w:pStyle w:val="1012"/>
        <w:ind w:firstLine="480"/>
        <w:jc w:val="left"/>
        <w:keepLines w:val="0"/>
        <w:keepNext w:val="0"/>
        <w:pageBreakBefore w:val="0"/>
        <w:spacing w:line="440" w:lineRule="exact"/>
        <w:widowControl/>
        <w:rPr>
          <w:rFonts w:ascii="宋体" w:hAnsi="宋体" w:eastAsia="宋体" w:cs="宋体"/>
          <w:b/>
          <w:bCs/>
          <w:color w:val="000000" w:themeColor="text1"/>
          <w:highlight w:val="none"/>
          <w:shd w:val="clear" w:color="auto" w:fill="auto"/>
        </w:rPr>
        <w:outlineLvl w:val="9"/>
      </w:pPr>
      <w:r>
        <w:rPr>
          <w:rFonts w:ascii="宋体" w:hAnsi="宋体" w:eastAsia="宋体" w:cs="宋体"/>
          <w:b/>
          <w:bCs/>
          <w:color w:val="000000" w:themeColor="text1"/>
          <w:highlight w:val="none"/>
          <w:shd w:val="clear" w:color="auto" w:fill="auto"/>
          <w:lang w:val="en-US" w:eastAsia="zh-CN"/>
        </w:rPr>
        <w:t xml:space="preserve">4.评</w:t>
      </w:r>
      <w:r>
        <w:rPr>
          <w:rFonts w:hint="eastAsia" w:ascii="宋体" w:hAnsi="宋体" w:eastAsia="宋体" w:cs="宋体"/>
          <w:b/>
          <w:bCs/>
          <w:color w:val="000000" w:themeColor="text1"/>
          <w:highlight w:val="none"/>
          <w:shd w:val="clear" w:color="auto" w:fill="auto"/>
          <w:lang w:val="en-US" w:eastAsia="zh-CN"/>
        </w:rPr>
        <w:t xml:space="preserve">标</w:t>
      </w:r>
      <w:r>
        <w:rPr>
          <w:rFonts w:ascii="宋体" w:hAnsi="宋体" w:eastAsia="宋体" w:cs="宋体"/>
          <w:b/>
          <w:bCs/>
          <w:color w:val="000000" w:themeColor="text1"/>
          <w:highlight w:val="none"/>
          <w:shd w:val="clear" w:color="auto" w:fill="auto"/>
          <w:lang w:val="en-US" w:eastAsia="zh-CN"/>
        </w:rPr>
        <w:t xml:space="preserve">委员会基于专业判断，认为供应商报价过低，有可能影响产品质量或者不能诚信履约的其他情形。</w:t>
      </w:r>
      <w:r>
        <w:rPr>
          <w:rFonts w:ascii="宋体" w:hAnsi="宋体" w:eastAsia="宋体" w:cs="宋体"/>
          <w:b/>
          <w:bCs/>
          <w:color w:val="000000" w:themeColor="text1"/>
          <w:highlight w:val="none"/>
          <w:shd w:val="clear" w:color="auto" w:fill="auto"/>
        </w:rPr>
      </w:r>
      <w:r>
        <w:rPr>
          <w:color w:val="000000" w:themeColor="text1"/>
        </w:rPr>
      </w:r>
    </w:p>
    <w:p>
      <w:pPr>
        <w:pStyle w:val="1012"/>
        <w:ind w:firstLine="480"/>
        <w:jc w:val="left"/>
        <w:keepLines w:val="0"/>
        <w:keepNext w:val="0"/>
        <w:pageBreakBefore w:val="0"/>
        <w:spacing w:line="440" w:lineRule="exact"/>
        <w:widowControl/>
        <w:rPr>
          <w:rFonts w:ascii="宋体" w:hAnsi="宋体" w:eastAsia="宋体" w:cs="宋体"/>
          <w:color w:val="000000" w:themeColor="text1"/>
          <w:highlight w:val="none"/>
          <w:shd w:val="clear" w:color="auto" w:fill="auto"/>
        </w:rPr>
        <w:outlineLvl w:val="9"/>
      </w:pPr>
      <w:r>
        <w:rPr>
          <w:rFonts w:ascii="宋体" w:hAnsi="宋体" w:eastAsia="宋体" w:cs="宋体"/>
          <w:color w:val="000000" w:themeColor="text1"/>
          <w:highlight w:val="none"/>
          <w:shd w:val="clear" w:color="auto" w:fill="auto"/>
          <w:lang w:val="en-US" w:eastAsia="zh-CN"/>
        </w:rPr>
        <w:t xml:space="preserve">（二）评审委员会启动异常低价投标审查后，应当要求相关供应商在评</w:t>
      </w:r>
      <w:r>
        <w:rPr>
          <w:rFonts w:hint="eastAsia" w:ascii="宋体" w:hAnsi="宋体" w:eastAsia="宋体" w:cs="宋体"/>
          <w:color w:val="000000" w:themeColor="text1"/>
          <w:highlight w:val="none"/>
          <w:shd w:val="clear" w:color="auto" w:fill="auto"/>
          <w:lang w:val="en-US" w:eastAsia="zh-CN"/>
        </w:rPr>
        <w:t xml:space="preserve">标</w:t>
      </w:r>
      <w:r>
        <w:rPr>
          <w:rFonts w:ascii="宋体" w:hAnsi="宋体" w:eastAsia="宋体" w:cs="宋体"/>
          <w:color w:val="000000" w:themeColor="text1"/>
          <w:highlight w:val="none"/>
          <w:shd w:val="clear" w:color="auto" w:fill="auto"/>
          <w:lang w:val="en-US" w:eastAsia="zh-CN"/>
        </w:rPr>
        <w:t xml:space="preserve">现场合理的时间内</w:t>
      </w:r>
      <w:r>
        <w:rPr>
          <w:rFonts w:hint="eastAsia" w:ascii="宋体" w:hAnsi="宋体" w:eastAsia="宋体" w:cs="Times New Roman"/>
          <w:b w:val="0"/>
          <w:bCs w:val="0"/>
          <w:color w:val="000000" w:themeColor="text1"/>
          <w:sz w:val="24"/>
          <w:highlight w:val="none"/>
          <w:shd w:val="clear" w:color="auto" w:fill="auto"/>
        </w:rPr>
        <w:t xml:space="preserve">通过“苏采云”系统（使用“CA数字证书”</w:t>
      </w:r>
      <w:r>
        <w:rPr>
          <w:rFonts w:hint="eastAsia" w:ascii="宋体" w:hAnsi="宋体" w:eastAsia="宋体" w:cs="Times New Roman"/>
          <w:b w:val="0"/>
          <w:bCs w:val="0"/>
          <w:color w:val="000000" w:themeColor="text1"/>
          <w:sz w:val="24"/>
          <w:highlight w:val="none"/>
          <w:shd w:val="clear" w:color="auto" w:fill="auto"/>
          <w:lang w:eastAsia="zh-CN"/>
        </w:rPr>
        <w:t xml:space="preserve">，</w:t>
      </w:r>
      <w:r>
        <w:rPr>
          <w:rFonts w:hint="eastAsia" w:ascii="宋体" w:hAnsi="宋体" w:eastAsia="宋体" w:cs="Times New Roman"/>
          <w:b w:val="0"/>
          <w:bCs w:val="0"/>
          <w:color w:val="000000" w:themeColor="text1"/>
          <w:sz w:val="24"/>
          <w:highlight w:val="none"/>
          <w:shd w:val="clear" w:color="auto" w:fill="auto"/>
        </w:rPr>
        <w:t xml:space="preserve">加盖电子签章）</w:t>
      </w:r>
      <w:r>
        <w:rPr>
          <w:rFonts w:ascii="宋体" w:hAnsi="宋体" w:eastAsia="宋体" w:cs="宋体"/>
          <w:color w:val="000000" w:themeColor="text1"/>
          <w:highlight w:val="none"/>
          <w:shd w:val="clear" w:color="auto" w:fill="auto"/>
          <w:lang w:val="en-US" w:eastAsia="zh-CN"/>
        </w:rPr>
        <w:t xml:space="preserve">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w:t>
      </w:r>
      <w:r>
        <w:rPr>
          <w:rFonts w:hint="eastAsia" w:ascii="宋体" w:hAnsi="宋体" w:eastAsia="宋体" w:cs="宋体"/>
          <w:color w:val="000000" w:themeColor="text1"/>
          <w:highlight w:val="none"/>
          <w:shd w:val="clear" w:color="auto" w:fill="auto"/>
          <w:lang w:val="en-US" w:eastAsia="zh-CN"/>
        </w:rPr>
        <w:t xml:space="preserve">标</w:t>
      </w:r>
      <w:r>
        <w:rPr>
          <w:rFonts w:ascii="宋体" w:hAnsi="宋体" w:eastAsia="宋体" w:cs="宋体"/>
          <w:color w:val="000000" w:themeColor="text1"/>
          <w:highlight w:val="none"/>
          <w:shd w:val="clear" w:color="auto" w:fill="auto"/>
          <w:lang w:val="en-US" w:eastAsia="zh-CN"/>
        </w:rPr>
        <w:t xml:space="preserve">现场可不再重复提交。</w:t>
      </w:r>
      <w:r>
        <w:rPr>
          <w:rFonts w:ascii="宋体" w:hAnsi="宋体" w:eastAsia="宋体" w:cs="宋体"/>
          <w:color w:val="000000" w:themeColor="text1"/>
          <w:highlight w:val="none"/>
          <w:shd w:val="clear" w:color="auto" w:fill="auto"/>
        </w:rPr>
      </w:r>
      <w:r>
        <w:rPr>
          <w:color w:val="000000" w:themeColor="text1"/>
        </w:rPr>
      </w:r>
    </w:p>
    <w:p>
      <w:pPr>
        <w:pStyle w:val="1012"/>
        <w:ind w:firstLine="480"/>
        <w:jc w:val="left"/>
        <w:keepLines w:val="0"/>
        <w:keepNext w:val="0"/>
        <w:pageBreakBefore w:val="0"/>
        <w:spacing w:line="440" w:lineRule="exact"/>
        <w:widowControl/>
        <w:rPr>
          <w:rFonts w:ascii="宋体" w:hAnsi="宋体" w:eastAsia="宋体" w:cs="宋体"/>
          <w:color w:val="000000" w:themeColor="text1"/>
          <w:highlight w:val="none"/>
          <w:shd w:val="clear" w:color="auto" w:fill="auto"/>
        </w:rPr>
        <w:outlineLvl w:val="9"/>
      </w:pPr>
      <w:r>
        <w:rPr>
          <w:rFonts w:hint="eastAsia" w:ascii="宋体" w:hAnsi="宋体" w:eastAsia="宋体" w:cs="宋体"/>
          <w:color w:val="000000" w:themeColor="text1"/>
          <w:highlight w:val="none"/>
          <w:shd w:val="clear" w:color="auto" w:fill="auto"/>
          <w:lang w:val="en-US" w:eastAsia="zh-CN"/>
        </w:rPr>
        <w:t xml:space="preserve">（三）</w:t>
      </w:r>
      <w:r>
        <w:rPr>
          <w:rFonts w:ascii="宋体" w:hAnsi="宋体" w:eastAsia="宋体" w:cs="宋体"/>
          <w:color w:val="000000" w:themeColor="text1"/>
          <w:highlight w:val="none"/>
          <w:shd w:val="clear" w:color="auto" w:fill="auto"/>
          <w:lang w:val="en-US" w:eastAsia="zh-CN"/>
        </w:rPr>
        <w:t xml:space="preserve">评</w:t>
      </w:r>
      <w:r>
        <w:rPr>
          <w:rFonts w:hint="eastAsia" w:ascii="宋体" w:hAnsi="宋体" w:eastAsia="宋体" w:cs="宋体"/>
          <w:color w:val="000000" w:themeColor="text1"/>
          <w:highlight w:val="none"/>
          <w:shd w:val="clear" w:color="auto" w:fill="auto"/>
          <w:lang w:val="en-US" w:eastAsia="zh-CN"/>
        </w:rPr>
        <w:t xml:space="preserve">标</w:t>
      </w:r>
      <w:r>
        <w:rPr>
          <w:rFonts w:ascii="宋体" w:hAnsi="宋体" w:eastAsia="宋体" w:cs="宋体"/>
          <w:color w:val="000000" w:themeColor="text1"/>
          <w:highlight w:val="none"/>
          <w:shd w:val="clear" w:color="auto" w:fill="auto"/>
          <w:lang w:val="en-US" w:eastAsia="zh-CN"/>
        </w:rPr>
        <w:t xml:space="preserve">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w:t>
      </w:r>
      <w:r>
        <w:rPr>
          <w:rFonts w:hint="eastAsia" w:ascii="宋体" w:hAnsi="宋体" w:eastAsia="宋体" w:cs="宋体"/>
          <w:color w:val="000000" w:themeColor="text1"/>
          <w:highlight w:val="none"/>
          <w:shd w:val="clear" w:color="auto" w:fill="auto"/>
          <w:lang w:val="en-US" w:eastAsia="zh-CN"/>
        </w:rPr>
        <w:t xml:space="preserve">标</w:t>
      </w:r>
      <w:r>
        <w:rPr>
          <w:rFonts w:ascii="宋体" w:hAnsi="宋体" w:eastAsia="宋体" w:cs="宋体"/>
          <w:color w:val="000000" w:themeColor="text1"/>
          <w:highlight w:val="none"/>
          <w:shd w:val="clear" w:color="auto" w:fill="auto"/>
          <w:lang w:val="en-US" w:eastAsia="zh-CN"/>
        </w:rPr>
        <w:t xml:space="preserve">委员会应当将其作为无效投标处理。</w:t>
      </w:r>
      <w:r>
        <w:rPr>
          <w:rFonts w:ascii="宋体" w:hAnsi="宋体" w:eastAsia="宋体" w:cs="宋体"/>
          <w:color w:val="000000" w:themeColor="text1"/>
          <w:highlight w:val="none"/>
          <w:shd w:val="clear" w:color="auto" w:fill="auto"/>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color w:val="000000" w:themeColor="text1"/>
          <w:highlight w:val="none"/>
          <w:shd w:val="clear" w:color="auto" w:fill="auto"/>
        </w:rPr>
        <w:outlineLvl w:val="9"/>
      </w:pPr>
      <w:r>
        <w:rPr>
          <w:rFonts w:hint="eastAsia" w:ascii="宋体" w:hAnsi="宋体" w:eastAsia="宋体" w:cs="宋体"/>
          <w:color w:val="000000" w:themeColor="text1"/>
          <w:highlight w:val="none"/>
          <w:shd w:val="clear" w:color="auto" w:fill="auto"/>
          <w:lang w:val="en-US" w:eastAsia="zh-CN"/>
        </w:rPr>
        <w:t xml:space="preserve">（四）</w:t>
      </w:r>
      <w:r>
        <w:rPr>
          <w:rFonts w:ascii="宋体" w:hAnsi="宋体" w:eastAsia="宋体" w:cs="宋体"/>
          <w:color w:val="000000" w:themeColor="text1"/>
          <w:highlight w:val="none"/>
          <w:shd w:val="clear" w:color="auto" w:fill="auto"/>
          <w:lang w:val="en-US" w:eastAsia="zh-CN"/>
        </w:rPr>
        <w:t xml:space="preserve">异常低价投标审查的启动原因、审查意见和审查结果应当在评</w:t>
      </w:r>
      <w:r>
        <w:rPr>
          <w:rFonts w:hint="eastAsia" w:ascii="宋体" w:hAnsi="宋体" w:eastAsia="宋体" w:cs="宋体"/>
          <w:color w:val="000000" w:themeColor="text1"/>
          <w:highlight w:val="none"/>
          <w:shd w:val="clear" w:color="auto" w:fill="auto"/>
          <w:lang w:val="en-US" w:eastAsia="zh-CN"/>
        </w:rPr>
        <w:t xml:space="preserve">标</w:t>
      </w:r>
      <w:r>
        <w:rPr>
          <w:rFonts w:ascii="宋体" w:hAnsi="宋体" w:eastAsia="宋体" w:cs="宋体"/>
          <w:color w:val="000000" w:themeColor="text1"/>
          <w:highlight w:val="none"/>
          <w:shd w:val="clear" w:color="auto" w:fill="auto"/>
          <w:lang w:val="en-US" w:eastAsia="zh-CN"/>
        </w:rPr>
        <w:t xml:space="preserve">报告中记录，并随供应商提供的相关书面说明及证明材料，以及评</w:t>
      </w:r>
      <w:r>
        <w:rPr>
          <w:rFonts w:hint="eastAsia" w:ascii="宋体" w:hAnsi="宋体" w:eastAsia="宋体" w:cs="宋体"/>
          <w:color w:val="000000" w:themeColor="text1"/>
          <w:highlight w:val="none"/>
          <w:shd w:val="clear" w:color="auto" w:fill="auto"/>
          <w:lang w:val="en-US" w:eastAsia="zh-CN"/>
        </w:rPr>
        <w:t xml:space="preserve">标</w:t>
      </w:r>
      <w:r>
        <w:rPr>
          <w:rFonts w:ascii="宋体" w:hAnsi="宋体" w:eastAsia="宋体" w:cs="宋体"/>
          <w:color w:val="000000" w:themeColor="text1"/>
          <w:highlight w:val="none"/>
          <w:shd w:val="clear" w:color="auto" w:fill="auto"/>
          <w:lang w:val="en-US" w:eastAsia="zh-CN"/>
        </w:rPr>
        <w:t xml:space="preserve">委员会有关互联网浏览、查询历史一并归档。</w:t>
      </w:r>
      <w:r>
        <w:rPr>
          <w:rFonts w:hint="eastAsia" w:ascii="宋体" w:hAnsi="宋体" w:eastAsia="宋体" w:cs="宋体"/>
          <w:color w:val="000000" w:themeColor="text1"/>
          <w:highlight w:val="none"/>
          <w:shd w:val="clear" w:color="auto" w:fill="auto"/>
        </w:rPr>
      </w:r>
      <w:r>
        <w:rPr>
          <w:color w:val="000000" w:themeColor="text1"/>
        </w:rPr>
      </w:r>
    </w:p>
    <w:p>
      <w:pPr>
        <w:pStyle w:val="1012"/>
        <w:ind w:firstLine="480"/>
        <w:jc w:val="left"/>
        <w:keepLines w:val="0"/>
        <w:keepNext w:val="0"/>
        <w:pageBreakBefore w:val="0"/>
        <w:spacing w:line="440" w:lineRule="exact"/>
        <w:widowControl/>
        <w:rPr>
          <w:rFonts w:hint="eastAsia"/>
          <w:color w:val="000000" w:themeColor="text1"/>
          <w:highlight w:val="none"/>
          <w:shd w:val="clear" w:color="auto" w:fill="auto"/>
        </w:rPr>
        <w:outlineLvl w:val="9"/>
      </w:pPr>
      <w:r>
        <w:rPr>
          <w:rFonts w:hint="eastAsia" w:ascii="宋体" w:hAnsi="宋体" w:eastAsia="宋体" w:cs="宋体"/>
          <w:bCs/>
          <w:color w:val="000000" w:themeColor="text1"/>
          <w:highlight w:val="none"/>
          <w:shd w:val="clear" w:color="auto" w:fill="auto"/>
        </w:rPr>
        <w:t xml:space="preserve">特别说明：“苏采云”系统通过“江苏省政府采购一体化不见面开标大厅”提醒供应商。供应商自行查看，供应商因自身原因不及时查看导致没收到信息，“苏采云”系统不承担任何责任。</w:t>
      </w:r>
      <w:r>
        <w:rPr>
          <w:rFonts w:hint="eastAsia"/>
          <w:color w:val="000000" w:themeColor="text1"/>
          <w:highlight w:val="none"/>
          <w:shd w:val="clear" w:color="auto" w:fill="auto"/>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b/>
          <w:color w:val="000000" w:themeColor="text1"/>
          <w:highlight w:val="none"/>
        </w:rPr>
        <w:outlineLvl w:val="9"/>
      </w:pPr>
      <w:r>
        <w:rPr>
          <w:rFonts w:hint="eastAsia" w:ascii="宋体" w:hAnsi="宋体" w:eastAsia="宋体" w:cs="宋体"/>
          <w:color w:val="000000" w:themeColor="text1"/>
          <w:highlight w:val="none"/>
        </w:rPr>
        <w:t xml:space="preserve">30. 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eastAsia="宋体" w:cs="宋体"/>
          <w:b/>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bCs/>
          <w:color w:val="000000" w:themeColor="text1"/>
          <w:highlight w:val="none"/>
        </w:rPr>
        <w:outlineLvl w:val="9"/>
      </w:pPr>
      <w:r>
        <w:rPr>
          <w:rFonts w:hint="eastAsia" w:ascii="宋体" w:hAnsi="宋体" w:eastAsia="宋体" w:cs="宋体"/>
          <w:bCs/>
          <w:color w:val="000000" w:themeColor="text1"/>
          <w:highlight w:val="none"/>
        </w:rPr>
        <w:t xml:space="preserve">31. 中标无效的确认：</w:t>
      </w:r>
      <w:r>
        <w:rPr>
          <w:rFonts w:hint="eastAsia" w:ascii="宋体" w:hAnsi="宋体" w:eastAsia="宋体" w:cs="宋体"/>
          <w:bCs/>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bCs/>
          <w:color w:val="000000" w:themeColor="text1"/>
          <w:highlight w:val="none"/>
        </w:rPr>
        <w:outlineLvl w:val="9"/>
      </w:pPr>
      <w:r>
        <w:rPr>
          <w:rFonts w:hint="eastAsia" w:ascii="宋体" w:hAnsi="宋体" w:eastAsia="宋体" w:cs="宋体"/>
          <w:bCs/>
          <w:color w:val="000000" w:themeColor="text1"/>
          <w:highlight w:val="none"/>
        </w:rPr>
        <w:t xml:space="preserve">31.1 提供虚假材料谋取中标的；</w:t>
      </w:r>
      <w:r>
        <w:rPr>
          <w:rFonts w:hint="eastAsia" w:ascii="宋体" w:hAnsi="宋体" w:eastAsia="宋体" w:cs="宋体"/>
          <w:bCs/>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bCs/>
          <w:color w:val="000000" w:themeColor="text1"/>
          <w:highlight w:val="none"/>
        </w:rPr>
        <w:outlineLvl w:val="9"/>
      </w:pPr>
      <w:r>
        <w:rPr>
          <w:rFonts w:hint="eastAsia" w:ascii="宋体" w:hAnsi="宋体" w:eastAsia="宋体" w:cs="宋体"/>
          <w:bCs/>
          <w:color w:val="000000" w:themeColor="text1"/>
          <w:highlight w:val="none"/>
        </w:rPr>
        <w:t xml:space="preserve">31.2采取不正当手段诋毁、排挤其他投标人的；</w:t>
      </w:r>
      <w:r>
        <w:rPr>
          <w:rFonts w:hint="eastAsia" w:ascii="宋体" w:hAnsi="宋体" w:eastAsia="宋体" w:cs="宋体"/>
          <w:bCs/>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bCs/>
          <w:color w:val="000000" w:themeColor="text1"/>
          <w:highlight w:val="none"/>
        </w:rPr>
        <w:outlineLvl w:val="9"/>
      </w:pPr>
      <w:r>
        <w:rPr>
          <w:rFonts w:hint="eastAsia" w:ascii="宋体" w:hAnsi="宋体" w:eastAsia="宋体" w:cs="宋体"/>
          <w:bCs/>
          <w:color w:val="000000" w:themeColor="text1"/>
          <w:highlight w:val="none"/>
        </w:rPr>
        <w:t xml:space="preserve">31.3与招标</w:t>
      </w:r>
      <w:r>
        <w:rPr>
          <w:rFonts w:hint="eastAsia" w:ascii="宋体" w:hAnsi="宋体" w:eastAsia="宋体" w:cs="宋体"/>
          <w:bCs/>
          <w:color w:val="000000" w:themeColor="text1"/>
          <w:highlight w:val="none"/>
          <w:lang w:eastAsia="zh-CN"/>
        </w:rPr>
        <w:t xml:space="preserve">采购人</w:t>
      </w:r>
      <w:r>
        <w:rPr>
          <w:rFonts w:hint="eastAsia" w:ascii="宋体" w:hAnsi="宋体" w:eastAsia="宋体" w:cs="宋体"/>
          <w:bCs/>
          <w:color w:val="000000" w:themeColor="text1"/>
          <w:highlight w:val="none"/>
        </w:rPr>
        <w:t xml:space="preserve">、其他投标人恶意串通的；</w:t>
      </w:r>
      <w:r>
        <w:rPr>
          <w:rFonts w:hint="eastAsia" w:ascii="宋体" w:hAnsi="宋体" w:eastAsia="宋体" w:cs="宋体"/>
          <w:bCs/>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bCs/>
          <w:color w:val="000000" w:themeColor="text1"/>
          <w:highlight w:val="none"/>
        </w:rPr>
        <w:outlineLvl w:val="9"/>
      </w:pPr>
      <w:r>
        <w:rPr>
          <w:rFonts w:hint="eastAsia" w:ascii="宋体" w:hAnsi="宋体" w:eastAsia="宋体" w:cs="宋体"/>
          <w:bCs/>
          <w:color w:val="000000" w:themeColor="text1"/>
          <w:highlight w:val="none"/>
        </w:rPr>
        <w:t xml:space="preserve">31.4向招标</w:t>
      </w:r>
      <w:r>
        <w:rPr>
          <w:rFonts w:hint="eastAsia" w:ascii="宋体" w:hAnsi="宋体" w:eastAsia="宋体" w:cs="宋体"/>
          <w:bCs/>
          <w:color w:val="000000" w:themeColor="text1"/>
          <w:highlight w:val="none"/>
          <w:lang w:eastAsia="zh-CN"/>
        </w:rPr>
        <w:t xml:space="preserve">采购人</w:t>
      </w:r>
      <w:r>
        <w:rPr>
          <w:rFonts w:hint="eastAsia" w:ascii="宋体" w:hAnsi="宋体" w:eastAsia="宋体" w:cs="宋体"/>
          <w:bCs/>
          <w:color w:val="000000" w:themeColor="text1"/>
          <w:highlight w:val="none"/>
        </w:rPr>
        <w:t xml:space="preserve">行贿或者提供其他不正当利益的；</w:t>
      </w:r>
      <w:r>
        <w:rPr>
          <w:rFonts w:hint="eastAsia" w:ascii="宋体" w:hAnsi="宋体" w:eastAsia="宋体" w:cs="宋体"/>
          <w:bCs/>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bCs/>
          <w:color w:val="000000" w:themeColor="text1"/>
          <w:highlight w:val="none"/>
        </w:rPr>
        <w:outlineLvl w:val="9"/>
      </w:pPr>
      <w:r>
        <w:rPr>
          <w:rFonts w:hint="eastAsia" w:ascii="宋体" w:hAnsi="宋体" w:eastAsia="宋体" w:cs="宋体"/>
          <w:bCs/>
          <w:color w:val="000000" w:themeColor="text1"/>
          <w:highlight w:val="none"/>
        </w:rPr>
        <w:t xml:space="preserve">31.5在招标过程中与招标</w:t>
      </w:r>
      <w:r>
        <w:rPr>
          <w:rFonts w:hint="eastAsia" w:ascii="宋体" w:hAnsi="宋体" w:eastAsia="宋体" w:cs="宋体"/>
          <w:bCs/>
          <w:color w:val="000000" w:themeColor="text1"/>
          <w:highlight w:val="none"/>
          <w:lang w:eastAsia="zh-CN"/>
        </w:rPr>
        <w:t xml:space="preserve">采购人</w:t>
      </w:r>
      <w:r>
        <w:rPr>
          <w:rFonts w:hint="eastAsia" w:ascii="宋体" w:hAnsi="宋体" w:eastAsia="宋体" w:cs="宋体"/>
          <w:bCs/>
          <w:color w:val="000000" w:themeColor="text1"/>
          <w:highlight w:val="none"/>
        </w:rPr>
        <w:t xml:space="preserve">进行协商谈判、不按照招标文件和中标供应商的投标文件订立合同，或者与采购人另行订立背离合同实质性内容的协议的；</w:t>
      </w:r>
      <w:r>
        <w:rPr>
          <w:rFonts w:hint="eastAsia" w:ascii="宋体" w:hAnsi="宋体" w:eastAsia="宋体" w:cs="宋体"/>
          <w:bCs/>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color w:val="000000" w:themeColor="text1"/>
          <w:highlight w:val="none"/>
        </w:rPr>
        <w:outlineLvl w:val="9"/>
      </w:pPr>
      <w:r>
        <w:rPr>
          <w:rFonts w:hint="eastAsia" w:ascii="宋体" w:hAnsi="宋体" w:eastAsia="宋体" w:cs="宋体"/>
          <w:bCs/>
          <w:color w:val="000000" w:themeColor="text1"/>
          <w:highlight w:val="none"/>
        </w:rPr>
        <w:t xml:space="preserve">31.6拒绝有关部门监督检查或者提供虚假情况的</w:t>
      </w:r>
      <w:r>
        <w:rPr>
          <w:rFonts w:hint="eastAsia" w:ascii="宋体" w:hAnsi="宋体" w:eastAsia="宋体" w:cs="宋体"/>
          <w:b/>
          <w:color w:val="000000" w:themeColor="text1"/>
          <w:highlight w:val="none"/>
        </w:rPr>
        <w:t xml:space="preserve">。</w:t>
      </w:r>
      <w:r>
        <w:rPr>
          <w:rFonts w:hint="eastAsia" w:ascii="宋体" w:hAnsi="宋体" w:eastAsia="宋体" w:cs="宋体"/>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bCs/>
          <w:color w:val="000000" w:themeColor="text1"/>
          <w:highlight w:val="none"/>
        </w:rPr>
        <w:outlineLvl w:val="9"/>
      </w:pPr>
      <w:r>
        <w:rPr>
          <w:rFonts w:hint="eastAsia" w:ascii="宋体" w:hAnsi="宋体" w:eastAsia="宋体" w:cs="宋体"/>
          <w:bCs/>
          <w:color w:val="000000" w:themeColor="text1"/>
          <w:highlight w:val="none"/>
          <w:lang w:val="en-US" w:eastAsia="zh-CN"/>
        </w:rPr>
        <w:t xml:space="preserve">32.无效投标条款和废标条款</w:t>
      </w:r>
      <w:r>
        <w:rPr>
          <w:rFonts w:hint="eastAsia" w:ascii="宋体" w:hAnsi="宋体" w:eastAsia="宋体" w:cs="宋体"/>
          <w:bCs/>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bCs/>
          <w:color w:val="000000" w:themeColor="text1"/>
          <w:highlight w:val="none"/>
        </w:rPr>
        <w:outlineLvl w:val="9"/>
      </w:pPr>
      <w:r>
        <w:rPr>
          <w:rFonts w:hint="eastAsia" w:ascii="宋体" w:hAnsi="宋体" w:eastAsia="宋体" w:cs="宋体"/>
          <w:bCs/>
          <w:color w:val="000000" w:themeColor="text1"/>
          <w:highlight w:val="none"/>
          <w:lang w:val="en-US" w:eastAsia="zh-CN"/>
        </w:rPr>
        <w:t xml:space="preserve">32.1无效投标条款</w:t>
      </w:r>
      <w:r>
        <w:rPr>
          <w:rFonts w:hint="eastAsia" w:ascii="宋体" w:hAnsi="宋体" w:eastAsia="宋体" w:cs="宋体"/>
          <w:bCs/>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ascii="宋体" w:hAnsi="宋体" w:eastAsia="宋体" w:cs="宋体"/>
          <w:bCs/>
          <w:color w:val="000000" w:themeColor="text1"/>
          <w:highlight w:val="none"/>
        </w:rPr>
        <w:outlineLvl w:val="9"/>
      </w:pPr>
      <w:r>
        <w:rPr>
          <w:rFonts w:hint="eastAsia" w:ascii="宋体" w:hAnsi="宋体" w:eastAsia="宋体" w:cs="宋体"/>
          <w:bCs/>
          <w:color w:val="000000" w:themeColor="text1"/>
          <w:highlight w:val="none"/>
          <w:lang w:val="en-US" w:eastAsia="zh-CN"/>
        </w:rPr>
        <w:t xml:space="preserve">32.1.1 投标人在苏采云系统规定的时间内未成功解密电子投标文件的； </w:t>
      </w:r>
      <w:r>
        <w:rPr>
          <w:rFonts w:ascii="宋体" w:hAnsi="宋体" w:eastAsia="宋体" w:cs="宋体"/>
          <w:bCs/>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bCs/>
          <w:color w:val="000000" w:themeColor="text1"/>
          <w:highlight w:val="none"/>
        </w:rPr>
        <w:outlineLvl w:val="9"/>
      </w:pPr>
      <w:r>
        <w:rPr>
          <w:rFonts w:hint="eastAsia" w:ascii="宋体" w:hAnsi="宋体" w:eastAsia="宋体" w:cs="宋体"/>
          <w:bCs/>
          <w:color w:val="000000" w:themeColor="text1"/>
          <w:highlight w:val="none"/>
          <w:lang w:val="en-US" w:eastAsia="zh-CN"/>
        </w:rPr>
        <w:t xml:space="preserve">32.1.2 投标人未按照招标文件要求上传电子投标文件的；</w:t>
      </w:r>
      <w:r>
        <w:rPr>
          <w:rFonts w:hint="eastAsia" w:ascii="宋体" w:hAnsi="宋体" w:eastAsia="宋体" w:cs="宋体"/>
          <w:bCs/>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b w:val="0"/>
          <w:bCs/>
          <w:color w:val="000000" w:themeColor="text1"/>
          <w:sz w:val="24"/>
          <w:szCs w:val="24"/>
          <w:highlight w:val="none"/>
        </w:rPr>
        <w:outlineLvl w:val="9"/>
      </w:pPr>
      <w:r>
        <w:rPr>
          <w:rFonts w:hint="eastAsia" w:ascii="宋体" w:hAnsi="宋体" w:eastAsia="宋体" w:cs="宋体"/>
          <w:bCs/>
          <w:color w:val="000000" w:themeColor="text1"/>
          <w:highlight w:val="none"/>
          <w:lang w:val="en-US" w:eastAsia="zh-CN"/>
        </w:rPr>
        <w:t xml:space="preserve">32.1.</w:t>
      </w:r>
      <w:r>
        <w:rPr>
          <w:rFonts w:hint="eastAsia" w:ascii="宋体" w:hAnsi="宋体" w:eastAsia="宋体" w:cs="宋体"/>
          <w:b w:val="0"/>
          <w:bCs/>
          <w:color w:val="000000" w:themeColor="text1"/>
          <w:sz w:val="24"/>
          <w:szCs w:val="24"/>
          <w:highlight w:val="none"/>
          <w:lang w:val="en-US" w:eastAsia="zh-CN" w:bidi="ar-SA"/>
        </w:rPr>
        <w:t xml:space="preserve">3同一投标人提交两个（含两个）以上不同的投标报价的</w:t>
      </w:r>
      <w:r>
        <w:rPr>
          <w:rFonts w:hint="eastAsia" w:ascii="宋体" w:hAnsi="宋体" w:eastAsia="宋体" w:cs="宋体"/>
          <w:bCs/>
          <w:color w:val="000000" w:themeColor="text1"/>
          <w:highlight w:val="none"/>
          <w:lang w:val="en-US" w:eastAsia="zh-CN"/>
        </w:rPr>
        <w:t xml:space="preserve">；</w:t>
      </w:r>
      <w:r>
        <w:rPr>
          <w:rFonts w:hint="eastAsia" w:ascii="宋体" w:hAnsi="宋体" w:eastAsia="宋体" w:cs="宋体"/>
          <w:b w:val="0"/>
          <w:bCs/>
          <w:color w:val="000000" w:themeColor="text1"/>
          <w:sz w:val="24"/>
          <w:szCs w:val="24"/>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b w:val="0"/>
          <w:bCs/>
          <w:color w:val="000000" w:themeColor="text1"/>
          <w:sz w:val="24"/>
          <w:szCs w:val="24"/>
          <w:highlight w:val="none"/>
        </w:rPr>
        <w:outlineLvl w:val="9"/>
      </w:pPr>
      <w:r>
        <w:rPr>
          <w:rFonts w:hint="eastAsia" w:ascii="宋体" w:hAnsi="宋体" w:eastAsia="宋体" w:cs="宋体"/>
          <w:b w:val="0"/>
          <w:bCs/>
          <w:color w:val="000000" w:themeColor="text1"/>
          <w:sz w:val="24"/>
          <w:szCs w:val="24"/>
          <w:highlight w:val="none"/>
          <w:lang w:val="en-US" w:eastAsia="zh-CN" w:bidi="ar-SA"/>
        </w:rPr>
        <w:t xml:space="preserve">32.1.4投标人不具备招标文件中规定资格要求的</w:t>
      </w:r>
      <w:r>
        <w:rPr>
          <w:rFonts w:hint="eastAsia" w:ascii="宋体" w:hAnsi="宋体" w:eastAsia="宋体" w:cs="宋体"/>
          <w:bCs/>
          <w:color w:val="000000" w:themeColor="text1"/>
          <w:highlight w:val="none"/>
          <w:lang w:val="en-US" w:eastAsia="zh-CN"/>
        </w:rPr>
        <w:t xml:space="preserve">；</w:t>
      </w:r>
      <w:r>
        <w:rPr>
          <w:rFonts w:hint="eastAsia" w:ascii="宋体" w:hAnsi="宋体" w:eastAsia="宋体" w:cs="宋体"/>
          <w:b w:val="0"/>
          <w:bCs/>
          <w:color w:val="000000" w:themeColor="text1"/>
          <w:sz w:val="24"/>
          <w:szCs w:val="24"/>
          <w:highlight w:val="none"/>
        </w:rPr>
      </w:r>
      <w:r>
        <w:rPr>
          <w:color w:val="000000" w:themeColor="text1"/>
        </w:rPr>
      </w:r>
    </w:p>
    <w:p>
      <w:pPr>
        <w:pStyle w:val="1012"/>
        <w:ind w:firstLine="480"/>
        <w:jc w:val="left"/>
        <w:spacing w:line="440" w:lineRule="exact"/>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bidi="ar-SA"/>
        </w:rPr>
        <w:t xml:space="preserve">32.1.5投标人的报价超过了采购预算或最高限价的</w:t>
      </w:r>
      <w:r>
        <w:rPr>
          <w:rFonts w:hint="eastAsia" w:ascii="宋体" w:hAnsi="宋体" w:eastAsia="宋体" w:cs="宋体"/>
          <w:bCs/>
          <w:color w:val="000000" w:themeColor="text1"/>
          <w:highlight w:val="none"/>
          <w:lang w:val="en-US" w:eastAsia="zh-CN"/>
        </w:rPr>
        <w:t xml:space="preserve">；</w:t>
      </w:r>
      <w:r>
        <w:rPr>
          <w:rFonts w:hint="eastAsia" w:ascii="宋体" w:hAnsi="宋体" w:eastAsia="宋体" w:cs="宋体"/>
          <w:b w:val="0"/>
          <w:bCs/>
          <w:color w:val="000000" w:themeColor="text1"/>
          <w:sz w:val="24"/>
          <w:szCs w:val="24"/>
          <w:highlight w:val="none"/>
        </w:rPr>
      </w:r>
      <w:r>
        <w:rPr>
          <w:color w:val="000000" w:themeColor="text1"/>
        </w:rPr>
      </w:r>
    </w:p>
    <w:p>
      <w:pPr>
        <w:pStyle w:val="1012"/>
        <w:ind w:firstLine="480"/>
        <w:jc w:val="left"/>
        <w:spacing w:line="440" w:lineRule="exact"/>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bidi="ar-SA"/>
        </w:rPr>
        <w:t xml:space="preserve">32.1.6未通过符合性审查的</w:t>
      </w:r>
      <w:r>
        <w:rPr>
          <w:rFonts w:hint="eastAsia" w:ascii="宋体" w:hAnsi="宋体" w:eastAsia="宋体" w:cs="宋体"/>
          <w:bCs/>
          <w:color w:val="000000" w:themeColor="text1"/>
          <w:highlight w:val="none"/>
          <w:lang w:val="en-US" w:eastAsia="zh-CN"/>
        </w:rPr>
        <w:t xml:space="preserve">；</w:t>
      </w:r>
      <w:r>
        <w:rPr>
          <w:rFonts w:hint="eastAsia" w:ascii="宋体" w:hAnsi="宋体" w:eastAsia="宋体" w:cs="宋体"/>
          <w:b w:val="0"/>
          <w:bCs/>
          <w:color w:val="000000" w:themeColor="text1"/>
          <w:sz w:val="24"/>
          <w:szCs w:val="24"/>
          <w:highlight w:val="none"/>
        </w:rPr>
      </w:r>
      <w:r>
        <w:rPr>
          <w:color w:val="000000" w:themeColor="text1"/>
        </w:rPr>
      </w:r>
    </w:p>
    <w:p>
      <w:pPr>
        <w:pStyle w:val="1012"/>
        <w:ind w:firstLine="360"/>
        <w:jc w:val="left"/>
        <w:spacing w:line="440" w:lineRule="exact"/>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bidi="ar-SA"/>
        </w:rPr>
        <w:t xml:space="preserve"> 32.1.7不符合招标文件中规定的实质性要求和条件的（本招标文件中斜体且有下划线部分为实质性要求和条件）</w:t>
      </w:r>
      <w:r>
        <w:rPr>
          <w:rFonts w:hint="eastAsia" w:ascii="宋体" w:hAnsi="宋体" w:eastAsia="宋体" w:cs="宋体"/>
          <w:bCs/>
          <w:color w:val="000000" w:themeColor="text1"/>
          <w:highlight w:val="none"/>
          <w:lang w:val="en-US" w:eastAsia="zh-CN"/>
        </w:rPr>
        <w:t xml:space="preserve">；</w:t>
      </w:r>
      <w:r>
        <w:rPr>
          <w:rFonts w:hint="eastAsia" w:ascii="宋体" w:hAnsi="宋体" w:eastAsia="宋体" w:cs="宋体"/>
          <w:b w:val="0"/>
          <w:bCs/>
          <w:color w:val="000000" w:themeColor="text1"/>
          <w:sz w:val="24"/>
          <w:szCs w:val="24"/>
          <w:highlight w:val="none"/>
        </w:rPr>
      </w:r>
      <w:r>
        <w:rPr>
          <w:color w:val="000000" w:themeColor="text1"/>
        </w:rPr>
      </w:r>
    </w:p>
    <w:p>
      <w:pPr>
        <w:pStyle w:val="1012"/>
        <w:ind w:firstLine="480"/>
        <w:jc w:val="left"/>
        <w:spacing w:line="440" w:lineRule="exact"/>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bidi="ar-SA"/>
        </w:rPr>
        <w:t xml:space="preserve">32.1.8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bCs/>
          <w:color w:val="000000" w:themeColor="text1"/>
          <w:highlight w:val="none"/>
          <w:lang w:val="en-US" w:eastAsia="zh-CN"/>
        </w:rPr>
        <w:t xml:space="preserve">；</w:t>
      </w:r>
      <w:r>
        <w:rPr>
          <w:rFonts w:hint="eastAsia" w:ascii="宋体" w:hAnsi="宋体" w:eastAsia="宋体" w:cs="宋体"/>
          <w:b w:val="0"/>
          <w:bCs/>
          <w:color w:val="000000" w:themeColor="text1"/>
          <w:sz w:val="24"/>
          <w:szCs w:val="24"/>
          <w:highlight w:val="none"/>
        </w:rPr>
      </w:r>
      <w:r>
        <w:rPr>
          <w:color w:val="000000" w:themeColor="text1"/>
        </w:rPr>
      </w:r>
    </w:p>
    <w:p>
      <w:pPr>
        <w:pStyle w:val="1012"/>
        <w:ind w:firstLine="480"/>
        <w:jc w:val="left"/>
        <w:spacing w:line="440" w:lineRule="exact"/>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bidi="ar-SA"/>
        </w:rPr>
        <w:t xml:space="preserve">32.1.9 投标文件含有采购人不能接受的附加条件的</w:t>
      </w:r>
      <w:r>
        <w:rPr>
          <w:rFonts w:hint="eastAsia" w:ascii="宋体" w:hAnsi="宋体" w:eastAsia="宋体" w:cs="宋体"/>
          <w:bCs/>
          <w:color w:val="000000" w:themeColor="text1"/>
          <w:highlight w:val="none"/>
          <w:lang w:val="en-US" w:eastAsia="zh-CN"/>
        </w:rPr>
        <w:t xml:space="preserve">；</w:t>
      </w:r>
      <w:r>
        <w:rPr>
          <w:rFonts w:hint="eastAsia" w:ascii="宋体" w:hAnsi="宋体" w:eastAsia="宋体" w:cs="宋体"/>
          <w:b w:val="0"/>
          <w:bCs/>
          <w:color w:val="000000" w:themeColor="text1"/>
          <w:sz w:val="24"/>
          <w:szCs w:val="24"/>
          <w:highlight w:val="none"/>
        </w:rPr>
      </w:r>
      <w:r>
        <w:rPr>
          <w:color w:val="000000" w:themeColor="text1"/>
        </w:rPr>
      </w:r>
    </w:p>
    <w:p>
      <w:pPr>
        <w:pStyle w:val="1012"/>
        <w:ind w:firstLine="480"/>
        <w:jc w:val="left"/>
        <w:spacing w:line="440" w:lineRule="exact"/>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bidi="ar-SA"/>
        </w:rPr>
        <w:t xml:space="preserve">32.1.10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eastAsia="宋体" w:cs="宋体"/>
          <w:bCs/>
          <w:color w:val="000000" w:themeColor="text1"/>
          <w:highlight w:val="none"/>
          <w:lang w:val="en-US" w:eastAsia="zh-CN"/>
        </w:rPr>
        <w:t xml:space="preserve">；</w:t>
      </w:r>
      <w:r>
        <w:rPr>
          <w:rFonts w:hint="eastAsia" w:ascii="宋体" w:hAnsi="宋体" w:eastAsia="宋体" w:cs="宋体"/>
          <w:b w:val="0"/>
          <w:bCs/>
          <w:color w:val="000000" w:themeColor="text1"/>
          <w:sz w:val="24"/>
          <w:szCs w:val="24"/>
          <w:highlight w:val="none"/>
        </w:rPr>
      </w:r>
      <w:r>
        <w:rPr>
          <w:color w:val="000000" w:themeColor="text1"/>
        </w:rPr>
      </w:r>
    </w:p>
    <w:p>
      <w:pPr>
        <w:pStyle w:val="1012"/>
        <w:ind w:firstLine="480"/>
        <w:jc w:val="left"/>
        <w:spacing w:line="440" w:lineRule="exact"/>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bidi="ar-SA"/>
        </w:rPr>
        <w:t xml:space="preserve">32.1.11 投标文件未按照招标文件要求加盖CA电子公章的</w:t>
      </w:r>
      <w:r>
        <w:rPr>
          <w:rFonts w:hint="eastAsia" w:ascii="宋体" w:hAnsi="宋体" w:eastAsia="宋体" w:cs="宋体"/>
          <w:bCs/>
          <w:color w:val="000000" w:themeColor="text1"/>
          <w:highlight w:val="none"/>
          <w:lang w:val="en-US" w:eastAsia="zh-CN"/>
        </w:rPr>
        <w:t xml:space="preserve">；</w:t>
      </w:r>
      <w:r>
        <w:rPr>
          <w:rFonts w:hint="eastAsia" w:ascii="宋体" w:hAnsi="宋体" w:eastAsia="宋体" w:cs="宋体"/>
          <w:b w:val="0"/>
          <w:bCs/>
          <w:color w:val="000000" w:themeColor="text1"/>
          <w:sz w:val="24"/>
          <w:szCs w:val="24"/>
          <w:highlight w:val="none"/>
        </w:rPr>
      </w:r>
      <w:r>
        <w:rPr>
          <w:color w:val="000000" w:themeColor="text1"/>
        </w:rPr>
      </w:r>
    </w:p>
    <w:p>
      <w:pPr>
        <w:pStyle w:val="1012"/>
        <w:ind w:firstLine="480"/>
        <w:jc w:val="left"/>
        <w:spacing w:line="440" w:lineRule="exact"/>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bidi="ar-SA"/>
        </w:rPr>
        <w:t xml:space="preserve">32.1.12其他法律法规及本招标文件规定的属于无效投标的情形。</w:t>
      </w:r>
      <w:r>
        <w:rPr>
          <w:rFonts w:hint="eastAsia" w:ascii="宋体" w:hAnsi="宋体" w:eastAsia="宋体" w:cs="宋体"/>
          <w:b w:val="0"/>
          <w:bCs/>
          <w:color w:val="000000" w:themeColor="text1"/>
          <w:sz w:val="24"/>
          <w:szCs w:val="24"/>
          <w:highlight w:val="none"/>
        </w:rPr>
      </w:r>
      <w:r>
        <w:rPr>
          <w:color w:val="000000" w:themeColor="text1"/>
        </w:rPr>
      </w:r>
    </w:p>
    <w:p>
      <w:pPr>
        <w:pStyle w:val="1012"/>
        <w:ind w:firstLine="480"/>
        <w:jc w:val="left"/>
        <w:spacing w:line="440" w:lineRule="exact"/>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bidi="ar-SA"/>
        </w:rPr>
        <w:t xml:space="preserve">32.2废标条款</w:t>
      </w:r>
      <w:r>
        <w:rPr>
          <w:rFonts w:hint="eastAsia" w:ascii="宋体" w:hAnsi="宋体" w:eastAsia="宋体" w:cs="宋体"/>
          <w:b w:val="0"/>
          <w:bCs/>
          <w:color w:val="000000" w:themeColor="text1"/>
          <w:sz w:val="24"/>
          <w:szCs w:val="24"/>
          <w:highlight w:val="none"/>
        </w:rPr>
      </w:r>
      <w:r>
        <w:rPr>
          <w:color w:val="000000" w:themeColor="text1"/>
        </w:rPr>
      </w:r>
    </w:p>
    <w:p>
      <w:pPr>
        <w:pStyle w:val="1012"/>
        <w:ind w:left="520" w:hanging="40"/>
        <w:jc w:val="left"/>
        <w:spacing w:line="440" w:lineRule="exact"/>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bidi="ar-SA"/>
        </w:rPr>
        <w:t xml:space="preserve">32.2.1符合专业条件的供应商或者对招标文件作实质响应的供应商不足三家</w:t>
      </w:r>
      <w:r>
        <w:rPr>
          <w:rFonts w:hint="eastAsia" w:ascii="宋体" w:hAnsi="宋体" w:eastAsia="宋体" w:cs="宋体"/>
          <w:bCs/>
          <w:color w:val="000000" w:themeColor="text1"/>
          <w:highlight w:val="none"/>
          <w:lang w:val="en-US" w:eastAsia="zh-CN"/>
        </w:rPr>
        <w:t xml:space="preserve">；</w:t>
      </w:r>
      <w:r>
        <w:rPr>
          <w:rFonts w:hint="eastAsia" w:ascii="宋体" w:hAnsi="宋体" w:eastAsia="宋体" w:cs="宋体"/>
          <w:b w:val="0"/>
          <w:bCs/>
          <w:color w:val="000000" w:themeColor="text1"/>
          <w:sz w:val="24"/>
          <w:szCs w:val="24"/>
          <w:highlight w:val="none"/>
          <w:lang w:val="en-US" w:eastAsia="zh-CN" w:bidi="ar-SA"/>
        </w:rPr>
        <w:t xml:space="preserve">32.2.2出现影响采购公正的违法、违规行为的</w:t>
      </w:r>
      <w:r>
        <w:rPr>
          <w:rFonts w:hint="eastAsia" w:ascii="宋体" w:hAnsi="宋体" w:eastAsia="宋体" w:cs="宋体"/>
          <w:bCs/>
          <w:color w:val="000000" w:themeColor="text1"/>
          <w:highlight w:val="none"/>
          <w:lang w:val="en-US" w:eastAsia="zh-CN"/>
        </w:rPr>
        <w:t xml:space="preserve">；</w:t>
      </w:r>
      <w:r>
        <w:rPr>
          <w:rFonts w:hint="eastAsia" w:ascii="宋体" w:hAnsi="宋体" w:eastAsia="宋体" w:cs="宋体"/>
          <w:b w:val="0"/>
          <w:bCs/>
          <w:color w:val="000000" w:themeColor="text1"/>
          <w:sz w:val="24"/>
          <w:szCs w:val="24"/>
          <w:highlight w:val="none"/>
        </w:rPr>
      </w:r>
      <w:r>
        <w:rPr>
          <w:color w:val="000000" w:themeColor="text1"/>
        </w:rPr>
      </w:r>
    </w:p>
    <w:p>
      <w:pPr>
        <w:pStyle w:val="1012"/>
        <w:ind w:firstLine="439"/>
        <w:jc w:val="left"/>
        <w:spacing w:line="440" w:lineRule="exact"/>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bidi="ar-SA"/>
        </w:rPr>
        <w:t xml:space="preserve">32.2.3因重大变故，采购任务取消的</w:t>
      </w:r>
      <w:r>
        <w:rPr>
          <w:rFonts w:hint="eastAsia" w:ascii="宋体" w:hAnsi="宋体" w:eastAsia="宋体" w:cs="宋体"/>
          <w:bCs/>
          <w:color w:val="000000" w:themeColor="text1"/>
          <w:highlight w:val="none"/>
          <w:lang w:val="en-US" w:eastAsia="zh-CN"/>
        </w:rPr>
        <w:t xml:space="preserve">；</w:t>
      </w:r>
      <w:r>
        <w:rPr>
          <w:rFonts w:hint="eastAsia" w:ascii="宋体" w:hAnsi="宋体" w:eastAsia="宋体" w:cs="宋体"/>
          <w:b w:val="0"/>
          <w:bCs/>
          <w:color w:val="000000" w:themeColor="text1"/>
          <w:sz w:val="24"/>
          <w:szCs w:val="24"/>
          <w:highlight w:val="none"/>
        </w:rPr>
      </w:r>
      <w:r>
        <w:rPr>
          <w:color w:val="000000" w:themeColor="text1"/>
        </w:rPr>
      </w:r>
    </w:p>
    <w:p>
      <w:pPr>
        <w:pStyle w:val="1012"/>
        <w:ind w:left="520" w:hanging="40"/>
        <w:jc w:val="left"/>
        <w:spacing w:line="440" w:lineRule="exact"/>
        <w:rPr>
          <w:rFonts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bidi="ar-SA"/>
        </w:rPr>
        <w:t xml:space="preserve">32.2.4评标委员会认定招标文件存在歧义、重大缺陷导致评审工作无法进行的；</w:t>
      </w:r>
      <w:r>
        <w:rPr>
          <w:rFonts w:ascii="宋体" w:hAnsi="宋体" w:eastAsia="宋体" w:cs="宋体"/>
          <w:b w:val="0"/>
          <w:bCs/>
          <w:color w:val="000000" w:themeColor="text1"/>
          <w:sz w:val="24"/>
          <w:szCs w:val="24"/>
          <w:highlight w:val="none"/>
        </w:rPr>
      </w:r>
      <w:r>
        <w:rPr>
          <w:color w:val="000000" w:themeColor="text1"/>
        </w:rPr>
      </w:r>
    </w:p>
    <w:p>
      <w:pPr>
        <w:pStyle w:val="1012"/>
        <w:ind w:left="520" w:hanging="40"/>
        <w:jc w:val="left"/>
        <w:spacing w:line="440" w:lineRule="exact"/>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bidi="ar-SA"/>
        </w:rPr>
        <w:t xml:space="preserve">32.2.5 因苏采云系统故障原因造成开标不成功的。</w:t>
      </w:r>
      <w:r>
        <w:rPr>
          <w:rFonts w:hint="eastAsia" w:ascii="宋体" w:hAnsi="宋体" w:eastAsia="宋体" w:cs="宋体"/>
          <w:b w:val="0"/>
          <w:bCs/>
          <w:color w:val="000000" w:themeColor="text1"/>
          <w:sz w:val="24"/>
          <w:szCs w:val="24"/>
          <w:highlight w:val="none"/>
        </w:rPr>
      </w:r>
      <w:r>
        <w:rPr>
          <w:color w:val="000000" w:themeColor="text1"/>
        </w:rPr>
      </w:r>
    </w:p>
    <w:p>
      <w:pPr>
        <w:pStyle w:val="1012"/>
        <w:ind w:firstLine="439"/>
        <w:jc w:val="left"/>
        <w:spacing w:line="440" w:lineRule="exact"/>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bidi="ar-SA"/>
        </w:rPr>
        <w:t xml:space="preserve">32.3 投标截止时间结束后参加投标的供应商不足三家的处理：</w:t>
      </w:r>
      <w:r>
        <w:rPr>
          <w:rFonts w:hint="eastAsia" w:ascii="宋体" w:hAnsi="宋体" w:eastAsia="宋体" w:cs="宋体"/>
          <w:b w:val="0"/>
          <w:bCs/>
          <w:color w:val="000000" w:themeColor="text1"/>
          <w:sz w:val="24"/>
          <w:szCs w:val="24"/>
          <w:highlight w:val="none"/>
        </w:rPr>
      </w:r>
      <w:r>
        <w:rPr>
          <w:color w:val="000000" w:themeColor="text1"/>
        </w:rPr>
      </w:r>
    </w:p>
    <w:p>
      <w:pPr>
        <w:pStyle w:val="1012"/>
        <w:ind w:firstLine="480"/>
        <w:jc w:val="left"/>
        <w:spacing w:line="440" w:lineRule="exact"/>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bidi="ar-SA"/>
        </w:rPr>
        <w:t xml:space="preserve">32.3.1如出现投标截止时间结束后参加投标的供应商或者在评标期间对招标文件做出实质响应的供应商不足三家情况，按政府采购相关规定执行。</w:t>
      </w:r>
      <w:r>
        <w:rPr>
          <w:rFonts w:hint="eastAsia" w:ascii="宋体" w:hAnsi="宋体" w:eastAsia="宋体" w:cs="宋体"/>
          <w:b w:val="0"/>
          <w:bCs/>
          <w:color w:val="000000" w:themeColor="text1"/>
          <w:sz w:val="24"/>
          <w:szCs w:val="24"/>
          <w:highlight w:val="none"/>
        </w:rPr>
      </w:r>
      <w:r>
        <w:rPr>
          <w:color w:val="000000" w:themeColor="text1"/>
        </w:rPr>
      </w:r>
    </w:p>
    <w:p>
      <w:pPr>
        <w:pStyle w:val="1012"/>
        <w:ind w:firstLine="562"/>
        <w:jc w:val="center"/>
        <w:keepLines w:val="0"/>
        <w:keepNext w:val="0"/>
        <w:pageBreakBefore w:val="0"/>
        <w:spacing w:line="440" w:lineRule="exact"/>
        <w:rPr>
          <w:rFonts w:hint="eastAsia" w:ascii="宋体" w:hAnsi="宋体" w:eastAsia="宋体" w:cs="宋体"/>
          <w:b/>
          <w:color w:val="000000" w:themeColor="text1"/>
          <w:sz w:val="28"/>
          <w:szCs w:val="28"/>
          <w:highlight w:val="none"/>
        </w:rPr>
        <w:outlineLvl w:val="9"/>
      </w:pPr>
      <w:r>
        <w:rPr>
          <w:rFonts w:hint="eastAsia" w:ascii="宋体" w:hAnsi="宋体" w:eastAsia="宋体" w:cs="宋体"/>
          <w:b/>
          <w:color w:val="000000" w:themeColor="text1"/>
          <w:sz w:val="28"/>
          <w:szCs w:val="28"/>
          <w:highlight w:val="none"/>
        </w:rPr>
      </w:r>
      <w:r>
        <w:rPr>
          <w:color w:val="000000" w:themeColor="text1"/>
        </w:rPr>
      </w:r>
    </w:p>
    <w:p>
      <w:pPr>
        <w:pStyle w:val="1012"/>
        <w:jc w:val="center"/>
        <w:keepLines w:val="0"/>
        <w:keepNext w:val="0"/>
        <w:pageBreakBefore w:val="0"/>
        <w:spacing w:line="440" w:lineRule="exact"/>
        <w:rPr>
          <w:rFonts w:hint="eastAsia" w:ascii="宋体" w:hAnsi="宋体" w:eastAsia="宋体" w:cs="宋体"/>
          <w:b/>
          <w:color w:val="000000" w:themeColor="text1"/>
          <w:highlight w:val="none"/>
        </w:rPr>
        <w:outlineLvl w:val="9"/>
      </w:pPr>
      <w:r>
        <w:rPr>
          <w:rFonts w:hint="eastAsia" w:ascii="宋体" w:hAnsi="宋体" w:eastAsia="宋体" w:cs="宋体"/>
          <w:b/>
          <w:color w:val="000000" w:themeColor="text1"/>
          <w:sz w:val="28"/>
          <w:szCs w:val="28"/>
          <w:highlight w:val="none"/>
        </w:rPr>
        <w:t xml:space="preserve">六、定标</w:t>
      </w:r>
      <w:r>
        <w:rPr>
          <w:rFonts w:hint="eastAsia" w:ascii="宋体" w:hAnsi="宋体" w:eastAsia="宋体" w:cs="宋体"/>
          <w:b/>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33.</w:t>
      </w:r>
      <w:r>
        <w:rPr>
          <w:rFonts w:hint="eastAsia" w:ascii="宋体" w:hAnsi="宋体" w:eastAsia="宋体" w:cs="宋体"/>
          <w:color w:val="000000" w:themeColor="text1"/>
          <w:sz w:val="24"/>
          <w:highlight w:val="none"/>
        </w:rPr>
        <w:t xml:space="preserve">确定中标人</w:t>
      </w:r>
      <w:r>
        <w:rPr>
          <w:rFonts w:hint="eastAsia" w:ascii="宋体" w:hAnsi="宋体" w:eastAsia="宋体" w:cs="宋体"/>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33.</w:t>
      </w:r>
      <w:r>
        <w:rPr>
          <w:rFonts w:hint="eastAsia" w:ascii="宋体" w:hAnsi="宋体" w:eastAsia="宋体" w:cs="宋体"/>
          <w:color w:val="000000" w:themeColor="text1"/>
          <w:highlight w:val="none"/>
          <w:lang w:val="en-US" w:eastAsia="zh-CN"/>
        </w:rPr>
        <w:t xml:space="preserve">1</w:t>
      </w:r>
      <w:r>
        <w:rPr>
          <w:rFonts w:hint="eastAsia" w:ascii="宋体" w:hAnsi="宋体" w:eastAsia="宋体" w:cs="宋体"/>
          <w:color w:val="000000" w:themeColor="text1"/>
          <w:highlight w:val="none"/>
        </w:rPr>
        <w:t xml:space="preserve"> 采购代理机构应当在评标结束后2个工作日内将评标报告送采购人。</w:t>
      </w:r>
      <w:r>
        <w:rPr>
          <w:rFonts w:hint="eastAsia" w:ascii="宋体" w:hAnsi="宋体" w:eastAsia="宋体" w:cs="宋体"/>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3</w:t>
      </w:r>
      <w:r>
        <w:rPr>
          <w:rFonts w:hint="eastAsia" w:ascii="宋体" w:hAnsi="宋体" w:eastAsia="宋体" w:cs="宋体"/>
          <w:color w:val="000000" w:themeColor="text1"/>
          <w:highlight w:val="none"/>
          <w:lang w:val="en-US" w:eastAsia="zh-CN"/>
        </w:rPr>
        <w:t xml:space="preserve">3</w:t>
      </w:r>
      <w:r>
        <w:rPr>
          <w:rFonts w:hint="eastAsia" w:ascii="宋体" w:hAnsi="宋体" w:eastAsia="宋体" w:cs="宋体"/>
          <w:color w:val="000000" w:themeColor="text1"/>
          <w:highlight w:val="none"/>
        </w:rPr>
        <w:t xml:space="preserve">.</w:t>
      </w:r>
      <w:r>
        <w:rPr>
          <w:rFonts w:hint="eastAsia" w:ascii="宋体" w:hAnsi="宋体" w:eastAsia="宋体" w:cs="宋体"/>
          <w:color w:val="000000" w:themeColor="text1"/>
          <w:highlight w:val="none"/>
          <w:lang w:val="en-US" w:eastAsia="zh-CN"/>
        </w:rPr>
        <w:t xml:space="preserve">2</w:t>
      </w:r>
      <w:r>
        <w:rPr>
          <w:rFonts w:hint="eastAsia" w:ascii="宋体" w:hAnsi="宋体" w:eastAsia="宋体" w:cs="宋体"/>
          <w:color w:val="000000" w:themeColor="text1"/>
          <w:highlight w:val="none"/>
        </w:rPr>
        <w:t xml:space="preserve"> 采购人应当自收到评标报告之日起5个工作日内，在评标报告确定的中标候选人名单中按顺序确定中标人。</w:t>
      </w:r>
      <w:r>
        <w:rPr>
          <w:rFonts w:hint="eastAsia" w:ascii="宋体" w:hAnsi="宋体" w:eastAsia="宋体" w:cs="宋体"/>
          <w:color w:val="000000" w:themeColor="text1"/>
          <w:sz w:val="24"/>
          <w:highlight w:val="none"/>
        </w:rPr>
        <w:t xml:space="preserve">中标候选人并列的，由采购人或者采购人委托评标委员会按照招标文件规定的方式确定中标人；招标文件未规定的，采取随机抽取的方式确定。中标候选人并列的，招标文件规定的确定中标人方式：见招标文件第三章《投</w:t>
      </w:r>
      <w:r>
        <w:rPr>
          <w:rFonts w:hint="eastAsia" w:ascii="宋体" w:hAnsi="宋体" w:eastAsia="宋体" w:cs="宋体"/>
          <w:color w:val="000000" w:themeColor="text1"/>
          <w:highlight w:val="none"/>
        </w:rPr>
        <w:t xml:space="preserve">标资料表》。</w:t>
      </w:r>
      <w:r>
        <w:rPr>
          <w:rFonts w:hint="eastAsia" w:ascii="宋体" w:hAnsi="宋体" w:eastAsia="宋体" w:cs="宋体"/>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3</w:t>
      </w:r>
      <w:r>
        <w:rPr>
          <w:rFonts w:hint="eastAsia" w:ascii="宋体" w:hAnsi="宋体" w:eastAsia="宋体" w:cs="宋体"/>
          <w:color w:val="000000" w:themeColor="text1"/>
          <w:highlight w:val="none"/>
          <w:lang w:val="en-US" w:eastAsia="zh-CN"/>
        </w:rPr>
        <w:t xml:space="preserve">4</w:t>
      </w:r>
      <w:r>
        <w:rPr>
          <w:rFonts w:hint="eastAsia" w:ascii="宋体" w:hAnsi="宋体" w:eastAsia="宋体" w:cs="宋体"/>
          <w:color w:val="000000" w:themeColor="text1"/>
          <w:highlight w:val="none"/>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rPr>
          <w:rFonts w:hint="eastAsia" w:ascii="宋体" w:hAnsi="宋体" w:eastAsia="宋体" w:cs="宋体"/>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35.</w:t>
      </w:r>
      <w:r>
        <w:rPr>
          <w:rFonts w:hint="eastAsia" w:ascii="宋体" w:hAnsi="宋体" w:eastAsia="宋体" w:cs="宋体"/>
          <w:color w:val="000000" w:themeColor="text1"/>
          <w:highlight w:val="none"/>
        </w:rPr>
        <w:t xml:space="preserve">中标通知书发出后，采购人不得违法改变中标结果，中标人无正当理由不得放弃中标。</w:t>
      </w:r>
      <w:r>
        <w:rPr>
          <w:rFonts w:hint="eastAsia" w:ascii="宋体" w:hAnsi="宋体" w:eastAsia="宋体" w:cs="宋体"/>
          <w:color w:val="000000" w:themeColor="text1"/>
          <w:highlight w:val="none"/>
        </w:rPr>
      </w:r>
      <w:r>
        <w:rPr>
          <w:color w:val="000000" w:themeColor="text1"/>
        </w:rPr>
      </w:r>
    </w:p>
    <w:p>
      <w:pPr>
        <w:pStyle w:val="1012"/>
        <w:ind w:firstLine="480"/>
        <w:keepLines w:val="0"/>
        <w:keepNext w:val="0"/>
        <w:pageBreakBefore w:val="0"/>
        <w:spacing w:line="440" w:lineRule="exact"/>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3</w:t>
      </w:r>
      <w:r>
        <w:rPr>
          <w:rFonts w:hint="eastAsia" w:ascii="宋体" w:hAnsi="宋体" w:eastAsia="宋体" w:cs="宋体"/>
          <w:color w:val="000000" w:themeColor="text1"/>
          <w:highlight w:val="none"/>
          <w:lang w:val="en-US" w:eastAsia="zh-CN"/>
        </w:rPr>
        <w:t xml:space="preserve">6</w:t>
      </w:r>
      <w:r>
        <w:rPr>
          <w:rFonts w:hint="eastAsia" w:ascii="宋体" w:hAnsi="宋体" w:eastAsia="宋体" w:cs="宋体"/>
          <w:color w:val="000000" w:themeColor="text1"/>
          <w:highlight w:val="none"/>
        </w:rPr>
        <w:t xml:space="preserve">.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eastAsia="宋体" w:cs="宋体"/>
          <w:color w:val="000000" w:themeColor="text1"/>
          <w:highlight w:val="none"/>
        </w:rPr>
      </w:r>
      <w:r>
        <w:rPr>
          <w:color w:val="000000" w:themeColor="text1"/>
        </w:rPr>
      </w:r>
    </w:p>
    <w:p>
      <w:pPr>
        <w:pStyle w:val="1012"/>
        <w:ind w:firstLine="562"/>
        <w:jc w:val="center"/>
        <w:keepLines w:val="0"/>
        <w:keepNext w:val="0"/>
        <w:pageBreakBefore w:val="0"/>
        <w:spacing w:line="440" w:lineRule="exact"/>
        <w:rPr>
          <w:rFonts w:hint="eastAsia" w:ascii="宋体" w:hAnsi="宋体" w:eastAsia="宋体" w:cs="宋体"/>
          <w:b/>
          <w:color w:val="000000" w:themeColor="text1"/>
          <w:highlight w:val="none"/>
        </w:rPr>
        <w:outlineLvl w:val="9"/>
      </w:pPr>
      <w:r>
        <w:rPr>
          <w:rFonts w:hint="eastAsia" w:ascii="宋体" w:hAnsi="宋体" w:eastAsia="宋体" w:cs="宋体"/>
          <w:b/>
          <w:color w:val="000000" w:themeColor="text1"/>
          <w:sz w:val="28"/>
          <w:szCs w:val="28"/>
          <w:highlight w:val="none"/>
        </w:rPr>
        <w:t xml:space="preserve">七、政府采购合同</w:t>
      </w:r>
      <w:r>
        <w:rPr>
          <w:rFonts w:hint="eastAsia" w:ascii="宋体" w:hAnsi="宋体" w:eastAsia="宋体" w:cs="宋体"/>
          <w:b/>
          <w:color w:val="000000" w:themeColor="text1"/>
          <w:highlight w:val="none"/>
        </w:rPr>
      </w:r>
      <w:r>
        <w:rPr>
          <w:color w:val="000000" w:themeColor="text1"/>
        </w:rPr>
      </w:r>
    </w:p>
    <w:p>
      <w:pPr>
        <w:pStyle w:val="1012"/>
        <w:ind w:firstLine="480"/>
        <w:keepLines w:val="0"/>
        <w:keepNext w:val="0"/>
        <w:pageBreakBefore w:val="0"/>
        <w:spacing w:line="440" w:lineRule="exact"/>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3</w:t>
      </w:r>
      <w:r>
        <w:rPr>
          <w:rFonts w:hint="eastAsia" w:ascii="宋体" w:hAnsi="宋体" w:eastAsia="宋体" w:cs="宋体"/>
          <w:color w:val="000000" w:themeColor="text1"/>
          <w:highlight w:val="none"/>
          <w:lang w:val="en-US" w:eastAsia="zh-CN"/>
        </w:rPr>
        <w:t xml:space="preserve">7</w:t>
      </w:r>
      <w:r>
        <w:rPr>
          <w:rFonts w:hint="eastAsia" w:ascii="宋体" w:hAnsi="宋体" w:eastAsia="宋体" w:cs="宋体"/>
          <w:color w:val="000000" w:themeColor="text1"/>
          <w:highlight w:val="none"/>
        </w:rPr>
        <w:t xml:space="preserve">. 签订政府采购合同（合同签订方式）</w:t>
      </w:r>
      <w:r>
        <w:rPr>
          <w:rFonts w:hint="eastAsia" w:ascii="宋体" w:hAnsi="宋体" w:eastAsia="宋体" w:cs="宋体"/>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3</w:t>
      </w:r>
      <w:r>
        <w:rPr>
          <w:rFonts w:hint="eastAsia" w:ascii="宋体" w:hAnsi="宋体" w:eastAsia="宋体" w:cs="宋体"/>
          <w:color w:val="000000" w:themeColor="text1"/>
          <w:highlight w:val="none"/>
          <w:lang w:val="en-US" w:eastAsia="zh-CN"/>
        </w:rPr>
        <w:t xml:space="preserve">7</w:t>
      </w:r>
      <w:r>
        <w:rPr>
          <w:rFonts w:hint="eastAsia" w:ascii="宋体" w:hAnsi="宋体" w:eastAsia="宋体" w:cs="宋体"/>
          <w:color w:val="000000" w:themeColor="text1"/>
          <w:highlight w:val="none"/>
        </w:rPr>
        <w:t xml:space="preserve">.1</w:t>
      </w:r>
      <w:r>
        <w:rPr>
          <w:rFonts w:hint="eastAsia" w:ascii="宋体" w:hAnsi="宋体" w:eastAsia="宋体" w:cs="宋体"/>
          <w:color w:val="000000" w:themeColor="text1"/>
          <w:highlight w:val="none"/>
          <w:lang w:eastAsia="zh-CN"/>
        </w:rPr>
        <w:t xml:space="preserve">采购人</w:t>
      </w:r>
      <w:r>
        <w:rPr>
          <w:rFonts w:hint="eastAsia" w:ascii="宋体" w:hAnsi="宋体" w:eastAsia="宋体" w:cs="宋体"/>
          <w:color w:val="000000" w:themeColor="text1"/>
          <w:highlight w:val="none"/>
        </w:rPr>
        <w:t xml:space="preserve">应当自中标通知书发出之日起</w:t>
      </w:r>
      <w:r>
        <w:rPr>
          <w:rFonts w:hint="eastAsia" w:ascii="宋体" w:hAnsi="宋体" w:eastAsia="宋体" w:cs="宋体"/>
          <w:color w:val="000000" w:themeColor="text1"/>
          <w:highlight w:val="none"/>
          <w:lang w:val="en-US" w:eastAsia="zh-CN"/>
        </w:rPr>
        <w:t xml:space="preserve">30</w:t>
      </w:r>
      <w:r>
        <w:rPr>
          <w:rFonts w:hint="eastAsia" w:ascii="宋体" w:hAnsi="宋体" w:eastAsia="宋体" w:cs="宋体"/>
          <w:color w:val="000000" w:themeColor="text1"/>
          <w:highlight w:val="none"/>
        </w:rPr>
        <w:t xml:space="preserve">日内，按照招标文件和中标人投标文件的规定，与中标人签订书面合同。所签订的合同不得对招标文件确定的事项和中标人投标文件作实质性修改。</w:t>
      </w:r>
      <w:r>
        <w:rPr>
          <w:rFonts w:hint="eastAsia" w:ascii="宋体" w:hAnsi="宋体" w:eastAsia="宋体" w:cs="宋体"/>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eastAsia="zh-CN"/>
        </w:rPr>
        <w:t xml:space="preserve">采购人</w:t>
      </w:r>
      <w:r>
        <w:rPr>
          <w:rFonts w:hint="eastAsia" w:ascii="宋体" w:hAnsi="宋体" w:eastAsia="宋体" w:cs="宋体"/>
          <w:color w:val="000000" w:themeColor="text1"/>
          <w:highlight w:val="none"/>
        </w:rPr>
        <w:t xml:space="preserve">不得向中标人提出任何不合理的要求作为签订合同的条件。</w:t>
      </w:r>
      <w:r>
        <w:rPr>
          <w:rFonts w:hint="eastAsia" w:ascii="宋体" w:hAnsi="宋体" w:eastAsia="宋体" w:cs="宋体"/>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3</w:t>
      </w:r>
      <w:r>
        <w:rPr>
          <w:rFonts w:hint="eastAsia" w:ascii="宋体" w:hAnsi="宋体" w:eastAsia="宋体" w:cs="宋体"/>
          <w:color w:val="000000" w:themeColor="text1"/>
          <w:highlight w:val="none"/>
          <w:lang w:val="en-US" w:eastAsia="zh-CN"/>
        </w:rPr>
        <w:t xml:space="preserve">7</w:t>
      </w:r>
      <w:r>
        <w:rPr>
          <w:rFonts w:hint="eastAsia" w:ascii="宋体" w:hAnsi="宋体" w:eastAsia="宋体" w:cs="宋体"/>
          <w:color w:val="000000" w:themeColor="text1"/>
          <w:highlight w:val="none"/>
        </w:rPr>
        <w:t xml:space="preserve">.2中标或者成交供应商拒绝与</w:t>
      </w:r>
      <w:r>
        <w:rPr>
          <w:rFonts w:hint="eastAsia" w:ascii="宋体" w:hAnsi="宋体" w:eastAsia="宋体" w:cs="宋体"/>
          <w:color w:val="000000" w:themeColor="text1"/>
          <w:highlight w:val="none"/>
          <w:lang w:eastAsia="zh-CN"/>
        </w:rPr>
        <w:t xml:space="preserve">采购人</w:t>
      </w:r>
      <w:r>
        <w:rPr>
          <w:rFonts w:hint="eastAsia" w:ascii="宋体" w:hAnsi="宋体" w:eastAsia="宋体" w:cs="宋体"/>
          <w:color w:val="000000" w:themeColor="text1"/>
          <w:highlight w:val="none"/>
        </w:rPr>
        <w:t xml:space="preserve">签订合同的，</w:t>
      </w:r>
      <w:r>
        <w:rPr>
          <w:rFonts w:hint="eastAsia" w:ascii="宋体" w:hAnsi="宋体" w:eastAsia="宋体" w:cs="宋体"/>
          <w:color w:val="000000" w:themeColor="text1"/>
          <w:highlight w:val="none"/>
          <w:lang w:eastAsia="zh-CN"/>
        </w:rPr>
        <w:t xml:space="preserve">采购人</w:t>
      </w:r>
      <w:r>
        <w:rPr>
          <w:rFonts w:hint="eastAsia" w:ascii="宋体" w:hAnsi="宋体" w:eastAsia="宋体" w:cs="宋体"/>
          <w:color w:val="000000" w:themeColor="text1"/>
          <w:highlight w:val="none"/>
        </w:rPr>
        <w:t xml:space="preserve">可以按照评审报告推荐的中标或者成交候选人名单排序，确定下一候选人为中标或者成交供应商，也可以重新开展政府采购活动。</w:t>
      </w:r>
      <w:r>
        <w:rPr>
          <w:rFonts w:hint="eastAsia" w:ascii="宋体" w:hAnsi="宋体" w:eastAsia="宋体" w:cs="宋体"/>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3</w:t>
      </w:r>
      <w:r>
        <w:rPr>
          <w:rFonts w:hint="eastAsia" w:ascii="宋体" w:hAnsi="宋体" w:eastAsia="宋体" w:cs="宋体"/>
          <w:color w:val="000000" w:themeColor="text1"/>
          <w:highlight w:val="none"/>
          <w:lang w:val="en-US" w:eastAsia="zh-CN"/>
        </w:rPr>
        <w:t xml:space="preserve">8</w:t>
      </w:r>
      <w:r>
        <w:rPr>
          <w:rFonts w:hint="eastAsia" w:ascii="宋体" w:hAnsi="宋体" w:eastAsia="宋体" w:cs="宋体"/>
          <w:color w:val="000000" w:themeColor="text1"/>
          <w:highlight w:val="none"/>
        </w:rPr>
        <w:t xml:space="preserve">. </w:t>
      </w:r>
      <w:r>
        <w:rPr>
          <w:rFonts w:hint="eastAsia" w:ascii="宋体" w:hAnsi="宋体" w:eastAsia="宋体" w:cs="宋体"/>
          <w:color w:val="000000" w:themeColor="text1"/>
          <w:highlight w:val="none"/>
          <w:lang w:eastAsia="zh-CN"/>
        </w:rPr>
        <w:t xml:space="preserve">采购人</w:t>
      </w:r>
      <w:r>
        <w:rPr>
          <w:rFonts w:hint="eastAsia" w:ascii="宋体" w:hAnsi="宋体" w:eastAsia="宋体" w:cs="宋体"/>
          <w:color w:val="000000" w:themeColor="text1"/>
          <w:highlight w:val="none"/>
        </w:rPr>
        <w:t xml:space="preserve">与中标人应当根据合同的约定依法履行合同义务。</w:t>
      </w:r>
      <w:r>
        <w:rPr>
          <w:rFonts w:hint="eastAsia" w:ascii="宋体" w:hAnsi="宋体" w:eastAsia="宋体" w:cs="宋体"/>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政府采购合同的履行、违约责任和解决争议的方法等适用《中华人民共和国合同法》。</w:t>
      </w:r>
      <w:r>
        <w:rPr>
          <w:rFonts w:hint="eastAsia" w:ascii="宋体" w:hAnsi="宋体" w:eastAsia="宋体" w:cs="宋体"/>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39.</w:t>
      </w:r>
      <w:r>
        <w:rPr>
          <w:rFonts w:hint="eastAsia" w:ascii="宋体" w:hAnsi="宋体" w:eastAsia="宋体" w:cs="宋体"/>
          <w:color w:val="000000" w:themeColor="text1"/>
          <w:highlight w:val="none"/>
        </w:rPr>
        <w:t xml:space="preserve">履约保证金：</w:t>
      </w:r>
      <w:r>
        <w:rPr>
          <w:rFonts w:hint="eastAsia" w:ascii="宋体" w:hAnsi="宋体" w:eastAsia="宋体" w:cs="宋体"/>
          <w:color w:val="000000" w:themeColor="text1"/>
          <w:highlight w:val="none"/>
        </w:rPr>
      </w:r>
      <w:r>
        <w:rPr>
          <w:color w:val="000000" w:themeColor="text1"/>
        </w:rPr>
      </w:r>
    </w:p>
    <w:p>
      <w:pPr>
        <w:pStyle w:val="1012"/>
        <w:ind w:firstLine="480"/>
        <w:spacing w:line="479" w:lineRule="atLeast"/>
        <w:rPr>
          <w:rFonts w:hint="eastAsia"/>
          <w:color w:val="000000" w:themeColor="text1"/>
          <w:highlight w:val="none"/>
        </w:rPr>
      </w:pPr>
      <w:r>
        <w:rPr>
          <w:rFonts w:hint="eastAsia" w:ascii="宋体" w:hAnsi="宋体" w:eastAsia="宋体" w:cs="宋体"/>
          <w:color w:val="000000" w:themeColor="text1"/>
          <w:highlight w:val="none"/>
        </w:rPr>
        <w:t xml:space="preserve">39.1 履约保证金的数额不得超过政府采购合同金额的10%。中标人应当以支票、汇票、本票或者金融机构、担保机构出具的</w:t>
      </w:r>
      <w:r>
        <w:rPr>
          <w:rFonts w:hint="eastAsia" w:ascii="宋体" w:hAnsi="宋体" w:eastAsia="宋体" w:cs="宋体"/>
          <w:color w:val="000000" w:themeColor="text1"/>
          <w:highlight w:val="none"/>
          <w:lang w:val="en-US" w:eastAsia="zh-CN"/>
        </w:rPr>
        <w:t xml:space="preserve">保函</w:t>
      </w:r>
      <w:r>
        <w:rPr>
          <w:rFonts w:hint="eastAsia" w:ascii="宋体" w:hAnsi="宋体" w:eastAsia="宋体" w:cs="宋体"/>
          <w:color w:val="000000" w:themeColor="text1"/>
          <w:highlight w:val="none"/>
        </w:rPr>
        <w:t xml:space="preserve">等非现金形式提交。</w:t>
      </w:r>
      <w:r>
        <w:rPr>
          <w:rFonts w:hint="eastAsia"/>
          <w:color w:val="000000" w:themeColor="text1"/>
          <w:highlight w:val="none"/>
        </w:rPr>
      </w:r>
      <w:r>
        <w:rPr>
          <w:color w:val="000000" w:themeColor="text1"/>
        </w:rPr>
      </w:r>
    </w:p>
    <w:p>
      <w:pPr>
        <w:pStyle w:val="1012"/>
        <w:ind w:firstLine="480"/>
        <w:jc w:val="left"/>
        <w:spacing w:line="400" w:lineRule="exact"/>
        <w:widowControl/>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t xml:space="preserve">39.2</w:t>
      </w:r>
      <w:r>
        <w:rPr>
          <w:rFonts w:hint="eastAsia" w:ascii="宋体" w:hAnsi="宋体" w:eastAsia="宋体" w:cs="宋体"/>
          <w:color w:val="000000" w:themeColor="text1"/>
          <w:highlight w:val="none"/>
        </w:rPr>
        <w:t xml:space="preserve">中标人应在政府采购合同签订前，向采购人提交履约保证金。</w:t>
      </w:r>
      <w:r>
        <w:rPr>
          <w:rFonts w:hint="eastAsia" w:ascii="宋体" w:hAnsi="宋体" w:eastAsia="宋体" w:cs="宋体"/>
          <w:color w:val="000000" w:themeColor="text1"/>
          <w:highlight w:val="none"/>
        </w:rPr>
      </w:r>
      <w:r>
        <w:rPr>
          <w:color w:val="000000" w:themeColor="text1"/>
        </w:rPr>
      </w:r>
    </w:p>
    <w:p>
      <w:pPr>
        <w:pStyle w:val="1012"/>
        <w:ind w:firstLine="480"/>
        <w:jc w:val="left"/>
        <w:spacing w:line="400" w:lineRule="exact"/>
        <w:widowControl/>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39.</w:t>
      </w:r>
      <w:r>
        <w:rPr>
          <w:rFonts w:hint="eastAsia" w:ascii="宋体" w:hAnsi="宋体" w:eastAsia="宋体" w:cs="宋体"/>
          <w:color w:val="000000" w:themeColor="text1"/>
          <w:highlight w:val="none"/>
          <w:lang w:val="en-US" w:eastAsia="zh-CN"/>
        </w:rPr>
        <w:t xml:space="preserve">3</w:t>
      </w:r>
      <w:r>
        <w:rPr>
          <w:rFonts w:hint="eastAsia" w:ascii="宋体" w:hAnsi="宋体" w:eastAsia="宋体" w:cs="宋体"/>
          <w:color w:val="000000" w:themeColor="text1"/>
          <w:highlight w:val="none"/>
        </w:rPr>
        <w:t xml:space="preserve"> </w:t>
      </w:r>
      <w:r>
        <w:rPr>
          <w:rFonts w:hint="eastAsia" w:ascii="宋体" w:hAnsi="宋体" w:eastAsia="宋体" w:cs="宋体"/>
          <w:color w:val="000000" w:themeColor="text1"/>
          <w:highlight w:val="none"/>
          <w:lang w:eastAsia="zh-CN"/>
        </w:rPr>
        <w:t xml:space="preserve">签订合同</w:t>
      </w:r>
      <w:r>
        <w:rPr>
          <w:rFonts w:hint="eastAsia" w:ascii="宋体" w:hAnsi="宋体" w:eastAsia="宋体" w:cs="宋体"/>
          <w:color w:val="000000" w:themeColor="text1"/>
          <w:highlight w:val="none"/>
        </w:rPr>
        <w:t xml:space="preserve">后，如中标人不按双方合同约定履约，采购人将按照合同约定扣除其全部或部分履约保证金。如中标人违约给采购人造成的损失超过履约保证金的，应当依法赔偿超过部分的损失。</w:t>
      </w:r>
      <w:r>
        <w:rPr>
          <w:rFonts w:hint="eastAsia" w:ascii="宋体" w:hAnsi="宋体" w:eastAsia="宋体" w:cs="宋体"/>
          <w:color w:val="000000" w:themeColor="text1"/>
          <w:highlight w:val="none"/>
        </w:rPr>
      </w:r>
      <w:r>
        <w:rPr>
          <w:color w:val="000000" w:themeColor="text1"/>
        </w:rPr>
      </w:r>
    </w:p>
    <w:p>
      <w:pPr>
        <w:pStyle w:val="1012"/>
        <w:ind w:firstLine="480"/>
        <w:jc w:val="left"/>
        <w:spacing w:line="400" w:lineRule="exact"/>
        <w:widowControl/>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t xml:space="preserve">39.4</w:t>
      </w:r>
      <w:r>
        <w:rPr>
          <w:rFonts w:hint="eastAsia" w:ascii="宋体" w:hAnsi="宋体" w:eastAsia="宋体" w:cs="宋体"/>
          <w:color w:val="000000" w:themeColor="text1"/>
          <w:highlight w:val="none"/>
        </w:rPr>
        <w:t xml:space="preserve">履约保证金自合同生效之日起至合同约定的中标人主要义务履行完毕止，采购人应当按合同约定及时退还履约保证金</w:t>
      </w:r>
      <w:r>
        <w:rPr>
          <w:rFonts w:hint="eastAsia" w:ascii="Arial" w:hAnsi="Arial" w:eastAsia="Arial" w:cs="Arial"/>
          <w:color w:val="000000" w:themeColor="text1"/>
          <w:sz w:val="24"/>
          <w:szCs w:val="24"/>
          <w:highlight w:val="none"/>
        </w:rPr>
        <w:t xml:space="preserve">（无息）</w:t>
      </w:r>
      <w:r>
        <w:rPr>
          <w:rFonts w:hint="eastAsia" w:ascii="Arial" w:hAnsi="Arial" w:eastAsia="宋体" w:cs="Arial"/>
          <w:color w:val="000000" w:themeColor="text1"/>
          <w:sz w:val="24"/>
          <w:szCs w:val="24"/>
          <w:highlight w:val="none"/>
          <w:lang w:eastAsia="zh-CN"/>
        </w:rPr>
        <w:t xml:space="preserve">。</w:t>
      </w:r>
      <w:r>
        <w:rPr>
          <w:rFonts w:hint="eastAsia" w:ascii="宋体" w:hAnsi="宋体" w:eastAsia="宋体" w:cs="宋体"/>
          <w:color w:val="000000" w:themeColor="text1"/>
          <w:highlight w:val="none"/>
        </w:rPr>
      </w:r>
      <w:r>
        <w:rPr>
          <w:color w:val="000000" w:themeColor="text1"/>
        </w:rPr>
      </w:r>
    </w:p>
    <w:p>
      <w:pPr>
        <w:pStyle w:val="1012"/>
        <w:ind w:firstLine="480"/>
        <w:jc w:val="left"/>
        <w:spacing w:line="400" w:lineRule="exact"/>
        <w:widowControl/>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3</w:t>
      </w:r>
      <w:r>
        <w:rPr>
          <w:rFonts w:hint="eastAsia" w:ascii="宋体" w:hAnsi="宋体" w:eastAsia="宋体" w:cs="宋体"/>
          <w:color w:val="000000" w:themeColor="text1"/>
          <w:highlight w:val="none"/>
          <w:lang w:val="en-US" w:eastAsia="zh-CN"/>
        </w:rPr>
        <w:t xml:space="preserve">9.5</w:t>
      </w:r>
      <w:r>
        <w:rPr>
          <w:rFonts w:hint="eastAsia" w:ascii="宋体" w:hAnsi="宋体" w:eastAsia="宋体" w:cs="宋体"/>
          <w:color w:val="000000" w:themeColor="text1"/>
          <w:highlight w:val="none"/>
        </w:rPr>
        <w:t xml:space="preserve"> 逾期退还履约保证金的采购人承担违约责任，按照中国人民银行同期贷款基准利率向中标人支付超期资金占用费。</w:t>
      </w:r>
      <w:r>
        <w:rPr>
          <w:rFonts w:hint="eastAsia" w:ascii="宋体" w:hAnsi="宋体" w:eastAsia="宋体" w:cs="宋体"/>
          <w:color w:val="000000" w:themeColor="text1"/>
          <w:highlight w:val="none"/>
        </w:rPr>
      </w:r>
      <w:r>
        <w:rPr>
          <w:color w:val="000000" w:themeColor="text1"/>
        </w:rPr>
      </w:r>
    </w:p>
    <w:p>
      <w:pPr>
        <w:pStyle w:val="1012"/>
        <w:ind w:firstLine="480"/>
        <w:jc w:val="left"/>
        <w:spacing w:line="400" w:lineRule="exact"/>
        <w:widowControl/>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t xml:space="preserve">39.6</w:t>
      </w:r>
      <w:r>
        <w:rPr>
          <w:rFonts w:hint="eastAsia" w:ascii="宋体" w:hAnsi="宋体" w:eastAsia="宋体" w:cs="宋体"/>
          <w:color w:val="000000" w:themeColor="text1"/>
          <w:highlight w:val="none"/>
        </w:rPr>
        <w:t xml:space="preserve"> 本项目履约保证金要求详见招标文件第三章《投标资料表》</w:t>
      </w:r>
      <w:r>
        <w:rPr>
          <w:rFonts w:hint="eastAsia" w:ascii="宋体" w:hAnsi="宋体" w:eastAsia="宋体" w:cs="宋体"/>
          <w:color w:val="000000" w:themeColor="text1"/>
          <w:highlight w:val="none"/>
        </w:rPr>
      </w:r>
      <w:r>
        <w:rPr>
          <w:color w:val="000000" w:themeColor="text1"/>
        </w:rPr>
      </w:r>
    </w:p>
    <w:p>
      <w:pPr>
        <w:pStyle w:val="1012"/>
        <w:ind w:firstLine="480"/>
        <w:keepLines w:val="0"/>
        <w:keepNext w:val="0"/>
        <w:pageBreakBefore w:val="0"/>
        <w:spacing w:line="440" w:lineRule="exact"/>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40</w:t>
      </w:r>
      <w:r>
        <w:rPr>
          <w:rFonts w:hint="eastAsia" w:ascii="宋体" w:hAnsi="宋体" w:eastAsia="宋体" w:cs="宋体"/>
          <w:color w:val="000000" w:themeColor="text1"/>
          <w:highlight w:val="none"/>
        </w:rPr>
        <w:t xml:space="preserve">. 腐败和欺诈行为</w:t>
      </w:r>
      <w:r>
        <w:rPr>
          <w:rFonts w:hint="eastAsia" w:ascii="宋体" w:hAnsi="宋体" w:eastAsia="宋体" w:cs="宋体"/>
          <w:color w:val="000000" w:themeColor="text1"/>
          <w:highlight w:val="none"/>
        </w:rPr>
      </w:r>
      <w:r>
        <w:rPr>
          <w:color w:val="000000" w:themeColor="text1"/>
        </w:rPr>
      </w:r>
    </w:p>
    <w:p>
      <w:pPr>
        <w:pStyle w:val="1012"/>
        <w:ind w:firstLine="480"/>
        <w:keepLines w:val="0"/>
        <w:keepNext w:val="0"/>
        <w:pageBreakBefore w:val="0"/>
        <w:spacing w:line="440" w:lineRule="exact"/>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40</w:t>
      </w:r>
      <w:r>
        <w:rPr>
          <w:rFonts w:hint="eastAsia" w:ascii="宋体" w:hAnsi="宋体" w:eastAsia="宋体" w:cs="宋体"/>
          <w:color w:val="000000" w:themeColor="text1"/>
          <w:highlight w:val="none"/>
        </w:rPr>
        <w:t xml:space="preserve">.1 采购代理机构、采购人、投标人等参与招投标的各方，均应在招标、采购、合同执行等过程中保持廉洁和最高的道德水准。</w:t>
      </w:r>
      <w:r>
        <w:rPr>
          <w:rFonts w:hint="eastAsia" w:ascii="宋体" w:hAnsi="宋体" w:eastAsia="宋体" w:cs="宋体"/>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eastAsia="zh-CN"/>
        </w:rPr>
        <w:t xml:space="preserve">1.</w:t>
      </w:r>
      <w:r>
        <w:rPr>
          <w:rFonts w:hint="eastAsia" w:ascii="宋体" w:hAnsi="宋体" w:eastAsia="宋体" w:cs="宋体"/>
          <w:color w:val="000000" w:themeColor="text1"/>
          <w:highlight w:val="none"/>
        </w:rPr>
        <w:t xml:space="preserve">腐败和欺诈行为</w:t>
      </w:r>
      <w:r>
        <w:rPr>
          <w:rFonts w:hint="eastAsia" w:ascii="宋体" w:hAnsi="宋体" w:eastAsia="宋体" w:cs="宋体"/>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① “腐败行为”系指在招标、采购和合同执行等过程中，为谋求利益，影响相关人员而提供、给予、接受或索取任何有价物，并导致损害</w:t>
      </w:r>
      <w:r>
        <w:rPr>
          <w:rFonts w:hint="eastAsia" w:ascii="宋体" w:hAnsi="宋体" w:eastAsia="宋体" w:cs="宋体"/>
          <w:color w:val="000000" w:themeColor="text1"/>
          <w:highlight w:val="none"/>
          <w:lang w:eastAsia="zh-CN"/>
        </w:rPr>
        <w:t xml:space="preserve">甲方</w:t>
      </w:r>
      <w:r>
        <w:rPr>
          <w:rFonts w:hint="eastAsia" w:ascii="宋体" w:hAnsi="宋体" w:eastAsia="宋体" w:cs="宋体"/>
          <w:color w:val="000000" w:themeColor="text1"/>
          <w:highlight w:val="none"/>
        </w:rPr>
        <w:t xml:space="preserve">和/或采购代理机构及他人的行为。</w:t>
      </w:r>
      <w:r>
        <w:rPr>
          <w:rFonts w:hint="eastAsia" w:ascii="宋体" w:hAnsi="宋体" w:eastAsia="宋体" w:cs="宋体"/>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② “欺诈行为”系指为了影响招标、采购和合同执行等过程而隐瞒事实，从而给</w:t>
      </w:r>
      <w:r>
        <w:rPr>
          <w:rFonts w:hint="eastAsia" w:ascii="宋体" w:hAnsi="宋体" w:eastAsia="宋体" w:cs="宋体"/>
          <w:color w:val="000000" w:themeColor="text1"/>
          <w:highlight w:val="none"/>
          <w:lang w:eastAsia="zh-CN"/>
        </w:rPr>
        <w:t xml:space="preserve">甲方</w:t>
      </w:r>
      <w:r>
        <w:rPr>
          <w:rFonts w:hint="eastAsia" w:ascii="宋体" w:hAnsi="宋体" w:eastAsia="宋体" w:cs="宋体"/>
          <w:color w:val="000000" w:themeColor="text1"/>
          <w:highlight w:val="none"/>
        </w:rPr>
        <w:t xml:space="preserve">和/或采购代理机构及他人造成损害的行为，其中包括投标人之间的串通行为。</w:t>
      </w:r>
      <w:r>
        <w:rPr>
          <w:rFonts w:hint="eastAsia" w:ascii="宋体" w:hAnsi="宋体" w:eastAsia="宋体" w:cs="宋体"/>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eastAsia="zh-CN"/>
        </w:rPr>
        <w:t xml:space="preserve">2.</w:t>
      </w:r>
      <w:r>
        <w:rPr>
          <w:rFonts w:hint="eastAsia" w:ascii="宋体" w:hAnsi="宋体" w:eastAsia="宋体" w:cs="宋体"/>
          <w:color w:val="000000" w:themeColor="text1"/>
          <w:highlight w:val="none"/>
        </w:rPr>
        <w:t xml:space="preserve">如果被推荐的中标人有腐败和欺诈行为，将取消其中标。</w:t>
      </w:r>
      <w:r>
        <w:rPr>
          <w:rFonts w:hint="eastAsia" w:ascii="宋体" w:hAnsi="宋体" w:eastAsia="宋体" w:cs="宋体"/>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eastAsia="zh-CN"/>
        </w:rPr>
        <w:t xml:space="preserve">3.</w:t>
      </w:r>
      <w:r>
        <w:rPr>
          <w:rFonts w:hint="eastAsia" w:ascii="宋体" w:hAnsi="宋体" w:eastAsia="宋体" w:cs="宋体"/>
          <w:color w:val="000000" w:themeColor="text1"/>
          <w:highlight w:val="none"/>
        </w:rPr>
        <w:t xml:space="preserve">如果投标人在任何时候，被法院及政府有关管理部门认定</w:t>
      </w:r>
      <w:r>
        <w:rPr>
          <w:rFonts w:hint="eastAsia" w:ascii="宋体" w:hAnsi="宋体" w:eastAsia="宋体" w:cs="宋体"/>
          <w:color w:val="000000" w:themeColor="text1"/>
          <w:highlight w:val="none"/>
          <w:lang w:eastAsia="zh-CN"/>
        </w:rPr>
        <w:t xml:space="preserve">为</w:t>
      </w:r>
      <w:r>
        <w:rPr>
          <w:rFonts w:hint="eastAsia" w:ascii="宋体" w:hAnsi="宋体" w:eastAsia="宋体" w:cs="宋体"/>
          <w:color w:val="000000" w:themeColor="text1"/>
          <w:highlight w:val="none"/>
        </w:rPr>
        <w:t xml:space="preserve">腐败和欺诈行为，采购代理机构有权拒绝其投标、取消其中标资格、</w:t>
      </w:r>
      <w:r>
        <w:rPr>
          <w:rFonts w:hint="eastAsia" w:ascii="宋体" w:hAnsi="宋体" w:eastAsia="宋体" w:cs="宋体"/>
          <w:color w:val="000000" w:themeColor="text1"/>
          <w:highlight w:val="none"/>
          <w:lang w:eastAsia="zh-CN"/>
        </w:rPr>
        <w:t xml:space="preserve">撤销</w:t>
      </w:r>
      <w:r>
        <w:rPr>
          <w:rFonts w:hint="eastAsia" w:ascii="宋体" w:hAnsi="宋体" w:eastAsia="宋体" w:cs="宋体"/>
          <w:color w:val="000000" w:themeColor="text1"/>
          <w:highlight w:val="none"/>
        </w:rPr>
        <w:t xml:space="preserve">已签署的合同。</w:t>
      </w:r>
      <w:r>
        <w:rPr>
          <w:rFonts w:hint="eastAsia" w:ascii="宋体" w:hAnsi="宋体" w:eastAsia="宋体" w:cs="宋体"/>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40</w:t>
      </w:r>
      <w:r>
        <w:rPr>
          <w:rFonts w:hint="eastAsia" w:ascii="宋体" w:hAnsi="宋体" w:eastAsia="宋体" w:cs="宋体"/>
          <w:color w:val="000000" w:themeColor="text1"/>
          <w:highlight w:val="none"/>
        </w:rPr>
        <w:t xml:space="preserve">.2 投标人应注意《合同通用条款》关于腐败和欺诈行为的相关规定。</w:t>
      </w:r>
      <w:r>
        <w:rPr>
          <w:rFonts w:hint="eastAsia" w:ascii="宋体" w:hAnsi="宋体" w:eastAsia="宋体" w:cs="宋体"/>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41.</w:t>
      </w:r>
      <w:r>
        <w:rPr>
          <w:rFonts w:hint="eastAsia" w:ascii="宋体" w:hAnsi="宋体" w:eastAsia="宋体" w:cs="宋体"/>
          <w:color w:val="000000" w:themeColor="text1"/>
          <w:highlight w:val="none"/>
        </w:rPr>
        <w:t xml:space="preserve">政府采购履约资金扶持政策</w:t>
      </w:r>
      <w:r>
        <w:rPr>
          <w:rFonts w:hint="eastAsia" w:ascii="宋体" w:hAnsi="宋体" w:eastAsia="宋体" w:cs="宋体"/>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中标供应商可凭政府采购合同办理融资贷款，详情请见江苏政府采购网“政采贷”专栏。</w:t>
      </w:r>
      <w:r>
        <w:rPr>
          <w:rFonts w:hint="eastAsia" w:ascii="宋体" w:hAnsi="宋体" w:eastAsia="宋体" w:cs="宋体"/>
          <w:color w:val="000000" w:themeColor="text1"/>
          <w:highlight w:val="none"/>
        </w:rPr>
      </w:r>
      <w:r>
        <w:rPr>
          <w:color w:val="000000" w:themeColor="text1"/>
        </w:rPr>
      </w:r>
    </w:p>
    <w:p>
      <w:pPr>
        <w:pStyle w:val="1012"/>
        <w:ind w:firstLine="480"/>
        <w:jc w:val="left"/>
        <w:keepLines w:val="0"/>
        <w:keepNext w:val="0"/>
        <w:pageBreakBefore w:val="0"/>
        <w:spacing w:line="440" w:lineRule="exact"/>
        <w:widowControl/>
        <w:rPr>
          <w:rFonts w:hint="eastAsia" w:ascii="宋体" w:hAnsi="宋体" w:eastAsia="宋体" w:cs="宋体"/>
          <w:color w:val="000000" w:themeColor="text1"/>
          <w:highlight w:val="none"/>
        </w:rPr>
        <w:outlineLvl w:val="9"/>
      </w:pPr>
      <w:r>
        <w:rPr>
          <w:color w:val="000000" w:themeColor="text1"/>
        </w:rPr>
      </w:r>
      <w:bookmarkStart w:id="7" w:name="_Toc23298"/>
      <w:r>
        <w:rPr>
          <w:rFonts w:hint="eastAsia" w:ascii="宋体" w:hAnsi="宋体" w:eastAsia="宋体" w:cs="宋体"/>
          <w:color w:val="000000" w:themeColor="text1"/>
          <w:highlight w:val="none"/>
          <w:lang w:val="en-US" w:eastAsia="zh-CN"/>
        </w:rPr>
        <w:t xml:space="preserve">42.</w:t>
      </w:r>
      <w:r>
        <w:rPr>
          <w:rFonts w:hint="eastAsia" w:ascii="宋体" w:hAnsi="宋体" w:eastAsia="宋体" w:cs="宋体"/>
          <w:color w:val="000000" w:themeColor="text1"/>
          <w:highlight w:val="none"/>
        </w:rPr>
        <w:t xml:space="preserve">服务（包含与服务相关的货物）的追加</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eastAsia="宋体" w:cs="宋体"/>
          <w:color w:val="000000" w:themeColor="text1"/>
          <w:highlight w:val="none"/>
        </w:rPr>
      </w:r>
      <w:r>
        <w:rPr>
          <w:color w:val="000000" w:themeColor="text1"/>
        </w:rPr>
      </w:r>
    </w:p>
    <w:p>
      <w:pPr>
        <w:pStyle w:val="1012"/>
        <w:ind w:left="0" w:firstLine="0"/>
        <w:rPr>
          <w:rFonts w:hint="eastAsia"/>
          <w:color w:val="000000" w:themeColor="text1"/>
          <w:highlight w:val="none"/>
        </w:rPr>
      </w:pPr>
      <w:r>
        <w:rPr>
          <w:rFonts w:hint="eastAsia"/>
          <w:color w:val="000000" w:themeColor="text1"/>
          <w:highlight w:val="none"/>
        </w:rPr>
      </w:r>
      <w:r>
        <w:rPr>
          <w:color w:val="000000" w:themeColor="text1"/>
        </w:rPr>
      </w:r>
    </w:p>
    <w:p>
      <w:pPr>
        <w:pStyle w:val="1012"/>
        <w:ind w:left="0" w:firstLine="0"/>
        <w:jc w:val="center"/>
        <w:spacing w:line="400" w:lineRule="exact"/>
        <w:rPr>
          <w:rFonts w:hint="eastAsia" w:ascii="宋体" w:hAnsi="宋体" w:eastAsia="宋体" w:cs="宋体"/>
          <w:color w:val="000000" w:themeColor="text1"/>
          <w:sz w:val="28"/>
          <w:szCs w:val="28"/>
          <w:highlight w:val="none"/>
        </w:rPr>
      </w:pPr>
      <w:r>
        <w:rPr>
          <w:rFonts w:hint="eastAsia" w:ascii="宋体" w:hAnsi="宋体" w:eastAsia="宋体" w:cs="宋体"/>
          <w:b/>
          <w:color w:val="000000" w:themeColor="text1"/>
          <w:sz w:val="28"/>
          <w:szCs w:val="28"/>
          <w:highlight w:val="none"/>
        </w:rPr>
        <w:t xml:space="preserve">八、询问和质疑</w:t>
      </w:r>
      <w:r>
        <w:rPr>
          <w:rFonts w:hint="eastAsia" w:ascii="宋体" w:hAnsi="宋体" w:eastAsia="宋体" w:cs="宋体"/>
          <w:color w:val="000000" w:themeColor="text1"/>
          <w:sz w:val="28"/>
          <w:szCs w:val="28"/>
          <w:highlight w:val="none"/>
        </w:rPr>
      </w:r>
      <w:r>
        <w:rPr>
          <w:color w:val="000000" w:themeColor="text1"/>
        </w:rPr>
      </w:r>
    </w:p>
    <w:p>
      <w:pPr>
        <w:pStyle w:val="1055"/>
        <w:ind w:left="859" w:hanging="379"/>
        <w:spacing w:before="0" w:after="0" w:line="240" w:lineRule="auto"/>
        <w:rPr>
          <w:rFonts w:hint="eastAsia" w:ascii="宋体" w:hAnsi="宋体" w:eastAsia="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bidi="ar-SA"/>
        </w:rPr>
        <w:t xml:space="preserve">43. </w:t>
      </w:r>
      <w:r>
        <w:rPr>
          <w:rFonts w:hint="eastAsia" w:ascii="宋体" w:hAnsi="宋体" w:eastAsia="宋体" w:cs="宋体"/>
          <w:b w:val="0"/>
          <w:bCs w:val="0"/>
          <w:color w:val="000000" w:themeColor="text1"/>
          <w:sz w:val="24"/>
          <w:szCs w:val="24"/>
          <w:highlight w:val="none"/>
          <w:lang w:val="en-US" w:eastAsia="zh-CN" w:bidi="ar-SA"/>
        </w:rPr>
        <w:t xml:space="preserve">质疑处理</w:t>
      </w:r>
      <w:r>
        <w:rPr>
          <w:rFonts w:hint="eastAsia" w:ascii="宋体" w:hAnsi="宋体" w:eastAsia="宋体" w:cs="宋体"/>
          <w:b w:val="0"/>
          <w:bCs w:val="0"/>
          <w:color w:val="000000" w:themeColor="text1"/>
          <w:sz w:val="24"/>
          <w:szCs w:val="24"/>
          <w:highlight w:val="none"/>
        </w:rPr>
      </w:r>
      <w:r>
        <w:rPr>
          <w:color w:val="000000" w:themeColor="text1"/>
        </w:rPr>
      </w:r>
    </w:p>
    <w:p>
      <w:pPr>
        <w:pStyle w:val="1012"/>
        <w:ind w:firstLine="480"/>
        <w:spacing w:line="480" w:lineRule="exact"/>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43.1 提出质疑的供应商应当是参与所质疑项目采购活动的供应商。潜在供应商依法获取其可质疑的采购文件的，可以对采购文件提出质疑。</w:t>
      </w:r>
      <w:r>
        <w:rPr>
          <w:rFonts w:hint="eastAsia" w:ascii="宋体" w:hAnsi="宋体" w:eastAsia="宋体" w:cs="宋体"/>
          <w:b w:val="0"/>
          <w:bCs w:val="0"/>
          <w:color w:val="000000" w:themeColor="text1"/>
          <w:sz w:val="24"/>
          <w:szCs w:val="24"/>
          <w:highlight w:val="none"/>
        </w:rPr>
      </w:r>
      <w:r>
        <w:rPr>
          <w:color w:val="000000" w:themeColor="text1"/>
        </w:rPr>
      </w:r>
    </w:p>
    <w:p>
      <w:pPr>
        <w:pStyle w:val="1012"/>
        <w:ind w:firstLine="480"/>
        <w:jc w:val="left"/>
        <w:spacing w:line="480" w:lineRule="exact"/>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43.2供应商认为采购文件、采购过程和采购结果使自己的权益受到损害的，可以在知道或应知其权益受到损害之日起七个工作日内，以书面形式向采购人提出质疑。上述应知其权益受到损害之日，是指：</w:t>
      </w:r>
      <w:r>
        <w:rPr>
          <w:rFonts w:hint="eastAsia" w:ascii="宋体" w:hAnsi="宋体" w:eastAsia="宋体" w:cs="宋体"/>
          <w:b w:val="0"/>
          <w:bCs w:val="0"/>
          <w:color w:val="000000" w:themeColor="text1"/>
          <w:sz w:val="24"/>
          <w:szCs w:val="24"/>
          <w:highlight w:val="none"/>
        </w:rPr>
      </w:r>
      <w:r>
        <w:rPr>
          <w:color w:val="000000" w:themeColor="text1"/>
        </w:rPr>
      </w:r>
    </w:p>
    <w:p>
      <w:pPr>
        <w:pStyle w:val="1012"/>
        <w:ind w:firstLine="480"/>
        <w:jc w:val="left"/>
        <w:spacing w:line="480" w:lineRule="exact"/>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43.2.1对可以质疑的采购文件提出质疑的，为收到采购文件之日或者采购文件公告期限届满之日；</w:t>
      </w:r>
      <w:r>
        <w:rPr>
          <w:rFonts w:hint="eastAsia" w:ascii="宋体" w:hAnsi="宋体" w:eastAsia="宋体" w:cs="宋体"/>
          <w:b w:val="0"/>
          <w:bCs w:val="0"/>
          <w:color w:val="000000" w:themeColor="text1"/>
          <w:sz w:val="24"/>
          <w:szCs w:val="24"/>
          <w:highlight w:val="none"/>
          <w:lang w:val="en-US" w:eastAsia="zh-CN" w:bidi="ar-SA"/>
        </w:rPr>
        <w:br w:type="textWrapping" w:clear="all"/>
      </w:r>
      <w:r>
        <w:rPr>
          <w:rFonts w:hint="eastAsia" w:ascii="宋体" w:hAnsi="宋体" w:eastAsia="宋体" w:cs="宋体"/>
          <w:b w:val="0"/>
          <w:bCs w:val="0"/>
          <w:color w:val="000000" w:themeColor="text1"/>
          <w:sz w:val="24"/>
          <w:szCs w:val="24"/>
          <w:highlight w:val="none"/>
          <w:lang w:val="en-US" w:eastAsia="zh-CN" w:bidi="ar-SA"/>
        </w:rPr>
        <w:t xml:space="preserve">　　43.2.2对采购过程提出质疑的，为各采购程序环节结束之日；</w:t>
      </w:r>
      <w:r>
        <w:rPr>
          <w:rFonts w:hint="eastAsia" w:ascii="宋体" w:hAnsi="宋体" w:eastAsia="宋体" w:cs="宋体"/>
          <w:b w:val="0"/>
          <w:bCs w:val="0"/>
          <w:color w:val="000000" w:themeColor="text1"/>
          <w:sz w:val="24"/>
          <w:szCs w:val="24"/>
          <w:highlight w:val="none"/>
          <w:lang w:val="en-US" w:eastAsia="zh-CN" w:bidi="ar-SA"/>
        </w:rPr>
        <w:br w:type="textWrapping" w:clear="all"/>
      </w:r>
      <w:r>
        <w:rPr>
          <w:rFonts w:hint="eastAsia" w:ascii="宋体" w:hAnsi="宋体" w:eastAsia="宋体" w:cs="宋体"/>
          <w:b w:val="0"/>
          <w:bCs w:val="0"/>
          <w:color w:val="000000" w:themeColor="text1"/>
          <w:sz w:val="24"/>
          <w:szCs w:val="24"/>
          <w:highlight w:val="none"/>
          <w:lang w:val="en-US" w:eastAsia="zh-CN" w:bidi="ar-SA"/>
        </w:rPr>
        <w:t xml:space="preserve">　　43.2.3对中标或者成交结果提出质疑的，为中标或者成交结果公告期限届满之日。</w:t>
      </w:r>
      <w:r>
        <w:rPr>
          <w:rFonts w:hint="eastAsia" w:ascii="宋体" w:hAnsi="宋体" w:eastAsia="宋体" w:cs="宋体"/>
          <w:b w:val="0"/>
          <w:bCs w:val="0"/>
          <w:color w:val="000000" w:themeColor="text1"/>
          <w:sz w:val="24"/>
          <w:szCs w:val="24"/>
          <w:highlight w:val="none"/>
        </w:rPr>
      </w:r>
      <w:r>
        <w:rPr>
          <w:color w:val="000000" w:themeColor="text1"/>
        </w:rPr>
      </w:r>
    </w:p>
    <w:p>
      <w:pPr>
        <w:pStyle w:val="1012"/>
        <w:ind w:firstLine="480"/>
        <w:spacing w:line="480" w:lineRule="exact"/>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eastAsia="宋体" w:cs="宋体"/>
          <w:b w:val="0"/>
          <w:bCs w:val="0"/>
          <w:color w:val="000000" w:themeColor="text1"/>
          <w:sz w:val="24"/>
          <w:szCs w:val="24"/>
          <w:highlight w:val="none"/>
        </w:rPr>
      </w:r>
      <w:r>
        <w:rPr>
          <w:color w:val="000000" w:themeColor="text1"/>
        </w:rPr>
      </w:r>
    </w:p>
    <w:p>
      <w:pPr>
        <w:pStyle w:val="1012"/>
        <w:ind w:firstLine="480"/>
        <w:spacing w:line="480" w:lineRule="exact"/>
        <w:rPr>
          <w:rFonts w:hint="eastAsia" w:ascii="宋体" w:hAnsi="宋体" w:eastAsia="宋体" w:cs="宋体"/>
          <w:color w:val="000000" w:themeColor="text1"/>
          <w:highlight w:val="none"/>
        </w:rPr>
      </w:pPr>
      <w:r>
        <w:rPr>
          <w:rFonts w:hint="eastAsia" w:ascii="宋体" w:hAnsi="宋体" w:eastAsia="宋体" w:cs="宋体"/>
          <w:b w:val="0"/>
          <w:bCs w:val="0"/>
          <w:color w:val="000000" w:themeColor="text1"/>
          <w:sz w:val="24"/>
          <w:szCs w:val="24"/>
          <w:highlight w:val="none"/>
          <w:lang w:val="en-US" w:eastAsia="zh-CN" w:bidi="ar-SA"/>
        </w:rPr>
        <w:t xml:space="preserve">采购人质疑接收人及联系方式见</w:t>
      </w:r>
      <w:r>
        <w:rPr>
          <w:rFonts w:hint="eastAsia" w:ascii="宋体" w:hAnsi="宋体" w:eastAsia="宋体" w:cs="宋体"/>
          <w:color w:val="000000" w:themeColor="text1"/>
          <w:highlight w:val="none"/>
        </w:rPr>
        <w:t xml:space="preserve">招标文件第三章《投标资料表》</w:t>
      </w:r>
      <w:r>
        <w:rPr>
          <w:rFonts w:hint="eastAsia" w:ascii="宋体" w:hAnsi="宋体" w:eastAsia="宋体" w:cs="宋体"/>
          <w:color w:val="000000" w:themeColor="text1"/>
          <w:highlight w:val="none"/>
        </w:rPr>
      </w:r>
      <w:r>
        <w:rPr>
          <w:color w:val="000000" w:themeColor="text1"/>
        </w:rPr>
      </w:r>
    </w:p>
    <w:p>
      <w:pPr>
        <w:pStyle w:val="1012"/>
        <w:ind w:firstLine="480"/>
        <w:spacing w:line="480" w:lineRule="exact"/>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43.3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b w:val="0"/>
          <w:bCs w:val="0"/>
          <w:color w:val="000000" w:themeColor="text1"/>
          <w:sz w:val="24"/>
          <w:szCs w:val="24"/>
          <w:highlight w:val="none"/>
        </w:rPr>
      </w:r>
      <w:r>
        <w:rPr>
          <w:color w:val="000000" w:themeColor="text1"/>
        </w:rPr>
      </w:r>
    </w:p>
    <w:p>
      <w:pPr>
        <w:pStyle w:val="1012"/>
        <w:ind w:firstLine="480"/>
        <w:spacing w:line="480" w:lineRule="exact"/>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43.4 以下情形的质疑不予受理</w:t>
      </w:r>
      <w:r>
        <w:rPr>
          <w:rFonts w:hint="eastAsia" w:ascii="宋体" w:hAnsi="宋体" w:eastAsia="宋体" w:cs="宋体"/>
          <w:b w:val="0"/>
          <w:bCs w:val="0"/>
          <w:color w:val="000000" w:themeColor="text1"/>
          <w:sz w:val="24"/>
          <w:szCs w:val="24"/>
          <w:highlight w:val="none"/>
        </w:rPr>
      </w:r>
      <w:r>
        <w:rPr>
          <w:color w:val="000000" w:themeColor="text1"/>
        </w:rPr>
      </w:r>
    </w:p>
    <w:p>
      <w:pPr>
        <w:pStyle w:val="1012"/>
        <w:ind w:firstLine="480"/>
        <w:spacing w:line="480" w:lineRule="exact"/>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43.4.1 内容不符合《政府采购质疑和投诉办法》第十二条规定的质疑。</w:t>
      </w:r>
      <w:r>
        <w:rPr>
          <w:rFonts w:hint="eastAsia" w:ascii="宋体" w:hAnsi="宋体" w:eastAsia="宋体" w:cs="宋体"/>
          <w:b w:val="0"/>
          <w:bCs w:val="0"/>
          <w:color w:val="000000" w:themeColor="text1"/>
          <w:sz w:val="24"/>
          <w:szCs w:val="24"/>
          <w:highlight w:val="none"/>
        </w:rPr>
      </w:r>
      <w:r>
        <w:rPr>
          <w:color w:val="000000" w:themeColor="text1"/>
        </w:rPr>
      </w:r>
    </w:p>
    <w:p>
      <w:pPr>
        <w:pStyle w:val="1012"/>
        <w:ind w:firstLine="480"/>
        <w:spacing w:line="480" w:lineRule="exact"/>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43.4.2 超出政府采购法定期限的质疑。</w:t>
      </w:r>
      <w:r>
        <w:rPr>
          <w:rFonts w:hint="eastAsia" w:ascii="宋体" w:hAnsi="宋体" w:eastAsia="宋体" w:cs="宋体"/>
          <w:b w:val="0"/>
          <w:bCs w:val="0"/>
          <w:color w:val="000000" w:themeColor="text1"/>
          <w:sz w:val="24"/>
          <w:szCs w:val="24"/>
          <w:highlight w:val="none"/>
        </w:rPr>
      </w:r>
      <w:r>
        <w:rPr>
          <w:color w:val="000000" w:themeColor="text1"/>
        </w:rPr>
      </w:r>
    </w:p>
    <w:p>
      <w:pPr>
        <w:pStyle w:val="1012"/>
        <w:ind w:firstLine="480"/>
        <w:spacing w:line="480" w:lineRule="exact"/>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43.4.3 以传真、电子邮件等方式递交的非原件形式的质疑。</w:t>
      </w:r>
      <w:r>
        <w:rPr>
          <w:rFonts w:hint="eastAsia" w:ascii="宋体" w:hAnsi="宋体" w:eastAsia="宋体" w:cs="宋体"/>
          <w:b w:val="0"/>
          <w:bCs w:val="0"/>
          <w:color w:val="000000" w:themeColor="text1"/>
          <w:sz w:val="24"/>
          <w:szCs w:val="24"/>
          <w:highlight w:val="none"/>
        </w:rPr>
      </w:r>
      <w:r>
        <w:rPr>
          <w:color w:val="000000" w:themeColor="text1"/>
        </w:rPr>
      </w:r>
    </w:p>
    <w:p>
      <w:pPr>
        <w:pStyle w:val="1012"/>
        <w:ind w:firstLine="480"/>
        <w:spacing w:line="480" w:lineRule="exact"/>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43.4.4 未参加投标活动的供应商或在投标活动中自身权益未受到损害的供应商所提出的质疑。</w:t>
      </w:r>
      <w:r>
        <w:rPr>
          <w:rFonts w:hint="eastAsia" w:ascii="宋体" w:hAnsi="宋体" w:eastAsia="宋体" w:cs="宋体"/>
          <w:b w:val="0"/>
          <w:bCs w:val="0"/>
          <w:color w:val="000000" w:themeColor="text1"/>
          <w:sz w:val="24"/>
          <w:szCs w:val="24"/>
          <w:highlight w:val="none"/>
        </w:rPr>
      </w:r>
      <w:r>
        <w:rPr>
          <w:color w:val="000000" w:themeColor="text1"/>
        </w:rPr>
      </w:r>
    </w:p>
    <w:p>
      <w:pPr>
        <w:pStyle w:val="1012"/>
        <w:ind w:firstLine="480"/>
        <w:spacing w:line="480" w:lineRule="exact"/>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43.4.5供应商组成联合体参加投标，联合体中任何一方或多方未按要求签字、盖章、加盖公章的质疑。</w:t>
      </w:r>
      <w:r>
        <w:rPr>
          <w:rFonts w:hint="eastAsia" w:ascii="宋体" w:hAnsi="宋体" w:eastAsia="宋体" w:cs="宋体"/>
          <w:b w:val="0"/>
          <w:bCs w:val="0"/>
          <w:color w:val="000000" w:themeColor="text1"/>
          <w:sz w:val="24"/>
          <w:szCs w:val="24"/>
          <w:highlight w:val="none"/>
        </w:rPr>
      </w:r>
      <w:r>
        <w:rPr>
          <w:color w:val="000000" w:themeColor="text1"/>
        </w:rPr>
      </w:r>
    </w:p>
    <w:p>
      <w:pPr>
        <w:pStyle w:val="1012"/>
        <w:ind w:firstLine="480"/>
        <w:spacing w:line="480" w:lineRule="exact"/>
        <w:rPr>
          <w:rFonts w:hint="eastAsia" w:ascii="宋体" w:hAnsi="宋体" w:eastAsia="宋体" w:cs="宋体"/>
          <w:color w:val="000000" w:themeColor="text1"/>
          <w:highlight w:val="none"/>
        </w:rPr>
      </w:pPr>
      <w:r>
        <w:rPr>
          <w:rFonts w:hint="eastAsia" w:ascii="宋体" w:hAnsi="宋体" w:eastAsia="宋体" w:cs="宋体"/>
          <w:b w:val="0"/>
          <w:bCs w:val="0"/>
          <w:color w:val="000000" w:themeColor="text1"/>
          <w:sz w:val="24"/>
          <w:szCs w:val="24"/>
          <w:highlight w:val="none"/>
          <w:lang w:val="en-US" w:eastAsia="zh-CN" w:bidi="ar-SA"/>
        </w:rPr>
        <w:t xml:space="preserve">43.5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rPr>
          <w:rFonts w:hint="eastAsia" w:ascii="宋体" w:hAnsi="宋体" w:eastAsia="宋体" w:cs="宋体"/>
          <w:color w:val="000000" w:themeColor="text1"/>
          <w:highlight w:val="none"/>
        </w:rPr>
      </w:r>
      <w:r>
        <w:rPr>
          <w:color w:val="000000" w:themeColor="text1"/>
        </w:rPr>
      </w:r>
    </w:p>
    <w:p>
      <w:pPr>
        <w:pStyle w:val="1012"/>
        <w:ind w:firstLine="480"/>
        <w:keepLines w:val="0"/>
        <w:keepNext w:val="0"/>
        <w:pageBreakBefore w:val="0"/>
        <w:spacing w:line="440" w:lineRule="exact"/>
        <w:rPr>
          <w:rFonts w:hint="eastAsia" w:ascii="宋体" w:hAnsi="宋体" w:eastAsia="宋体" w:cs="宋体"/>
          <w:b/>
          <w:color w:val="000000" w:themeColor="text1"/>
          <w:sz w:val="28"/>
          <w:szCs w:val="28"/>
          <w:highlight w:val="none"/>
        </w:rPr>
        <w:outlineLvl w:val="9"/>
      </w:pPr>
      <w:r>
        <w:rPr>
          <w:rFonts w:hint="eastAsia" w:ascii="宋体" w:hAnsi="宋体" w:eastAsia="宋体" w:cs="宋体"/>
          <w:color w:val="000000" w:themeColor="text1"/>
          <w:highlight w:val="none"/>
        </w:rPr>
        <w:t xml:space="preserve"> </w:t>
      </w:r>
      <w:r>
        <w:rPr>
          <w:rFonts w:hint="eastAsia" w:ascii="宋体" w:hAnsi="宋体" w:eastAsia="宋体" w:cs="宋体"/>
          <w:color w:val="000000" w:themeColor="text1"/>
          <w:highlight w:val="none"/>
          <w:lang w:val="en-US" w:eastAsia="zh-CN"/>
        </w:rPr>
        <w:t xml:space="preserve">43.6质疑处理</w:t>
      </w:r>
      <w:r>
        <w:rPr>
          <w:rFonts w:hint="eastAsia" w:ascii="宋体" w:hAnsi="宋体" w:eastAsia="宋体" w:cs="宋体"/>
          <w:color w:val="000000" w:themeColor="text1"/>
          <w:highlight w:val="none"/>
        </w:rPr>
        <w:t xml:space="preserve">以招标文件第三章《投标资料表》中的要求为准。</w:t>
      </w:r>
      <w:r>
        <w:rPr>
          <w:rFonts w:hint="eastAsia" w:ascii="宋体" w:hAnsi="宋体" w:eastAsia="宋体" w:cs="宋体"/>
          <w:b/>
          <w:color w:val="000000" w:themeColor="text1"/>
          <w:sz w:val="28"/>
          <w:szCs w:val="28"/>
          <w:highlight w:val="none"/>
        </w:rPr>
      </w:r>
      <w:r>
        <w:rPr>
          <w:color w:val="000000" w:themeColor="text1"/>
        </w:rPr>
      </w:r>
    </w:p>
    <w:p>
      <w:pPr>
        <w:pStyle w:val="1012"/>
        <w:ind w:firstLine="480"/>
        <w:spacing w:line="400" w:lineRule="exact"/>
        <w:rPr>
          <w:rFonts w:ascii="宋体" w:hAnsi="宋体" w:eastAsia="宋体" w:cs="宋体"/>
          <w:b/>
          <w:color w:val="000000" w:themeColor="text1"/>
          <w:sz w:val="28"/>
          <w:szCs w:val="28"/>
          <w:highlight w:val="none"/>
        </w:rPr>
      </w:pPr>
      <w:r>
        <w:rPr>
          <w:rFonts w:ascii="宋体" w:hAnsi="宋体" w:eastAsia="宋体" w:cs="宋体"/>
          <w:b/>
          <w:color w:val="000000" w:themeColor="text1"/>
          <w:sz w:val="28"/>
          <w:szCs w:val="28"/>
          <w:highlight w:val="none"/>
        </w:rPr>
      </w:r>
      <w:r>
        <w:rPr>
          <w:color w:val="000000" w:themeColor="text1"/>
        </w:rPr>
      </w:r>
    </w:p>
    <w:p>
      <w:pPr>
        <w:pStyle w:val="1012"/>
        <w:numPr>
          <w:ilvl w:val="0"/>
          <w:numId w:val="0"/>
        </w:numPr>
        <w:jc w:val="center"/>
        <w:spacing w:line="400" w:lineRule="exact"/>
        <w:rPr>
          <w:rFonts w:hint="eastAsia"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lang w:val="en-US" w:eastAsia="zh-CN" w:bidi="ar-SA"/>
        </w:rPr>
        <w:t xml:space="preserve">九、</w:t>
      </w:r>
      <w:r>
        <w:rPr>
          <w:rFonts w:hint="eastAsia" w:ascii="宋体" w:hAnsi="宋体" w:eastAsia="宋体" w:cs="宋体"/>
          <w:b/>
          <w:color w:val="000000" w:themeColor="text1"/>
          <w:sz w:val="28"/>
          <w:szCs w:val="28"/>
          <w:highlight w:val="none"/>
        </w:rPr>
        <w:t xml:space="preserve">电子招标投标交易平台</w:t>
      </w:r>
      <w:r>
        <w:rPr>
          <w:rFonts w:hint="eastAsia" w:ascii="宋体" w:hAnsi="宋体" w:eastAsia="宋体" w:cs="宋体"/>
          <w:b/>
          <w:color w:val="000000" w:themeColor="text1"/>
          <w:sz w:val="28"/>
          <w:szCs w:val="28"/>
          <w:highlight w:val="none"/>
        </w:rPr>
      </w:r>
      <w:r>
        <w:rPr>
          <w:color w:val="000000" w:themeColor="text1"/>
        </w:rPr>
      </w:r>
    </w:p>
    <w:p>
      <w:pPr>
        <w:pStyle w:val="1043"/>
        <w:rPr>
          <w:rFonts w:hint="eastAsia"/>
          <w:color w:val="000000" w:themeColor="text1"/>
          <w:highlight w:val="none"/>
        </w:rPr>
      </w:pPr>
      <w:r>
        <w:rPr>
          <w:rFonts w:hint="eastAsia"/>
          <w:color w:val="000000" w:themeColor="text1"/>
          <w:highlight w:val="none"/>
        </w:rPr>
      </w:r>
      <w:r>
        <w:rPr>
          <w:color w:val="000000" w:themeColor="text1"/>
        </w:rPr>
      </w:r>
    </w:p>
    <w:p>
      <w:pPr>
        <w:pStyle w:val="1012"/>
        <w:numPr>
          <w:ilvl w:val="0"/>
          <w:numId w:val="7"/>
        </w:numPr>
        <w:ind w:firstLine="480"/>
        <w:jc w:val="both"/>
        <w:rPr>
          <w:rFonts w:hint="eastAsia" w:ascii="宋体" w:hAnsi="宋体" w:eastAsia="宋体" w:cs="宋体"/>
          <w:color w:val="000000" w:themeColor="text1"/>
          <w:highlight w:val="none"/>
        </w:rPr>
        <w:outlineLvl w:val="0"/>
      </w:pPr>
      <w:r>
        <w:rPr>
          <w:rFonts w:hint="eastAsia" w:ascii="宋体" w:hAnsi="宋体" w:eastAsia="宋体" w:cs="宋体"/>
          <w:color w:val="000000" w:themeColor="text1"/>
          <w:highlight w:val="none"/>
        </w:rPr>
        <w:t xml:space="preserve">电子招标投标交易平台（即“苏采云”系统，网址：</w:t>
      </w:r>
      <w:r>
        <w:rPr>
          <w:rFonts w:hint="eastAsia" w:ascii="宋体" w:hAnsi="宋体" w:eastAsia="宋体" w:cs="宋体"/>
          <w:color w:val="000000" w:themeColor="text1"/>
          <w:spacing w:val="-20"/>
          <w:highlight w:val="none"/>
        </w:rPr>
        <w:fldChar w:fldCharType="begin"/>
      </w:r>
      <w:r>
        <w:rPr>
          <w:rFonts w:hint="eastAsia" w:ascii="宋体" w:hAnsi="宋体" w:eastAsia="宋体" w:cs="宋体"/>
          <w:color w:val="000000" w:themeColor="text1"/>
          <w:spacing w:val="-20"/>
          <w:highlight w:val="none"/>
        </w:rPr>
        <w:instrText xml:space="preserve"> HYPERLINK "http://jszfcg.jsczt.cn/" \o "http://jszfcg.jsczt.cn/" </w:instrText>
      </w:r>
      <w:r>
        <w:rPr>
          <w:rFonts w:hint="eastAsia" w:ascii="宋体" w:hAnsi="宋体" w:eastAsia="宋体" w:cs="宋体"/>
          <w:color w:val="000000" w:themeColor="text1"/>
          <w:spacing w:val="-20"/>
          <w:highlight w:val="none"/>
        </w:rPr>
        <w:fldChar w:fldCharType="separate"/>
      </w:r>
      <w:r>
        <w:rPr>
          <w:rFonts w:hint="eastAsia" w:ascii="宋体" w:hAnsi="宋体" w:eastAsia="宋体" w:cs="宋体"/>
          <w:color w:val="000000" w:themeColor="text1"/>
          <w:spacing w:val="-20"/>
          <w:highlight w:val="none"/>
        </w:rPr>
        <w:t xml:space="preserve">http://jszfcg.jsczt.cn/</w:t>
      </w:r>
      <w:r>
        <w:rPr>
          <w:rFonts w:hint="eastAsia" w:ascii="宋体" w:hAnsi="宋体" w:eastAsia="宋体" w:cs="宋体"/>
          <w:color w:val="000000" w:themeColor="text1"/>
          <w:spacing w:val="-20"/>
          <w:highlight w:val="none"/>
        </w:rPr>
        <w:fldChar w:fldCharType="end"/>
      </w:r>
      <w:r>
        <w:rPr>
          <w:rFonts w:hint="eastAsia" w:ascii="宋体" w:hAnsi="宋体" w:eastAsia="宋体" w:cs="宋体"/>
          <w:color w:val="000000" w:themeColor="text1"/>
          <w:highlight w:val="none"/>
        </w:rPr>
        <w:t xml:space="preserve">）相关要求是本招标文件的组成部分。</w:t>
      </w:r>
      <w:bookmarkEnd w:id="7"/>
      <w:r>
        <w:rPr>
          <w:rFonts w:hint="eastAsia" w:ascii="宋体" w:hAnsi="宋体" w:eastAsia="宋体" w:cs="宋体"/>
          <w:color w:val="000000" w:themeColor="text1"/>
          <w:highlight w:val="none"/>
        </w:rPr>
      </w:r>
      <w:r>
        <w:rPr>
          <w:color w:val="000000" w:themeColor="text1"/>
        </w:rPr>
      </w:r>
    </w:p>
    <w:p>
      <w:pPr>
        <w:pStyle w:val="1043"/>
        <w:numPr>
          <w:ilvl w:val="0"/>
          <w:numId w:val="0"/>
        </w:numPr>
        <w:jc w:val="both"/>
        <w:spacing w:after="120" w:line="274" w:lineRule="auto"/>
        <w:widowControl w:val="off"/>
        <w:rPr>
          <w:rFonts w:hint="eastAsia"/>
          <w:color w:val="000000" w:themeColor="text1"/>
          <w:highlight w:val="none"/>
        </w:rPr>
      </w:pPr>
      <w:r>
        <w:rPr>
          <w:rFonts w:hint="eastAsia"/>
          <w:color w:val="000000" w:themeColor="text1"/>
          <w:highlight w:val="none"/>
        </w:rPr>
      </w:r>
      <w:r>
        <w:rPr>
          <w:color w:val="000000" w:themeColor="text1"/>
        </w:rPr>
      </w:r>
    </w:p>
    <w:p>
      <w:pPr>
        <w:pStyle w:val="1012"/>
        <w:rPr>
          <w:rFonts w:hint="eastAsia"/>
          <w:color w:val="000000" w:themeColor="text1"/>
          <w:highlight w:val="none"/>
        </w:rPr>
      </w:pPr>
      <w:r>
        <w:rPr>
          <w:rFonts w:hint="eastAsia"/>
          <w:color w:val="000000" w:themeColor="text1"/>
          <w:highlight w:val="none"/>
        </w:rPr>
      </w:r>
      <w:r>
        <w:rPr>
          <w:color w:val="000000" w:themeColor="text1"/>
        </w:rPr>
      </w:r>
    </w:p>
    <w:p>
      <w:pPr>
        <w:pStyle w:val="1012"/>
        <w:numPr>
          <w:ilvl w:val="0"/>
          <w:numId w:val="0"/>
        </w:numPr>
        <w:jc w:val="center"/>
        <w:rPr>
          <w:rFonts w:hint="eastAsia" w:ascii="宋体" w:hAnsi="宋体" w:eastAsia="宋体" w:cs="宋体"/>
          <w:b/>
          <w:color w:val="000000" w:themeColor="text1"/>
          <w:sz w:val="36"/>
          <w:szCs w:val="36"/>
          <w:highlight w:val="none"/>
        </w:rPr>
        <w:outlineLvl w:val="0"/>
      </w:pPr>
      <w:r>
        <w:rPr>
          <w:rFonts w:hint="eastAsia" w:ascii="宋体" w:hAnsi="宋体" w:eastAsia="宋体" w:cs="宋体"/>
          <w:b/>
          <w:color w:val="000000" w:themeColor="text1"/>
          <w:sz w:val="36"/>
          <w:szCs w:val="36"/>
          <w:highlight w:val="none"/>
          <w:lang w:val="en-US" w:eastAsia="zh-CN" w:bidi="ar-SA"/>
        </w:rPr>
        <w:t xml:space="preserve">第三章 </w:t>
      </w:r>
      <w:r>
        <w:rPr>
          <w:rFonts w:hint="eastAsia" w:ascii="宋体" w:hAnsi="宋体" w:eastAsia="宋体" w:cs="宋体"/>
          <w:b/>
          <w:color w:val="000000" w:themeColor="text1"/>
          <w:sz w:val="36"/>
          <w:szCs w:val="36"/>
          <w:highlight w:val="none"/>
        </w:rPr>
        <w:t xml:space="preserve">投标资料表</w:t>
      </w:r>
      <w:r>
        <w:rPr>
          <w:rFonts w:hint="eastAsia" w:ascii="宋体" w:hAnsi="宋体" w:eastAsia="宋体" w:cs="宋体"/>
          <w:b/>
          <w:color w:val="000000" w:themeColor="text1"/>
          <w:sz w:val="36"/>
          <w:szCs w:val="36"/>
          <w:highlight w:val="none"/>
        </w:rPr>
      </w:r>
      <w:r>
        <w:rPr>
          <w:color w:val="000000" w:themeColor="text1"/>
        </w:rPr>
      </w:r>
    </w:p>
    <w:p>
      <w:pPr>
        <w:pStyle w:val="1084"/>
        <w:ind w:firstLine="0"/>
        <w:rPr>
          <w:rFonts w:hint="eastAsia"/>
          <w:color w:val="000000" w:themeColor="text1"/>
          <w:highlight w:val="none"/>
        </w:rPr>
      </w:pPr>
      <w:r>
        <w:rPr>
          <w:rFonts w:hint="eastAsia"/>
          <w:color w:val="000000" w:themeColor="text1"/>
          <w:highlight w:val="none"/>
        </w:rPr>
      </w:r>
      <w:r>
        <w:rPr>
          <w:color w:val="000000" w:themeColor="text1"/>
        </w:rPr>
      </w:r>
    </w:p>
    <w:p>
      <w:pPr>
        <w:pStyle w:val="1265"/>
        <w:ind w:firstLine="480"/>
        <w:rPr>
          <w:rFonts w:hint="eastAsia" w:ascii="宋体" w:hAnsi="宋体" w:cs="宋体"/>
          <w:color w:val="000000" w:themeColor="text1"/>
          <w:highlight w:val="none"/>
        </w:rPr>
      </w:pPr>
      <w:r>
        <w:rPr>
          <w:rFonts w:hint="eastAsia" w:ascii="宋体" w:hAnsi="宋体" w:cs="宋体"/>
          <w:color w:val="000000" w:themeColor="text1"/>
          <w:highlight w:val="none"/>
        </w:rPr>
        <w:t xml:space="preserve">该资料表的条款项号是与《投标人须知》中条款项号对应的，或增加的条款，是对《投标人须知》的补充、修改和完善，如果有矛盾的话，应以本资料表为准。</w:t>
      </w:r>
      <w:r>
        <w:rPr>
          <w:rFonts w:hint="eastAsia" w:ascii="宋体" w:hAnsi="宋体" w:cs="宋体"/>
          <w:color w:val="000000" w:themeColor="text1"/>
          <w:highlight w:val="none"/>
        </w:rPr>
      </w:r>
      <w:r>
        <w:rPr>
          <w:color w:val="000000" w:themeColor="text1"/>
        </w:rPr>
      </w:r>
    </w:p>
    <w:tbl>
      <w:tblPr>
        <w:tblW w:w="9632"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6"/>
        <w:gridCol w:w="8386"/>
      </w:tblGrid>
      <w:tr>
        <w:trPr>
          <w:trHeight w:val="418"/>
        </w:trPr>
        <w:tc>
          <w:tcPr>
            <w:tcW w:w="1246" w:type="dxa"/>
            <w:vAlign w:val="top"/>
            <w:textDirection w:val="lrTb"/>
            <w:noWrap w:val="false"/>
          </w:tcPr>
          <w:p>
            <w:pPr>
              <w:pStyle w:val="1012"/>
              <w:ind w:firstLine="0"/>
              <w:jc w:val="center"/>
              <w:spacing w:line="40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条款项号</w:t>
            </w:r>
            <w:r>
              <w:rPr>
                <w:rFonts w:hint="eastAsia" w:ascii="宋体" w:hAnsi="宋体" w:eastAsia="宋体" w:cs="宋体"/>
                <w:b/>
                <w:bCs/>
                <w:color w:val="000000" w:themeColor="text1"/>
                <w:sz w:val="24"/>
                <w:szCs w:val="24"/>
                <w:highlight w:val="none"/>
                <w:lang w:val="en-US" w:eastAsia="zh-CN" w:bidi="ar-SA"/>
              </w:rPr>
            </w:r>
            <w:r>
              <w:rPr>
                <w:color w:val="000000" w:themeColor="text1"/>
              </w:rPr>
            </w:r>
          </w:p>
        </w:tc>
        <w:tc>
          <w:tcPr>
            <w:tcW w:w="8386" w:type="dxa"/>
            <w:vAlign w:val="top"/>
            <w:textDirection w:val="lrTb"/>
            <w:noWrap w:val="false"/>
          </w:tcPr>
          <w:p>
            <w:pPr>
              <w:pStyle w:val="1012"/>
              <w:ind w:firstLine="0"/>
              <w:jc w:val="center"/>
              <w:spacing w:line="40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内容</w:t>
            </w:r>
            <w:r>
              <w:rPr>
                <w:rFonts w:hint="eastAsia" w:ascii="宋体" w:hAnsi="宋体" w:eastAsia="宋体" w:cs="宋体"/>
                <w:b/>
                <w:bCs/>
                <w:color w:val="000000" w:themeColor="text1"/>
                <w:sz w:val="24"/>
                <w:szCs w:val="24"/>
                <w:highlight w:val="none"/>
                <w:lang w:val="en-US" w:eastAsia="zh-CN" w:bidi="ar-SA"/>
              </w:rPr>
            </w:r>
            <w:r>
              <w:rPr>
                <w:color w:val="000000" w:themeColor="text1"/>
              </w:rPr>
            </w:r>
          </w:p>
        </w:tc>
      </w:tr>
      <w:tr>
        <w:trPr/>
        <w:tc>
          <w:tcPr>
            <w:tcW w:w="1246" w:type="dxa"/>
            <w:vAlign w:val="top"/>
            <w:textDirection w:val="lrTb"/>
            <w:noWrap w:val="false"/>
          </w:tcPr>
          <w:p>
            <w:pPr>
              <w:pStyle w:val="1012"/>
              <w:ind w:firstLine="0"/>
              <w:jc w:val="center"/>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8386" w:type="dxa"/>
            <w:vAlign w:val="top"/>
            <w:textDirection w:val="lrTb"/>
            <w:noWrap w:val="false"/>
          </w:tcPr>
          <w:p>
            <w:pPr>
              <w:pStyle w:val="1012"/>
              <w:ind w:left="0" w:firstLine="0"/>
              <w:jc w:val="center"/>
              <w:spacing w:line="400" w:lineRule="exact"/>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bidi="ar-SA"/>
              </w:rPr>
              <w:t xml:space="preserve">一、总则</w:t>
            </w:r>
            <w:r>
              <w:rPr>
                <w:rFonts w:hint="eastAsia" w:ascii="宋体" w:hAnsi="宋体" w:eastAsia="宋体" w:cs="宋体"/>
                <w:b/>
                <w:color w:val="000000" w:themeColor="text1"/>
                <w:sz w:val="24"/>
                <w:szCs w:val="24"/>
                <w:highlight w:val="none"/>
                <w:lang w:val="en-US" w:eastAsia="zh-CN" w:bidi="ar-SA"/>
              </w:rPr>
            </w:r>
            <w:r>
              <w:rPr>
                <w:color w:val="000000" w:themeColor="text1"/>
              </w:rPr>
            </w:r>
          </w:p>
        </w:tc>
      </w:tr>
      <w:tr>
        <w:trPr/>
        <w:tc>
          <w:tcPr>
            <w:tcW w:w="1246" w:type="dxa"/>
            <w:vAlign w:val="top"/>
            <w:textDirection w:val="lrTb"/>
            <w:noWrap w:val="false"/>
          </w:tcPr>
          <w:p>
            <w:pPr>
              <w:pStyle w:val="1012"/>
              <w:ind w:firstLine="0"/>
              <w:jc w:val="center"/>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1.1</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8386" w:type="dxa"/>
            <w:vAlign w:val="top"/>
            <w:textDirection w:val="lrTb"/>
            <w:noWrap w:val="false"/>
          </w:tcPr>
          <w:p>
            <w:pPr>
              <w:pStyle w:val="1012"/>
              <w:ind w:firstLine="480"/>
              <w:jc w:val="both"/>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采购人：丰县中医医院  </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246" w:type="dxa"/>
            <w:vAlign w:val="top"/>
            <w:textDirection w:val="lrTb"/>
            <w:noWrap w:val="false"/>
          </w:tcPr>
          <w:p>
            <w:pPr>
              <w:pStyle w:val="1012"/>
              <w:ind w:firstLine="0"/>
              <w:jc w:val="center"/>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2.1</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8386" w:type="dxa"/>
            <w:vAlign w:val="top"/>
            <w:textDirection w:val="lrTb"/>
            <w:noWrap w:val="false"/>
          </w:tcPr>
          <w:p>
            <w:pPr>
              <w:pStyle w:val="1012"/>
              <w:ind w:firstLine="480"/>
              <w:jc w:val="both"/>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本次采购采用的政府采购方式：公开招标</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90"/>
        </w:trPr>
        <w:tc>
          <w:tcPr>
            <w:tcW w:w="1246" w:type="dxa"/>
            <w:vAlign w:val="top"/>
            <w:textDirection w:val="lrTb"/>
            <w:noWrap w:val="false"/>
          </w:tcPr>
          <w:p>
            <w:pPr>
              <w:pStyle w:val="1012"/>
              <w:ind w:firstLine="0"/>
              <w:jc w:val="center"/>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4.</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8386" w:type="dxa"/>
            <w:vAlign w:val="top"/>
            <w:textDirection w:val="lrTb"/>
            <w:noWrap w:val="false"/>
          </w:tcPr>
          <w:p>
            <w:pPr>
              <w:pStyle w:val="1012"/>
              <w:ind w:firstLine="480"/>
              <w:jc w:val="both"/>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采购人确定的采购项目属性：</w:t>
            </w:r>
            <w:r>
              <w:rPr>
                <w:rFonts w:hint="eastAsia" w:ascii="宋体" w:hAnsi="宋体" w:eastAsia="宋体" w:cs="宋体"/>
                <w:b/>
                <w:bCs/>
                <w:color w:val="000000" w:themeColor="text1"/>
                <w:sz w:val="24"/>
                <w:szCs w:val="24"/>
                <w:highlight w:val="none"/>
                <w:lang w:val="en-US" w:eastAsia="zh-CN" w:bidi="ar-SA"/>
              </w:rPr>
              <w:t xml:space="preserve">货物类</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firstLine="480"/>
              <w:jc w:val="both"/>
              <w:spacing w:line="40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本项目是否为专门面向中小微企业采购的项目：否</w:t>
            </w:r>
            <w:r>
              <w:rPr>
                <w:rFonts w:hint="eastAsia" w:ascii="宋体" w:hAnsi="宋体" w:eastAsia="宋体" w:cs="宋体"/>
                <w:b/>
                <w:bCs/>
                <w:color w:val="000000" w:themeColor="text1"/>
                <w:sz w:val="24"/>
                <w:szCs w:val="24"/>
                <w:highlight w:val="none"/>
                <w:lang w:val="en-US" w:eastAsia="zh-CN" w:bidi="ar-SA"/>
              </w:rPr>
            </w:r>
            <w:r>
              <w:rPr>
                <w:color w:val="000000" w:themeColor="text1"/>
              </w:rPr>
            </w:r>
          </w:p>
          <w:p>
            <w:pPr>
              <w:pStyle w:val="1012"/>
              <w:ind w:firstLine="480"/>
              <w:jc w:val="both"/>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工期：60日历天</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246" w:type="dxa"/>
            <w:vAlign w:val="top"/>
            <w:textDirection w:val="lrTb"/>
            <w:noWrap w:val="false"/>
          </w:tcPr>
          <w:p>
            <w:pPr>
              <w:pStyle w:val="1012"/>
              <w:ind w:firstLine="0"/>
              <w:jc w:val="center"/>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5.</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8386" w:type="dxa"/>
            <w:vAlign w:val="top"/>
            <w:textDirection w:val="lrTb"/>
            <w:noWrap w:val="false"/>
          </w:tcPr>
          <w:p>
            <w:pPr>
              <w:pStyle w:val="1012"/>
              <w:ind w:firstLine="480"/>
              <w:jc w:val="both"/>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本项目采购代理机构：江苏天奇项目管理咨询有限公司 </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246" w:type="dxa"/>
            <w:vAlign w:val="top"/>
            <w:textDirection w:val="lrTb"/>
            <w:noWrap w:val="false"/>
          </w:tcPr>
          <w:p>
            <w:pPr>
              <w:pStyle w:val="1012"/>
              <w:ind w:firstLine="0"/>
              <w:jc w:val="center"/>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6.</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8386" w:type="dxa"/>
            <w:vAlign w:val="top"/>
            <w:textDirection w:val="lrTb"/>
            <w:noWrap w:val="false"/>
          </w:tcPr>
          <w:p>
            <w:pPr>
              <w:pStyle w:val="1012"/>
              <w:ind w:firstLine="480"/>
              <w:jc w:val="both"/>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投标人的资格条件：</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265"/>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（一）满足《中华人民共和国政府采购法》第二十二条规定。</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265"/>
              <w:ind w:firstLine="480"/>
              <w:jc w:val="both"/>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（二）此项目不属于专门面向中小微企业采购的项目</w:t>
            </w:r>
            <w:r>
              <w:rPr>
                <w:rFonts w:hint="eastAsia" w:ascii="宋体" w:hAnsi="宋体" w:eastAsia="宋体" w:cs="宋体"/>
                <w:b/>
                <w:bCs/>
                <w:color w:val="000000" w:themeColor="text1"/>
                <w:sz w:val="24"/>
                <w:szCs w:val="24"/>
                <w:highlight w:val="none"/>
                <w:lang w:val="en-US" w:eastAsia="zh-CN" w:bidi="ar-SA"/>
              </w:rPr>
            </w:r>
            <w:r>
              <w:rPr>
                <w:color w:val="000000" w:themeColor="text1"/>
              </w:rPr>
            </w:r>
          </w:p>
          <w:p>
            <w:pPr>
              <w:pStyle w:val="1265"/>
              <w:ind w:firstLine="480"/>
              <w:jc w:val="both"/>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（三）</w:t>
            </w:r>
            <w:r>
              <w:rPr>
                <w:rFonts w:ascii="宋体" w:hAnsi="宋体" w:eastAsia="宋体" w:cs="宋体"/>
                <w:b/>
                <w:bCs/>
                <w:color w:val="000000" w:themeColor="text1"/>
                <w:sz w:val="24"/>
                <w:szCs w:val="24"/>
                <w:highlight w:val="none"/>
                <w:lang w:val="en-US" w:eastAsia="zh-CN" w:bidi="ar-SA"/>
              </w:rPr>
              <w:t xml:space="preserve">本项目的特定资格要求：涉电作业人员（至少</w:t>
            </w:r>
            <w:r>
              <w:rPr>
                <w:rFonts w:hint="eastAsia" w:ascii="宋体" w:hAnsi="宋体" w:eastAsia="宋体" w:cs="宋体"/>
                <w:b/>
                <w:bCs/>
                <w:color w:val="000000" w:themeColor="text1"/>
                <w:sz w:val="24"/>
                <w:szCs w:val="24"/>
                <w:highlight w:val="none"/>
                <w:lang w:val="en-US" w:eastAsia="zh-CN" w:bidi="ar-SA"/>
              </w:rPr>
              <w:t xml:space="preserve">两</w:t>
            </w:r>
            <w:r>
              <w:rPr>
                <w:rFonts w:ascii="宋体" w:hAnsi="宋体" w:eastAsia="宋体" w:cs="宋体"/>
                <w:b/>
                <w:bCs/>
                <w:color w:val="000000" w:themeColor="text1"/>
                <w:sz w:val="24"/>
                <w:szCs w:val="24"/>
                <w:highlight w:val="none"/>
                <w:lang w:val="en-US" w:eastAsia="zh-CN" w:bidi="ar-SA"/>
              </w:rPr>
              <w:t xml:space="preserve">名）须具备电工证【提供有效的</w:t>
            </w:r>
            <w:r>
              <w:rPr>
                <w:rFonts w:hint="eastAsia" w:ascii="宋体" w:hAnsi="宋体" w:eastAsia="宋体" w:cs="宋体"/>
                <w:b/>
                <w:bCs/>
                <w:color w:val="000000" w:themeColor="text1"/>
                <w:sz w:val="24"/>
                <w:szCs w:val="24"/>
                <w:highlight w:val="none"/>
                <w:lang w:val="en-US" w:eastAsia="zh-CN" w:bidi="ar-SA"/>
              </w:rPr>
              <w:t xml:space="preserve">低压</w:t>
            </w:r>
            <w:r>
              <w:rPr>
                <w:rFonts w:ascii="宋体" w:hAnsi="宋体" w:eastAsia="宋体" w:cs="宋体"/>
                <w:b/>
                <w:bCs/>
                <w:color w:val="000000" w:themeColor="text1"/>
                <w:sz w:val="24"/>
                <w:szCs w:val="24"/>
                <w:highlight w:val="none"/>
                <w:lang w:val="en-US" w:eastAsia="zh-CN" w:bidi="ar-SA"/>
              </w:rPr>
              <w:t xml:space="preserve">电工</w:t>
            </w:r>
            <w:r>
              <w:rPr>
                <w:rFonts w:hint="eastAsia" w:ascii="宋体" w:hAnsi="宋体" w:eastAsia="宋体" w:cs="宋体"/>
                <w:b/>
                <w:bCs/>
                <w:color w:val="000000" w:themeColor="text1"/>
                <w:sz w:val="24"/>
                <w:szCs w:val="24"/>
                <w:highlight w:val="none"/>
                <w:lang w:val="en-US" w:eastAsia="zh-CN" w:bidi="ar-SA"/>
              </w:rPr>
              <w:t xml:space="preserve">操作</w:t>
            </w:r>
            <w:r>
              <w:rPr>
                <w:rFonts w:ascii="宋体" w:hAnsi="宋体" w:eastAsia="宋体" w:cs="宋体"/>
                <w:b/>
                <w:bCs/>
                <w:color w:val="000000" w:themeColor="text1"/>
                <w:sz w:val="24"/>
                <w:szCs w:val="24"/>
                <w:highlight w:val="none"/>
                <w:lang w:val="en-US" w:eastAsia="zh-CN" w:bidi="ar-SA"/>
              </w:rPr>
              <w:t xml:space="preserve">证书原件扫描件及投标人为其办理的近半年内任意一个月</w:t>
            </w:r>
            <w:r>
              <w:rPr>
                <w:rFonts w:hint="eastAsia" w:ascii="宋体" w:hAnsi="宋体" w:eastAsia="宋体" w:cs="宋体"/>
                <w:b/>
                <w:bCs/>
                <w:color w:val="000000" w:themeColor="text1"/>
                <w:sz w:val="24"/>
                <w:szCs w:val="24"/>
                <w:highlight w:val="none"/>
                <w:lang w:val="en-US" w:eastAsia="zh-CN" w:bidi="ar-SA"/>
              </w:rPr>
              <w:t xml:space="preserve">（不含）</w:t>
            </w:r>
            <w:r>
              <w:rPr>
                <w:rFonts w:ascii="宋体" w:hAnsi="宋体" w:eastAsia="宋体" w:cs="宋体"/>
                <w:b/>
                <w:bCs/>
                <w:color w:val="000000" w:themeColor="text1"/>
                <w:sz w:val="24"/>
                <w:szCs w:val="24"/>
                <w:highlight w:val="none"/>
                <w:lang w:val="en-US" w:eastAsia="zh-CN" w:bidi="ar-SA"/>
              </w:rPr>
              <w:t xml:space="preserve">的社保缴纳证明或有效的人身安全保险（意外伤害险等）证明】</w:t>
            </w:r>
            <w:r>
              <w:rPr>
                <w:rFonts w:hint="eastAsia" w:ascii="宋体" w:hAnsi="宋体" w:eastAsia="宋体" w:cs="宋体"/>
                <w:b/>
                <w:bCs/>
                <w:color w:val="000000" w:themeColor="text1"/>
                <w:sz w:val="24"/>
                <w:szCs w:val="24"/>
                <w:highlight w:val="none"/>
                <w:lang w:val="en-US" w:eastAsia="zh-CN" w:bidi="ar-SA"/>
              </w:rPr>
            </w:r>
            <w:r>
              <w:rPr>
                <w:color w:val="000000" w:themeColor="text1"/>
              </w:rPr>
            </w:r>
          </w:p>
          <w:p>
            <w:pPr>
              <w:pStyle w:val="1012"/>
              <w:ind w:firstLine="480"/>
              <w:jc w:val="both"/>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说明：</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firstLine="480"/>
              <w:jc w:val="both"/>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1.单位负责人为同一人或者存在直接控股、管理关系的不同供应商，不得参加同一合同项下的政府采购活动。</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firstLine="480"/>
              <w:jc w:val="both"/>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2.为本采购项目提供整体设计、规范编制或者项目管理、监理、检测等服务的供应商，不得再参加本采购项目的采购活动。</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firstLine="480"/>
              <w:jc w:val="both"/>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3.查询及使用供应商信用记录</w:t>
            </w:r>
            <w:r>
              <w:rPr>
                <w:rFonts w:hint="eastAsia" w:ascii="宋体" w:hAnsi="宋体" w:eastAsia="宋体" w:cs="宋体"/>
                <w:color w:val="000000" w:themeColor="text1"/>
                <w:sz w:val="24"/>
                <w:szCs w:val="24"/>
                <w:highlight w:val="none"/>
                <w:lang w:val="en-US" w:eastAsia="zh-CN" w:bidi="ar"/>
              </w:rPr>
              <w:t xml:space="preserve">（投标文件中无需提供证明材料）</w:t>
            </w:r>
            <w:r>
              <w:rPr>
                <w:rFonts w:hint="eastAsia" w:ascii="宋体" w:hAnsi="宋体" w:eastAsia="宋体" w:cs="宋体"/>
                <w:color w:val="000000" w:themeColor="text1"/>
                <w:sz w:val="24"/>
                <w:szCs w:val="24"/>
                <w:highlight w:val="none"/>
                <w:lang w:val="en-US" w:eastAsia="zh-CN" w:bidi="ar-SA"/>
              </w:rPr>
              <w:t xml:space="preserve">：</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left="0" w:firstLine="480"/>
              <w:jc w:val="both"/>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（1）由采购人查询信用信息。</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left="0" w:firstLine="480"/>
              <w:jc w:val="both"/>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（2）查询渠道：“信用中国”网（</w:t>
            </w:r>
            <w:r>
              <w:rPr>
                <w:rFonts w:hint="eastAsia" w:ascii="宋体" w:hAnsi="宋体" w:eastAsia="宋体" w:cs="宋体"/>
                <w:color w:val="000000" w:themeColor="text1"/>
                <w:highlight w:val="none"/>
              </w:rPr>
              <w:fldChar w:fldCharType="begin"/>
            </w:r>
            <w:r>
              <w:rPr>
                <w:rFonts w:hint="eastAsia" w:ascii="宋体" w:hAnsi="宋体" w:eastAsia="宋体" w:cs="宋体"/>
                <w:color w:val="000000" w:themeColor="text1"/>
                <w:sz w:val="24"/>
                <w:szCs w:val="24"/>
                <w:highlight w:val="none"/>
                <w:lang w:val="en-US" w:eastAsia="zh-CN" w:bidi="ar-SA"/>
              </w:rPr>
              <w:instrText xml:space="preserve"> HYPERLINK "http://www.creditchina.gov.cn/" </w:instrText>
            </w:r>
            <w:r>
              <w:rPr>
                <w:rFonts w:hint="eastAsia" w:ascii="宋体" w:hAnsi="宋体" w:eastAsia="宋体" w:cs="宋体"/>
                <w:color w:val="000000" w:themeColor="text1"/>
                <w:highlight w:val="none"/>
              </w:rPr>
              <w:fldChar w:fldCharType="separate"/>
            </w:r>
            <w:r>
              <w:rPr>
                <w:rFonts w:hint="eastAsia" w:ascii="宋体" w:hAnsi="宋体" w:eastAsia="宋体" w:cs="宋体"/>
                <w:color w:val="000000" w:themeColor="text1"/>
                <w:sz w:val="24"/>
                <w:szCs w:val="24"/>
                <w:highlight w:val="none"/>
                <w:lang w:val="en-US" w:eastAsia="zh-CN" w:bidi="ar-SA"/>
              </w:rPr>
              <w:t xml:space="preserve">www.creditchina.gov.cn</w:t>
            </w:r>
            <w:r>
              <w:rPr>
                <w:rFonts w:hint="eastAsia" w:ascii="宋体" w:hAnsi="宋体" w:eastAsia="宋体" w:cs="宋体"/>
                <w:color w:val="000000" w:themeColor="text1"/>
                <w:highlight w:val="none"/>
              </w:rPr>
              <w:fldChar w:fldCharType="end"/>
            </w:r>
            <w:r>
              <w:rPr>
                <w:rFonts w:hint="eastAsia" w:ascii="宋体" w:hAnsi="宋体" w:eastAsia="宋体" w:cs="宋体"/>
                <w:color w:val="000000" w:themeColor="text1"/>
                <w:sz w:val="24"/>
                <w:szCs w:val="24"/>
                <w:highlight w:val="none"/>
                <w:lang w:val="en-US" w:eastAsia="zh-CN" w:bidi="ar-SA"/>
              </w:rPr>
              <w:t xml:space="preserve">）及中国政府采购网（</w:t>
            </w:r>
            <w:r>
              <w:rPr>
                <w:rFonts w:hint="eastAsia" w:ascii="宋体" w:hAnsi="宋体" w:eastAsia="宋体" w:cs="宋体"/>
                <w:color w:val="000000" w:themeColor="text1"/>
                <w:highlight w:val="none"/>
              </w:rPr>
              <w:fldChar w:fldCharType="begin"/>
            </w:r>
            <w:r>
              <w:rPr>
                <w:rFonts w:hint="eastAsia" w:ascii="宋体" w:hAnsi="宋体" w:eastAsia="宋体" w:cs="宋体"/>
                <w:color w:val="000000" w:themeColor="text1"/>
                <w:sz w:val="24"/>
                <w:szCs w:val="24"/>
                <w:highlight w:val="none"/>
                <w:lang w:val="en-US" w:eastAsia="zh-CN" w:bidi="ar-SA"/>
              </w:rPr>
              <w:instrText xml:space="preserve"> HYPERLINK "http://www.ccgp.gov.cn/" </w:instrText>
            </w:r>
            <w:r>
              <w:rPr>
                <w:rFonts w:hint="eastAsia" w:ascii="宋体" w:hAnsi="宋体" w:eastAsia="宋体" w:cs="宋体"/>
                <w:color w:val="000000" w:themeColor="text1"/>
                <w:highlight w:val="none"/>
              </w:rPr>
              <w:fldChar w:fldCharType="separate"/>
            </w:r>
            <w:r>
              <w:rPr>
                <w:rFonts w:hint="eastAsia" w:ascii="宋体" w:hAnsi="宋体" w:eastAsia="宋体" w:cs="宋体"/>
                <w:color w:val="000000" w:themeColor="text1"/>
                <w:sz w:val="24"/>
                <w:szCs w:val="24"/>
                <w:highlight w:val="none"/>
                <w:lang w:val="en-US" w:eastAsia="zh-CN" w:bidi="ar-SA"/>
              </w:rPr>
              <w:t xml:space="preserve">www.ccgp.gov.cn</w:t>
            </w:r>
            <w:r>
              <w:rPr>
                <w:rFonts w:hint="eastAsia" w:ascii="宋体" w:hAnsi="宋体" w:eastAsia="宋体" w:cs="宋体"/>
                <w:color w:val="000000" w:themeColor="text1"/>
                <w:highlight w:val="none"/>
              </w:rPr>
              <w:fldChar w:fldCharType="end"/>
            </w:r>
            <w:r>
              <w:rPr>
                <w:rFonts w:hint="eastAsia" w:ascii="宋体" w:hAnsi="宋体" w:eastAsia="宋体" w:cs="宋体"/>
                <w:color w:val="000000" w:themeColor="text1"/>
                <w:sz w:val="24"/>
                <w:szCs w:val="24"/>
                <w:highlight w:val="none"/>
                <w:lang w:val="en-US" w:eastAsia="zh-CN" w:bidi="ar-SA"/>
              </w:rPr>
              <w:t xml:space="preserve">）；</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firstLine="480"/>
              <w:jc w:val="both"/>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（3）截止时点（查询环节）：</w:t>
            </w:r>
            <w:r>
              <w:rPr>
                <w:rFonts w:hint="eastAsia" w:ascii="宋体" w:hAnsi="宋体" w:eastAsia="宋体" w:cs="宋体"/>
                <w:b/>
                <w:bCs/>
                <w:color w:val="000000" w:themeColor="text1"/>
                <w:sz w:val="24"/>
                <w:szCs w:val="24"/>
                <w:highlight w:val="none"/>
                <w:lang w:val="en-US" w:eastAsia="zh-CN" w:bidi="ar-SA"/>
              </w:rPr>
              <w:t xml:space="preserve">开标后资格审查结束前</w:t>
            </w:r>
            <w:r>
              <w:rPr>
                <w:rFonts w:hint="eastAsia" w:ascii="宋体" w:hAnsi="宋体" w:eastAsia="宋体" w:cs="宋体"/>
                <w:color w:val="000000" w:themeColor="text1"/>
                <w:sz w:val="24"/>
                <w:szCs w:val="24"/>
                <w:highlight w:val="none"/>
                <w:lang w:val="en-US" w:eastAsia="zh-CN" w:bidi="ar-SA"/>
              </w:rPr>
              <w:t xml:space="preserve">。</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firstLine="480"/>
              <w:jc w:val="both"/>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（4）信用信息查询记录和证据留存的具体方式：网页截屏打印，与其他采购文件一并保存。</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firstLine="480"/>
              <w:jc w:val="both"/>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（5）信用信息的使用规则：</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firstLine="480"/>
              <w:jc w:val="both"/>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451"/>
        </w:trPr>
        <w:tc>
          <w:tcPr>
            <w:tcW w:w="1246" w:type="dxa"/>
            <w:vAlign w:val="top"/>
            <w:textDirection w:val="lrTb"/>
            <w:noWrap w:val="false"/>
          </w:tcPr>
          <w:p>
            <w:pPr>
              <w:pStyle w:val="1012"/>
              <w:ind w:firstLine="0"/>
              <w:jc w:val="center"/>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7.1</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8386" w:type="dxa"/>
            <w:vAlign w:val="top"/>
            <w:textDirection w:val="lrTb"/>
            <w:noWrap w:val="false"/>
          </w:tcPr>
          <w:p>
            <w:pPr>
              <w:pStyle w:val="1012"/>
              <w:ind w:firstLine="200"/>
              <w:jc w:val="both"/>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招标代理服务费：无</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246" w:type="dxa"/>
            <w:vAlign w:val="top"/>
            <w:textDirection w:val="lrTb"/>
            <w:noWrap w:val="false"/>
          </w:tcPr>
          <w:p>
            <w:pPr>
              <w:pStyle w:val="1012"/>
              <w:ind w:firstLine="0"/>
              <w:jc w:val="center"/>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8386" w:type="dxa"/>
            <w:vAlign w:val="top"/>
            <w:textDirection w:val="lrTb"/>
            <w:noWrap w:val="false"/>
          </w:tcPr>
          <w:p>
            <w:pPr>
              <w:pStyle w:val="1012"/>
              <w:ind w:left="0" w:firstLine="0"/>
              <w:jc w:val="center"/>
              <w:spacing w:line="400" w:lineRule="exact"/>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bidi="ar-SA"/>
              </w:rPr>
              <w:t xml:space="preserve">二、招标</w:t>
            </w:r>
            <w:r>
              <w:rPr>
                <w:rFonts w:hint="eastAsia" w:ascii="宋体" w:hAnsi="宋体" w:eastAsia="宋体" w:cs="宋体"/>
                <w:b/>
                <w:color w:val="000000" w:themeColor="text1"/>
                <w:sz w:val="24"/>
                <w:szCs w:val="24"/>
                <w:highlight w:val="none"/>
                <w:lang w:val="en-US" w:eastAsia="zh-CN" w:bidi="ar-SA"/>
              </w:rPr>
            </w:r>
            <w:r>
              <w:rPr>
                <w:color w:val="000000" w:themeColor="text1"/>
              </w:rPr>
            </w:r>
          </w:p>
        </w:tc>
      </w:tr>
      <w:tr>
        <w:trPr>
          <w:trHeight w:val="2260"/>
        </w:trPr>
        <w:tc>
          <w:tcPr>
            <w:tcW w:w="1246" w:type="dxa"/>
            <w:vAlign w:val="top"/>
            <w:textDirection w:val="lrTb"/>
            <w:noWrap w:val="false"/>
          </w:tcPr>
          <w:p>
            <w:pPr>
              <w:pStyle w:val="1012"/>
              <w:ind w:firstLine="0"/>
              <w:jc w:val="center"/>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9.1</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8386" w:type="dxa"/>
            <w:vAlign w:val="top"/>
            <w:textDirection w:val="lrTb"/>
            <w:noWrap w:val="false"/>
          </w:tcPr>
          <w:p>
            <w:pPr>
              <w:pStyle w:val="1012"/>
              <w:ind w:firstLine="480"/>
              <w:jc w:val="both"/>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b w:val="0"/>
                <w:bCs/>
                <w:caps w:val="0"/>
                <w:color w:val="000000" w:themeColor="text1"/>
                <w:sz w:val="24"/>
                <w:szCs w:val="24"/>
                <w:highlight w:val="none"/>
                <w:lang w:val="en-US" w:eastAsia="zh-CN" w:bidi="ar-SA"/>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246" w:type="dxa"/>
            <w:vAlign w:val="top"/>
            <w:textDirection w:val="lrTb"/>
            <w:noWrap w:val="false"/>
          </w:tcPr>
          <w:p>
            <w:pPr>
              <w:pStyle w:val="1012"/>
              <w:ind w:firstLine="0"/>
              <w:jc w:val="center"/>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9.2</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8386" w:type="dxa"/>
            <w:vAlign w:val="top"/>
            <w:textDirection w:val="lrTb"/>
            <w:noWrap w:val="false"/>
          </w:tcPr>
          <w:p>
            <w:pPr>
              <w:pStyle w:val="1012"/>
              <w:ind w:firstLine="480"/>
              <w:jc w:val="both"/>
              <w:spacing w:line="400" w:lineRule="exact"/>
              <w:widowControl w:val="off"/>
              <w:tabs>
                <w:tab w:val="left" w:pos="5760" w:leader="none"/>
              </w:tabs>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投标人应根据实际需要自行联系踏勘现场，并对相关数据、要求进行确认，责任和风险自行承担。</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246" w:type="dxa"/>
            <w:vAlign w:val="top"/>
            <w:textDirection w:val="lrTb"/>
            <w:noWrap w:val="false"/>
          </w:tcPr>
          <w:p>
            <w:pPr>
              <w:pStyle w:val="1012"/>
              <w:ind w:firstLine="0"/>
              <w:jc w:val="center"/>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9.3</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8386" w:type="dxa"/>
            <w:vAlign w:val="top"/>
            <w:textDirection w:val="lrTb"/>
            <w:noWrap w:val="false"/>
          </w:tcPr>
          <w:p>
            <w:pPr>
              <w:pStyle w:val="1012"/>
              <w:ind w:firstLine="480"/>
              <w:jc w:val="both"/>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不安排开标前答疑会</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246" w:type="dxa"/>
            <w:vAlign w:val="top"/>
            <w:textDirection w:val="lrTb"/>
            <w:noWrap w:val="false"/>
          </w:tcPr>
          <w:p>
            <w:pPr>
              <w:pStyle w:val="1012"/>
              <w:ind w:firstLine="0"/>
              <w:jc w:val="center"/>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8386" w:type="dxa"/>
            <w:vAlign w:val="top"/>
            <w:textDirection w:val="lrTb"/>
            <w:noWrap w:val="false"/>
          </w:tcPr>
          <w:p>
            <w:pPr>
              <w:pStyle w:val="1012"/>
              <w:ind w:left="0" w:firstLine="0"/>
              <w:jc w:val="center"/>
              <w:spacing w:line="400" w:lineRule="exact"/>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bidi="ar-SA"/>
              </w:rPr>
              <w:t xml:space="preserve">三、投标</w:t>
            </w:r>
            <w:r>
              <w:rPr>
                <w:rFonts w:hint="eastAsia" w:ascii="宋体" w:hAnsi="宋体" w:eastAsia="宋体" w:cs="宋体"/>
                <w:b/>
                <w:color w:val="000000" w:themeColor="text1"/>
                <w:sz w:val="24"/>
                <w:szCs w:val="24"/>
                <w:highlight w:val="none"/>
                <w:lang w:val="en-US" w:eastAsia="zh-CN" w:bidi="ar-SA"/>
              </w:rPr>
            </w:r>
            <w:r>
              <w:rPr>
                <w:color w:val="000000" w:themeColor="text1"/>
              </w:rPr>
            </w:r>
          </w:p>
        </w:tc>
      </w:tr>
      <w:tr>
        <w:trPr>
          <w:trHeight w:val="3208"/>
        </w:trPr>
        <w:tc>
          <w:tcPr>
            <w:tcW w:w="1246" w:type="dxa"/>
            <w:vAlign w:val="top"/>
            <w:textDirection w:val="lrTb"/>
            <w:noWrap w:val="false"/>
          </w:tcPr>
          <w:p>
            <w:pPr>
              <w:pStyle w:val="1012"/>
              <w:ind w:firstLine="0"/>
              <w:jc w:val="center"/>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10.</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8386" w:type="dxa"/>
            <w:vAlign w:val="top"/>
            <w:textDirection w:val="lrTb"/>
            <w:noWrap w:val="false"/>
          </w:tcPr>
          <w:p>
            <w:pPr>
              <w:pStyle w:val="1012"/>
              <w:ind w:left="0" w:right="0" w:firstLine="480"/>
              <w:jc w:val="both"/>
              <w:keepLines w:val="0"/>
              <w:keepNext w:val="0"/>
              <w:pageBreakBefore w:val="0"/>
              <w:spacing w:before="0" w:beforeAutospacing="0" w:after="0" w:afterAutospacing="0" w:line="400" w:lineRule="exact"/>
              <w:widowControl w:val="off"/>
              <w:rPr>
                <w:rFonts w:hint="eastAsia" w:ascii="宋体" w:hAnsi="宋体" w:eastAsia="宋体" w:cs="宋体"/>
                <w:b w:val="0"/>
                <w:bCs/>
                <w:caps w:val="0"/>
                <w:color w:val="000000" w:themeColor="text1"/>
                <w:sz w:val="24"/>
                <w:szCs w:val="24"/>
                <w:highlight w:val="none"/>
              </w:rPr>
              <w:outlineLvl w:val="9"/>
              <w:suppressLineNumbers w:val="0"/>
            </w:pPr>
            <w:r>
              <w:rPr>
                <w:rFonts w:hint="eastAsia" w:ascii="宋体" w:hAnsi="宋体" w:eastAsia="宋体" w:cs="宋体"/>
                <w:b w:val="0"/>
                <w:bCs/>
                <w:caps w:val="0"/>
                <w:color w:val="000000" w:themeColor="text1"/>
                <w:sz w:val="24"/>
                <w:szCs w:val="24"/>
                <w:highlight w:val="none"/>
                <w:lang w:val="en-US" w:eastAsia="zh-CN" w:bidi="ar-SA"/>
              </w:rPr>
              <w:t xml:space="preserve">投标人须用政府采购客户端工具导入“苏采云”系统下载的采购文件（后缀名为“.kedt”）后，离线编制投标文件。采购文件（后缀名为“.kedt”）及政府采购客户端工具可通过“苏采云”系统（网址：</w:t>
            </w:r>
            <w:r>
              <w:rPr>
                <w:rFonts w:hint="eastAsia" w:ascii="宋体" w:hAnsi="宋体" w:eastAsia="宋体" w:cs="宋体"/>
                <w:b w:val="0"/>
                <w:bCs/>
                <w:caps w:val="0"/>
                <w:color w:val="000000" w:themeColor="text1"/>
                <w:sz w:val="24"/>
                <w:szCs w:val="24"/>
                <w:highlight w:val="none"/>
                <w:lang w:val="en-US" w:eastAsia="zh-CN" w:bidi="ar-SA"/>
              </w:rPr>
              <w:fldChar w:fldCharType="begin"/>
            </w:r>
            <w:r>
              <w:rPr>
                <w:rFonts w:hint="eastAsia" w:ascii="宋体" w:hAnsi="宋体" w:eastAsia="宋体" w:cs="宋体"/>
                <w:b w:val="0"/>
                <w:bCs/>
                <w:caps w:val="0"/>
                <w:color w:val="000000" w:themeColor="text1"/>
                <w:sz w:val="24"/>
                <w:szCs w:val="24"/>
                <w:highlight w:val="none"/>
                <w:lang w:val="en-US" w:eastAsia="zh-CN" w:bidi="ar-SA"/>
              </w:rPr>
              <w:instrText xml:space="preserve"> HYPERLINK "http://jszfcg.jsczt.cn/" </w:instrText>
            </w:r>
            <w:r>
              <w:rPr>
                <w:rFonts w:hint="eastAsia" w:ascii="宋体" w:hAnsi="宋体" w:eastAsia="宋体" w:cs="宋体"/>
                <w:b w:val="0"/>
                <w:bCs/>
                <w:caps w:val="0"/>
                <w:color w:val="000000" w:themeColor="text1"/>
                <w:sz w:val="24"/>
                <w:szCs w:val="24"/>
                <w:highlight w:val="none"/>
                <w:lang w:val="en-US" w:eastAsia="zh-CN" w:bidi="ar-SA"/>
              </w:rPr>
              <w:fldChar w:fldCharType="separate"/>
            </w:r>
            <w:r>
              <w:rPr>
                <w:rFonts w:hint="eastAsia" w:ascii="宋体" w:hAnsi="宋体" w:eastAsia="宋体" w:cs="宋体"/>
                <w:b w:val="0"/>
                <w:bCs/>
                <w:caps w:val="0"/>
                <w:color w:val="000000" w:themeColor="text1"/>
                <w:sz w:val="24"/>
                <w:szCs w:val="24"/>
                <w:highlight w:val="none"/>
                <w:lang w:val="en-US" w:eastAsia="zh-CN" w:bidi="ar-SA"/>
              </w:rPr>
              <w:t xml:space="preserve">http://jszfcg.jsczt.cn/</w:t>
            </w:r>
            <w:r>
              <w:rPr>
                <w:rFonts w:hint="eastAsia" w:ascii="宋体" w:hAnsi="宋体" w:eastAsia="宋体" w:cs="宋体"/>
                <w:b w:val="0"/>
                <w:bCs/>
                <w:caps w:val="0"/>
                <w:color w:val="000000" w:themeColor="text1"/>
                <w:sz w:val="24"/>
                <w:szCs w:val="24"/>
                <w:highlight w:val="none"/>
                <w:lang w:val="en-US" w:eastAsia="zh-CN" w:bidi="ar-SA"/>
              </w:rPr>
              <w:fldChar w:fldCharType="end"/>
            </w:r>
            <w:r>
              <w:rPr>
                <w:rFonts w:hint="eastAsia" w:ascii="宋体" w:hAnsi="宋体" w:eastAsia="宋体" w:cs="宋体"/>
                <w:b w:val="0"/>
                <w:bCs/>
                <w:caps w:val="0"/>
                <w:color w:val="000000" w:themeColor="text1"/>
                <w:sz w:val="24"/>
                <w:szCs w:val="24"/>
                <w:highlight w:val="none"/>
                <w:lang w:val="en-US" w:eastAsia="zh-CN" w:bidi="ar-SA"/>
              </w:rPr>
              <w:t xml:space="preserve">）--已报名项目-－报名详情页面内相应链接进行下载；“苏采云”系统供应商操作手册的获取及操作中的技术问题可通过“苏采云”系统中的客服热线进行咨询。</w:t>
            </w:r>
            <w:r>
              <w:rPr>
                <w:rFonts w:hint="eastAsia" w:ascii="宋体" w:hAnsi="宋体" w:eastAsia="宋体" w:cs="宋体"/>
                <w:b w:val="0"/>
                <w:bCs/>
                <w:caps w:val="0"/>
                <w:color w:val="000000" w:themeColor="text1"/>
                <w:sz w:val="24"/>
                <w:szCs w:val="24"/>
                <w:highlight w:val="none"/>
                <w:lang w:val="en-US" w:eastAsia="zh-CN" w:bidi="ar-SA"/>
              </w:rPr>
            </w:r>
            <w:r>
              <w:rPr>
                <w:color w:val="000000" w:themeColor="text1"/>
              </w:rPr>
            </w:r>
          </w:p>
          <w:p>
            <w:pPr>
              <w:pStyle w:val="1012"/>
              <w:ind w:firstLine="480"/>
              <w:jc w:val="left"/>
              <w:spacing w:line="400" w:lineRule="exact"/>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val="0"/>
                <w:bCs/>
                <w:caps w:val="0"/>
                <w:color w:val="000000" w:themeColor="text1"/>
                <w:sz w:val="24"/>
                <w:szCs w:val="24"/>
                <w:highlight w:val="none"/>
                <w:lang w:val="en-US" w:eastAsia="zh-CN" w:bidi="ar-SA"/>
              </w:rPr>
              <w:t xml:space="preserve">特别说明：政府采购客户端工具需要导出加密的投标文件（后缀名为zip）。</w:t>
            </w:r>
            <w:r>
              <w:rPr>
                <w:rFonts w:hint="eastAsia" w:ascii="宋体" w:hAnsi="宋体" w:eastAsia="宋体" w:cs="宋体"/>
                <w:b/>
                <w:bCs w:val="0"/>
                <w:caps w:val="0"/>
                <w:color w:val="000000" w:themeColor="text1"/>
                <w:sz w:val="24"/>
                <w:szCs w:val="24"/>
                <w:highlight w:val="none"/>
                <w:lang w:val="en-US" w:eastAsia="zh-CN" w:bidi="ar-SA"/>
              </w:rPr>
              <w:t xml:space="preserve">投标文件不得超过150M！</w:t>
            </w:r>
            <w:r>
              <w:rPr>
                <w:rFonts w:hint="eastAsia" w:ascii="宋体" w:hAnsi="宋体" w:eastAsia="宋体" w:cs="宋体"/>
                <w:b/>
                <w:color w:val="000000" w:themeColor="text1"/>
                <w:sz w:val="24"/>
                <w:szCs w:val="24"/>
                <w:highlight w:val="none"/>
                <w:lang w:val="en-US" w:eastAsia="zh-CN" w:bidi="ar-SA"/>
              </w:rPr>
            </w:r>
            <w:r>
              <w:rPr>
                <w:color w:val="000000" w:themeColor="text1"/>
              </w:rPr>
            </w:r>
          </w:p>
        </w:tc>
      </w:tr>
      <w:tr>
        <w:trPr>
          <w:trHeight w:val="368"/>
        </w:trPr>
        <w:tc>
          <w:tcPr>
            <w:tcW w:w="1246" w:type="dxa"/>
            <w:vAlign w:val="top"/>
            <w:textDirection w:val="lrTb"/>
            <w:noWrap w:val="false"/>
          </w:tcPr>
          <w:p>
            <w:pPr>
              <w:pStyle w:val="1012"/>
              <w:ind w:firstLine="0"/>
              <w:jc w:val="center"/>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11.1</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8386" w:type="dxa"/>
            <w:vAlign w:val="top"/>
            <w:textDirection w:val="lrTb"/>
            <w:noWrap w:val="false"/>
          </w:tcPr>
          <w:p>
            <w:pPr>
              <w:pStyle w:val="1012"/>
              <w:ind w:firstLine="480"/>
              <w:jc w:val="both"/>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投标文件的语言为</w:t>
            </w:r>
            <w:r>
              <w:rPr>
                <w:rFonts w:hint="eastAsia" w:ascii="宋体" w:hAnsi="宋体" w:eastAsia="宋体" w:cs="宋体"/>
                <w:b/>
                <w:bCs/>
                <w:color w:val="000000" w:themeColor="text1"/>
                <w:sz w:val="24"/>
                <w:szCs w:val="24"/>
                <w:highlight w:val="none"/>
                <w:lang w:val="en-US" w:eastAsia="zh-CN" w:bidi="ar-SA"/>
              </w:rPr>
              <w:t xml:space="preserve">中文</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246" w:type="dxa"/>
            <w:vAlign w:val="top"/>
            <w:textDirection w:val="lrTb"/>
            <w:noWrap w:val="false"/>
          </w:tcPr>
          <w:p>
            <w:pPr>
              <w:pStyle w:val="1012"/>
              <w:ind w:firstLine="0"/>
              <w:jc w:val="center"/>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12.1</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firstLine="0"/>
              <w:jc w:val="center"/>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8386" w:type="dxa"/>
            <w:vAlign w:val="top"/>
            <w:textDirection w:val="lrTb"/>
            <w:noWrap w:val="false"/>
          </w:tcPr>
          <w:p>
            <w:pPr>
              <w:pStyle w:val="1012"/>
              <w:ind w:firstLine="480"/>
              <w:jc w:val="both"/>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电子投标文件编制要求：</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firstLine="480"/>
              <w:jc w:val="both"/>
              <w:spacing w:line="400" w:lineRule="exact"/>
              <w:widowControl w:val="off"/>
              <w:rPr>
                <w:rFonts w:hint="eastAsia" w:ascii="宋体" w:hAnsi="宋体" w:eastAsia="宋体" w:cs="宋体"/>
                <w:b/>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请按照以下要求（包括但不限于以下要求）制作：</w:t>
            </w:r>
            <w:r>
              <w:rPr>
                <w:rFonts w:hint="eastAsia" w:ascii="宋体" w:hAnsi="宋体" w:eastAsia="宋体" w:cs="宋体"/>
                <w:b/>
                <w:color w:val="000000" w:themeColor="text1"/>
                <w:sz w:val="24"/>
                <w:szCs w:val="24"/>
                <w:highlight w:val="none"/>
                <w:lang w:val="en-US" w:eastAsia="zh-CN" w:bidi="ar-SA"/>
              </w:rPr>
            </w:r>
            <w:r>
              <w:rPr>
                <w:color w:val="000000" w:themeColor="text1"/>
              </w:rPr>
            </w:r>
          </w:p>
          <w:p>
            <w:pPr>
              <w:pStyle w:val="1012"/>
              <w:ind w:firstLine="482"/>
              <w:jc w:val="both"/>
              <w:spacing w:line="400" w:lineRule="exact"/>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lang w:val="en-US" w:eastAsia="zh-CN" w:bidi="ar-SA"/>
              </w:rPr>
              <w:t xml:space="preserve">一、基本目录</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firstLine="480"/>
              <w:jc w:val="both"/>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1.《开标一览表》（加盖电子签章，政府采购客户端工具输入报价自动生成）；</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firstLine="480"/>
              <w:jc w:val="both"/>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2.《授权委托书》（如有授权，加盖电子签章，格式见招标文件第七章《投标文件相关格式》）；</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firstLine="480"/>
              <w:jc w:val="both"/>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3.《投标人承诺》（加盖电子签章，格式见招标文件第七章《投标文件相关格式》）；</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firstLine="480"/>
              <w:jc w:val="both"/>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4.《投标人基本情况表》（加盖电子签章，格式见招标文件第七章《投标文件相关格式》）；</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firstLine="480"/>
              <w:jc w:val="both"/>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5.所投产品的环境标志产品认证证书的扫描件（如有）；</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firstLine="480"/>
              <w:jc w:val="both"/>
              <w:spacing w:line="400" w:lineRule="exact"/>
              <w:widowControl w:val="off"/>
              <w:rPr>
                <w:rFonts w:hint="eastAsia" w:ascii="方正仿宋_GB2312" w:hAnsi="Times New Roman" w:eastAsia="方正仿宋_GB2312" w:cs="Times New Roman"/>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6.所投产品的节能产品认证证书的扫描件（如有）。</w:t>
            </w:r>
            <w:r>
              <w:rPr>
                <w:rFonts w:hint="eastAsia" w:ascii="方正仿宋_GB2312" w:hAnsi="Times New Roman" w:eastAsia="方正仿宋_GB2312" w:cs="Times New Roman"/>
                <w:color w:val="000000" w:themeColor="text1"/>
                <w:sz w:val="24"/>
                <w:szCs w:val="24"/>
                <w:highlight w:val="none"/>
                <w:lang w:val="en-US" w:eastAsia="zh-CN" w:bidi="ar-SA"/>
              </w:rPr>
            </w:r>
            <w:r>
              <w:rPr>
                <w:color w:val="000000" w:themeColor="text1"/>
              </w:rPr>
            </w:r>
          </w:p>
          <w:p>
            <w:pPr>
              <w:pStyle w:val="1012"/>
              <w:ind w:firstLine="480"/>
              <w:jc w:val="both"/>
              <w:spacing w:line="40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二、资格条件</w:t>
            </w:r>
            <w:r>
              <w:rPr>
                <w:rFonts w:hint="eastAsia" w:ascii="宋体" w:hAnsi="宋体" w:eastAsia="宋体" w:cs="宋体"/>
                <w:b/>
                <w:color w:val="000000" w:themeColor="text1"/>
                <w:sz w:val="24"/>
                <w:szCs w:val="24"/>
                <w:highlight w:val="none"/>
                <w:lang w:val="en-US" w:eastAsia="zh-CN" w:bidi="ar-SA"/>
              </w:rPr>
              <w:t xml:space="preserve">（1—7条必须提供，否则投标无效）</w:t>
            </w:r>
            <w:r>
              <w:rPr>
                <w:rFonts w:hint="eastAsia" w:ascii="宋体" w:hAnsi="宋体" w:eastAsia="宋体" w:cs="宋体"/>
                <w:b/>
                <w:bCs/>
                <w:color w:val="000000" w:themeColor="text1"/>
                <w:sz w:val="24"/>
                <w:szCs w:val="24"/>
                <w:highlight w:val="none"/>
                <w:lang w:val="en-US" w:eastAsia="zh-CN" w:bidi="ar-SA"/>
              </w:rPr>
            </w:r>
            <w:r>
              <w:rPr>
                <w:color w:val="000000" w:themeColor="text1"/>
              </w:rPr>
            </w:r>
          </w:p>
          <w:p>
            <w:pPr>
              <w:pStyle w:val="1012"/>
              <w:ind w:firstLine="480"/>
              <w:jc w:val="both"/>
              <w:spacing w:line="400" w:lineRule="exact"/>
              <w:widowControl w:val="off"/>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bidi="ar-SA"/>
              </w:rPr>
              <w:t xml:space="preserve">1.投标人合法有效的法人或者其他组织的营业执照等证明文件（投标人为分支机构的，还需提供法人公司批准其参加本项目投标的授权文件），自然人的身份证明。以上证明文件提供扫描件。</w:t>
            </w:r>
            <w:r>
              <w:rPr>
                <w:rFonts w:hint="eastAsia" w:ascii="宋体" w:hAnsi="宋体" w:eastAsia="宋体" w:cs="宋体"/>
                <w:b/>
                <w:bCs w:val="0"/>
                <w:color w:val="000000" w:themeColor="text1"/>
                <w:sz w:val="24"/>
                <w:szCs w:val="24"/>
                <w:highlight w:val="none"/>
                <w:lang w:val="en-US" w:eastAsia="zh-CN" w:bidi="ar-SA"/>
              </w:rPr>
            </w:r>
            <w:r>
              <w:rPr>
                <w:color w:val="000000" w:themeColor="text1"/>
              </w:rPr>
            </w:r>
          </w:p>
          <w:p>
            <w:pPr>
              <w:pStyle w:val="1012"/>
              <w:numPr>
                <w:ilvl w:val="0"/>
                <w:numId w:val="0"/>
              </w:numPr>
              <w:ind w:left="0" w:firstLine="480"/>
              <w:jc w:val="both"/>
              <w:spacing w:line="400" w:lineRule="exact"/>
              <w:widowControl w:val="off"/>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bidi="ar-SA"/>
              </w:rPr>
              <w:t xml:space="preserve">2.投标人财务状况证明材料原件扫描件（提供以下选项之一即可）：</w:t>
            </w:r>
            <w:r>
              <w:rPr>
                <w:rFonts w:hint="eastAsia" w:ascii="宋体" w:hAnsi="宋体" w:eastAsia="宋体" w:cs="宋体"/>
                <w:b/>
                <w:bCs w:val="0"/>
                <w:color w:val="000000" w:themeColor="text1"/>
                <w:sz w:val="24"/>
                <w:szCs w:val="24"/>
                <w:highlight w:val="none"/>
                <w:lang w:val="en-US" w:eastAsia="zh-CN" w:bidi="ar-SA"/>
              </w:rPr>
            </w:r>
            <w:r>
              <w:rPr>
                <w:color w:val="000000" w:themeColor="text1"/>
              </w:rPr>
            </w:r>
          </w:p>
          <w:p>
            <w:pPr>
              <w:pStyle w:val="1012"/>
              <w:ind w:firstLine="480"/>
              <w:jc w:val="both"/>
              <w:spacing w:line="400" w:lineRule="exact"/>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bidi="ar-SA"/>
              </w:rPr>
              <w:t xml:space="preserve">A.</w:t>
            </w:r>
            <w:r>
              <w:rPr>
                <w:rFonts w:hint="eastAsia" w:ascii="宋体" w:hAnsi="宋体" w:eastAsia="宋体" w:cs="宋体"/>
                <w:bCs/>
                <w:color w:val="000000" w:themeColor="text1"/>
                <w:sz w:val="24"/>
                <w:szCs w:val="24"/>
                <w:highlight w:val="none"/>
                <w:lang w:val="en-US" w:eastAsia="zh-CN" w:bidi="ar-SA"/>
              </w:rPr>
              <w:t xml:space="preserve">投标人的本项目开标时间前6个月内任何日期的资产负债表及利润表月报表；</w:t>
            </w:r>
            <w:r>
              <w:rPr>
                <w:rFonts w:hint="eastAsia" w:ascii="宋体" w:hAnsi="宋体" w:eastAsia="宋体" w:cs="宋体"/>
                <w:bCs/>
                <w:color w:val="000000" w:themeColor="text1"/>
                <w:sz w:val="24"/>
                <w:szCs w:val="24"/>
                <w:highlight w:val="none"/>
                <w:lang w:val="en-US" w:eastAsia="zh-CN" w:bidi="ar-SA"/>
              </w:rPr>
            </w:r>
            <w:r>
              <w:rPr>
                <w:color w:val="000000" w:themeColor="text1"/>
              </w:rPr>
            </w:r>
          </w:p>
          <w:p>
            <w:pPr>
              <w:pStyle w:val="1012"/>
              <w:ind w:firstLine="480"/>
              <w:jc w:val="both"/>
              <w:spacing w:line="400" w:lineRule="exact"/>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B.投标人基本开户银行出具的资信证明；</w:t>
            </w:r>
            <w:r>
              <w:rPr>
                <w:rFonts w:hint="eastAsia" w:ascii="宋体" w:hAnsi="宋体" w:eastAsia="宋体" w:cs="宋体"/>
                <w:bCs/>
                <w:color w:val="000000" w:themeColor="text1"/>
                <w:sz w:val="24"/>
                <w:szCs w:val="24"/>
                <w:highlight w:val="none"/>
                <w:lang w:val="en-US" w:eastAsia="zh-CN" w:bidi="ar-SA"/>
              </w:rPr>
            </w:r>
            <w:r>
              <w:rPr>
                <w:color w:val="000000" w:themeColor="text1"/>
              </w:rPr>
            </w:r>
          </w:p>
          <w:p>
            <w:pPr>
              <w:pStyle w:val="1012"/>
              <w:ind w:firstLine="480"/>
              <w:jc w:val="both"/>
              <w:spacing w:line="400" w:lineRule="exact"/>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C.财政部门认可的政府采购专业担保机构出具的投标担保函。</w:t>
            </w:r>
            <w:r>
              <w:rPr>
                <w:rFonts w:hint="eastAsia" w:ascii="宋体" w:hAnsi="宋体" w:eastAsia="宋体" w:cs="宋体"/>
                <w:bCs/>
                <w:color w:val="000000" w:themeColor="text1"/>
                <w:sz w:val="24"/>
                <w:szCs w:val="24"/>
                <w:highlight w:val="none"/>
                <w:lang w:val="en-US" w:eastAsia="zh-CN" w:bidi="ar-SA"/>
              </w:rPr>
            </w:r>
            <w:r>
              <w:rPr>
                <w:color w:val="000000" w:themeColor="text1"/>
              </w:rPr>
            </w:r>
          </w:p>
          <w:p>
            <w:pPr>
              <w:pStyle w:val="1012"/>
              <w:ind w:firstLine="480"/>
              <w:jc w:val="both"/>
              <w:spacing w:line="400" w:lineRule="exact"/>
              <w:widowControl w:val="off"/>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bidi="ar-SA"/>
              </w:rPr>
              <w:t xml:space="preserve">3.投标人在本项目开标时间前6个月内任何1个月的依法缴纳税收和社会保障资金的相关材料原件扫描件（刚成立企业提供依法缴纳税收和依法缴纳社会保障资金承诺函），依法免税或不需要缴纳社会保障资金的投标人应提供相应其依法免税或不需要缴纳社会保障资金的证明文件原件扫描件；</w:t>
            </w:r>
            <w:r>
              <w:rPr>
                <w:rFonts w:hint="eastAsia" w:ascii="宋体" w:hAnsi="宋体" w:eastAsia="宋体" w:cs="宋体"/>
                <w:b/>
                <w:bCs w:val="0"/>
                <w:color w:val="000000" w:themeColor="text1"/>
                <w:sz w:val="24"/>
                <w:szCs w:val="24"/>
                <w:highlight w:val="none"/>
                <w:lang w:val="en-US" w:eastAsia="zh-CN" w:bidi="ar-SA"/>
              </w:rPr>
            </w:r>
            <w:r>
              <w:rPr>
                <w:color w:val="000000" w:themeColor="text1"/>
              </w:rPr>
            </w:r>
          </w:p>
          <w:p>
            <w:pPr>
              <w:pStyle w:val="1012"/>
              <w:ind w:firstLine="480"/>
              <w:jc w:val="both"/>
              <w:spacing w:line="400" w:lineRule="exact"/>
              <w:widowControl w:val="off"/>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bidi="ar-SA"/>
              </w:rPr>
              <w:t xml:space="preserve">4.具备履行合同所必需的设备和专业技术能力证明材料；</w:t>
            </w:r>
            <w:r>
              <w:rPr>
                <w:rFonts w:hint="eastAsia" w:ascii="宋体" w:hAnsi="宋体" w:eastAsia="宋体" w:cs="宋体"/>
                <w:b/>
                <w:bCs w:val="0"/>
                <w:color w:val="000000" w:themeColor="text1"/>
                <w:sz w:val="24"/>
                <w:szCs w:val="24"/>
                <w:highlight w:val="none"/>
                <w:lang w:val="en-US" w:eastAsia="zh-CN" w:bidi="ar-SA"/>
              </w:rPr>
            </w:r>
            <w:r>
              <w:rPr>
                <w:color w:val="000000" w:themeColor="text1"/>
              </w:rPr>
            </w:r>
          </w:p>
          <w:p>
            <w:pPr>
              <w:pStyle w:val="1012"/>
              <w:ind w:firstLine="480"/>
              <w:jc w:val="both"/>
              <w:spacing w:line="400" w:lineRule="exact"/>
              <w:widowControl w:val="off"/>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bidi="ar-SA"/>
              </w:rPr>
              <w:t xml:space="preserve">投标文件中根据项目需求提供《具备履行合同所必需的设备和专业技术能力的书面声明》（加盖电子签章，格式见招标文件第七章《投标文件相关格式》）；</w:t>
            </w:r>
            <w:r>
              <w:rPr>
                <w:rFonts w:hint="eastAsia" w:ascii="宋体" w:hAnsi="宋体" w:eastAsia="宋体" w:cs="宋体"/>
                <w:b/>
                <w:bCs w:val="0"/>
                <w:color w:val="000000" w:themeColor="text1"/>
                <w:sz w:val="24"/>
                <w:szCs w:val="24"/>
                <w:highlight w:val="none"/>
                <w:lang w:val="en-US" w:eastAsia="zh-CN" w:bidi="ar-SA"/>
              </w:rPr>
            </w:r>
            <w:r>
              <w:rPr>
                <w:color w:val="000000" w:themeColor="text1"/>
              </w:rPr>
            </w:r>
          </w:p>
          <w:p>
            <w:pPr>
              <w:pStyle w:val="1012"/>
              <w:ind w:firstLine="480"/>
              <w:jc w:val="both"/>
              <w:spacing w:line="400" w:lineRule="exact"/>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bidi="ar-SA"/>
              </w:rPr>
              <w:t xml:space="preserve">5.投标人参加政府采购活动前3年内在经营活动中没有重大违法记录的书面声明（加盖电子签章，格式见招标文件第七章《投标文件相关格式》）</w:t>
            </w:r>
            <w:r>
              <w:rPr>
                <w:rFonts w:hint="eastAsia" w:ascii="宋体" w:hAnsi="宋体" w:eastAsia="宋体" w:cs="宋体"/>
                <w:bCs/>
                <w:color w:val="000000" w:themeColor="text1"/>
                <w:sz w:val="24"/>
                <w:szCs w:val="24"/>
                <w:highlight w:val="none"/>
                <w:lang w:val="en-US" w:eastAsia="zh-CN" w:bidi="ar-SA"/>
              </w:rPr>
              <w:t xml:space="preserve">；</w:t>
            </w:r>
            <w:r>
              <w:rPr>
                <w:rFonts w:hint="eastAsia" w:ascii="宋体" w:hAnsi="宋体" w:eastAsia="宋体" w:cs="宋体"/>
                <w:bCs/>
                <w:color w:val="000000" w:themeColor="text1"/>
                <w:sz w:val="24"/>
                <w:szCs w:val="24"/>
                <w:highlight w:val="none"/>
                <w:lang w:val="en-US" w:eastAsia="zh-CN" w:bidi="ar-SA"/>
              </w:rPr>
            </w:r>
            <w:r>
              <w:rPr>
                <w:color w:val="000000" w:themeColor="text1"/>
              </w:rPr>
            </w:r>
          </w:p>
          <w:p>
            <w:pPr>
              <w:pStyle w:val="1012"/>
              <w:ind w:firstLine="480"/>
              <w:jc w:val="both"/>
              <w:spacing w:line="400" w:lineRule="exact"/>
              <w:widowControl w:val="off"/>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bidi="ar-SA"/>
              </w:rPr>
              <w:t xml:space="preserve">6.投标人关于单位负责人为同一人或者存在直接控股、管理关系的不同供应商，不得参加同一合同项下的政府采购活动的承诺。（加盖电子签章，格式见招标文件第七章《投标文件相关格式》）；</w:t>
            </w:r>
            <w:r>
              <w:rPr>
                <w:rFonts w:hint="eastAsia" w:ascii="宋体" w:hAnsi="宋体" w:eastAsia="宋体" w:cs="宋体"/>
                <w:b/>
                <w:bCs w:val="0"/>
                <w:color w:val="000000" w:themeColor="text1"/>
                <w:sz w:val="24"/>
                <w:szCs w:val="24"/>
                <w:highlight w:val="none"/>
                <w:lang w:val="en-US" w:eastAsia="zh-CN" w:bidi="ar-SA"/>
              </w:rPr>
            </w:r>
            <w:r>
              <w:rPr>
                <w:color w:val="000000" w:themeColor="text1"/>
              </w:rPr>
            </w:r>
          </w:p>
          <w:p>
            <w:pPr>
              <w:pStyle w:val="1265"/>
              <w:ind w:firstLine="480"/>
              <w:jc w:val="both"/>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7.</w:t>
            </w:r>
            <w:r>
              <w:rPr>
                <w:rFonts w:ascii="宋体" w:hAnsi="宋体" w:eastAsia="宋体" w:cs="宋体"/>
                <w:b/>
                <w:bCs/>
                <w:color w:val="000000" w:themeColor="text1"/>
                <w:sz w:val="24"/>
                <w:szCs w:val="24"/>
                <w:highlight w:val="none"/>
                <w:lang w:val="en-US" w:eastAsia="zh-CN" w:bidi="ar-SA"/>
              </w:rPr>
              <w:t xml:space="preserve">涉电作业人员（至少</w:t>
            </w:r>
            <w:r>
              <w:rPr>
                <w:rFonts w:hint="eastAsia" w:ascii="宋体" w:hAnsi="宋体" w:eastAsia="宋体" w:cs="宋体"/>
                <w:b/>
                <w:bCs/>
                <w:color w:val="000000" w:themeColor="text1"/>
                <w:sz w:val="24"/>
                <w:szCs w:val="24"/>
                <w:highlight w:val="none"/>
                <w:lang w:val="en-US" w:eastAsia="zh-CN" w:bidi="ar-SA"/>
              </w:rPr>
              <w:t xml:space="preserve">两</w:t>
            </w:r>
            <w:r>
              <w:rPr>
                <w:rFonts w:ascii="宋体" w:hAnsi="宋体" w:eastAsia="宋体" w:cs="宋体"/>
                <w:b/>
                <w:bCs/>
                <w:color w:val="000000" w:themeColor="text1"/>
                <w:sz w:val="24"/>
                <w:szCs w:val="24"/>
                <w:highlight w:val="none"/>
                <w:lang w:val="en-US" w:eastAsia="zh-CN" w:bidi="ar-SA"/>
              </w:rPr>
              <w:t xml:space="preserve">名）须具备电工证【提供有效的</w:t>
            </w:r>
            <w:r>
              <w:rPr>
                <w:rFonts w:hint="eastAsia" w:ascii="宋体" w:hAnsi="宋体" w:eastAsia="宋体" w:cs="宋体"/>
                <w:b/>
                <w:bCs/>
                <w:color w:val="000000" w:themeColor="text1"/>
                <w:sz w:val="24"/>
                <w:szCs w:val="24"/>
                <w:highlight w:val="none"/>
                <w:lang w:val="en-US" w:eastAsia="zh-CN" w:bidi="ar-SA"/>
              </w:rPr>
              <w:t xml:space="preserve">低压</w:t>
            </w:r>
            <w:r>
              <w:rPr>
                <w:rFonts w:ascii="宋体" w:hAnsi="宋体" w:eastAsia="宋体" w:cs="宋体"/>
                <w:b/>
                <w:bCs/>
                <w:color w:val="000000" w:themeColor="text1"/>
                <w:sz w:val="24"/>
                <w:szCs w:val="24"/>
                <w:highlight w:val="none"/>
                <w:lang w:val="en-US" w:eastAsia="zh-CN" w:bidi="ar-SA"/>
              </w:rPr>
              <w:t xml:space="preserve">电工</w:t>
            </w:r>
            <w:r>
              <w:rPr>
                <w:rFonts w:hint="eastAsia" w:ascii="宋体" w:hAnsi="宋体" w:eastAsia="宋体" w:cs="宋体"/>
                <w:b/>
                <w:bCs/>
                <w:color w:val="000000" w:themeColor="text1"/>
                <w:sz w:val="24"/>
                <w:szCs w:val="24"/>
                <w:highlight w:val="none"/>
                <w:lang w:val="en-US" w:eastAsia="zh-CN" w:bidi="ar-SA"/>
              </w:rPr>
              <w:t xml:space="preserve">操作</w:t>
            </w:r>
            <w:r>
              <w:rPr>
                <w:rFonts w:ascii="宋体" w:hAnsi="宋体" w:eastAsia="宋体" w:cs="宋体"/>
                <w:b/>
                <w:bCs/>
                <w:color w:val="000000" w:themeColor="text1"/>
                <w:sz w:val="24"/>
                <w:szCs w:val="24"/>
                <w:highlight w:val="none"/>
                <w:lang w:val="en-US" w:eastAsia="zh-CN" w:bidi="ar-SA"/>
              </w:rPr>
              <w:t xml:space="preserve">证书原件扫描件及投标人为其办理的近半年内任意一个月</w:t>
            </w:r>
            <w:r>
              <w:rPr>
                <w:rFonts w:hint="eastAsia" w:ascii="宋体" w:hAnsi="宋体" w:eastAsia="宋体" w:cs="宋体"/>
                <w:b/>
                <w:bCs/>
                <w:color w:val="000000" w:themeColor="text1"/>
                <w:sz w:val="24"/>
                <w:szCs w:val="24"/>
                <w:highlight w:val="none"/>
                <w:lang w:val="en-US" w:eastAsia="zh-CN" w:bidi="ar-SA"/>
              </w:rPr>
              <w:t xml:space="preserve">（不含）</w:t>
            </w:r>
            <w:r>
              <w:rPr>
                <w:rFonts w:ascii="宋体" w:hAnsi="宋体" w:eastAsia="宋体" w:cs="宋体"/>
                <w:b/>
                <w:bCs/>
                <w:color w:val="000000" w:themeColor="text1"/>
                <w:sz w:val="24"/>
                <w:szCs w:val="24"/>
                <w:highlight w:val="none"/>
                <w:lang w:val="en-US" w:eastAsia="zh-CN" w:bidi="ar-SA"/>
              </w:rPr>
              <w:t xml:space="preserve">的社保缴纳证明或有效的人身安全保险（意外伤害险等）证明】</w:t>
            </w:r>
            <w:r>
              <w:rPr>
                <w:rFonts w:hint="eastAsia" w:ascii="宋体" w:hAnsi="宋体" w:eastAsia="宋体" w:cs="宋体"/>
                <w:b/>
                <w:bCs/>
                <w:color w:val="000000" w:themeColor="text1"/>
                <w:sz w:val="24"/>
                <w:szCs w:val="24"/>
                <w:highlight w:val="none"/>
                <w:lang w:val="en-US" w:eastAsia="zh-CN" w:bidi="ar-SA"/>
              </w:rPr>
            </w:r>
            <w:r>
              <w:rPr>
                <w:color w:val="000000" w:themeColor="text1"/>
              </w:rPr>
            </w:r>
          </w:p>
          <w:p>
            <w:pPr>
              <w:pStyle w:val="1012"/>
              <w:ind w:firstLine="480"/>
              <w:jc w:val="both"/>
              <w:spacing w:line="400" w:lineRule="exact"/>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bidi="ar-SA"/>
              </w:rPr>
              <w:t xml:space="preserve">8.投标人不是为本采购项目提供整体设计、规范编制或者项目管理、监理、检测等服务的供应商的书面声明。（加盖电子签章，格式见招标文件第七章《投标文件相关格式》）；</w:t>
            </w:r>
            <w:r>
              <w:rPr>
                <w:rFonts w:hint="eastAsia" w:ascii="宋体" w:hAnsi="宋体" w:eastAsia="宋体" w:cs="宋体"/>
                <w:bCs/>
                <w:color w:val="000000" w:themeColor="text1"/>
                <w:sz w:val="24"/>
                <w:szCs w:val="24"/>
                <w:highlight w:val="none"/>
                <w:lang w:val="en-US" w:eastAsia="zh-CN" w:bidi="ar-SA"/>
              </w:rPr>
            </w:r>
            <w:r>
              <w:rPr>
                <w:color w:val="000000" w:themeColor="text1"/>
              </w:rPr>
            </w:r>
          </w:p>
          <w:p>
            <w:pPr>
              <w:pStyle w:val="1012"/>
              <w:ind w:firstLine="480"/>
              <w:jc w:val="both"/>
              <w:spacing w:line="400" w:lineRule="exact"/>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bidi="ar-SA"/>
              </w:rPr>
              <w:t xml:space="preserve">9</w:t>
            </w:r>
            <w:bookmarkStart w:id="8" w:name="_GoBack"/>
            <w:r>
              <w:rPr>
                <w:color w:val="000000" w:themeColor="text1"/>
              </w:rPr>
            </w:r>
            <w:bookmarkEnd w:id="8"/>
            <w:r>
              <w:rPr>
                <w:rFonts w:hint="eastAsia" w:ascii="宋体" w:hAnsi="宋体" w:eastAsia="宋体" w:cs="宋体"/>
                <w:b/>
                <w:bCs w:val="0"/>
                <w:color w:val="000000" w:themeColor="text1"/>
                <w:sz w:val="24"/>
                <w:szCs w:val="24"/>
                <w:highlight w:val="none"/>
                <w:lang w:val="en-US" w:eastAsia="zh-CN" w:bidi="ar-SA"/>
              </w:rPr>
              <w:t xml:space="preserve">.投标人无被列入失信被执行人、重大税收违法案件当事人名单、政府采购严重失信行为记录名单及其他不符合《中华人民共和国政府采购法》第二十二条规定条件的信用记录。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bCs/>
                <w:color w:val="000000" w:themeColor="text1"/>
                <w:sz w:val="24"/>
                <w:szCs w:val="24"/>
                <w:highlight w:val="none"/>
                <w:lang w:val="en-US" w:eastAsia="zh-CN" w:bidi="ar-SA"/>
              </w:rPr>
            </w:r>
            <w:r>
              <w:rPr>
                <w:color w:val="000000" w:themeColor="text1"/>
              </w:rPr>
            </w:r>
          </w:p>
          <w:p>
            <w:pPr>
              <w:pStyle w:val="1012"/>
              <w:ind w:firstLine="482"/>
              <w:jc w:val="both"/>
              <w:spacing w:line="400" w:lineRule="exact"/>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lang w:val="en-US" w:eastAsia="zh-CN" w:bidi="ar-SA"/>
              </w:rPr>
              <w:t xml:space="preserve">三、符合条件（必须提供，否则投标无效）</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firstLine="480"/>
              <w:jc w:val="both"/>
              <w:spacing w:line="40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1.《投标函》（加盖电子签章，格式见招标文件第七章《投标文件相关格式》）；</w:t>
            </w:r>
            <w:r>
              <w:rPr>
                <w:rFonts w:hint="eastAsia" w:ascii="宋体" w:hAnsi="宋体" w:eastAsia="宋体" w:cs="宋体"/>
                <w:b/>
                <w:bCs/>
                <w:color w:val="000000" w:themeColor="text1"/>
                <w:sz w:val="24"/>
                <w:szCs w:val="24"/>
                <w:highlight w:val="none"/>
                <w:lang w:val="en-US" w:eastAsia="zh-CN" w:bidi="ar-SA"/>
              </w:rPr>
            </w:r>
            <w:r>
              <w:rPr>
                <w:color w:val="000000" w:themeColor="text1"/>
              </w:rPr>
            </w:r>
          </w:p>
          <w:p>
            <w:pPr>
              <w:pStyle w:val="1012"/>
              <w:ind w:firstLine="480"/>
              <w:jc w:val="both"/>
              <w:spacing w:line="40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2.《采购需求符合性条件响应表》（加盖电子签章，格式见招标文件第七章《投标文件相关格式》）；</w:t>
            </w:r>
            <w:r>
              <w:rPr>
                <w:rFonts w:hint="eastAsia" w:ascii="宋体" w:hAnsi="宋体" w:eastAsia="宋体" w:cs="宋体"/>
                <w:b/>
                <w:bCs/>
                <w:color w:val="000000" w:themeColor="text1"/>
                <w:sz w:val="24"/>
                <w:szCs w:val="24"/>
                <w:highlight w:val="none"/>
                <w:lang w:val="en-US" w:eastAsia="zh-CN" w:bidi="ar-SA"/>
              </w:rPr>
            </w:r>
            <w:r>
              <w:rPr>
                <w:color w:val="000000" w:themeColor="text1"/>
              </w:rPr>
            </w:r>
          </w:p>
          <w:p>
            <w:pPr>
              <w:pStyle w:val="1012"/>
              <w:ind w:firstLine="480"/>
              <w:jc w:val="both"/>
              <w:spacing w:line="40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3.《偏离表》（加盖电子签章，格式见招标文件第七章《投标文件相关格式》）。</w:t>
            </w:r>
            <w:r>
              <w:rPr>
                <w:rFonts w:hint="eastAsia" w:ascii="宋体" w:hAnsi="宋体" w:eastAsia="宋体" w:cs="宋体"/>
                <w:b/>
                <w:bCs/>
                <w:color w:val="000000" w:themeColor="text1"/>
                <w:sz w:val="24"/>
                <w:szCs w:val="24"/>
                <w:highlight w:val="none"/>
                <w:lang w:val="en-US" w:eastAsia="zh-CN" w:bidi="ar-SA"/>
              </w:rPr>
            </w:r>
            <w:r>
              <w:rPr>
                <w:color w:val="000000" w:themeColor="text1"/>
              </w:rPr>
            </w:r>
          </w:p>
          <w:p>
            <w:pPr>
              <w:pStyle w:val="1012"/>
              <w:ind w:firstLine="480"/>
              <w:jc w:val="both"/>
              <w:keepLines w:val="0"/>
              <w:keepNext w:val="0"/>
              <w:pageBreakBefore w:val="0"/>
              <w:spacing w:line="500" w:lineRule="exact"/>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
                <w:color w:val="000000" w:themeColor="text1"/>
                <w:sz w:val="24"/>
                <w:szCs w:val="24"/>
                <w:highlight w:val="none"/>
                <w:lang w:val="en-US" w:eastAsia="zh-CN" w:bidi="ar-SA"/>
              </w:rPr>
              <w:t xml:space="preserve">四、综合评审评分项</w:t>
            </w:r>
            <w:r>
              <w:rPr>
                <w:rFonts w:hint="eastAsia" w:ascii="宋体" w:hAnsi="宋体" w:eastAsia="宋体" w:cs="宋体"/>
                <w:bCs/>
                <w:color w:val="000000" w:themeColor="text1"/>
                <w:sz w:val="24"/>
                <w:szCs w:val="24"/>
                <w:highlight w:val="none"/>
                <w:lang w:val="en-US" w:eastAsia="zh-CN" w:bidi="ar-SA"/>
              </w:rPr>
            </w:r>
            <w:r>
              <w:rPr>
                <w:color w:val="000000" w:themeColor="text1"/>
              </w:rPr>
            </w:r>
          </w:p>
          <w:p>
            <w:pPr>
              <w:pStyle w:val="1012"/>
              <w:ind w:firstLine="482"/>
              <w:jc w:val="both"/>
              <w:spacing w:line="400" w:lineRule="exact"/>
              <w:widowControl w:val="off"/>
              <w:rPr>
                <w:rFonts w:hint="eastAsia" w:ascii="宋体" w:hAnsi="宋体" w:eastAsia="宋体" w:cs="宋体"/>
                <w:b/>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lang w:val="en-US" w:eastAsia="zh-CN" w:bidi="ar-SA"/>
              </w:rPr>
              <w:t xml:space="preserve">（一）技术部分</w:t>
            </w:r>
            <w:r>
              <w:rPr>
                <w:rFonts w:hint="eastAsia" w:ascii="宋体" w:hAnsi="宋体" w:eastAsia="宋体" w:cs="宋体"/>
                <w:b/>
                <w:color w:val="000000" w:themeColor="text1"/>
                <w:sz w:val="24"/>
                <w:szCs w:val="24"/>
                <w:highlight w:val="none"/>
                <w:lang w:val="en-US" w:eastAsia="zh-CN" w:bidi="ar-SA"/>
              </w:rPr>
            </w:r>
            <w:r>
              <w:rPr>
                <w:color w:val="000000" w:themeColor="text1"/>
              </w:rPr>
            </w:r>
          </w:p>
          <w:p>
            <w:pPr>
              <w:pStyle w:val="1012"/>
              <w:ind w:firstLine="482"/>
              <w:jc w:val="both"/>
              <w:spacing w:line="400" w:lineRule="exact"/>
              <w:widowControl w:val="off"/>
              <w:rPr>
                <w:rFonts w:hint="eastAsia" w:ascii="宋体" w:hAnsi="宋体" w:eastAsia="宋体" w:cs="宋体"/>
                <w:b/>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lang w:val="en-US" w:eastAsia="zh-CN" w:bidi="ar-SA"/>
              </w:rPr>
              <w:t xml:space="preserve">（二）商务部分</w:t>
            </w:r>
            <w:r>
              <w:rPr>
                <w:rFonts w:hint="eastAsia" w:ascii="宋体" w:hAnsi="宋体" w:eastAsia="宋体" w:cs="宋体"/>
                <w:b/>
                <w:color w:val="000000" w:themeColor="text1"/>
                <w:sz w:val="24"/>
                <w:szCs w:val="24"/>
                <w:highlight w:val="none"/>
                <w:lang w:val="en-US" w:eastAsia="zh-CN" w:bidi="ar-SA"/>
              </w:rPr>
            </w:r>
            <w:r>
              <w:rPr>
                <w:color w:val="000000" w:themeColor="text1"/>
              </w:rPr>
            </w:r>
          </w:p>
          <w:p>
            <w:pPr>
              <w:pStyle w:val="1012"/>
              <w:ind w:firstLine="482"/>
              <w:jc w:val="both"/>
              <w:spacing w:line="400" w:lineRule="exact"/>
              <w:widowControl w:val="off"/>
              <w:rPr>
                <w:rFonts w:ascii="宋体" w:hAnsi="宋体" w:eastAsia="宋体" w:cs="宋体"/>
                <w:b/>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lang w:val="en-US" w:eastAsia="zh-CN" w:bidi="ar-SA"/>
              </w:rPr>
              <w:t xml:space="preserve">五、价格折扣文件格式：</w:t>
            </w:r>
            <w:r>
              <w:rPr>
                <w:rFonts w:ascii="宋体" w:hAnsi="宋体" w:eastAsia="宋体" w:cs="宋体"/>
                <w:b/>
                <w:color w:val="000000" w:themeColor="text1"/>
                <w:sz w:val="24"/>
                <w:szCs w:val="24"/>
                <w:highlight w:val="none"/>
                <w:lang w:val="en-US" w:eastAsia="zh-CN" w:bidi="ar-SA"/>
              </w:rPr>
            </w:r>
            <w:r>
              <w:rPr>
                <w:color w:val="000000" w:themeColor="text1"/>
              </w:rPr>
            </w:r>
          </w:p>
          <w:p>
            <w:pPr>
              <w:pStyle w:val="1012"/>
              <w:ind w:firstLine="480"/>
              <w:jc w:val="both"/>
              <w:spacing w:line="400" w:lineRule="exact"/>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（一）企业报价折扣证明：无</w:t>
            </w:r>
            <w:r>
              <w:rPr>
                <w:rFonts w:ascii="宋体" w:hAnsi="宋体" w:eastAsia="宋体" w:cs="宋体"/>
                <w:color w:val="000000" w:themeColor="text1"/>
                <w:sz w:val="24"/>
                <w:szCs w:val="24"/>
                <w:highlight w:val="none"/>
                <w:lang w:val="en-US" w:eastAsia="zh-CN" w:bidi="ar-SA"/>
              </w:rPr>
            </w:r>
            <w:r>
              <w:rPr>
                <w:color w:val="000000" w:themeColor="text1"/>
              </w:rPr>
            </w:r>
          </w:p>
          <w:p>
            <w:pPr>
              <w:pStyle w:val="1012"/>
              <w:ind w:firstLine="480"/>
              <w:jc w:val="both"/>
              <w:spacing w:line="400" w:lineRule="exact"/>
              <w:widowControl w:val="off"/>
              <w:rPr>
                <w:rFonts w:hint="eastAsia" w:ascii="宋体" w:hAnsi="宋体" w:eastAsia="宋体" w:cs="宋体"/>
                <w:b w:val="0"/>
                <w:bCs w:val="0"/>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szCs w:val="24"/>
                <w:highlight w:val="none"/>
                <w:lang w:val="en-US" w:eastAsia="zh-CN" w:bidi="ar-SA"/>
              </w:rPr>
              <w:t xml:space="preserve">（二）严格落实节能、环保产品政策</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p>
            <w:pPr>
              <w:pStyle w:val="1012"/>
              <w:ind w:firstLine="480"/>
              <w:jc w:val="both"/>
              <w:spacing w:line="400" w:lineRule="exact"/>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rPr>
              <w:t xml:space="preserve">1.若本次采购的产品属于财政部、国家发展改革委、生态环境部、市场监管总局等部门发布的节能产品、环境标志产品政府强制采购品目清单的，供应商须在投标文件中提供所投产品由认证机构出具的、处于有效期之内的节能产品、环境标志产品认证证书，未提供或提供不全的将视投标文件为未实质性响应采购要求。</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firstLine="480"/>
              <w:jc w:val="both"/>
              <w:spacing w:line="400" w:lineRule="exact"/>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rPr>
              <w:t xml:space="preserve">2.若本次采购的产品属于财政部、国家发展改革委、生态环境部、市场监管总局等部门发布的节能产品、环境标志产品政府优先采购品目清单的，供应商在投标文件中提供所投产品由认证机构出具的、处于有效期之内的节能产品、环境标志产品认证证书。</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firstLine="480"/>
              <w:jc w:val="both"/>
              <w:spacing w:line="400" w:lineRule="exact"/>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rPr>
              <w:t xml:space="preserve">3.节能产品、环境标志产品认证证书是否符合要求，采购人评标时查询中国政府采购网（www.ccgp.gov.cn）相关内容后确定。</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firstLine="480"/>
              <w:jc w:val="both"/>
              <w:spacing w:line="400" w:lineRule="exact"/>
              <w:widowControl w:val="off"/>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rPr>
              <w:t xml:space="preserve">（三）严格执行绿色包装标准。</w:t>
            </w:r>
            <w:r>
              <w:rPr>
                <w:rFonts w:ascii="宋体" w:hAnsi="宋体" w:eastAsia="宋体" w:cs="宋体"/>
                <w:color w:val="000000" w:themeColor="text1"/>
                <w:sz w:val="24"/>
                <w:szCs w:val="24"/>
                <w:highlight w:val="none"/>
                <w:lang w:val="en-US" w:eastAsia="zh-CN" w:bidi="ar-SA"/>
              </w:rPr>
            </w:r>
            <w:r>
              <w:rPr>
                <w:color w:val="000000" w:themeColor="text1"/>
              </w:rPr>
            </w:r>
          </w:p>
          <w:p>
            <w:pPr>
              <w:pStyle w:val="1012"/>
              <w:ind w:firstLine="480"/>
              <w:jc w:val="both"/>
              <w:spacing w:line="400" w:lineRule="exact"/>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rPr>
              <w:t xml:space="preserve">本项目中涉及商品包装和快递包装的，严格执行《商品包装政府采购需求标准（试行）》《快递包装政府采购需求标准（试行）》（财办库〔2020〕123号）。</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firstLine="480"/>
              <w:jc w:val="both"/>
              <w:spacing w:line="400" w:lineRule="exact"/>
              <w:widowControl w:val="off"/>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rPr>
              <w:t xml:space="preserve">（四）严格执行绿色数据中心标准。</w:t>
            </w:r>
            <w:r>
              <w:rPr>
                <w:rFonts w:ascii="宋体" w:hAnsi="宋体" w:eastAsia="宋体" w:cs="宋体"/>
                <w:color w:val="000000" w:themeColor="text1"/>
                <w:sz w:val="24"/>
                <w:szCs w:val="24"/>
                <w:highlight w:val="none"/>
                <w:lang w:val="en-US" w:eastAsia="zh-CN" w:bidi="ar-SA"/>
              </w:rPr>
            </w:r>
            <w:r>
              <w:rPr>
                <w:color w:val="000000" w:themeColor="text1"/>
              </w:rPr>
            </w:r>
          </w:p>
          <w:p>
            <w:pPr>
              <w:pStyle w:val="1012"/>
              <w:ind w:firstLine="480"/>
              <w:jc w:val="both"/>
              <w:spacing w:line="400" w:lineRule="exact"/>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rPr>
              <w:t xml:space="preserve">本项目中如有涉及数据中心相关设备、运维服务的，严格执行《绿色数据中心政府采购需求标准（试行）》（财库〔2023〕7号）需求标准。</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firstLine="480"/>
              <w:jc w:val="both"/>
              <w:spacing w:line="400" w:lineRule="exact"/>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方正仿宋_GB2312" w:cs="宋体"/>
                <w:color w:val="000000" w:themeColor="text1"/>
                <w:sz w:val="24"/>
                <w:szCs w:val="24"/>
                <w:highlight w:val="none"/>
                <w:lang w:val="en-US" w:eastAsia="zh-CN" w:bidi="ar-SA"/>
              </w:rPr>
              <w:t xml:space="preserve">（</w:t>
            </w:r>
            <w:r>
              <w:rPr>
                <w:rFonts w:hint="eastAsia" w:ascii="宋体" w:hAnsi="宋体" w:eastAsia="宋体" w:cs="宋体"/>
                <w:color w:val="000000" w:themeColor="text1"/>
                <w:sz w:val="24"/>
                <w:szCs w:val="24"/>
                <w:highlight w:val="none"/>
                <w:lang w:val="en-US" w:eastAsia="zh-CN" w:bidi="ar-SA"/>
              </w:rPr>
              <w:t xml:space="preserve">五）落实挥发性有机化合物（VOCs）治理要求。</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firstLine="480"/>
              <w:jc w:val="both"/>
              <w:spacing w:line="400" w:lineRule="exact"/>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rPr>
              <w:t xml:space="preserve">本项目中如有涉及涂料、胶黏剂、油墨、清洗剂等挥发性有机物产品的，属于强制性标准的，供应商应当执行国家和我省VOCs含量限制标准；属于推荐性标准的，供应商应当优先使用低挥发性原辅材料。</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firstLine="480"/>
              <w:jc w:val="both"/>
              <w:spacing w:line="400" w:lineRule="exact"/>
              <w:widowControl w:val="off"/>
              <w:rPr>
                <w:rFonts w:hint="eastAsia" w:ascii="宋体" w:hAnsi="宋体" w:eastAsia="宋体" w:cs="宋体"/>
                <w:b w:val="0"/>
                <w:bCs w:val="0"/>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rPr>
              <w:t xml:space="preserve">（六）</w:t>
            </w:r>
            <w:r>
              <w:rPr>
                <w:rFonts w:hint="eastAsia" w:ascii="宋体" w:hAnsi="宋体" w:eastAsia="宋体" w:cs="宋体"/>
                <w:b w:val="0"/>
                <w:bCs w:val="0"/>
                <w:color w:val="000000" w:themeColor="text1"/>
                <w:sz w:val="24"/>
                <w:szCs w:val="24"/>
                <w:highlight w:val="none"/>
                <w:lang w:val="en-US" w:eastAsia="zh-CN" w:bidi="ar-SA"/>
              </w:rPr>
              <w:t xml:space="preserve">本项目中如有被列入《网络关键设备和网络安全专用产品目录》的网络安全专用产品，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或已经获得《计算机信息系统安全专用产品销售许可证》且在有效期内，方可销售或者提供。</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p>
            <w:pPr>
              <w:pStyle w:val="1012"/>
              <w:ind w:firstLine="480"/>
              <w:jc w:val="both"/>
              <w:spacing w:line="400" w:lineRule="exact"/>
              <w:widowControl w:val="off"/>
              <w:rPr>
                <w:rFonts w:hint="eastAsia" w:ascii="宋体" w:hAnsi="宋体" w:eastAsia="宋体" w:cs="宋体"/>
                <w:b w:val="0"/>
                <w:bCs w:val="0"/>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szCs w:val="24"/>
                <w:highlight w:val="none"/>
                <w:lang w:val="en-US" w:eastAsia="zh-CN" w:bidi="ar-SA"/>
              </w:rPr>
              <w:t xml:space="preserve">（七）采购本国产品的支持政策</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p>
            <w:pPr>
              <w:pStyle w:val="1012"/>
              <w:ind w:firstLine="480"/>
              <w:jc w:val="both"/>
              <w:spacing w:line="400" w:lineRule="exact"/>
              <w:widowControl w:val="off"/>
              <w:rPr>
                <w:rFonts w:hint="eastAsia" w:ascii="宋体" w:hAnsi="宋体" w:eastAsia="宋体" w:cs="宋体"/>
                <w:b w:val="0"/>
                <w:bCs w:val="0"/>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szCs w:val="24"/>
                <w:highlight w:val="none"/>
                <w:lang w:val="en-US" w:eastAsia="zh-CN" w:bidi="ar-SA"/>
              </w:rPr>
              <w:t xml:space="preserve">1.本项目政府采购活动中既有本国产品又有非本国产品参与竞争的，依法对本国产品给予价格评审优惠，对本国产品的报价给予</w:t>
            </w:r>
            <w:r>
              <w:rPr>
                <w:rFonts w:hint="eastAsia" w:ascii="宋体" w:hAnsi="宋体" w:eastAsia="宋体" w:cs="宋体"/>
                <w:b w:val="0"/>
                <w:bCs w:val="0"/>
                <w:strike w:val="0"/>
                <w:color w:val="000000" w:themeColor="text1"/>
                <w:sz w:val="24"/>
                <w:szCs w:val="24"/>
                <w:highlight w:val="none"/>
                <w:u w:val="single"/>
                <w:lang w:val="en-US" w:eastAsia="zh-CN" w:bidi="ar-SA"/>
              </w:rPr>
              <w:t xml:space="preserve"> 20% </w:t>
            </w:r>
            <w:r>
              <w:rPr>
                <w:rFonts w:hint="eastAsia" w:ascii="宋体" w:hAnsi="宋体" w:eastAsia="宋体" w:cs="宋体"/>
                <w:b w:val="0"/>
                <w:bCs w:val="0"/>
                <w:color w:val="000000" w:themeColor="text1"/>
                <w:sz w:val="24"/>
                <w:szCs w:val="24"/>
                <w:highlight w:val="none"/>
                <w:lang w:val="en-US" w:eastAsia="zh-CN" w:bidi="ar-SA"/>
              </w:rPr>
              <w:t xml:space="preserve">的价格扣除，用扣除后的价格参与评审。</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p>
            <w:pPr>
              <w:pStyle w:val="1012"/>
              <w:ind w:firstLine="480"/>
              <w:jc w:val="both"/>
              <w:spacing w:line="400" w:lineRule="exact"/>
              <w:widowControl w:val="off"/>
              <w:rPr>
                <w:rFonts w:hint="eastAsia" w:ascii="宋体" w:hAnsi="宋体" w:eastAsia="宋体" w:cs="宋体"/>
                <w:b w:val="0"/>
                <w:bCs w:val="0"/>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szCs w:val="24"/>
                <w:highlight w:val="none"/>
                <w:lang w:val="en-US" w:eastAsia="zh-CN" w:bidi="ar-SA"/>
              </w:rPr>
              <w:t xml:space="preserve">2.当采购项目或者采购包中含有多种产品，供应商为该采购项目或者采购包提供的符合本国产品标准的产品成本之和占该供应商提供的全部产品成本之和的比例达到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val="0"/>
                <w:bCs w:val="0"/>
                <w:strike w:val="0"/>
                <w:color w:val="000000" w:themeColor="text1"/>
                <w:sz w:val="24"/>
                <w:szCs w:val="24"/>
                <w:highlight w:val="none"/>
                <w:u w:val="single"/>
                <w:lang w:val="en-US" w:eastAsia="zh-CN" w:bidi="ar-SA"/>
              </w:rPr>
              <w:t xml:space="preserve"> 80% </w:t>
            </w:r>
            <w:r>
              <w:rPr>
                <w:rFonts w:hint="eastAsia" w:ascii="宋体" w:hAnsi="宋体" w:eastAsia="宋体" w:cs="宋体"/>
                <w:b w:val="0"/>
                <w:bCs w:val="0"/>
                <w:color w:val="000000" w:themeColor="text1"/>
                <w:sz w:val="24"/>
                <w:szCs w:val="24"/>
                <w:highlight w:val="none"/>
                <w:lang w:val="en-US" w:eastAsia="zh-CN" w:bidi="ar-SA"/>
              </w:rPr>
              <w:t xml:space="preserve">以上时（供应商需在“第七章 投标文件格式”的“附件3分项价格表”中填写比例数值），依法对该供应商提供的全部产品给予价格评审优惠，即对该供应商提供的全部产品的总报价给予</w:t>
            </w:r>
            <w:r>
              <w:rPr>
                <w:rFonts w:hint="eastAsia" w:ascii="宋体" w:hAnsi="宋体" w:eastAsia="宋体" w:cs="宋体"/>
                <w:b w:val="0"/>
                <w:bCs w:val="0"/>
                <w:strike w:val="0"/>
                <w:color w:val="000000" w:themeColor="text1"/>
                <w:sz w:val="24"/>
                <w:szCs w:val="24"/>
                <w:highlight w:val="none"/>
                <w:u w:val="single"/>
                <w:lang w:val="en-US" w:eastAsia="zh-CN" w:bidi="ar-SA"/>
              </w:rPr>
              <w:t xml:space="preserve"> 20% </w:t>
            </w:r>
            <w:r>
              <w:rPr>
                <w:rFonts w:hint="eastAsia" w:ascii="宋体" w:hAnsi="宋体" w:eastAsia="宋体" w:cs="宋体"/>
                <w:b w:val="0"/>
                <w:bCs w:val="0"/>
                <w:color w:val="000000" w:themeColor="text1"/>
                <w:sz w:val="24"/>
                <w:szCs w:val="24"/>
                <w:highlight w:val="none"/>
                <w:lang w:val="en-US" w:eastAsia="zh-CN" w:bidi="ar-SA"/>
              </w:rPr>
              <w:t xml:space="preserve">的价格扣除，用扣除后的价格参与评审。供应商未填写比例数值，或比例数值未达到</w:t>
            </w:r>
            <w:r>
              <w:rPr>
                <w:rFonts w:hint="eastAsia" w:ascii="宋体" w:hAnsi="宋体" w:eastAsia="宋体" w:cs="宋体"/>
                <w:b w:val="0"/>
                <w:bCs w:val="0"/>
                <w:strike w:val="0"/>
                <w:color w:val="000000" w:themeColor="text1"/>
                <w:sz w:val="24"/>
                <w:szCs w:val="24"/>
                <w:highlight w:val="none"/>
                <w:u w:val="single"/>
                <w:lang w:val="en-US" w:eastAsia="zh-CN" w:bidi="ar-SA"/>
              </w:rPr>
              <w:t xml:space="preserve"> 80% </w:t>
            </w:r>
            <w:r>
              <w:rPr>
                <w:rFonts w:hint="eastAsia" w:ascii="宋体" w:hAnsi="宋体" w:eastAsia="宋体" w:cs="宋体"/>
                <w:b w:val="0"/>
                <w:bCs w:val="0"/>
                <w:color w:val="000000" w:themeColor="text1"/>
                <w:sz w:val="24"/>
                <w:szCs w:val="24"/>
                <w:highlight w:val="none"/>
                <w:lang w:val="en-US" w:eastAsia="zh-CN" w:bidi="ar-SA"/>
              </w:rPr>
              <w:t xml:space="preserve">的，将不享受本国产品价格评审优惠。</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p>
            <w:pPr>
              <w:pStyle w:val="1012"/>
              <w:ind w:firstLine="480"/>
              <w:jc w:val="both"/>
              <w:spacing w:line="400" w:lineRule="exact"/>
              <w:widowControl w:val="off"/>
              <w:rPr>
                <w:rFonts w:hint="eastAsia" w:ascii="宋体" w:hAnsi="宋体" w:eastAsia="宋体" w:cs="宋体"/>
                <w:b w:val="0"/>
                <w:bCs w:val="0"/>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szCs w:val="24"/>
                <w:highlight w:val="none"/>
                <w:lang w:val="en-US" w:eastAsia="zh-CN" w:bidi="ar-SA"/>
              </w:rPr>
              <w:t xml:space="preserve">3.供应商需按照招标文件的要求提供《关于符合本国产品标准的声明函》（以下简称《声明函》），如不提供将不享受本国产品价格评审优惠。</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p>
            <w:pPr>
              <w:pStyle w:val="1012"/>
              <w:ind w:firstLine="480"/>
              <w:jc w:val="both"/>
              <w:spacing w:line="400" w:lineRule="exact"/>
              <w:widowControl w:val="off"/>
              <w:rPr>
                <w:rFonts w:hint="eastAsia" w:ascii="宋体" w:hAnsi="宋体" w:eastAsia="宋体" w:cs="宋体"/>
                <w:b w:val="0"/>
                <w:bCs w:val="0"/>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szCs w:val="24"/>
                <w:highlight w:val="none"/>
                <w:lang w:val="en-US" w:eastAsia="zh-CN" w:bidi="ar-SA"/>
              </w:rPr>
              <w:t xml:space="preserve">4.</w:t>
            </w:r>
            <w:r>
              <w:rPr>
                <w:rFonts w:hint="eastAsia" w:ascii="宋体" w:hAnsi="宋体" w:eastAsia="宋体" w:cs="宋体"/>
                <w:color w:val="000000" w:themeColor="text1"/>
                <w:sz w:val="24"/>
                <w:szCs w:val="24"/>
                <w:highlight w:val="none"/>
                <w:lang w:val="en-US" w:eastAsia="zh-CN" w:bidi="ar-SA"/>
              </w:rPr>
              <w:t xml:space="preserve">供应商需在《声明函》中逐一、准确填写产品名称、厂名、生产厂址三项信息（《声明函》中标注</w:t>
            </w:r>
            <w:r>
              <w:rPr>
                <w:rFonts w:hint="eastAsia" w:ascii="宋体" w:hAnsi="宋体" w:eastAsia="宋体" w:cs="宋体"/>
                <w:color w:val="000000" w:themeColor="text1"/>
                <w:sz w:val="24"/>
                <w:szCs w:val="24"/>
                <w:highlight w:val="none"/>
                <w:u w:val="single"/>
                <w:lang w:val="en-US" w:eastAsia="zh-CN" w:bidi="ar-SA"/>
              </w:rPr>
              <w:t xml:space="preserve">“  /  ”</w:t>
            </w:r>
            <w:r>
              <w:rPr>
                <w:rFonts w:hint="eastAsia" w:ascii="宋体" w:hAnsi="宋体" w:eastAsia="宋体" w:cs="宋体"/>
                <w:color w:val="000000" w:themeColor="text1"/>
                <w:sz w:val="24"/>
                <w:szCs w:val="24"/>
                <w:highlight w:val="none"/>
                <w:lang w:val="en-US" w:eastAsia="zh-CN" w:bidi="ar-SA"/>
              </w:rPr>
              <w:t xml:space="preserve">的地方无需填写），三项信息中任意一项未填写的视为该项产品不符合本国产品标准，不享受本国产品价格评审优惠</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p>
            <w:pPr>
              <w:pStyle w:val="1012"/>
              <w:ind w:firstLine="480"/>
              <w:jc w:val="both"/>
              <w:spacing w:line="400" w:lineRule="exact"/>
              <w:widowControl w:val="off"/>
              <w:rPr>
                <w:rFonts w:hint="eastAsia" w:ascii="宋体" w:hAnsi="宋体" w:eastAsia="宋体" w:cs="宋体"/>
                <w:b w:val="0"/>
                <w:bCs w:val="0"/>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szCs w:val="24"/>
                <w:highlight w:val="none"/>
                <w:lang w:val="en-US" w:eastAsia="zh-CN" w:bidi="ar-SA"/>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p>
            <w:pPr>
              <w:pStyle w:val="1012"/>
              <w:ind w:right="0" w:firstLine="484"/>
              <w:jc w:val="both"/>
              <w:keepLines w:val="0"/>
              <w:keepNext w:val="0"/>
              <w:pageBreakBefore w:val="0"/>
              <w:spacing w:line="400" w:lineRule="exact"/>
              <w:widowControl w:val="off"/>
              <w:tabs>
                <w:tab w:val="left" w:pos="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（说明：1.</w:t>
            </w:r>
            <w:r>
              <w:rPr>
                <w:rFonts w:hint="eastAsia" w:ascii="宋体" w:hAnsi="宋体" w:eastAsia="宋体" w:cs="宋体"/>
                <w:color w:val="000000" w:themeColor="text1"/>
                <w:sz w:val="24"/>
                <w:szCs w:val="24"/>
                <w:highlight w:val="none"/>
                <w:lang w:val="en-GB" w:eastAsia="zh-CN" w:bidi="ar-SA"/>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themeColor="text1"/>
                <w:sz w:val="24"/>
                <w:szCs w:val="24"/>
                <w:highlight w:val="none"/>
                <w:lang w:val="en-US" w:eastAsia="zh-CN" w:bidi="ar-SA"/>
              </w:rPr>
              <w:t xml:space="preserve">；2.</w:t>
            </w:r>
            <w:r>
              <w:rPr>
                <w:rFonts w:hint="eastAsia" w:ascii="宋体" w:hAnsi="宋体" w:eastAsia="宋体" w:cs="宋体"/>
                <w:color w:val="000000" w:themeColor="text1"/>
                <w:sz w:val="24"/>
                <w:szCs w:val="24"/>
                <w:highlight w:val="none"/>
                <w:lang w:val="en-GB" w:eastAsia="zh-CN" w:bidi="ar-SA"/>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right="0" w:firstLine="484"/>
              <w:jc w:val="both"/>
              <w:keepLines w:val="0"/>
              <w:keepNext w:val="0"/>
              <w:pageBreakBefore w:val="0"/>
              <w:spacing w:line="400" w:lineRule="exact"/>
              <w:widowControl w:val="off"/>
              <w:tabs>
                <w:tab w:val="left" w:pos="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GB" w:eastAsia="zh-CN" w:bidi="ar-SA"/>
              </w:rPr>
              <w:t xml:space="preserve">注：</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right="0" w:firstLine="484"/>
              <w:jc w:val="both"/>
              <w:keepLines w:val="0"/>
              <w:keepNext w:val="0"/>
              <w:pageBreakBefore w:val="0"/>
              <w:spacing w:line="400" w:lineRule="exact"/>
              <w:widowControl w:val="off"/>
              <w:tabs>
                <w:tab w:val="left" w:pos="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GB" w:eastAsia="zh-CN" w:bidi="ar-SA"/>
              </w:rPr>
              <w:t xml:space="preserve">1.投标人应对以上文件的合法性、真实性负责。</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right="0" w:firstLine="484"/>
              <w:jc w:val="both"/>
              <w:keepLines w:val="0"/>
              <w:keepNext w:val="0"/>
              <w:pageBreakBefore w:val="0"/>
              <w:spacing w:line="400" w:lineRule="exact"/>
              <w:widowControl w:val="off"/>
              <w:tabs>
                <w:tab w:val="left" w:pos="0" w:leader="none"/>
              </w:tabs>
              <w:rPr>
                <w:rFonts w:hint="eastAsia" w:ascii="宋体" w:hAnsi="宋体" w:eastAsia="方正仿宋_GB2312" w:cs="宋体"/>
                <w:bCs/>
                <w:color w:val="000000" w:themeColor="text1"/>
                <w:sz w:val="24"/>
                <w:szCs w:val="24"/>
                <w:highlight w:val="none"/>
              </w:rPr>
            </w:pPr>
            <w:r>
              <w:rPr>
                <w:rFonts w:hint="eastAsia" w:ascii="宋体" w:hAnsi="宋体" w:eastAsia="宋体" w:cs="宋体"/>
                <w:color w:val="000000" w:themeColor="text1"/>
                <w:sz w:val="24"/>
                <w:szCs w:val="24"/>
                <w:highlight w:val="none"/>
                <w:lang w:val="en-GB" w:eastAsia="zh-CN" w:bidi="ar-SA"/>
              </w:rPr>
              <w:t xml:space="preserve">2.签订合同前，中标人必须向采购人提交其投标文件中所有扫描件的原件，采购人核查（核对）无误后，签订合同。如中标人不能在采购人规定的时间内向采</w:t>
            </w:r>
            <w:r>
              <w:rPr>
                <w:rFonts w:hint="eastAsia" w:ascii="宋体" w:hAnsi="宋体" w:eastAsia="宋体" w:cs="宋体"/>
                <w:color w:val="000000" w:themeColor="text1"/>
                <w:sz w:val="24"/>
                <w:szCs w:val="24"/>
                <w:highlight w:val="none"/>
                <w:lang w:val="en-US" w:eastAsia="zh-CN" w:bidi="ar-SA"/>
              </w:rPr>
              <w:t xml:space="preserve">购人提供原件，将被采购人认定为具有《中华人民共和国政府采购法》第七十七条所规定的“提供虚假材料谋取中标、成交的”情形，并承担相应的法律责任。特别要求的除外。</w:t>
            </w:r>
            <w:r>
              <w:rPr>
                <w:rFonts w:hint="eastAsia" w:ascii="宋体" w:hAnsi="宋体" w:eastAsia="方正仿宋_GB2312" w:cs="宋体"/>
                <w:bCs/>
                <w:color w:val="000000" w:themeColor="text1"/>
                <w:sz w:val="24"/>
                <w:szCs w:val="24"/>
                <w:highlight w:val="none"/>
                <w:lang w:val="en-US" w:eastAsia="zh-CN" w:bidi="ar-SA"/>
              </w:rPr>
            </w:r>
            <w:r>
              <w:rPr>
                <w:color w:val="000000" w:themeColor="text1"/>
              </w:rPr>
            </w:r>
          </w:p>
        </w:tc>
      </w:tr>
      <w:tr>
        <w:trPr/>
        <w:tc>
          <w:tcPr>
            <w:tcW w:w="1246" w:type="dxa"/>
            <w:vAlign w:val="top"/>
            <w:textDirection w:val="lrTb"/>
            <w:noWrap w:val="false"/>
          </w:tcPr>
          <w:p>
            <w:pPr>
              <w:pStyle w:val="1012"/>
              <w:ind w:firstLine="0"/>
              <w:jc w:val="center"/>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13.2</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8386" w:type="dxa"/>
            <w:vAlign w:val="top"/>
            <w:textDirection w:val="lrTb"/>
            <w:noWrap w:val="false"/>
          </w:tcPr>
          <w:p>
            <w:pPr>
              <w:pStyle w:val="1012"/>
              <w:ind w:firstLine="480"/>
              <w:jc w:val="both"/>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商务条件见：</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firstLine="480"/>
              <w:jc w:val="both"/>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1.招标文件第四章《评标标准》</w:t>
            </w:r>
            <w:r>
              <w:rPr>
                <w:rFonts w:hint="eastAsia" w:ascii="宋体" w:hAnsi="宋体" w:eastAsia="宋体" w:cs="宋体"/>
                <w:bCs/>
                <w:color w:val="000000" w:themeColor="text1"/>
                <w:sz w:val="24"/>
                <w:szCs w:val="24"/>
                <w:highlight w:val="none"/>
                <w:lang w:val="en-US" w:eastAsia="zh-CN" w:bidi="ar-SA"/>
              </w:rPr>
              <w:t xml:space="preserve">中的《评审细则》</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firstLine="480"/>
              <w:jc w:val="both"/>
              <w:spacing w:line="400" w:lineRule="exact"/>
              <w:widowControl w:val="off"/>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2.招标文件第三章《投标资料表》中12.1和12.2</w:t>
            </w:r>
            <w:r>
              <w:rPr>
                <w:rFonts w:hint="eastAsia" w:ascii="宋体" w:hAnsi="宋体" w:eastAsia="宋体" w:cs="宋体"/>
                <w:bCs/>
                <w:color w:val="000000" w:themeColor="text1"/>
                <w:sz w:val="24"/>
                <w:szCs w:val="24"/>
                <w:highlight w:val="none"/>
                <w:lang w:val="en-US" w:eastAsia="zh-CN" w:bidi="ar-SA"/>
              </w:rPr>
            </w:r>
            <w:r>
              <w:rPr>
                <w:color w:val="000000" w:themeColor="text1"/>
              </w:rPr>
            </w:r>
          </w:p>
        </w:tc>
      </w:tr>
      <w:tr>
        <w:trPr>
          <w:trHeight w:val="454"/>
        </w:trPr>
        <w:tc>
          <w:tcPr>
            <w:tcW w:w="1246" w:type="dxa"/>
            <w:vAlign w:val="top"/>
            <w:textDirection w:val="lrTb"/>
            <w:noWrap w:val="false"/>
          </w:tcPr>
          <w:p>
            <w:pPr>
              <w:pStyle w:val="1012"/>
              <w:ind w:firstLine="0"/>
              <w:jc w:val="center"/>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13.3</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8386" w:type="dxa"/>
            <w:vAlign w:val="top"/>
            <w:textDirection w:val="lrTb"/>
            <w:noWrap w:val="false"/>
          </w:tcPr>
          <w:p>
            <w:pPr>
              <w:pStyle w:val="1012"/>
              <w:ind w:firstLine="480"/>
              <w:jc w:val="both"/>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交货和提供服务的时间见：招标文件第五章 《拟签订的合同文本》及招标文件第六章《采购需求》。</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246" w:type="dxa"/>
            <w:vAlign w:val="top"/>
            <w:textDirection w:val="lrTb"/>
            <w:noWrap w:val="false"/>
          </w:tcPr>
          <w:p>
            <w:pPr>
              <w:pStyle w:val="1012"/>
              <w:ind w:firstLine="0"/>
              <w:jc w:val="center"/>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14.6</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8386" w:type="dxa"/>
            <w:vAlign w:val="top"/>
            <w:textDirection w:val="lrTb"/>
            <w:noWrap w:val="false"/>
          </w:tcPr>
          <w:p>
            <w:pPr>
              <w:pStyle w:val="1012"/>
              <w:ind w:left="0" w:firstLine="480"/>
              <w:jc w:val="both"/>
              <w:spacing w:line="400" w:lineRule="exact"/>
              <w:widowControl/>
              <w:rPr>
                <w:rFonts w:ascii="方正仿宋_GB2312" w:hAnsi="Times New Roman" w:eastAsia="宋体" w:cs="Times New Roman"/>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采购项目预算金额：351万元</w:t>
            </w:r>
            <w:r>
              <w:rPr>
                <w:rFonts w:ascii="方正仿宋_GB2312" w:hAnsi="Times New Roman" w:eastAsia="宋体" w:cs="Times New Roman"/>
                <w:color w:val="000000" w:themeColor="text1"/>
                <w:sz w:val="24"/>
                <w:szCs w:val="24"/>
                <w:highlight w:val="none"/>
                <w:lang w:val="en-US" w:eastAsia="zh-CN" w:bidi="ar-SA"/>
              </w:rPr>
            </w:r>
            <w:r>
              <w:rPr>
                <w:color w:val="000000" w:themeColor="text1"/>
              </w:rPr>
            </w:r>
          </w:p>
        </w:tc>
      </w:tr>
      <w:tr>
        <w:trPr/>
        <w:tc>
          <w:tcPr>
            <w:tcW w:w="1246" w:type="dxa"/>
            <w:vAlign w:val="top"/>
            <w:textDirection w:val="lrTb"/>
            <w:noWrap w:val="false"/>
          </w:tcPr>
          <w:p>
            <w:pPr>
              <w:pStyle w:val="1012"/>
              <w:ind w:firstLine="0"/>
              <w:jc w:val="center"/>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15.1</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8386" w:type="dxa"/>
            <w:vAlign w:val="top"/>
            <w:textDirection w:val="lrTb"/>
            <w:noWrap w:val="false"/>
          </w:tcPr>
          <w:p>
            <w:pPr>
              <w:pStyle w:val="1012"/>
              <w:ind w:left="0" w:firstLine="480"/>
              <w:jc w:val="both"/>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以人民币报价。</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246" w:type="dxa"/>
            <w:vAlign w:val="top"/>
            <w:textDirection w:val="lrTb"/>
            <w:noWrap w:val="false"/>
          </w:tcPr>
          <w:p>
            <w:pPr>
              <w:pStyle w:val="1012"/>
              <w:ind w:firstLine="0"/>
              <w:jc w:val="center"/>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16.1</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8386" w:type="dxa"/>
            <w:vAlign w:val="top"/>
            <w:textDirection w:val="lrTb"/>
            <w:noWrap w:val="false"/>
          </w:tcPr>
          <w:p>
            <w:pPr>
              <w:pStyle w:val="1012"/>
              <w:ind w:firstLine="480"/>
              <w:jc w:val="both"/>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一、投标保证金：无</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246" w:type="dxa"/>
            <w:vAlign w:val="top"/>
            <w:textDirection w:val="lrTb"/>
            <w:noWrap w:val="false"/>
          </w:tcPr>
          <w:p>
            <w:pPr>
              <w:pStyle w:val="1012"/>
              <w:ind w:firstLine="0"/>
              <w:jc w:val="center"/>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249"/>
              <w:ind w:firstLine="0"/>
              <w:jc w:val="center"/>
              <w:spacing w:after="0"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18.1</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8386" w:type="dxa"/>
            <w:vAlign w:val="top"/>
            <w:textDirection w:val="lrTb"/>
            <w:noWrap w:val="false"/>
          </w:tcPr>
          <w:p>
            <w:pPr>
              <w:pStyle w:val="1012"/>
              <w:ind w:firstLine="480"/>
              <w:jc w:val="both"/>
              <w:spacing w:line="400" w:lineRule="exact"/>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rPr>
              <w:t xml:space="preserve">投标人应当通过“苏采云”系统提交数据电文形式的投标文件（即电子投标）。</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firstLine="480"/>
              <w:jc w:val="both"/>
              <w:spacing w:line="400" w:lineRule="exact"/>
              <w:widowControl w:val="off"/>
              <w:rPr>
                <w:rFonts w:hint="eastAsia" w:ascii="宋体" w:hAnsi="宋体" w:eastAsia="宋体" w:cs="宋体"/>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rPr>
              <w:t xml:space="preserve">特别说明：通过“苏采云”系统提交政府采购客户端工具导出加密的投标文件（后缀名为zip）。</w:t>
            </w:r>
            <w:r>
              <w:rPr>
                <w:rFonts w:hint="eastAsia" w:ascii="宋体" w:hAnsi="宋体" w:eastAsia="宋体" w:cs="宋体"/>
                <w:b/>
                <w:bCs/>
                <w:color w:val="000000" w:themeColor="text1"/>
                <w:sz w:val="24"/>
                <w:szCs w:val="24"/>
                <w:highlight w:val="none"/>
                <w:lang w:val="en-US" w:eastAsia="zh-CN" w:bidi="ar-SA"/>
              </w:rPr>
              <w:t xml:space="preserve">投标文件不得超过150M！</w:t>
            </w:r>
            <w:r>
              <w:rPr>
                <w:rFonts w:hint="eastAsia" w:ascii="宋体" w:hAnsi="宋体" w:eastAsia="宋体" w:cs="宋体"/>
                <w:bCs/>
                <w:color w:val="000000" w:themeColor="text1"/>
                <w:sz w:val="24"/>
                <w:szCs w:val="24"/>
                <w:highlight w:val="none"/>
                <w:lang w:val="en-US" w:eastAsia="zh-CN" w:bidi="ar-SA"/>
              </w:rPr>
            </w:r>
            <w:r>
              <w:rPr>
                <w:color w:val="000000" w:themeColor="text1"/>
              </w:rPr>
            </w:r>
          </w:p>
        </w:tc>
      </w:tr>
      <w:tr>
        <w:trPr/>
        <w:tc>
          <w:tcPr>
            <w:tcW w:w="1246" w:type="dxa"/>
            <w:vAlign w:val="top"/>
            <w:textDirection w:val="lrTb"/>
            <w:noWrap w:val="false"/>
          </w:tcPr>
          <w:p>
            <w:pPr>
              <w:pStyle w:val="1012"/>
              <w:ind w:firstLine="0"/>
              <w:jc w:val="center"/>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19.1</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8386" w:type="dxa"/>
            <w:vAlign w:val="top"/>
            <w:textDirection w:val="lrTb"/>
            <w:noWrap w:val="false"/>
          </w:tcPr>
          <w:p>
            <w:pPr>
              <w:pStyle w:val="1012"/>
              <w:ind w:firstLine="480"/>
              <w:jc w:val="both"/>
              <w:spacing w:line="400" w:lineRule="exact"/>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rPr>
              <w:t xml:space="preserve">电子投标文件的加密、签署、盖章要求：</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firstLine="480"/>
              <w:jc w:val="both"/>
              <w:spacing w:line="400" w:lineRule="exact"/>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rPr>
              <w:t xml:space="preserve">1.投标文件的加密要求：</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firstLine="480"/>
              <w:jc w:val="both"/>
              <w:spacing w:line="400" w:lineRule="exact"/>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rPr>
              <w:t xml:space="preserve">投标人应当按照招标文件和“苏采云”系统的要求编制并加密投标文件。本项目投标人须通过“苏采云”系统提供的政府采购客户端工具（使用“CA数字证书”）对其数据电文形式的投标文件加密。</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firstLine="480"/>
              <w:jc w:val="both"/>
              <w:spacing w:line="400" w:lineRule="exact"/>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rPr>
              <w:t xml:space="preserve">2.投标文件的签署要求：见招标文件第七章《投标文件相关格式》。</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firstLine="480"/>
              <w:jc w:val="both"/>
              <w:spacing w:line="400" w:lineRule="exact"/>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rPr>
              <w:t xml:space="preserve">3.投标文件的盖章要求：见招标文件第三章《投标资料表》12.1和招标文件第七章《投标文件相关格式》。投标人须通过“苏采云”系统提供的政府采购客户端工具（使用“CA数字证书”）加盖电子签章。</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246" w:type="dxa"/>
            <w:vAlign w:val="top"/>
            <w:textDirection w:val="lrTb"/>
            <w:noWrap w:val="false"/>
          </w:tcPr>
          <w:p>
            <w:pPr>
              <w:pStyle w:val="1012"/>
              <w:ind w:firstLine="0"/>
              <w:jc w:val="center"/>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19.2</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8386" w:type="dxa"/>
            <w:vAlign w:val="top"/>
            <w:textDirection w:val="lrTb"/>
            <w:noWrap w:val="false"/>
          </w:tcPr>
          <w:p>
            <w:pPr>
              <w:pStyle w:val="1012"/>
              <w:ind w:left="480" w:firstLine="0"/>
              <w:jc w:val="both"/>
              <w:spacing w:line="400" w:lineRule="exact"/>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rPr>
              <w:t xml:space="preserve">投标文件的提交与接收： </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left="480" w:firstLine="0"/>
              <w:jc w:val="both"/>
              <w:spacing w:line="400" w:lineRule="exact"/>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rPr>
              <w:t xml:space="preserve">1.提交投标文件截止时间</w:t>
            </w:r>
            <w:r>
              <w:rPr>
                <w:rFonts w:hint="eastAsia" w:ascii="宋体" w:hAnsi="宋体" w:eastAsia="宋体" w:cs="宋体"/>
                <w:b w:val="0"/>
                <w:bCs w:val="0"/>
                <w:color w:val="000000" w:themeColor="text1"/>
                <w:sz w:val="24"/>
                <w:szCs w:val="24"/>
                <w:highlight w:val="none"/>
                <w:lang w:val="en-US" w:eastAsia="zh-CN" w:bidi="ar-SA"/>
              </w:rPr>
              <w:t xml:space="preserve">：</w:t>
            </w:r>
            <w:r>
              <w:rPr>
                <w:rFonts w:hint="eastAsia" w:ascii="宋体" w:hAnsi="宋体" w:eastAsia="宋体" w:cs="宋体"/>
                <w:b/>
                <w:bCs/>
                <w:color w:val="000000" w:themeColor="text1"/>
                <w:sz w:val="24"/>
                <w:szCs w:val="24"/>
                <w:highlight w:val="none"/>
                <w:lang w:val="en-US" w:eastAsia="zh-CN" w:bidi="ar-SA"/>
              </w:rPr>
              <w:t xml:space="preserve">2026年9月3日北京时间09:30；</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firstLine="480"/>
              <w:jc w:val="both"/>
              <w:spacing w:line="400" w:lineRule="exact"/>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rPr>
              <w:t xml:space="preserve">2.投标文件提交与接收地点：投标人应当通过“苏采云”系统提交数据电文形式的投标文件（即电子投标），“苏采云”系统自动接收。</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246" w:type="dxa"/>
            <w:vAlign w:val="top"/>
            <w:textDirection w:val="lrTb"/>
            <w:noWrap w:val="false"/>
          </w:tcPr>
          <w:p>
            <w:pPr>
              <w:pStyle w:val="1012"/>
              <w:ind w:firstLine="0"/>
              <w:jc w:val="center"/>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20.</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8386" w:type="dxa"/>
            <w:vAlign w:val="top"/>
            <w:textDirection w:val="lrTb"/>
            <w:noWrap w:val="false"/>
          </w:tcPr>
          <w:p>
            <w:pPr>
              <w:pStyle w:val="1012"/>
              <w:ind w:firstLine="480"/>
              <w:jc w:val="both"/>
              <w:spacing w:line="400" w:lineRule="exact"/>
              <w:shd w:val="clear" w:color="ffffff" w:fill="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rPr>
              <w:t xml:space="preserve">投标人应当在投标截止时间前完成投标文件的传输提交，并可以补充、修改或者撤回投标文件。</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firstLine="480"/>
              <w:jc w:val="both"/>
              <w:spacing w:line="400" w:lineRule="exact"/>
              <w:shd w:val="clear" w:color="ffffff" w:fill="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rPr>
              <w:t xml:space="preserve">补充、修改投标文件的，须先撤回投标文件，重新编制（即补充、修改）投标文件，在投标截止时间前完成投标文件的传输提交。</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firstLine="480"/>
              <w:jc w:val="both"/>
              <w:spacing w:line="400" w:lineRule="exact"/>
              <w:shd w:val="clear" w:color="ffffff" w:fill="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rPr>
              <w:t xml:space="preserve">投标截止时间前未完成投标文件传输的，视为撤回投标文件。投标截止时间后送达的投标文件，“苏采云”系统应当拒收。</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firstLine="480"/>
              <w:jc w:val="both"/>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苏采云”系统收到投标人送达的投标文件，即时向投标人发出确认回执通知（提示），并妥善保存投标文件。在投标截止时间前，除投标人补充、修改或者撤回投标文件外，任何单位和个人不得解密、提取投标文件。</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246" w:type="dxa"/>
            <w:vAlign w:val="top"/>
            <w:textDirection w:val="lrTb"/>
            <w:noWrap w:val="false"/>
          </w:tcPr>
          <w:p>
            <w:pPr>
              <w:pStyle w:val="1012"/>
              <w:ind w:firstLine="0"/>
              <w:jc w:val="center"/>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21.2</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8386" w:type="dxa"/>
            <w:vAlign w:val="top"/>
            <w:textDirection w:val="lrTb"/>
            <w:noWrap w:val="false"/>
          </w:tcPr>
          <w:p>
            <w:pPr>
              <w:pStyle w:val="1082"/>
              <w:ind w:firstLine="480"/>
              <w:jc w:val="both"/>
              <w:spacing w:line="40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招标文件对本项目分包的规定：采购人不允许采用分包方式履行合同。</w:t>
            </w:r>
            <w:r>
              <w:rPr>
                <w:rFonts w:hint="eastAsia" w:ascii="宋体" w:hAnsi="宋体" w:eastAsia="宋体" w:cs="宋体"/>
                <w:b/>
                <w:bCs/>
                <w:color w:val="000000" w:themeColor="text1"/>
                <w:sz w:val="24"/>
                <w:szCs w:val="24"/>
                <w:highlight w:val="none"/>
                <w:lang w:val="en-US" w:eastAsia="zh-CN" w:bidi="ar-SA"/>
              </w:rPr>
            </w:r>
            <w:r>
              <w:rPr>
                <w:color w:val="000000" w:themeColor="text1"/>
              </w:rPr>
            </w:r>
          </w:p>
        </w:tc>
      </w:tr>
      <w:tr>
        <w:trPr/>
        <w:tc>
          <w:tcPr>
            <w:tcW w:w="1246" w:type="dxa"/>
            <w:vAlign w:val="top"/>
            <w:textDirection w:val="lrTb"/>
            <w:noWrap w:val="false"/>
          </w:tcPr>
          <w:p>
            <w:pPr>
              <w:pStyle w:val="1012"/>
              <w:ind w:firstLine="0"/>
              <w:jc w:val="center"/>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8386" w:type="dxa"/>
            <w:vAlign w:val="top"/>
            <w:textDirection w:val="lrTb"/>
            <w:noWrap w:val="false"/>
          </w:tcPr>
          <w:p>
            <w:pPr>
              <w:pStyle w:val="1012"/>
              <w:ind w:left="0" w:firstLine="0"/>
              <w:jc w:val="center"/>
              <w:spacing w:line="400" w:lineRule="exact"/>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bidi="ar-SA"/>
              </w:rPr>
              <w:t xml:space="preserve">四、开标</w:t>
            </w:r>
            <w:r>
              <w:rPr>
                <w:rFonts w:hint="eastAsia" w:ascii="宋体" w:hAnsi="宋体" w:eastAsia="宋体" w:cs="宋体"/>
                <w:b/>
                <w:color w:val="000000" w:themeColor="text1"/>
                <w:sz w:val="24"/>
                <w:szCs w:val="24"/>
                <w:highlight w:val="none"/>
                <w:lang w:val="en-US" w:eastAsia="zh-CN" w:bidi="ar-SA"/>
              </w:rPr>
            </w:r>
            <w:r>
              <w:rPr>
                <w:color w:val="000000" w:themeColor="text1"/>
              </w:rPr>
            </w:r>
          </w:p>
        </w:tc>
      </w:tr>
      <w:tr>
        <w:trPr>
          <w:trHeight w:val="682"/>
        </w:trPr>
        <w:tc>
          <w:tcPr>
            <w:tcW w:w="1246" w:type="dxa"/>
            <w:vAlign w:val="top"/>
            <w:textDirection w:val="lrTb"/>
            <w:noWrap w:val="false"/>
          </w:tcPr>
          <w:p>
            <w:pPr>
              <w:pStyle w:val="1012"/>
              <w:ind w:firstLine="0"/>
              <w:jc w:val="center"/>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24.1</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8386" w:type="dxa"/>
            <w:vAlign w:val="top"/>
            <w:textDirection w:val="lrTb"/>
            <w:noWrap w:val="false"/>
          </w:tcPr>
          <w:p>
            <w:pPr>
              <w:pStyle w:val="1012"/>
              <w:ind w:firstLine="480"/>
              <w:jc w:val="both"/>
              <w:spacing w:line="400" w:lineRule="exact"/>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rPr>
              <w:t xml:space="preserve">开标时间及地点：</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firstLine="480"/>
              <w:jc w:val="both"/>
              <w:spacing w:line="400" w:lineRule="exact"/>
              <w:widowControl w:val="off"/>
              <w:rPr>
                <w:rFonts w:hint="eastAsia" w:ascii="宋体" w:hAnsi="宋体" w:eastAsia="宋体" w:cs="宋体"/>
                <w:b/>
                <w:bCs w:val="0"/>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rPr>
              <w:t xml:space="preserve">1.开标时间：2026年9月3日</w:t>
            </w:r>
            <w:r>
              <w:rPr>
                <w:rFonts w:hint="eastAsia" w:ascii="宋体" w:hAnsi="宋体" w:eastAsia="宋体" w:cs="宋体"/>
                <w:b/>
                <w:bCs/>
                <w:color w:val="000000" w:themeColor="text1"/>
                <w:sz w:val="24"/>
                <w:szCs w:val="24"/>
                <w:highlight w:val="none"/>
                <w:lang w:val="en-US" w:eastAsia="zh-CN" w:bidi="ar-SA"/>
              </w:rPr>
              <w:t xml:space="preserve">北京时间09:30</w:t>
            </w:r>
            <w:r>
              <w:rPr>
                <w:rFonts w:hint="eastAsia" w:ascii="宋体" w:hAnsi="宋体" w:eastAsia="宋体" w:cs="宋体"/>
                <w:b/>
                <w:bCs w:val="0"/>
                <w:color w:val="000000" w:themeColor="text1"/>
                <w:sz w:val="24"/>
                <w:szCs w:val="24"/>
                <w:highlight w:val="none"/>
                <w:lang w:val="en-US" w:eastAsia="zh-CN" w:bidi="ar-SA"/>
              </w:rPr>
            </w:r>
            <w:r>
              <w:rPr>
                <w:color w:val="000000" w:themeColor="text1"/>
              </w:rPr>
            </w:r>
          </w:p>
          <w:p>
            <w:pPr>
              <w:pStyle w:val="1012"/>
              <w:ind w:firstLine="480"/>
              <w:jc w:val="left"/>
              <w:spacing w:line="400" w:lineRule="exact"/>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rPr>
              <w:t xml:space="preserve">2.开标地点：“苏采云”系统（网址： http://jszfcg.jsczt.cn/）“开标大厅”或进入徐州政府采购网（网址：https://czj.xz.gov.cn/zfcg/）--业务工作--用户登录，点击“苏采云”进入系统“开标大厅”。</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682"/>
        </w:trPr>
        <w:tc>
          <w:tcPr>
            <w:tcW w:w="1246" w:type="dxa"/>
            <w:vAlign w:val="top"/>
            <w:textDirection w:val="lrTb"/>
            <w:noWrap w:val="false"/>
          </w:tcPr>
          <w:p>
            <w:pPr>
              <w:pStyle w:val="1012"/>
              <w:ind w:firstLine="0"/>
              <w:jc w:val="center"/>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24.3</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8386" w:type="dxa"/>
            <w:vAlign w:val="top"/>
            <w:textDirection w:val="lrTb"/>
            <w:noWrap w:val="false"/>
          </w:tcPr>
          <w:p>
            <w:pPr>
              <w:pStyle w:val="1012"/>
              <w:ind w:firstLine="480"/>
              <w:jc w:val="left"/>
              <w:spacing w:line="400" w:lineRule="exact"/>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rPr>
              <w:t xml:space="preserve">线上开标时，“苏采云”系统自动提取所有投标文件，投标人按招标文件规定方式按时在线解密。本项目招标文件规定的投标人按时在线解密方式：</w:t>
            </w:r>
            <w:r>
              <w:rPr>
                <w:rFonts w:hint="eastAsia" w:ascii="宋体" w:hAnsi="宋体" w:eastAsia="宋体" w:cs="宋体"/>
                <w:b/>
                <w:bCs/>
                <w:color w:val="000000" w:themeColor="text1"/>
                <w:sz w:val="24"/>
                <w:szCs w:val="24"/>
                <w:highlight w:val="none"/>
                <w:lang w:val="en-US" w:eastAsia="zh-CN" w:bidi="ar-SA"/>
              </w:rPr>
              <w:t xml:space="preserve">开标时间后30分钟内</w:t>
            </w:r>
            <w:r>
              <w:rPr>
                <w:rFonts w:hint="eastAsia" w:ascii="宋体" w:hAnsi="宋体" w:eastAsia="宋体" w:cs="宋体"/>
                <w:color w:val="000000" w:themeColor="text1"/>
                <w:sz w:val="24"/>
                <w:szCs w:val="24"/>
                <w:highlight w:val="none"/>
                <w:lang w:val="en-US" w:eastAsia="zh-CN" w:bidi="ar-SA"/>
              </w:rPr>
              <w:t xml:space="preserve">，通过“苏采云”系统（使用“CA数字证书”）解密。</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firstLine="480"/>
              <w:jc w:val="left"/>
              <w:spacing w:line="400" w:lineRule="exact"/>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firstLine="200"/>
              <w:jc w:val="left"/>
              <w:spacing w:line="400" w:lineRule="exact"/>
              <w:widowControl w:val="off"/>
              <w:rPr>
                <w:rFonts w:hint="eastAsia" w:ascii="方正仿宋_GB2312" w:hAnsi="Times New Roman" w:eastAsia="方正仿宋_GB2312" w:cs="Times New Roman"/>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rPr>
              <w:t xml:space="preserve">“苏采云”系统生成开标记录并向社会公众公布，但依法应当保密的除外。</w:t>
            </w:r>
            <w:r>
              <w:rPr>
                <w:rFonts w:hint="eastAsia" w:ascii="方正仿宋_GB2312" w:hAnsi="Times New Roman" w:eastAsia="方正仿宋_GB2312" w:cs="Times New Roman"/>
                <w:color w:val="000000" w:themeColor="text1"/>
                <w:sz w:val="24"/>
                <w:szCs w:val="24"/>
                <w:highlight w:val="none"/>
                <w:lang w:val="en-US" w:eastAsia="zh-CN" w:bidi="ar-SA"/>
              </w:rPr>
            </w:r>
            <w:r>
              <w:rPr>
                <w:color w:val="000000" w:themeColor="text1"/>
              </w:rPr>
            </w:r>
          </w:p>
        </w:tc>
      </w:tr>
      <w:tr>
        <w:trPr>
          <w:trHeight w:val="492"/>
        </w:trPr>
        <w:tc>
          <w:tcPr>
            <w:tcW w:w="1246" w:type="dxa"/>
            <w:vAlign w:val="top"/>
            <w:textDirection w:val="lrTb"/>
            <w:noWrap w:val="false"/>
          </w:tcPr>
          <w:p>
            <w:pPr>
              <w:pStyle w:val="1012"/>
              <w:ind w:firstLine="0"/>
              <w:jc w:val="center"/>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24.4</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8386" w:type="dxa"/>
            <w:vAlign w:val="top"/>
            <w:textDirection w:val="lrTb"/>
            <w:noWrap w:val="false"/>
          </w:tcPr>
          <w:p>
            <w:pPr>
              <w:pStyle w:val="1012"/>
              <w:ind w:firstLine="480"/>
              <w:jc w:val="both"/>
              <w:spacing w:line="400" w:lineRule="exact"/>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rPr>
              <w:t xml:space="preserve">“苏采云”系统生成开标记录并</w:t>
            </w:r>
            <w:r>
              <w:rPr>
                <w:rFonts w:hint="eastAsia" w:ascii="宋体" w:hAnsi="宋体" w:eastAsia="宋体" w:cs="宋体"/>
                <w:b/>
                <w:bCs/>
                <w:color w:val="000000" w:themeColor="text1"/>
                <w:sz w:val="24"/>
                <w:szCs w:val="24"/>
                <w:highlight w:val="none"/>
                <w:lang w:val="en-US" w:eastAsia="zh-CN" w:bidi="ar-SA"/>
              </w:rPr>
              <w:t xml:space="preserve">向社会公众公布后5分钟内</w:t>
            </w:r>
            <w:r>
              <w:rPr>
                <w:rFonts w:hint="eastAsia" w:ascii="宋体" w:hAnsi="宋体" w:eastAsia="宋体" w:cs="宋体"/>
                <w:color w:val="000000" w:themeColor="text1"/>
                <w:sz w:val="24"/>
                <w:szCs w:val="24"/>
                <w:highlight w:val="none"/>
                <w:lang w:val="en-US" w:eastAsia="zh-CN" w:bidi="ar-SA"/>
              </w:rPr>
              <w:t xml:space="preserve">，投标人通过“苏采云”系统（使用“CA数字证书”）</w:t>
            </w:r>
            <w:r>
              <w:rPr>
                <w:rFonts w:hint="eastAsia" w:ascii="宋体" w:hAnsi="宋体" w:eastAsia="宋体" w:cs="宋体"/>
                <w:b/>
                <w:bCs/>
                <w:color w:val="000000" w:themeColor="text1"/>
                <w:sz w:val="24"/>
                <w:szCs w:val="24"/>
                <w:highlight w:val="none"/>
                <w:lang w:val="en-US" w:eastAsia="zh-CN" w:bidi="ar-SA"/>
              </w:rPr>
              <w:t xml:space="preserve">确认开标过程</w:t>
            </w:r>
            <w:r>
              <w:rPr>
                <w:rFonts w:hint="eastAsia" w:ascii="宋体" w:hAnsi="宋体" w:eastAsia="宋体" w:cs="宋体"/>
                <w:color w:val="000000" w:themeColor="text1"/>
                <w:sz w:val="24"/>
                <w:szCs w:val="24"/>
                <w:highlight w:val="none"/>
                <w:lang w:val="en-US" w:eastAsia="zh-CN" w:bidi="ar-SA"/>
              </w:rPr>
              <w:t xml:space="preserve">。在以上时间内投标人没有确认的，视同该投标人认可开标结果。</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360"/>
        </w:trPr>
        <w:tc>
          <w:tcPr>
            <w:tcW w:w="1246" w:type="dxa"/>
            <w:vAlign w:val="top"/>
            <w:textDirection w:val="lrTb"/>
            <w:noWrap w:val="false"/>
          </w:tcPr>
          <w:p>
            <w:pPr>
              <w:pStyle w:val="1012"/>
              <w:ind w:firstLine="0"/>
              <w:jc w:val="center"/>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24.5</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8386" w:type="dxa"/>
            <w:vAlign w:val="top"/>
            <w:textDirection w:val="lrTb"/>
            <w:noWrap w:val="false"/>
          </w:tcPr>
          <w:p>
            <w:pPr>
              <w:pStyle w:val="1012"/>
              <w:ind w:firstLine="480"/>
              <w:jc w:val="both"/>
              <w:spacing w:line="400" w:lineRule="exact"/>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246" w:type="dxa"/>
            <w:vAlign w:val="top"/>
            <w:textDirection w:val="lrTb"/>
            <w:noWrap w:val="false"/>
          </w:tcPr>
          <w:p>
            <w:pPr>
              <w:pStyle w:val="1012"/>
              <w:ind w:firstLine="0"/>
              <w:jc w:val="center"/>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8386" w:type="dxa"/>
            <w:vAlign w:val="top"/>
            <w:textDirection w:val="lrTb"/>
            <w:noWrap w:val="false"/>
          </w:tcPr>
          <w:p>
            <w:pPr>
              <w:pStyle w:val="1012"/>
              <w:ind w:left="0" w:firstLine="0"/>
              <w:jc w:val="center"/>
              <w:spacing w:line="400" w:lineRule="exact"/>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bidi="ar-SA"/>
              </w:rPr>
              <w:t xml:space="preserve">五、评标</w:t>
            </w:r>
            <w:r>
              <w:rPr>
                <w:rFonts w:hint="eastAsia" w:ascii="宋体" w:hAnsi="宋体" w:eastAsia="宋体" w:cs="宋体"/>
                <w:b/>
                <w:color w:val="000000" w:themeColor="text1"/>
                <w:sz w:val="24"/>
                <w:szCs w:val="24"/>
                <w:highlight w:val="none"/>
                <w:lang w:val="en-US" w:eastAsia="zh-CN" w:bidi="ar-SA"/>
              </w:rPr>
            </w:r>
            <w:r>
              <w:rPr>
                <w:color w:val="000000" w:themeColor="text1"/>
              </w:rPr>
            </w:r>
          </w:p>
        </w:tc>
      </w:tr>
      <w:tr>
        <w:trPr/>
        <w:tc>
          <w:tcPr>
            <w:tcW w:w="1246" w:type="dxa"/>
            <w:vAlign w:val="top"/>
            <w:textDirection w:val="lrTb"/>
            <w:noWrap w:val="false"/>
          </w:tcPr>
          <w:p>
            <w:pPr>
              <w:pStyle w:val="1012"/>
              <w:ind w:firstLine="0"/>
              <w:jc w:val="center"/>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26.1</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8386" w:type="dxa"/>
            <w:vAlign w:val="top"/>
            <w:textDirection w:val="lrTb"/>
            <w:noWrap w:val="false"/>
          </w:tcPr>
          <w:p>
            <w:pPr>
              <w:pStyle w:val="1012"/>
              <w:ind w:firstLine="482"/>
              <w:jc w:val="both"/>
              <w:spacing w:line="400" w:lineRule="exact"/>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bidi="ar-SA"/>
              </w:rPr>
              <w:t xml:space="preserve">采用综合评分法。</w:t>
            </w:r>
            <w:r>
              <w:rPr>
                <w:rFonts w:hint="eastAsia" w:ascii="宋体" w:hAnsi="宋体" w:eastAsia="宋体" w:cs="宋体"/>
                <w:b/>
                <w:color w:val="000000" w:themeColor="text1"/>
                <w:sz w:val="24"/>
                <w:szCs w:val="24"/>
                <w:highlight w:val="none"/>
                <w:lang w:val="en-US" w:eastAsia="zh-CN" w:bidi="ar-SA"/>
              </w:rPr>
            </w:r>
            <w:r>
              <w:rPr>
                <w:color w:val="000000" w:themeColor="text1"/>
              </w:rPr>
            </w:r>
          </w:p>
        </w:tc>
      </w:tr>
      <w:tr>
        <w:trPr/>
        <w:tc>
          <w:tcPr>
            <w:tcW w:w="1246" w:type="dxa"/>
            <w:vAlign w:val="top"/>
            <w:textDirection w:val="lrTb"/>
            <w:noWrap w:val="false"/>
          </w:tcPr>
          <w:p>
            <w:pPr>
              <w:pStyle w:val="1012"/>
              <w:ind w:firstLine="0"/>
              <w:jc w:val="center"/>
              <w:spacing w:line="400" w:lineRule="exact"/>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27.1</w:t>
            </w:r>
            <w:r>
              <w:rPr>
                <w:rFonts w:ascii="宋体" w:hAnsi="宋体" w:eastAsia="宋体" w:cs="宋体"/>
                <w:color w:val="000000" w:themeColor="text1"/>
                <w:sz w:val="24"/>
                <w:szCs w:val="24"/>
                <w:highlight w:val="none"/>
                <w:lang w:val="en-US" w:eastAsia="zh-CN" w:bidi="ar-SA"/>
              </w:rPr>
            </w:r>
            <w:r>
              <w:rPr>
                <w:color w:val="000000" w:themeColor="text1"/>
              </w:rPr>
            </w:r>
          </w:p>
        </w:tc>
        <w:tc>
          <w:tcPr>
            <w:tcW w:w="8386" w:type="dxa"/>
            <w:vAlign w:val="top"/>
            <w:textDirection w:val="lrTb"/>
            <w:noWrap w:val="false"/>
          </w:tcPr>
          <w:p>
            <w:pPr>
              <w:pStyle w:val="1012"/>
              <w:ind w:firstLine="480"/>
              <w:jc w:val="both"/>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1"/>
                <w:highlight w:val="none"/>
                <w:lang w:val="en-US" w:eastAsia="zh-CN" w:bidi="ar-SA"/>
              </w:rPr>
              <w:t xml:space="preserve">评标结果按评审后得分由高到低顺序排列。</w:t>
            </w:r>
            <w:r>
              <w:rPr>
                <w:rFonts w:hint="eastAsia" w:ascii="宋体" w:hAnsi="宋体" w:eastAsia="宋体" w:cs="宋体"/>
                <w:color w:val="000000" w:themeColor="text1"/>
                <w:sz w:val="24"/>
                <w:szCs w:val="24"/>
                <w:highlight w:val="none"/>
                <w:lang w:val="en-US" w:eastAsia="zh-CN" w:bidi="ar-SA"/>
              </w:rPr>
              <w:t xml:space="preserve">得分相同的，按投标报价由低到高顺序排列。得分且投标报价相同的并列。</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firstLine="480"/>
              <w:jc w:val="both"/>
              <w:spacing w:line="400" w:lineRule="exact"/>
              <w:widowControl w:val="off"/>
              <w:rPr>
                <w:rFonts w:hint="eastAsia" w:ascii="方正仿宋_GB2312" w:hAnsi="Times New Roman" w:eastAsia="方正仿宋_GB2312" w:cs="Times New Roman"/>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rPr>
              <w:t xml:space="preserve">投标文件满足招标文件全部实质性要求，且按照评审因素的量化指标评审得分最高的投标人为排名第一的中标候选人。</w:t>
            </w:r>
            <w:r>
              <w:rPr>
                <w:rFonts w:hint="eastAsia" w:ascii="方正仿宋_GB2312" w:hAnsi="Times New Roman" w:eastAsia="方正仿宋_GB2312" w:cs="Times New Roman"/>
                <w:color w:val="000000" w:themeColor="text1"/>
                <w:sz w:val="24"/>
                <w:szCs w:val="24"/>
                <w:highlight w:val="none"/>
                <w:lang w:val="en-US" w:eastAsia="zh-CN" w:bidi="ar-SA"/>
              </w:rPr>
            </w:r>
            <w:r>
              <w:rPr>
                <w:color w:val="000000" w:themeColor="text1"/>
              </w:rPr>
            </w:r>
          </w:p>
        </w:tc>
      </w:tr>
      <w:tr>
        <w:trPr/>
        <w:tc>
          <w:tcPr>
            <w:tcW w:w="1246" w:type="dxa"/>
            <w:vAlign w:val="top"/>
            <w:textDirection w:val="lrTb"/>
            <w:noWrap w:val="false"/>
          </w:tcPr>
          <w:p>
            <w:pPr>
              <w:pStyle w:val="1012"/>
              <w:ind w:firstLine="0"/>
              <w:jc w:val="center"/>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27.3.1</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8386" w:type="dxa"/>
            <w:vAlign w:val="top"/>
            <w:textDirection w:val="lrTb"/>
            <w:noWrap w:val="false"/>
          </w:tcPr>
          <w:p>
            <w:pPr>
              <w:pStyle w:val="1012"/>
              <w:ind w:firstLine="480"/>
              <w:jc w:val="both"/>
              <w:spacing w:line="400" w:lineRule="exact"/>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rPr>
              <w:t xml:space="preserve">报价相同的，招标文件规定的确定一个投标人参加评标的方式：由采购人确定。</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firstLine="480"/>
              <w:jc w:val="both"/>
              <w:spacing w:line="400" w:lineRule="exact"/>
              <w:widowControl w:val="off"/>
              <w:rPr>
                <w:rFonts w:hint="eastAsia" w:ascii="宋体" w:hAnsi="宋体" w:eastAsia="宋体" w:cs="宋体"/>
                <w:b/>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核心产品为两个及以上的，不同投标人所投的核心产品中有部分产品为同一品牌的，按照提供相同品牌产品处理。</w:t>
            </w:r>
            <w:r>
              <w:rPr>
                <w:rFonts w:hint="eastAsia" w:ascii="宋体" w:hAnsi="宋体" w:eastAsia="宋体" w:cs="宋体"/>
                <w:b/>
                <w:color w:val="000000" w:themeColor="text1"/>
                <w:sz w:val="24"/>
                <w:szCs w:val="24"/>
                <w:highlight w:val="none"/>
                <w:lang w:val="en-US" w:eastAsia="zh-CN" w:bidi="ar-SA"/>
              </w:rPr>
            </w:r>
            <w:r>
              <w:rPr>
                <w:color w:val="000000" w:themeColor="text1"/>
              </w:rPr>
            </w:r>
          </w:p>
        </w:tc>
      </w:tr>
      <w:tr>
        <w:trPr/>
        <w:tc>
          <w:tcPr>
            <w:tcW w:w="1246" w:type="dxa"/>
            <w:vAlign w:val="top"/>
            <w:textDirection w:val="lrTb"/>
            <w:noWrap w:val="false"/>
          </w:tcPr>
          <w:p>
            <w:pPr>
              <w:pStyle w:val="1012"/>
              <w:ind w:firstLine="0"/>
              <w:jc w:val="center"/>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27.3.2</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8386" w:type="dxa"/>
            <w:vAlign w:val="top"/>
            <w:textDirection w:val="lrTb"/>
            <w:noWrap w:val="false"/>
          </w:tcPr>
          <w:p>
            <w:pPr>
              <w:pStyle w:val="1012"/>
              <w:ind w:firstLine="480"/>
              <w:jc w:val="both"/>
              <w:spacing w:line="400" w:lineRule="exact"/>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rPr>
              <w:t xml:space="preserve">评审得分相同的，招标文件规定的确定一个投标人获得中标人推荐资格的方式：由采购人确定。</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firstLine="480"/>
              <w:jc w:val="both"/>
              <w:spacing w:line="400" w:lineRule="exact"/>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rPr>
              <w:t xml:space="preserve">核心产品为两个及以上的，不同投标人所投的核心产品中有部分产品为同一品牌的，按照提供相同品牌产品处理。</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434"/>
        </w:trPr>
        <w:tc>
          <w:tcPr>
            <w:tcW w:w="1246" w:type="dxa"/>
            <w:vAlign w:val="top"/>
            <w:textDirection w:val="lrTb"/>
            <w:noWrap w:val="false"/>
          </w:tcPr>
          <w:p>
            <w:pPr>
              <w:pStyle w:val="1012"/>
              <w:ind w:firstLine="0"/>
              <w:jc w:val="center"/>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27.3.3</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8386" w:type="dxa"/>
            <w:vAlign w:val="top"/>
            <w:textDirection w:val="lrTb"/>
            <w:noWrap w:val="false"/>
          </w:tcPr>
          <w:p>
            <w:pPr>
              <w:pStyle w:val="1012"/>
              <w:ind w:left="0" w:firstLine="482"/>
              <w:jc w:val="both"/>
              <w:spacing w:line="400" w:lineRule="exact"/>
              <w:widowControl w:val="off"/>
              <w:rPr>
                <w:rFonts w:hint="eastAsia" w:ascii="宋体" w:hAnsi="宋体" w:eastAsia="宋体" w:cs="宋体"/>
                <w:b/>
                <w:bCs/>
                <w:color w:val="000000" w:themeColor="text1"/>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color w:val="000000" w:themeColor="text1"/>
                <w:sz w:val="24"/>
                <w:szCs w:val="24"/>
                <w:highlight w:val="none"/>
                <w:lang w:val="en-US" w:eastAsia="zh-CN" w:bidi="ar-SA"/>
              </w:rPr>
              <w:t xml:space="preserve">采购人根据采购项目技术构成、产品价格比重等确定核心产品：无</w:t>
            </w:r>
            <w:r>
              <w:rPr>
                <w:rFonts w:hint="eastAsia" w:ascii="宋体" w:hAnsi="宋体" w:eastAsia="宋体" w:cs="宋体"/>
                <w:b/>
                <w:bCs/>
                <w:color w:val="000000" w:themeColor="text1"/>
                <w:sz w:val="24"/>
                <w:szCs w:val="24"/>
                <w:highlight w:val="none"/>
                <w:u w:val="single"/>
                <w:lang w:val="en-US" w:eastAsia="zh-CN" w:bidi="ar-SA"/>
              </w:rPr>
            </w:r>
            <w:r>
              <w:rPr>
                <w:color w:val="000000" w:themeColor="text1"/>
              </w:rPr>
            </w:r>
          </w:p>
        </w:tc>
      </w:tr>
      <w:tr>
        <w:trPr/>
        <w:tc>
          <w:tcPr>
            <w:tcW w:w="1246" w:type="dxa"/>
            <w:vAlign w:val="top"/>
            <w:textDirection w:val="lrTb"/>
            <w:noWrap w:val="false"/>
          </w:tcPr>
          <w:p>
            <w:pPr>
              <w:pStyle w:val="1012"/>
              <w:ind w:firstLine="0"/>
              <w:jc w:val="center"/>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28.</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8386" w:type="dxa"/>
            <w:vAlign w:val="top"/>
            <w:textDirection w:val="lrTb"/>
            <w:noWrap w:val="false"/>
          </w:tcPr>
          <w:p>
            <w:pPr>
              <w:pStyle w:val="1012"/>
              <w:ind w:firstLine="480"/>
              <w:jc w:val="left"/>
              <w:keepLines w:val="0"/>
              <w:keepNext w:val="0"/>
              <w:pageBreakBefore w:val="0"/>
              <w:spacing w:line="36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1.评标中需要投标人对投标文件澄清或者说明的，应当通过“苏采云”系统交换数据电文。</w:t>
            </w:r>
            <w:r>
              <w:rPr>
                <w:rFonts w:hint="eastAsia" w:ascii="宋体" w:hAnsi="宋体" w:eastAsia="宋体" w:cs="宋体"/>
                <w:b/>
                <w:bCs/>
                <w:color w:val="000000" w:themeColor="text1"/>
                <w:sz w:val="24"/>
                <w:szCs w:val="24"/>
                <w:highlight w:val="none"/>
                <w:lang w:val="en-US" w:eastAsia="zh-CN" w:bidi="ar-SA"/>
              </w:rPr>
              <w:t xml:space="preserve">在评标期间，请投标人保持在线</w:t>
            </w:r>
            <w:r>
              <w:rPr>
                <w:rFonts w:hint="eastAsia" w:ascii="宋体" w:hAnsi="宋体" w:eastAsia="宋体" w:cs="宋体"/>
                <w:color w:val="000000" w:themeColor="text1"/>
                <w:sz w:val="24"/>
                <w:szCs w:val="24"/>
                <w:highlight w:val="none"/>
                <w:lang w:val="en-US" w:eastAsia="zh-CN" w:bidi="ar-SA"/>
              </w:rPr>
              <w:t xml:space="preserve">。</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firstLine="480"/>
              <w:jc w:val="left"/>
              <w:keepLines w:val="0"/>
              <w:keepNext w:val="0"/>
              <w:pageBreakBefore w:val="0"/>
              <w:spacing w:line="36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firstLine="480"/>
              <w:jc w:val="left"/>
              <w:keepLines w:val="0"/>
              <w:keepNext w:val="0"/>
              <w:pageBreakBefore w:val="0"/>
              <w:spacing w:line="36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firstLine="482"/>
              <w:jc w:val="both"/>
              <w:keepLines w:val="0"/>
              <w:keepNext w:val="0"/>
              <w:pageBreakBefore w:val="0"/>
              <w:spacing w:line="360" w:lineRule="exact"/>
              <w:widowControl w:val="off"/>
              <w:rPr>
                <w:rFonts w:hint="eastAsia" w:ascii="宋体" w:hAnsi="宋体" w:eastAsia="宋体" w:cs="宋体"/>
                <w:b/>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lang w:val="en-US" w:eastAsia="zh-CN" w:bidi="ar-SA"/>
              </w:rPr>
              <w:t xml:space="preserve">特别说明：“苏采云”系统通过“江苏省政府采购一体化不见面开标大厅</w:t>
            </w:r>
            <w:r>
              <w:rPr>
                <w:rFonts w:hint="eastAsia" w:ascii="宋体" w:hAnsi="宋体" w:eastAsia="宋体" w:cs="宋体"/>
                <w:b/>
                <w:bCs/>
                <w:color w:val="000000" w:themeColor="text1"/>
                <w:sz w:val="24"/>
                <w:szCs w:val="24"/>
                <w:highlight w:val="none"/>
                <w:lang w:val="en-US" w:eastAsia="zh-CN" w:bidi="ar-SA"/>
              </w:rPr>
              <w:t xml:space="preserve">”</w:t>
            </w:r>
            <w:r>
              <w:rPr>
                <w:rFonts w:hint="eastAsia" w:ascii="宋体" w:hAnsi="宋体" w:eastAsia="宋体" w:cs="宋体"/>
                <w:b/>
                <w:color w:val="000000" w:themeColor="text1"/>
                <w:sz w:val="24"/>
                <w:szCs w:val="24"/>
                <w:highlight w:val="none"/>
                <w:lang w:val="en-US" w:eastAsia="zh-CN" w:bidi="ar-SA"/>
              </w:rPr>
              <w:t xml:space="preserve">提醒投标人。投标人自行查看，投标人因自身原因不及时查看导致没收到信息，“苏采云”系统不承担任何责任。</w:t>
            </w:r>
            <w:r>
              <w:rPr>
                <w:rFonts w:hint="eastAsia" w:ascii="宋体" w:hAnsi="宋体" w:eastAsia="宋体" w:cs="宋体"/>
                <w:b/>
                <w:color w:val="000000" w:themeColor="text1"/>
                <w:sz w:val="24"/>
                <w:szCs w:val="24"/>
                <w:highlight w:val="none"/>
                <w:lang w:val="en-US" w:eastAsia="zh-CN" w:bidi="ar-SA"/>
              </w:rPr>
            </w:r>
            <w:r>
              <w:rPr>
                <w:color w:val="000000" w:themeColor="text1"/>
              </w:rPr>
            </w:r>
          </w:p>
        </w:tc>
      </w:tr>
      <w:tr>
        <w:trPr>
          <w:trHeight w:val="3211"/>
        </w:trPr>
        <w:tc>
          <w:tcPr>
            <w:tcW w:w="1246" w:type="dxa"/>
            <w:vAlign w:val="top"/>
            <w:textDirection w:val="lrTb"/>
            <w:noWrap w:val="false"/>
          </w:tcPr>
          <w:p>
            <w:pPr>
              <w:pStyle w:val="1012"/>
              <w:ind w:firstLine="0"/>
              <w:jc w:val="center"/>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29.</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8386" w:type="dxa"/>
            <w:vAlign w:val="top"/>
            <w:textDirection w:val="lrTb"/>
            <w:noWrap w:val="false"/>
          </w:tcPr>
          <w:p>
            <w:pPr>
              <w:pStyle w:val="1012"/>
              <w:ind w:firstLine="480"/>
              <w:jc w:val="both"/>
              <w:spacing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评标委员会认为投标人的报价明显低于其他通过符合性审查投标人的报价，有可能影响产品质量或者不能诚信履约的，应当要求其在评标现场合理的时间内通过“苏采云”系统（使用“CA数字证书”，加盖电子签章）提供书面说明，必要时提交相关证明材料；投标人不能证明其报价合理性的，评标委员会应当将其作为无效投标处理。</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firstLine="482"/>
              <w:jc w:val="both"/>
              <w:spacing w:line="400" w:lineRule="exact"/>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bidi="ar-SA"/>
              </w:rPr>
              <w:t xml:space="preserve">特别说明：“苏采云”系统通过“江苏省政府采购一体化不见面开标大厅</w:t>
            </w:r>
            <w:r>
              <w:rPr>
                <w:rFonts w:hint="eastAsia" w:ascii="宋体" w:hAnsi="宋体" w:eastAsia="宋体" w:cs="宋体"/>
                <w:b/>
                <w:bCs/>
                <w:color w:val="000000" w:themeColor="text1"/>
                <w:sz w:val="24"/>
                <w:szCs w:val="24"/>
                <w:highlight w:val="none"/>
                <w:lang w:val="en-US" w:eastAsia="zh-CN" w:bidi="ar-SA"/>
              </w:rPr>
              <w:t xml:space="preserve">”</w:t>
            </w:r>
            <w:r>
              <w:rPr>
                <w:rFonts w:hint="eastAsia" w:ascii="宋体" w:hAnsi="宋体" w:eastAsia="宋体" w:cs="宋体"/>
                <w:b/>
                <w:color w:val="000000" w:themeColor="text1"/>
                <w:sz w:val="24"/>
                <w:szCs w:val="24"/>
                <w:highlight w:val="none"/>
                <w:lang w:val="en-US" w:eastAsia="zh-CN" w:bidi="ar-SA"/>
              </w:rPr>
              <w:t xml:space="preserve">提醒投标人。投标人自行查看，投标人因自身原因不及时查看导致没收到信息，“苏采云”系统不承担任何责任。</w:t>
            </w:r>
            <w:r>
              <w:rPr>
                <w:rFonts w:hint="eastAsia" w:ascii="宋体" w:hAnsi="宋体" w:eastAsia="宋体" w:cs="宋体"/>
                <w:b/>
                <w:color w:val="000000" w:themeColor="text1"/>
                <w:sz w:val="24"/>
                <w:szCs w:val="24"/>
                <w:highlight w:val="none"/>
                <w:lang w:val="en-US" w:eastAsia="zh-CN" w:bidi="ar-SA"/>
              </w:rPr>
            </w:r>
            <w:r>
              <w:rPr>
                <w:color w:val="000000" w:themeColor="text1"/>
              </w:rPr>
            </w:r>
          </w:p>
        </w:tc>
      </w:tr>
      <w:tr>
        <w:trPr>
          <w:trHeight w:val="90"/>
        </w:trPr>
        <w:tc>
          <w:tcPr>
            <w:tcW w:w="1246" w:type="dxa"/>
            <w:vAlign w:val="top"/>
            <w:textDirection w:val="lrTb"/>
            <w:noWrap w:val="false"/>
          </w:tcPr>
          <w:p>
            <w:pPr>
              <w:pStyle w:val="1012"/>
              <w:ind w:firstLine="0"/>
              <w:jc w:val="center"/>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8386" w:type="dxa"/>
            <w:vAlign w:val="top"/>
            <w:textDirection w:val="lrTb"/>
            <w:noWrap w:val="false"/>
          </w:tcPr>
          <w:p>
            <w:pPr>
              <w:pStyle w:val="1249"/>
              <w:ind w:left="0" w:firstLine="0"/>
              <w:jc w:val="center"/>
              <w:spacing w:after="0"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bidi="ar-SA"/>
              </w:rPr>
              <w:t xml:space="preserve">六、定标</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570"/>
        </w:trPr>
        <w:tc>
          <w:tcPr>
            <w:tcW w:w="1246" w:type="dxa"/>
            <w:vAlign w:val="top"/>
            <w:textDirection w:val="lrTb"/>
            <w:noWrap w:val="false"/>
          </w:tcPr>
          <w:p>
            <w:pPr>
              <w:pStyle w:val="1012"/>
              <w:ind w:firstLine="0"/>
              <w:jc w:val="center"/>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33.</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8386" w:type="dxa"/>
            <w:vAlign w:val="top"/>
            <w:textDirection w:val="lrTb"/>
            <w:noWrap w:val="false"/>
          </w:tcPr>
          <w:p>
            <w:pPr>
              <w:pStyle w:val="1012"/>
              <w:ind w:firstLine="480"/>
              <w:jc w:val="left"/>
              <w:spacing w:line="274"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bidi="ar-SA"/>
              </w:rPr>
              <w:t xml:space="preserve">采购人根据评标报告确定的中标候选人顺序确定中标人，中标候选人并列的，招标文件规定的确定中标人方式：</w:t>
            </w:r>
            <w:r>
              <w:rPr>
                <w:rFonts w:hint="eastAsia" w:ascii="宋体" w:hAnsi="宋体" w:eastAsia="宋体" w:cs="Times New Roman"/>
                <w:color w:val="000000" w:themeColor="text1"/>
                <w:sz w:val="24"/>
                <w:szCs w:val="24"/>
                <w:highlight w:val="none"/>
                <w:lang w:val="en-US" w:eastAsia="zh-CN" w:bidi="ar-SA"/>
              </w:rPr>
            </w:r>
            <w:r>
              <w:rPr>
                <w:color w:val="000000" w:themeColor="text1"/>
              </w:rPr>
            </w:r>
          </w:p>
          <w:p>
            <w:pPr>
              <w:pStyle w:val="1012"/>
              <w:ind w:firstLine="480"/>
              <w:jc w:val="left"/>
              <w:spacing w:line="274"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bidi="ar-SA"/>
              </w:rPr>
              <w:t xml:space="preserve">1.确定人：采购人。</w:t>
            </w:r>
            <w:r>
              <w:rPr>
                <w:rFonts w:hint="eastAsia" w:ascii="宋体" w:hAnsi="宋体" w:eastAsia="宋体" w:cs="Times New Roman"/>
                <w:color w:val="000000" w:themeColor="text1"/>
                <w:sz w:val="24"/>
                <w:szCs w:val="24"/>
                <w:highlight w:val="none"/>
                <w:lang w:val="en-US" w:eastAsia="zh-CN" w:bidi="ar-SA"/>
              </w:rPr>
            </w:r>
            <w:r>
              <w:rPr>
                <w:color w:val="000000" w:themeColor="text1"/>
              </w:rPr>
            </w:r>
          </w:p>
          <w:p>
            <w:pPr>
              <w:pStyle w:val="1012"/>
              <w:ind w:firstLine="480"/>
              <w:jc w:val="left"/>
              <w:spacing w:line="274"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bidi="ar-SA"/>
              </w:rPr>
              <w:t xml:space="preserve">2.确定中标人方式：根据技术部分得分高低排序，确定中标人；技术部分得分相同的，根据商务部分高低排序，确定中标人；如商务部分得分也相同，按照以下顺序确定中标人：</w:t>
            </w:r>
            <w:r>
              <w:rPr>
                <w:rFonts w:hint="eastAsia" w:ascii="宋体" w:hAnsi="宋体" w:eastAsia="宋体" w:cs="Times New Roman"/>
                <w:color w:val="000000" w:themeColor="text1"/>
                <w:sz w:val="24"/>
                <w:szCs w:val="24"/>
                <w:highlight w:val="none"/>
                <w:lang w:val="en-US" w:eastAsia="zh-CN" w:bidi="ar-SA"/>
              </w:rPr>
            </w:r>
            <w:r>
              <w:rPr>
                <w:color w:val="000000" w:themeColor="text1"/>
              </w:rPr>
            </w:r>
          </w:p>
          <w:p>
            <w:pPr>
              <w:pStyle w:val="1012"/>
              <w:ind w:firstLine="480"/>
              <w:jc w:val="left"/>
              <w:spacing w:line="274"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bidi="ar-SA"/>
              </w:rPr>
              <w:t xml:space="preserve">1.投标文件中提供所投产品的节能产品认证证书（不包括强制采购要求（如有），要求见招标文件第六章《采购需求》，下同）的；或所投产品的环境标志产品认证证书的，被确定为中标人。</w:t>
            </w:r>
            <w:r>
              <w:rPr>
                <w:rFonts w:hint="eastAsia" w:ascii="宋体" w:hAnsi="宋体" w:eastAsia="宋体" w:cs="Times New Roman"/>
                <w:color w:val="000000" w:themeColor="text1"/>
                <w:sz w:val="24"/>
                <w:szCs w:val="24"/>
                <w:highlight w:val="none"/>
                <w:lang w:val="en-US" w:eastAsia="zh-CN" w:bidi="ar-SA"/>
              </w:rPr>
            </w:r>
            <w:r>
              <w:rPr>
                <w:color w:val="000000" w:themeColor="text1"/>
              </w:rPr>
            </w:r>
          </w:p>
          <w:p>
            <w:pPr>
              <w:pStyle w:val="1012"/>
              <w:ind w:firstLine="480"/>
              <w:jc w:val="left"/>
              <w:spacing w:line="274"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bidi="ar-SA"/>
              </w:rPr>
              <w:t xml:space="preserve">2.都符合第1种情况的，投标文件中提供所投产品的节能产品认证证书和所投产品的环境标志产品认证证书的，被确定为中标人。</w:t>
            </w:r>
            <w:r>
              <w:rPr>
                <w:rFonts w:hint="eastAsia" w:ascii="宋体" w:hAnsi="宋体" w:eastAsia="宋体" w:cs="Times New Roman"/>
                <w:color w:val="000000" w:themeColor="text1"/>
                <w:sz w:val="24"/>
                <w:szCs w:val="24"/>
                <w:highlight w:val="none"/>
                <w:lang w:val="en-US" w:eastAsia="zh-CN" w:bidi="ar-SA"/>
              </w:rPr>
            </w:r>
            <w:r>
              <w:rPr>
                <w:color w:val="000000" w:themeColor="text1"/>
              </w:rPr>
            </w:r>
          </w:p>
          <w:p>
            <w:pPr>
              <w:pStyle w:val="1012"/>
              <w:ind w:firstLine="480"/>
              <w:jc w:val="left"/>
              <w:spacing w:line="274"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bidi="ar-SA"/>
              </w:rPr>
              <w:t xml:space="preserve">3.都符合第2种情况的，投标文件中提供所投产品的节能产品认证证书和所投产品的环境标志产品认证证书份数最多的，被确定为中标人。</w:t>
            </w:r>
            <w:r>
              <w:rPr>
                <w:rFonts w:hint="eastAsia" w:ascii="宋体" w:hAnsi="宋体" w:eastAsia="宋体" w:cs="Times New Roman"/>
                <w:color w:val="000000" w:themeColor="text1"/>
                <w:sz w:val="24"/>
                <w:szCs w:val="24"/>
                <w:highlight w:val="none"/>
                <w:lang w:val="en-US" w:eastAsia="zh-CN" w:bidi="ar-SA"/>
              </w:rPr>
            </w:r>
            <w:r>
              <w:rPr>
                <w:color w:val="000000" w:themeColor="text1"/>
              </w:rPr>
            </w:r>
          </w:p>
          <w:p>
            <w:pPr>
              <w:pStyle w:val="1012"/>
              <w:ind w:firstLine="480"/>
              <w:jc w:val="left"/>
              <w:spacing w:line="274"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bidi="ar-SA"/>
              </w:rPr>
              <w:t xml:space="preserve">4.第3种情况无法确定的，由采购人确定。</w:t>
            </w:r>
            <w:r>
              <w:rPr>
                <w:rFonts w:hint="eastAsia" w:ascii="宋体" w:hAnsi="宋体" w:eastAsia="宋体" w:cs="Times New Roman"/>
                <w:color w:val="000000" w:themeColor="text1"/>
                <w:sz w:val="24"/>
                <w:szCs w:val="24"/>
                <w:highlight w:val="none"/>
                <w:lang w:val="en-US" w:eastAsia="zh-CN" w:bidi="ar-SA"/>
              </w:rPr>
            </w:r>
            <w:r>
              <w:rPr>
                <w:color w:val="000000" w:themeColor="text1"/>
              </w:rPr>
            </w:r>
          </w:p>
          <w:p>
            <w:pPr>
              <w:pStyle w:val="1012"/>
              <w:ind w:firstLine="200"/>
              <w:jc w:val="left"/>
              <w:spacing w:line="274" w:lineRule="auto"/>
              <w:widowControl w:val="off"/>
              <w:rPr>
                <w:rFonts w:hint="eastAsia" w:ascii="方正仿宋_GB2312" w:hAnsi="Times New Roman" w:eastAsia="方正仿宋_GB2312"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bidi="ar-SA"/>
              </w:rPr>
              <w:t xml:space="preserve">说明：所投产品的环境标志产品认证证书、所投产品的节能产品认证证书要求：见招标文件第三章《投标资料表》中12.1。</w:t>
            </w:r>
            <w:r>
              <w:rPr>
                <w:rFonts w:hint="eastAsia" w:ascii="方正仿宋_GB2312" w:hAnsi="Times New Roman" w:eastAsia="方正仿宋_GB2312" w:cs="Times New Roman"/>
                <w:color w:val="000000" w:themeColor="text1"/>
                <w:sz w:val="24"/>
                <w:szCs w:val="24"/>
                <w:highlight w:val="none"/>
                <w:lang w:val="en-US" w:eastAsia="zh-CN" w:bidi="ar-SA"/>
              </w:rPr>
            </w:r>
            <w:r>
              <w:rPr>
                <w:color w:val="000000" w:themeColor="text1"/>
              </w:rPr>
            </w:r>
          </w:p>
        </w:tc>
      </w:tr>
      <w:tr>
        <w:trPr>
          <w:trHeight w:val="860"/>
        </w:trPr>
        <w:tc>
          <w:tcPr>
            <w:tcW w:w="1246" w:type="dxa"/>
            <w:vAlign w:val="top"/>
            <w:textDirection w:val="lrTb"/>
            <w:noWrap w:val="false"/>
          </w:tcPr>
          <w:p>
            <w:pPr>
              <w:pStyle w:val="1012"/>
              <w:ind w:firstLine="0"/>
              <w:jc w:val="center"/>
              <w:spacing w:line="400" w:lineRule="exact"/>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34.1</w:t>
            </w:r>
            <w:r>
              <w:rPr>
                <w:rFonts w:ascii="宋体" w:hAnsi="宋体" w:eastAsia="宋体" w:cs="宋体"/>
                <w:color w:val="000000" w:themeColor="text1"/>
                <w:sz w:val="24"/>
                <w:szCs w:val="24"/>
                <w:highlight w:val="none"/>
                <w:lang w:val="en-US" w:eastAsia="zh-CN" w:bidi="ar-SA"/>
              </w:rPr>
            </w:r>
            <w:r>
              <w:rPr>
                <w:color w:val="000000" w:themeColor="text1"/>
              </w:rPr>
            </w:r>
          </w:p>
        </w:tc>
        <w:tc>
          <w:tcPr>
            <w:tcW w:w="8386" w:type="dxa"/>
            <w:vAlign w:val="top"/>
            <w:textDirection w:val="lrTb"/>
            <w:noWrap w:val="false"/>
          </w:tcPr>
          <w:p>
            <w:pPr>
              <w:pStyle w:val="1012"/>
              <w:ind w:firstLine="480"/>
              <w:jc w:val="left"/>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bidi="ar-SA"/>
              </w:rPr>
              <w:t xml:space="preserve">在公告中标结果的同时，通过“苏采云”系统以数据电文形式：向中标人发出中标通知书；告知未通过资格审查的投标人，及其未通过的原因；采用综合评分法评审的，告知未中标人本人的评审得分与排序。</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895"/>
        </w:trPr>
        <w:tc>
          <w:tcPr>
            <w:tcW w:w="1246" w:type="dxa"/>
            <w:vAlign w:val="top"/>
            <w:textDirection w:val="lrTb"/>
            <w:noWrap w:val="false"/>
          </w:tcPr>
          <w:p>
            <w:pPr>
              <w:pStyle w:val="1012"/>
              <w:ind w:firstLine="0"/>
              <w:jc w:val="center"/>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34.2</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8386" w:type="dxa"/>
            <w:vAlign w:val="top"/>
            <w:textDirection w:val="lrTb"/>
            <w:noWrap w:val="false"/>
          </w:tcPr>
          <w:p>
            <w:pPr>
              <w:pStyle w:val="1012"/>
              <w:ind w:firstLine="480"/>
              <w:jc w:val="left"/>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采用最低评标价法的，公告中标结果时同时公告因落实政府采购政策等原因进行价格扣除后中标供应商的评审报价；采用综合评分法的，公告中标结果时同时公告中标供应商的评审总得分。</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371"/>
        </w:trPr>
        <w:tc>
          <w:tcPr>
            <w:tcW w:w="1246" w:type="dxa"/>
            <w:vAlign w:val="top"/>
            <w:textDirection w:val="lrTb"/>
            <w:noWrap w:val="false"/>
          </w:tcPr>
          <w:p>
            <w:pPr>
              <w:pStyle w:val="1012"/>
              <w:ind w:firstLine="0"/>
              <w:jc w:val="center"/>
              <w:spacing w:line="400" w:lineRule="exact"/>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34.3</w:t>
            </w:r>
            <w:r>
              <w:rPr>
                <w:rFonts w:ascii="宋体" w:hAnsi="宋体" w:eastAsia="宋体" w:cs="宋体"/>
                <w:color w:val="000000" w:themeColor="text1"/>
                <w:sz w:val="24"/>
                <w:szCs w:val="24"/>
                <w:highlight w:val="none"/>
                <w:lang w:val="en-US" w:eastAsia="zh-CN" w:bidi="ar-SA"/>
              </w:rPr>
            </w:r>
            <w:r>
              <w:rPr>
                <w:color w:val="000000" w:themeColor="text1"/>
              </w:rPr>
            </w:r>
          </w:p>
        </w:tc>
        <w:tc>
          <w:tcPr>
            <w:tcW w:w="8386" w:type="dxa"/>
            <w:vAlign w:val="top"/>
            <w:textDirection w:val="lrTb"/>
            <w:noWrap w:val="false"/>
          </w:tcPr>
          <w:p>
            <w:pPr>
              <w:pStyle w:val="1012"/>
              <w:ind w:firstLine="480"/>
              <w:jc w:val="left"/>
              <w:spacing w:line="400" w:lineRule="exact"/>
              <w:widowControl/>
              <w:rPr>
                <w:rFonts w:hint="eastAsia" w:ascii="宋体" w:hAnsi="宋体" w:eastAsia="宋体" w:cs="宋体"/>
                <w:b/>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中标结果在省级以上财政部门指定的媒体上进行公告。</w:t>
            </w:r>
            <w:r>
              <w:rPr>
                <w:rFonts w:hint="eastAsia" w:ascii="宋体" w:hAnsi="宋体" w:eastAsia="宋体" w:cs="宋体"/>
                <w:b/>
                <w:color w:val="000000" w:themeColor="text1"/>
                <w:sz w:val="24"/>
                <w:szCs w:val="24"/>
                <w:highlight w:val="none"/>
                <w:lang w:val="en-US" w:eastAsia="zh-CN" w:bidi="ar-SA"/>
              </w:rPr>
            </w:r>
            <w:r>
              <w:rPr>
                <w:color w:val="000000" w:themeColor="text1"/>
              </w:rPr>
            </w:r>
          </w:p>
        </w:tc>
      </w:tr>
      <w:tr>
        <w:trPr>
          <w:trHeight w:val="1637"/>
        </w:trPr>
        <w:tc>
          <w:tcPr>
            <w:tcW w:w="1246" w:type="dxa"/>
            <w:vAlign w:val="top"/>
            <w:textDirection w:val="lrTb"/>
            <w:noWrap w:val="false"/>
          </w:tcPr>
          <w:p>
            <w:pPr>
              <w:pStyle w:val="1012"/>
              <w:ind w:firstLine="0"/>
              <w:jc w:val="center"/>
              <w:spacing w:line="400" w:lineRule="exact"/>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35.</w:t>
            </w:r>
            <w:r>
              <w:rPr>
                <w:rFonts w:ascii="宋体" w:hAnsi="宋体" w:eastAsia="宋体" w:cs="宋体"/>
                <w:color w:val="000000" w:themeColor="text1"/>
                <w:sz w:val="24"/>
                <w:szCs w:val="24"/>
                <w:highlight w:val="none"/>
                <w:lang w:val="en-US" w:eastAsia="zh-CN" w:bidi="ar-SA"/>
              </w:rPr>
            </w:r>
            <w:r>
              <w:rPr>
                <w:color w:val="000000" w:themeColor="text1"/>
              </w:rPr>
            </w:r>
          </w:p>
        </w:tc>
        <w:tc>
          <w:tcPr>
            <w:tcW w:w="8386" w:type="dxa"/>
            <w:vAlign w:val="top"/>
            <w:textDirection w:val="lrTb"/>
            <w:noWrap w:val="false"/>
          </w:tcPr>
          <w:p>
            <w:pPr>
              <w:pStyle w:val="1012"/>
              <w:ind w:firstLine="480"/>
              <w:jc w:val="left"/>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特别说明：</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firstLine="480"/>
              <w:jc w:val="left"/>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按照《中华人民共和国政府采购法》及其实施条例以及相关规定，中标或者成交后无正当理由拒不与采购人签订政府采购合同的， 在一至三年内禁止参加政府采购活动，列入政府采购严重违法失信行为记录名单。</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246" w:type="dxa"/>
            <w:vAlign w:val="top"/>
            <w:textDirection w:val="lrTb"/>
            <w:noWrap w:val="false"/>
          </w:tcPr>
          <w:p>
            <w:pPr>
              <w:pStyle w:val="1012"/>
              <w:ind w:firstLine="0"/>
              <w:jc w:val="center"/>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8386" w:type="dxa"/>
            <w:vAlign w:val="top"/>
            <w:textDirection w:val="lrTb"/>
            <w:noWrap w:val="false"/>
          </w:tcPr>
          <w:p>
            <w:pPr>
              <w:pStyle w:val="1012"/>
              <w:ind w:left="0" w:firstLine="0"/>
              <w:jc w:val="center"/>
              <w:spacing w:line="400" w:lineRule="exact"/>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bidi="ar-SA"/>
              </w:rPr>
              <w:t xml:space="preserve">七、政府采购合同</w:t>
            </w:r>
            <w:r>
              <w:rPr>
                <w:rFonts w:hint="eastAsia" w:ascii="宋体" w:hAnsi="宋体" w:eastAsia="宋体" w:cs="宋体"/>
                <w:b/>
                <w:color w:val="000000" w:themeColor="text1"/>
                <w:sz w:val="24"/>
                <w:szCs w:val="24"/>
                <w:highlight w:val="none"/>
                <w:lang w:val="en-US" w:eastAsia="zh-CN" w:bidi="ar-SA"/>
              </w:rPr>
            </w:r>
            <w:r>
              <w:rPr>
                <w:color w:val="000000" w:themeColor="text1"/>
              </w:rPr>
            </w:r>
          </w:p>
        </w:tc>
      </w:tr>
      <w:tr>
        <w:trPr>
          <w:trHeight w:val="834"/>
        </w:trPr>
        <w:tc>
          <w:tcPr>
            <w:tcW w:w="1246" w:type="dxa"/>
            <w:vAlign w:val="top"/>
            <w:textDirection w:val="lrTb"/>
            <w:noWrap w:val="false"/>
          </w:tcPr>
          <w:p>
            <w:pPr>
              <w:pStyle w:val="1012"/>
              <w:ind w:firstLine="0"/>
              <w:jc w:val="center"/>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37.1</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8386" w:type="dxa"/>
            <w:vAlign w:val="top"/>
            <w:textDirection w:val="lrTb"/>
            <w:noWrap w:val="false"/>
          </w:tcPr>
          <w:p>
            <w:pPr>
              <w:pStyle w:val="1012"/>
              <w:ind w:firstLine="480"/>
              <w:jc w:val="both"/>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采购人与中标、成交供应商应当在中标、成交通知书发出之日起</w:t>
            </w:r>
            <w:r>
              <w:rPr>
                <w:rFonts w:hint="eastAsia" w:ascii="宋体" w:hAnsi="宋体" w:eastAsia="宋体" w:cs="宋体"/>
                <w:color w:val="000000" w:themeColor="text1"/>
                <w:sz w:val="24"/>
                <w:szCs w:val="24"/>
                <w:highlight w:val="none"/>
                <w:u w:val="single"/>
                <w:lang w:val="en-US" w:eastAsia="zh-CN" w:bidi="ar-SA"/>
              </w:rPr>
              <w:t xml:space="preserve">30</w:t>
            </w:r>
            <w:r>
              <w:rPr>
                <w:rFonts w:hint="eastAsia" w:ascii="宋体" w:hAnsi="宋体" w:eastAsia="宋体" w:cs="宋体"/>
                <w:color w:val="000000" w:themeColor="text1"/>
                <w:sz w:val="24"/>
                <w:szCs w:val="24"/>
                <w:highlight w:val="none"/>
                <w:lang w:val="en-US" w:eastAsia="zh-CN" w:bidi="ar-SA"/>
              </w:rPr>
              <w:t xml:space="preserve">日内，按照采购文件确定的事项签订采购合同。</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2575"/>
        </w:trPr>
        <w:tc>
          <w:tcPr>
            <w:tcW w:w="1246" w:type="dxa"/>
            <w:vAlign w:val="top"/>
            <w:textDirection w:val="lrTb"/>
            <w:noWrap w:val="false"/>
          </w:tcPr>
          <w:p>
            <w:pPr>
              <w:pStyle w:val="1012"/>
              <w:ind w:firstLine="0"/>
              <w:jc w:val="center"/>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39.6</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8386" w:type="dxa"/>
            <w:vAlign w:val="top"/>
            <w:textDirection w:val="lrTb"/>
            <w:noWrap w:val="false"/>
          </w:tcPr>
          <w:p>
            <w:pPr>
              <w:pStyle w:val="1089"/>
              <w:ind w:firstLine="480"/>
              <w:jc w:val="both"/>
              <w:spacing w:after="0" w:line="40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履约保证金</w:t>
            </w:r>
            <w:r>
              <w:rPr>
                <w:rFonts w:hint="eastAsia" w:ascii="宋体" w:hAnsi="宋体" w:eastAsia="宋体" w:cs="宋体"/>
                <w:b/>
                <w:bCs/>
                <w:color w:val="000000" w:themeColor="text1"/>
                <w:sz w:val="24"/>
                <w:szCs w:val="24"/>
                <w:highlight w:val="none"/>
                <w:lang w:val="en-US" w:eastAsia="zh-CN" w:bidi="ar-SA"/>
              </w:rPr>
            </w:r>
            <w:r>
              <w:rPr>
                <w:color w:val="000000" w:themeColor="text1"/>
              </w:rPr>
            </w:r>
          </w:p>
          <w:p>
            <w:pPr>
              <w:pStyle w:val="1089"/>
              <w:ind w:firstLine="480"/>
              <w:jc w:val="both"/>
              <w:spacing w:after="0" w:line="40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1.□不要求提交履约保证金。</w:t>
            </w:r>
            <w:r>
              <w:rPr>
                <w:rFonts w:hint="eastAsia" w:ascii="宋体" w:hAnsi="宋体" w:eastAsia="宋体" w:cs="宋体"/>
                <w:b/>
                <w:bCs/>
                <w:color w:val="000000" w:themeColor="text1"/>
                <w:sz w:val="24"/>
                <w:szCs w:val="24"/>
                <w:highlight w:val="none"/>
                <w:lang w:val="en-US" w:eastAsia="zh-CN" w:bidi="ar-SA"/>
              </w:rPr>
            </w:r>
            <w:r>
              <w:rPr>
                <w:color w:val="000000" w:themeColor="text1"/>
              </w:rPr>
            </w:r>
          </w:p>
          <w:p>
            <w:pPr>
              <w:pStyle w:val="1089"/>
              <w:ind w:firstLine="480"/>
              <w:jc w:val="both"/>
              <w:spacing w:after="0" w:line="40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2.</w:t>
            </w:r>
            <w:r>
              <w:rPr>
                <w:rFonts w:ascii="Wingdings" w:hAnsi="Wingdings" w:eastAsia="Wingdings" w:cs="Wingdings"/>
                <w:b/>
                <w:bCs/>
                <w:color w:val="000000" w:themeColor="text1"/>
                <w:sz w:val="24"/>
                <w:szCs w:val="24"/>
                <w:highlight w:val="none"/>
                <w:lang w:val="en-US" w:eastAsia="zh-CN" w:bidi="ar-SA"/>
              </w:rPr>
              <w:t xml:space="preserve">þ</w:t>
            </w:r>
            <w:r>
              <w:rPr>
                <w:rFonts w:hint="eastAsia" w:ascii="宋体" w:hAnsi="宋体" w:eastAsia="宋体" w:cs="宋体"/>
                <w:b/>
                <w:bCs/>
                <w:color w:val="000000" w:themeColor="text1"/>
                <w:sz w:val="24"/>
                <w:szCs w:val="24"/>
                <w:highlight w:val="none"/>
                <w:lang w:val="en-US" w:eastAsia="zh-CN" w:bidi="ar-SA"/>
              </w:rPr>
              <w:t xml:space="preserve">要求提交履约保证金：中标供应商交纳人民币</w:t>
            </w:r>
            <w:r>
              <w:rPr>
                <w:rFonts w:hint="eastAsia" w:ascii="宋体" w:hAnsi="宋体" w:eastAsia="宋体" w:cs="宋体"/>
                <w:b/>
                <w:bCs/>
                <w:color w:val="000000" w:themeColor="text1"/>
                <w:sz w:val="24"/>
                <w:szCs w:val="24"/>
                <w:highlight w:val="none"/>
                <w:u w:val="single"/>
                <w:lang w:val="en-US" w:eastAsia="zh-CN" w:bidi="ar-SA"/>
              </w:rPr>
              <w:t xml:space="preserve"> 贰拾万元</w:t>
            </w:r>
            <w:r>
              <w:rPr>
                <w:rFonts w:hint="eastAsia" w:ascii="宋体" w:hAnsi="宋体" w:eastAsia="宋体" w:cs="宋体"/>
                <w:b/>
                <w:bCs/>
                <w:color w:val="000000" w:themeColor="text1"/>
                <w:sz w:val="24"/>
                <w:szCs w:val="24"/>
                <w:highlight w:val="none"/>
                <w:u w:val="none"/>
                <w:lang w:val="en-US" w:eastAsia="zh-CN" w:bidi="ar-SA"/>
              </w:rPr>
              <w:t xml:space="preserve">，</w:t>
            </w:r>
            <w:r>
              <w:rPr>
                <w:rFonts w:hint="eastAsia" w:ascii="宋体" w:hAnsi="宋体" w:eastAsia="宋体" w:cs="宋体"/>
                <w:b/>
                <w:bCs/>
                <w:color w:val="000000" w:themeColor="text1"/>
                <w:sz w:val="24"/>
                <w:szCs w:val="24"/>
                <w:highlight w:val="none"/>
                <w:lang w:val="en-US" w:eastAsia="zh-CN" w:bidi="ar-SA"/>
              </w:rPr>
              <w:t xml:space="preserve">作为本合同的履约保证金。中标供应商应当以支票、汇票、本票或者金融机构、担保机构出具的保函等非现金形式提交。</w:t>
            </w:r>
            <w:r>
              <w:rPr>
                <w:rFonts w:hint="eastAsia" w:ascii="宋体" w:hAnsi="宋体" w:eastAsia="宋体" w:cs="宋体"/>
                <w:b/>
                <w:bCs/>
                <w:color w:val="000000" w:themeColor="text1"/>
                <w:sz w:val="24"/>
                <w:szCs w:val="24"/>
                <w:highlight w:val="none"/>
                <w:lang w:val="en-US" w:eastAsia="zh-CN" w:bidi="ar-SA"/>
              </w:rPr>
            </w:r>
            <w:r>
              <w:rPr>
                <w:color w:val="000000" w:themeColor="text1"/>
              </w:rPr>
            </w:r>
          </w:p>
          <w:p>
            <w:pPr>
              <w:pStyle w:val="1249"/>
              <w:ind w:firstLine="480"/>
              <w:jc w:val="both"/>
              <w:spacing w:after="0" w:line="400" w:lineRule="exact"/>
              <w:widowControl w:val="off"/>
              <w:rPr>
                <w:rFonts w:hint="eastAsia" w:ascii="Calibri" w:hAnsi="Times New Roman" w:eastAsia="宋体" w:cs="Times New Roman"/>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注：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rPr>
                <w:rFonts w:hint="eastAsia" w:ascii="Calibri" w:hAnsi="Times New Roman" w:eastAsia="宋体" w:cs="Times New Roman"/>
                <w:color w:val="000000" w:themeColor="text1"/>
                <w:sz w:val="24"/>
                <w:szCs w:val="24"/>
                <w:highlight w:val="none"/>
                <w:lang w:val="en-US" w:eastAsia="zh-CN" w:bidi="ar-SA"/>
              </w:rPr>
            </w:r>
            <w:r>
              <w:rPr>
                <w:color w:val="000000" w:themeColor="text1"/>
              </w:rPr>
            </w:r>
          </w:p>
        </w:tc>
      </w:tr>
      <w:tr>
        <w:trPr>
          <w:trHeight w:val="90"/>
        </w:trPr>
        <w:tc>
          <w:tcPr>
            <w:tcW w:w="1246" w:type="dxa"/>
            <w:vAlign w:val="top"/>
            <w:textDirection w:val="lrTb"/>
            <w:noWrap w:val="false"/>
          </w:tcPr>
          <w:p>
            <w:pPr>
              <w:pStyle w:val="1012"/>
              <w:ind w:firstLine="0"/>
              <w:jc w:val="center"/>
              <w:spacing w:line="400" w:lineRule="exact"/>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41.</w:t>
            </w:r>
            <w:r>
              <w:rPr>
                <w:rFonts w:ascii="宋体" w:hAnsi="宋体" w:eastAsia="宋体" w:cs="宋体"/>
                <w:color w:val="000000" w:themeColor="text1"/>
                <w:sz w:val="24"/>
                <w:szCs w:val="24"/>
                <w:highlight w:val="none"/>
                <w:lang w:val="en-US" w:eastAsia="zh-CN" w:bidi="ar-SA"/>
              </w:rPr>
            </w:r>
            <w:r>
              <w:rPr>
                <w:color w:val="000000" w:themeColor="text1"/>
              </w:rPr>
            </w:r>
          </w:p>
        </w:tc>
        <w:tc>
          <w:tcPr>
            <w:tcW w:w="8386" w:type="dxa"/>
            <w:vAlign w:val="top"/>
            <w:textDirection w:val="lrTb"/>
            <w:noWrap w:val="false"/>
          </w:tcPr>
          <w:p>
            <w:pPr>
              <w:pStyle w:val="1089"/>
              <w:ind w:firstLine="480"/>
              <w:jc w:val="both"/>
              <w:spacing w:after="0"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政府采购履约资金扶持政策</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249"/>
              <w:ind w:firstLine="480"/>
              <w:jc w:val="both"/>
              <w:spacing w:after="0"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中标供应商可凭政府采购合同办理融资贷款，详情请见江苏政府采购网“政采贷”专栏。</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90"/>
        </w:trPr>
        <w:tc>
          <w:tcPr>
            <w:tcW w:w="1246" w:type="dxa"/>
            <w:vAlign w:val="top"/>
            <w:textDirection w:val="lrTb"/>
            <w:noWrap w:val="false"/>
          </w:tcPr>
          <w:p>
            <w:pPr>
              <w:pStyle w:val="1012"/>
              <w:ind w:firstLine="0"/>
              <w:jc w:val="center"/>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43.6</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8386" w:type="dxa"/>
            <w:vAlign w:val="top"/>
            <w:textDirection w:val="lrTb"/>
            <w:noWrap w:val="false"/>
          </w:tcPr>
          <w:p>
            <w:pPr>
              <w:pStyle w:val="1283"/>
              <w:ind w:firstLine="480"/>
              <w:jc w:val="left"/>
              <w:spacing w:line="400" w:lineRule="exact"/>
              <w:widowControl w:val="off"/>
              <w:tabs>
                <w:tab w:val="center" w:pos="4153" w:leader="none"/>
                <w:tab w:val="right" w:pos="8306"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根据江苏天奇项目管理咨询有限公司与</w:t>
            </w:r>
            <w:r>
              <w:rPr>
                <w:rFonts w:hint="eastAsia" w:ascii="宋体" w:hAnsi="宋体" w:eastAsia="宋体" w:cs="宋体"/>
                <w:color w:val="000000" w:themeColor="text1"/>
                <w:sz w:val="24"/>
                <w:szCs w:val="24"/>
                <w:highlight w:val="none"/>
                <w:u w:val="single"/>
                <w:lang w:val="en-US" w:eastAsia="zh-CN" w:bidi="ar-SA"/>
              </w:rPr>
              <w:t xml:space="preserve">丰县中医医院</w:t>
            </w:r>
            <w:r>
              <w:rPr>
                <w:rFonts w:hint="eastAsia" w:ascii="宋体" w:hAnsi="宋体" w:eastAsia="宋体" w:cs="宋体"/>
                <w:color w:val="000000" w:themeColor="text1"/>
                <w:sz w:val="24"/>
                <w:szCs w:val="24"/>
                <w:highlight w:val="none"/>
                <w:lang w:val="en-US" w:eastAsia="zh-CN" w:bidi="ar-SA"/>
              </w:rPr>
              <w:t xml:space="preserve">（采购人）签订的本采购项目的《委托代理协议》，供应商对政府采购活动事项有疑问的，向</w:t>
            </w:r>
            <w:r>
              <w:rPr>
                <w:rFonts w:hint="eastAsia" w:ascii="宋体" w:hAnsi="宋体" w:eastAsia="宋体" w:cs="宋体"/>
                <w:color w:val="000000" w:themeColor="text1"/>
                <w:sz w:val="24"/>
                <w:szCs w:val="24"/>
                <w:highlight w:val="none"/>
                <w:u w:val="single"/>
                <w:lang w:val="en-US" w:eastAsia="zh-CN" w:bidi="ar-SA"/>
              </w:rPr>
              <w:t xml:space="preserve">丰县中医医院</w:t>
            </w:r>
            <w:r>
              <w:rPr>
                <w:rFonts w:hint="eastAsia" w:ascii="宋体" w:hAnsi="宋体" w:eastAsia="宋体" w:cs="宋体"/>
                <w:color w:val="000000" w:themeColor="text1"/>
                <w:sz w:val="24"/>
                <w:szCs w:val="24"/>
                <w:highlight w:val="none"/>
                <w:lang w:val="en-US" w:eastAsia="zh-CN" w:bidi="ar-SA"/>
              </w:rPr>
              <w:t xml:space="preserve">（采购人）提出询问；供应商认为采购文件、采购过程和中标、成交结果使自己的权益受到损害的，可以在知道或者应知其权益受到损害之日起七个工作日内，以书面形式向</w:t>
            </w:r>
            <w:r>
              <w:rPr>
                <w:rFonts w:hint="eastAsia" w:ascii="宋体" w:hAnsi="宋体" w:eastAsia="宋体" w:cs="宋体"/>
                <w:color w:val="000000" w:themeColor="text1"/>
                <w:sz w:val="24"/>
                <w:szCs w:val="24"/>
                <w:highlight w:val="none"/>
                <w:u w:val="single"/>
                <w:lang w:val="en-US" w:eastAsia="zh-CN" w:bidi="ar-SA"/>
              </w:rPr>
              <w:t xml:space="preserve">丰县中医医院</w:t>
            </w:r>
            <w:r>
              <w:rPr>
                <w:rFonts w:hint="eastAsia" w:ascii="宋体" w:hAnsi="宋体" w:eastAsia="宋体" w:cs="宋体"/>
                <w:color w:val="000000" w:themeColor="text1"/>
                <w:sz w:val="24"/>
                <w:szCs w:val="24"/>
                <w:highlight w:val="none"/>
                <w:lang w:val="en-US" w:eastAsia="zh-CN" w:bidi="ar-SA"/>
              </w:rPr>
              <w:t xml:space="preserve">（采购人）质疑。询问和质疑由</w:t>
            </w:r>
            <w:r>
              <w:rPr>
                <w:rFonts w:hint="eastAsia" w:ascii="宋体" w:hAnsi="宋体" w:eastAsia="宋体" w:cs="宋体"/>
                <w:color w:val="000000" w:themeColor="text1"/>
                <w:sz w:val="24"/>
                <w:szCs w:val="24"/>
                <w:highlight w:val="none"/>
                <w:u w:val="single"/>
                <w:lang w:val="en-US" w:eastAsia="zh-CN" w:bidi="ar-SA"/>
              </w:rPr>
              <w:t xml:space="preserve">丰县中医医院</w:t>
            </w:r>
            <w:r>
              <w:rPr>
                <w:rFonts w:hint="eastAsia" w:ascii="宋体" w:hAnsi="宋体" w:eastAsia="宋体" w:cs="宋体"/>
                <w:color w:val="000000" w:themeColor="text1"/>
                <w:sz w:val="24"/>
                <w:szCs w:val="24"/>
                <w:highlight w:val="none"/>
                <w:lang w:val="en-US" w:eastAsia="zh-CN" w:bidi="ar-SA"/>
              </w:rPr>
              <w:t xml:space="preserve">（采购人）依法处理。</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firstLine="480"/>
              <w:jc w:val="both"/>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联系部门：丰县中医医院</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firstLine="439"/>
              <w:jc w:val="left"/>
              <w:spacing w:line="274" w:lineRule="auto"/>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联系电话：18021821518</w:t>
            </w:r>
            <w:r>
              <w:rPr>
                <w:rFonts w:ascii="宋体" w:hAnsi="宋体" w:eastAsia="宋体" w:cs="宋体"/>
                <w:color w:val="000000" w:themeColor="text1"/>
                <w:sz w:val="24"/>
                <w:szCs w:val="24"/>
                <w:highlight w:val="none"/>
                <w:lang w:val="en-US" w:eastAsia="zh-CN" w:bidi="ar-SA"/>
              </w:rPr>
            </w:r>
            <w:r>
              <w:rPr>
                <w:color w:val="000000" w:themeColor="text1"/>
              </w:rPr>
            </w:r>
          </w:p>
          <w:p>
            <w:pPr>
              <w:pStyle w:val="1012"/>
              <w:ind w:firstLine="439"/>
              <w:jc w:val="left"/>
              <w:spacing w:line="274" w:lineRule="auto"/>
              <w:widowControl w:val="off"/>
              <w:rPr>
                <w:rFonts w:ascii="宋体" w:hAnsi="宋体" w:eastAsia="方正仿宋_GB2312"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通讯地址：丰县凤城工农南路47号</w:t>
            </w:r>
            <w:r>
              <w:rPr>
                <w:rFonts w:ascii="宋体" w:hAnsi="宋体" w:eastAsia="方正仿宋_GB2312" w:cs="宋体"/>
                <w:color w:val="000000" w:themeColor="text1"/>
                <w:sz w:val="24"/>
                <w:szCs w:val="24"/>
                <w:highlight w:val="none"/>
                <w:lang w:val="en-US" w:eastAsia="zh-CN" w:bidi="ar-SA"/>
              </w:rPr>
            </w:r>
            <w:r>
              <w:rPr>
                <w:color w:val="000000" w:themeColor="text1"/>
              </w:rPr>
            </w:r>
          </w:p>
        </w:tc>
      </w:tr>
      <w:tr>
        <w:trPr>
          <w:trHeight w:val="1295"/>
        </w:trPr>
        <w:tc>
          <w:tcPr>
            <w:tcW w:w="1246" w:type="dxa"/>
            <w:vAlign w:val="top"/>
            <w:textDirection w:val="lrTb"/>
            <w:noWrap w:val="false"/>
          </w:tcPr>
          <w:p>
            <w:pPr>
              <w:pStyle w:val="1012"/>
              <w:ind w:firstLine="0"/>
              <w:jc w:val="center"/>
              <w:spacing w:line="24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附加</w:t>
            </w:r>
            <w:r>
              <w:rPr>
                <w:rFonts w:hint="eastAsia" w:ascii="宋体" w:hAnsi="宋体" w:eastAsia="宋体" w:cs="宋体"/>
                <w:b/>
                <w:bCs/>
                <w:color w:val="000000" w:themeColor="text1"/>
                <w:sz w:val="24"/>
                <w:szCs w:val="24"/>
                <w:highlight w:val="none"/>
                <w:lang w:val="en-US" w:eastAsia="zh-CN" w:bidi="ar-SA"/>
              </w:rPr>
            </w:r>
            <w:r>
              <w:rPr>
                <w:color w:val="000000" w:themeColor="text1"/>
              </w:rPr>
            </w:r>
          </w:p>
          <w:p>
            <w:pPr>
              <w:pStyle w:val="1012"/>
              <w:ind w:firstLine="0"/>
              <w:jc w:val="center"/>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说明</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8386" w:type="dxa"/>
            <w:vAlign w:val="top"/>
            <w:textDirection w:val="lrTb"/>
            <w:noWrap w:val="false"/>
          </w:tcPr>
          <w:p>
            <w:pPr>
              <w:pStyle w:val="1249"/>
              <w:ind w:firstLine="480"/>
              <w:jc w:val="both"/>
              <w:spacing w:after="0"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中标人在收到中标通知书时，须向江苏天奇项目管理咨询有限公司提供纸质投标文件4份（正本1份，副本3份），纸质投标文件内容须与中标人所提交的电子投标文件一致。</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firstLine="200"/>
              <w:jc w:val="both"/>
              <w:spacing w:line="274" w:lineRule="auto"/>
              <w:widowControl w:val="off"/>
              <w:rPr>
                <w:rFonts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注意：本项目特别注意事项：凡招标文件中所涉及的重要设备参数均需提供原厂证明材料，中标方在签订合同前全部提供给甲方，作为补充材料，若提供不全面，视为自动放弃中标。</w:t>
            </w:r>
            <w:r>
              <w:rPr>
                <w:rFonts w:ascii="宋体" w:hAnsi="宋体" w:eastAsia="宋体" w:cs="宋体"/>
                <w:b/>
                <w:bCs/>
                <w:color w:val="000000" w:themeColor="text1"/>
                <w:sz w:val="24"/>
                <w:szCs w:val="24"/>
                <w:highlight w:val="none"/>
                <w:lang w:val="en-US" w:eastAsia="zh-CN" w:bidi="ar-SA"/>
              </w:rPr>
            </w:r>
            <w:r>
              <w:rPr>
                <w:color w:val="000000" w:themeColor="text1"/>
              </w:rPr>
            </w:r>
          </w:p>
          <w:p>
            <w:pPr>
              <w:pStyle w:val="1012"/>
              <w:ind w:firstLine="200"/>
              <w:jc w:val="both"/>
              <w:spacing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firstLine="200"/>
              <w:jc w:val="both"/>
              <w:spacing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tc>
      </w:tr>
    </w:tbl>
    <w:p>
      <w:pPr>
        <w:pStyle w:val="1281"/>
        <w:numPr>
          <w:ilvl w:val="0"/>
          <w:numId w:val="0"/>
        </w:numPr>
        <w:jc w:val="center"/>
        <w:keepLines w:val="0"/>
        <w:keepNext w:val="0"/>
        <w:pageBreakBefore w:val="0"/>
        <w:spacing w:before="0" w:after="0" w:line="240" w:lineRule="auto"/>
        <w:widowControl w:val="off"/>
        <w:rPr>
          <w:rFonts w:hint="eastAsia" w:ascii="宋体" w:hAnsi="宋体" w:eastAsia="宋体" w:cs="宋体"/>
          <w:b/>
          <w:bCs/>
          <w:color w:val="000000" w:themeColor="text1"/>
          <w:highlight w:val="none"/>
        </w:rPr>
      </w:pPr>
      <w:r>
        <w:rPr>
          <w:color w:val="000000" w:themeColor="text1"/>
        </w:rPr>
      </w:r>
      <w:bookmarkStart w:id="9" w:name="_Toc9360"/>
      <w:r>
        <w:rPr>
          <w:color w:val="000000" w:themeColor="text1"/>
        </w:rPr>
      </w:r>
      <w:bookmarkStart w:id="10" w:name="_Toc484939575"/>
      <w:r>
        <w:rPr>
          <w:rFonts w:hint="eastAsia" w:ascii="宋体" w:hAnsi="宋体" w:eastAsia="宋体" w:cs="宋体"/>
          <w:b/>
          <w:bCs/>
          <w:color w:val="000000" w:themeColor="text1"/>
          <w:sz w:val="36"/>
          <w:szCs w:val="32"/>
          <w:highlight w:val="none"/>
          <w:lang w:val="en-US" w:eastAsia="zh-CN" w:bidi="ar-SA"/>
        </w:rPr>
        <w:t xml:space="preserve">第四章 </w:t>
      </w:r>
      <w:r>
        <w:rPr>
          <w:rFonts w:hint="eastAsia" w:ascii="宋体" w:hAnsi="宋体" w:eastAsia="宋体" w:cs="宋体"/>
          <w:b/>
          <w:bCs/>
          <w:color w:val="000000" w:themeColor="text1"/>
          <w:highlight w:val="none"/>
        </w:rPr>
        <w:t xml:space="preserve">评标标准</w:t>
      </w:r>
      <w:bookmarkEnd w:id="9"/>
      <w:r>
        <w:rPr>
          <w:rFonts w:hint="eastAsia" w:ascii="宋体" w:hAnsi="宋体" w:eastAsia="宋体" w:cs="宋体"/>
          <w:b/>
          <w:bCs/>
          <w:color w:val="000000" w:themeColor="text1"/>
          <w:highlight w:val="none"/>
        </w:rPr>
      </w:r>
      <w:r>
        <w:rPr>
          <w:color w:val="000000" w:themeColor="text1"/>
        </w:rPr>
      </w:r>
    </w:p>
    <w:p>
      <w:pPr>
        <w:pStyle w:val="1012"/>
        <w:rPr>
          <w:rFonts w:hint="eastAsia"/>
          <w:color w:val="000000" w:themeColor="text1"/>
          <w:highlight w:val="none"/>
        </w:rPr>
      </w:pPr>
      <w:r>
        <w:rPr>
          <w:rFonts w:hint="eastAsia"/>
          <w:color w:val="000000" w:themeColor="text1"/>
          <w:highlight w:val="none"/>
        </w:rPr>
      </w:r>
      <w:r>
        <w:rPr>
          <w:color w:val="000000" w:themeColor="text1"/>
        </w:rPr>
      </w:r>
    </w:p>
    <w:tbl>
      <w:tblPr>
        <w:tblW w:w="9576" w:type="dxa"/>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407"/>
        <w:gridCol w:w="1373"/>
        <w:gridCol w:w="6796"/>
      </w:tblGrid>
      <w:tr>
        <w:trPr>
          <w:trHeight w:val="584"/>
          <w:tblHeader/>
        </w:trPr>
        <w:tc>
          <w:tcPr>
            <w:gridSpan w:val="2"/>
            <w:tcW w:w="2780" w:type="dxa"/>
            <w:vAlign w:val="center"/>
            <w:textDirection w:val="lrTb"/>
            <w:noWrap w:val="false"/>
          </w:tcPr>
          <w:p>
            <w:pPr>
              <w:pStyle w:val="1012"/>
              <w:ind w:left="0" w:right="0" w:firstLine="0"/>
              <w:jc w:val="center"/>
              <w:spacing w:line="240" w:lineRule="auto"/>
              <w:widowControl w:val="off"/>
              <w:rPr>
                <w:rFonts w:hint="eastAsia" w:ascii="Arial" w:hAnsi="Arial" w:eastAsia="Arial" w:cs="Arial"/>
                <w:b/>
                <w:color w:val="000000" w:themeColor="text1"/>
                <w:sz w:val="24"/>
                <w:szCs w:val="24"/>
                <w:highlight w:val="none"/>
              </w:rPr>
            </w:pPr>
            <w:r>
              <w:rPr>
                <w:rFonts w:hint="eastAsia" w:ascii="Arial" w:hAnsi="Arial" w:eastAsia="Arial" w:cs="Arial"/>
                <w:b/>
                <w:color w:val="000000" w:themeColor="text1"/>
                <w:sz w:val="24"/>
                <w:szCs w:val="24"/>
                <w:highlight w:val="none"/>
                <w:lang w:val="en-US" w:eastAsia="zh-CN" w:bidi="ar-SA"/>
              </w:rPr>
              <w:t xml:space="preserve">评审因素</w:t>
            </w:r>
            <w:r>
              <w:rPr>
                <w:rFonts w:hint="eastAsia" w:ascii="Arial" w:hAnsi="Arial" w:eastAsia="Arial" w:cs="Arial"/>
                <w:b/>
                <w:color w:val="000000" w:themeColor="text1"/>
                <w:sz w:val="24"/>
                <w:szCs w:val="24"/>
                <w:highlight w:val="none"/>
                <w:lang w:val="en-US" w:eastAsia="zh-CN" w:bidi="ar-SA"/>
              </w:rPr>
            </w:r>
            <w:r>
              <w:rPr>
                <w:color w:val="000000" w:themeColor="text1"/>
              </w:rPr>
            </w:r>
          </w:p>
        </w:tc>
        <w:tc>
          <w:tcPr>
            <w:tcW w:w="6796" w:type="dxa"/>
            <w:vAlign w:val="center"/>
            <w:textDirection w:val="lrTb"/>
            <w:noWrap w:val="false"/>
          </w:tcPr>
          <w:p>
            <w:pPr>
              <w:pStyle w:val="1012"/>
              <w:ind w:left="0" w:right="0" w:firstLine="0"/>
              <w:jc w:val="center"/>
              <w:spacing w:line="240" w:lineRule="auto"/>
              <w:widowControl w:val="off"/>
              <w:rPr>
                <w:rFonts w:hint="eastAsia" w:ascii="Arial" w:hAnsi="Arial" w:eastAsia="Arial" w:cs="Arial"/>
                <w:b/>
                <w:color w:val="000000" w:themeColor="text1"/>
                <w:sz w:val="24"/>
                <w:szCs w:val="24"/>
                <w:highlight w:val="none"/>
              </w:rPr>
            </w:pPr>
            <w:r>
              <w:rPr>
                <w:rFonts w:hint="eastAsia" w:ascii="Arial" w:hAnsi="Arial" w:eastAsia="Arial" w:cs="Arial"/>
                <w:b/>
                <w:color w:val="000000" w:themeColor="text1"/>
                <w:sz w:val="24"/>
                <w:szCs w:val="24"/>
                <w:highlight w:val="none"/>
                <w:lang w:val="en-US" w:eastAsia="zh-CN" w:bidi="ar-SA"/>
              </w:rPr>
              <w:t xml:space="preserve">评审因素细化和量化</w:t>
            </w:r>
            <w:r>
              <w:rPr>
                <w:rFonts w:hint="eastAsia" w:ascii="Arial" w:hAnsi="Arial" w:eastAsia="Arial" w:cs="Arial"/>
                <w:b/>
                <w:color w:val="000000" w:themeColor="text1"/>
                <w:sz w:val="24"/>
                <w:szCs w:val="24"/>
                <w:highlight w:val="none"/>
                <w:lang w:val="en-US" w:eastAsia="zh-CN" w:bidi="ar-SA"/>
              </w:rPr>
            </w:r>
            <w:r>
              <w:rPr>
                <w:color w:val="000000" w:themeColor="text1"/>
              </w:rPr>
            </w:r>
          </w:p>
        </w:tc>
      </w:tr>
      <w:tr>
        <w:trPr/>
        <w:tc>
          <w:tcPr>
            <w:gridSpan w:val="2"/>
            <w:tcW w:w="2780" w:type="dxa"/>
            <w:vAlign w:val="center"/>
            <w:textDirection w:val="lrTb"/>
            <w:noWrap w:val="false"/>
          </w:tcPr>
          <w:p>
            <w:pPr>
              <w:pStyle w:val="1012"/>
              <w:ind w:left="0" w:right="0" w:firstLine="0"/>
              <w:jc w:val="center"/>
              <w:spacing w:line="240" w:lineRule="auto"/>
              <w:widowControl w:val="off"/>
              <w:rPr>
                <w:rFonts w:hint="eastAsia" w:ascii="Arial" w:hAnsi="Arial" w:eastAsia="Arial" w:cs="Arial"/>
                <w:color w:val="000000" w:themeColor="text1"/>
                <w:sz w:val="24"/>
                <w:szCs w:val="24"/>
                <w:highlight w:val="none"/>
              </w:rPr>
            </w:pPr>
            <w:r>
              <w:rPr>
                <w:rFonts w:hint="eastAsia" w:ascii="Arial" w:hAnsi="Arial" w:eastAsia="Arial" w:cs="Arial"/>
                <w:color w:val="000000" w:themeColor="text1"/>
                <w:sz w:val="24"/>
                <w:szCs w:val="24"/>
                <w:highlight w:val="none"/>
                <w:lang w:val="en-US" w:eastAsia="zh-CN" w:bidi="ar-SA"/>
              </w:rPr>
              <w:t xml:space="preserve">价格部分</w:t>
            </w:r>
            <w:r>
              <w:rPr>
                <w:rFonts w:hint="eastAsia" w:ascii="Arial" w:hAnsi="Arial" w:eastAsia="Arial" w:cs="Arial"/>
                <w:color w:val="000000" w:themeColor="text1"/>
                <w:sz w:val="24"/>
                <w:szCs w:val="24"/>
                <w:highlight w:val="none"/>
                <w:lang w:val="en-US" w:eastAsia="zh-CN" w:bidi="ar-SA"/>
              </w:rPr>
            </w:r>
            <w:r>
              <w:rPr>
                <w:color w:val="000000" w:themeColor="text1"/>
              </w:rPr>
            </w:r>
          </w:p>
          <w:p>
            <w:pPr>
              <w:pStyle w:val="1012"/>
              <w:ind w:left="0" w:right="0" w:firstLine="0"/>
              <w:jc w:val="center"/>
              <w:spacing w:line="240" w:lineRule="auto"/>
              <w:widowControl w:val="off"/>
              <w:rPr>
                <w:rFonts w:hint="eastAsia" w:ascii="Arial" w:hAnsi="Arial" w:eastAsia="Arial" w:cs="Arial"/>
                <w:color w:val="000000" w:themeColor="text1"/>
                <w:sz w:val="24"/>
                <w:szCs w:val="24"/>
                <w:highlight w:val="none"/>
              </w:rPr>
            </w:pPr>
            <w:r>
              <w:rPr>
                <w:rFonts w:hint="eastAsia" w:ascii="Arial" w:hAnsi="Arial" w:eastAsia="Arial" w:cs="Arial"/>
                <w:color w:val="000000" w:themeColor="text1"/>
                <w:sz w:val="24"/>
                <w:szCs w:val="24"/>
                <w:highlight w:val="none"/>
                <w:lang w:val="en-US" w:eastAsia="zh-CN" w:bidi="ar-SA"/>
              </w:rPr>
              <w:t xml:space="preserve">（30分）</w:t>
            </w:r>
            <w:r>
              <w:rPr>
                <w:rFonts w:hint="eastAsia" w:ascii="Arial" w:hAnsi="Arial" w:eastAsia="Arial" w:cs="Arial"/>
                <w:color w:val="000000" w:themeColor="text1"/>
                <w:sz w:val="24"/>
                <w:szCs w:val="24"/>
                <w:highlight w:val="none"/>
                <w:lang w:val="en-US" w:eastAsia="zh-CN" w:bidi="ar-SA"/>
              </w:rPr>
            </w:r>
            <w:r>
              <w:rPr>
                <w:color w:val="000000" w:themeColor="text1"/>
              </w:rPr>
            </w:r>
          </w:p>
        </w:tc>
        <w:tc>
          <w:tcPr>
            <w:tcW w:w="6796" w:type="dxa"/>
            <w:vAlign w:val="center"/>
            <w:textDirection w:val="lrTb"/>
            <w:noWrap w:val="false"/>
          </w:tcPr>
          <w:p>
            <w:pPr>
              <w:pStyle w:val="1012"/>
              <w:ind w:left="0" w:right="0" w:firstLine="0"/>
              <w:jc w:val="center"/>
              <w:spacing w:line="240" w:lineRule="auto"/>
              <w:widowControl w:val="off"/>
              <w:rPr>
                <w:rFonts w:hint="eastAsia" w:ascii="Arial" w:hAnsi="Arial" w:eastAsia="Arial" w:cs="Arial"/>
                <w:color w:val="000000" w:themeColor="text1"/>
                <w:sz w:val="24"/>
                <w:szCs w:val="24"/>
                <w:highlight w:val="none"/>
              </w:rPr>
            </w:pPr>
            <w:r>
              <w:rPr>
                <w:rFonts w:hint="eastAsia" w:ascii="Arial" w:hAnsi="Arial" w:eastAsia="Arial" w:cs="Arial"/>
                <w:color w:val="000000" w:themeColor="text1"/>
                <w:sz w:val="24"/>
                <w:szCs w:val="24"/>
                <w:highlight w:val="none"/>
                <w:lang w:val="en-US" w:eastAsia="zh-CN" w:bidi="ar-SA"/>
              </w:rPr>
              <w:t xml:space="preserve">综合评分法中的价格分统一采用低价优先法计算，以满足招标文件要求且投标价格最低的投标报价为评标基准价，其价格为满分30分。其他投标人的价格分统一按照下列公式计算：</w:t>
            </w:r>
            <w:r>
              <w:rPr>
                <w:rFonts w:hint="eastAsia" w:ascii="Arial" w:hAnsi="Arial" w:eastAsia="Arial" w:cs="Arial"/>
                <w:color w:val="000000" w:themeColor="text1"/>
                <w:sz w:val="24"/>
                <w:szCs w:val="24"/>
                <w:highlight w:val="none"/>
                <w:lang w:val="en-US" w:eastAsia="zh-CN" w:bidi="ar-SA"/>
              </w:rPr>
            </w:r>
            <w:r>
              <w:rPr>
                <w:color w:val="000000" w:themeColor="text1"/>
              </w:rPr>
            </w:r>
          </w:p>
          <w:p>
            <w:pPr>
              <w:pStyle w:val="1012"/>
              <w:ind w:firstLine="480"/>
              <w:jc w:val="center"/>
              <w:spacing w:line="240" w:lineRule="auto"/>
              <w:widowControl w:val="off"/>
              <w:rPr>
                <w:rFonts w:hint="eastAsia" w:ascii="Arial" w:hAnsi="Arial" w:eastAsia="Arial" w:cs="Arial"/>
                <w:color w:val="000000" w:themeColor="text1"/>
                <w:sz w:val="24"/>
                <w:szCs w:val="24"/>
                <w:highlight w:val="none"/>
              </w:rPr>
            </w:pPr>
            <w:r>
              <w:rPr>
                <w:rFonts w:hint="eastAsia" w:ascii="Arial" w:hAnsi="Arial" w:eastAsia="Arial" w:cs="Arial"/>
                <w:color w:val="000000" w:themeColor="text1"/>
                <w:sz w:val="24"/>
                <w:szCs w:val="24"/>
                <w:highlight w:val="none"/>
                <w:lang w:val="en-US" w:eastAsia="zh-CN" w:bidi="ar-SA"/>
              </w:rPr>
              <w:t xml:space="preserve">投标报价得分＝（评标基准价/投标报价）×30</w:t>
            </w:r>
            <w:r>
              <w:rPr>
                <w:rFonts w:hint="eastAsia" w:ascii="Arial" w:hAnsi="Arial" w:eastAsia="Arial" w:cs="Arial"/>
                <w:color w:val="000000" w:themeColor="text1"/>
                <w:sz w:val="24"/>
                <w:szCs w:val="24"/>
                <w:highlight w:val="none"/>
                <w:lang w:val="en-US" w:eastAsia="zh-CN" w:bidi="ar-SA"/>
              </w:rPr>
            </w:r>
            <w:r>
              <w:rPr>
                <w:color w:val="000000" w:themeColor="text1"/>
              </w:rPr>
            </w:r>
          </w:p>
        </w:tc>
      </w:tr>
      <w:tr>
        <w:trPr/>
        <w:tc>
          <w:tcPr>
            <w:tcW w:w="1407" w:type="dxa"/>
            <w:vAlign w:val="center"/>
            <w:vMerge w:val="restart"/>
            <w:textDirection w:val="lrTb"/>
            <w:noWrap w:val="false"/>
          </w:tcPr>
          <w:p>
            <w:pPr>
              <w:pStyle w:val="1012"/>
              <w:ind w:left="0" w:right="0" w:firstLine="0"/>
              <w:jc w:val="center"/>
              <w:spacing w:line="240" w:lineRule="auto"/>
              <w:widowControl w:val="off"/>
              <w:rPr>
                <w:rFonts w:hint="eastAsia" w:ascii="Arial" w:hAnsi="Arial" w:eastAsia="Arial" w:cs="Arial"/>
                <w:color w:val="000000" w:themeColor="text1"/>
                <w:sz w:val="24"/>
                <w:szCs w:val="24"/>
                <w:highlight w:val="none"/>
              </w:rPr>
            </w:pPr>
            <w:r>
              <w:rPr>
                <w:rFonts w:hint="eastAsia" w:ascii="Arial" w:hAnsi="Arial" w:eastAsia="Arial" w:cs="Arial"/>
                <w:color w:val="000000" w:themeColor="text1"/>
                <w:sz w:val="24"/>
                <w:szCs w:val="24"/>
                <w:highlight w:val="none"/>
                <w:lang w:val="en-US" w:eastAsia="zh-CN" w:bidi="ar-SA"/>
              </w:rPr>
              <w:t xml:space="preserve">技术</w:t>
            </w:r>
            <w:r>
              <w:rPr>
                <w:rFonts w:hint="eastAsia" w:ascii="Arial" w:hAnsi="Arial" w:eastAsia="Arial" w:cs="Arial"/>
                <w:color w:val="000000" w:themeColor="text1"/>
                <w:sz w:val="24"/>
                <w:szCs w:val="24"/>
                <w:highlight w:val="none"/>
                <w:lang w:val="en-US" w:eastAsia="zh-CN" w:bidi="ar-SA"/>
              </w:rPr>
            </w:r>
            <w:r>
              <w:rPr>
                <w:color w:val="000000" w:themeColor="text1"/>
              </w:rPr>
            </w:r>
          </w:p>
          <w:p>
            <w:pPr>
              <w:pStyle w:val="1012"/>
              <w:ind w:left="0" w:right="0" w:firstLine="0"/>
              <w:jc w:val="center"/>
              <w:spacing w:line="240" w:lineRule="auto"/>
              <w:widowControl w:val="off"/>
              <w:rPr>
                <w:rFonts w:hint="eastAsia" w:ascii="Arial" w:hAnsi="Arial" w:eastAsia="Arial" w:cs="Arial"/>
                <w:color w:val="000000" w:themeColor="text1"/>
                <w:sz w:val="24"/>
                <w:szCs w:val="24"/>
                <w:highlight w:val="none"/>
              </w:rPr>
            </w:pPr>
            <w:r>
              <w:rPr>
                <w:rFonts w:hint="eastAsia" w:ascii="Arial" w:hAnsi="Arial" w:eastAsia="Arial" w:cs="Arial"/>
                <w:color w:val="000000" w:themeColor="text1"/>
                <w:sz w:val="24"/>
                <w:szCs w:val="24"/>
                <w:highlight w:val="none"/>
                <w:lang w:val="en-US" w:eastAsia="zh-CN" w:bidi="ar-SA"/>
              </w:rPr>
              <w:t xml:space="preserve">部分</w:t>
            </w:r>
            <w:r>
              <w:rPr>
                <w:rFonts w:hint="eastAsia" w:ascii="Arial" w:hAnsi="Arial" w:eastAsia="Arial" w:cs="Arial"/>
                <w:color w:val="000000" w:themeColor="text1"/>
                <w:sz w:val="24"/>
                <w:szCs w:val="24"/>
                <w:highlight w:val="none"/>
                <w:lang w:val="en-US" w:eastAsia="zh-CN" w:bidi="ar-SA"/>
              </w:rPr>
            </w:r>
            <w:r>
              <w:rPr>
                <w:color w:val="000000" w:themeColor="text1"/>
              </w:rPr>
            </w:r>
          </w:p>
          <w:p>
            <w:pPr>
              <w:pStyle w:val="1012"/>
              <w:ind w:left="0" w:right="0" w:firstLine="0"/>
              <w:jc w:val="center"/>
              <w:spacing w:line="240" w:lineRule="auto"/>
              <w:widowControl w:val="off"/>
              <w:rPr>
                <w:rFonts w:hint="eastAsia" w:ascii="Arial" w:hAnsi="Arial" w:eastAsia="Arial" w:cs="Arial"/>
                <w:color w:val="000000" w:themeColor="text1"/>
                <w:sz w:val="24"/>
                <w:szCs w:val="24"/>
                <w:highlight w:val="none"/>
              </w:rPr>
            </w:pPr>
            <w:r>
              <w:rPr>
                <w:rFonts w:hint="eastAsia" w:ascii="Arial" w:hAnsi="Arial" w:eastAsia="Arial" w:cs="Arial"/>
                <w:color w:val="000000" w:themeColor="text1"/>
                <w:sz w:val="24"/>
                <w:szCs w:val="24"/>
                <w:highlight w:val="none"/>
                <w:lang w:val="en-US" w:eastAsia="zh-CN" w:bidi="ar-SA"/>
              </w:rPr>
              <w:t xml:space="preserve">（51分）</w:t>
            </w:r>
            <w:r>
              <w:rPr>
                <w:rFonts w:hint="eastAsia" w:ascii="Arial" w:hAnsi="Arial" w:eastAsia="Arial" w:cs="Arial"/>
                <w:color w:val="000000" w:themeColor="text1"/>
                <w:sz w:val="24"/>
                <w:szCs w:val="24"/>
                <w:highlight w:val="none"/>
                <w:lang w:val="en-US" w:eastAsia="zh-CN" w:bidi="ar-SA"/>
              </w:rPr>
            </w:r>
            <w:r>
              <w:rPr>
                <w:color w:val="000000" w:themeColor="text1"/>
              </w:rPr>
            </w:r>
          </w:p>
        </w:tc>
        <w:tc>
          <w:tcPr>
            <w:tcW w:w="1373" w:type="dxa"/>
            <w:vAlign w:val="center"/>
            <w:textDirection w:val="lrTb"/>
            <w:noWrap w:val="false"/>
          </w:tcPr>
          <w:p>
            <w:pPr>
              <w:pStyle w:val="1012"/>
              <w:ind w:left="0" w:right="0" w:firstLine="0"/>
              <w:jc w:val="left"/>
              <w:spacing w:line="240" w:lineRule="auto"/>
              <w:widowControl w:val="off"/>
              <w:rPr>
                <w:rFonts w:hint="eastAsia" w:ascii="Arial" w:hAnsi="Arial" w:eastAsia="Arial" w:cs="Arial"/>
                <w:color w:val="000000" w:themeColor="text1"/>
                <w:sz w:val="24"/>
                <w:szCs w:val="24"/>
                <w:highlight w:val="none"/>
              </w:rPr>
            </w:pPr>
            <w:r>
              <w:rPr>
                <w:rFonts w:hint="eastAsia" w:ascii="Arial" w:hAnsi="Arial" w:eastAsia="Arial" w:cs="Arial"/>
                <w:color w:val="000000" w:themeColor="text1"/>
                <w:sz w:val="24"/>
                <w:szCs w:val="24"/>
                <w:highlight w:val="none"/>
                <w:lang w:val="en-US" w:eastAsia="zh-CN" w:bidi="ar-SA"/>
              </w:rPr>
              <w:t xml:space="preserve">技术参数响应表</w:t>
            </w:r>
            <w:r>
              <w:rPr>
                <w:rFonts w:hint="eastAsia" w:ascii="Arial" w:hAnsi="Arial" w:eastAsia="Arial" w:cs="Arial"/>
                <w:color w:val="000000" w:themeColor="text1"/>
                <w:sz w:val="24"/>
                <w:szCs w:val="24"/>
                <w:highlight w:val="none"/>
                <w:lang w:val="en-US" w:eastAsia="zh-CN" w:bidi="ar-SA"/>
              </w:rPr>
            </w:r>
            <w:r>
              <w:rPr>
                <w:color w:val="000000" w:themeColor="text1"/>
              </w:rPr>
            </w:r>
          </w:p>
          <w:p>
            <w:pPr>
              <w:pStyle w:val="1012"/>
              <w:ind w:left="0" w:right="0" w:firstLine="0"/>
              <w:jc w:val="left"/>
              <w:spacing w:line="240" w:lineRule="auto"/>
              <w:widowControl w:val="off"/>
              <w:rPr>
                <w:rFonts w:hint="eastAsia" w:ascii="Arial" w:hAnsi="Arial" w:eastAsia="Arial" w:cs="Arial"/>
                <w:color w:val="000000" w:themeColor="text1"/>
                <w:sz w:val="24"/>
                <w:szCs w:val="24"/>
                <w:highlight w:val="none"/>
              </w:rPr>
            </w:pPr>
            <w:r>
              <w:rPr>
                <w:rFonts w:hint="eastAsia" w:ascii="Arial" w:hAnsi="Arial" w:eastAsia="Arial" w:cs="Arial"/>
                <w:color w:val="000000" w:themeColor="text1"/>
                <w:sz w:val="24"/>
                <w:szCs w:val="24"/>
                <w:highlight w:val="none"/>
                <w:lang w:val="en-US" w:eastAsia="zh-CN" w:bidi="ar-SA"/>
              </w:rPr>
              <w:t xml:space="preserve">（20分）</w:t>
            </w:r>
            <w:r>
              <w:rPr>
                <w:rFonts w:hint="eastAsia" w:ascii="Arial" w:hAnsi="Arial" w:eastAsia="Arial" w:cs="Arial"/>
                <w:color w:val="000000" w:themeColor="text1"/>
                <w:sz w:val="24"/>
                <w:szCs w:val="24"/>
                <w:highlight w:val="none"/>
                <w:lang w:val="en-US" w:eastAsia="zh-CN" w:bidi="ar-SA"/>
              </w:rPr>
            </w:r>
            <w:r>
              <w:rPr>
                <w:color w:val="000000" w:themeColor="text1"/>
              </w:rPr>
            </w:r>
          </w:p>
        </w:tc>
        <w:tc>
          <w:tcPr>
            <w:tcW w:w="6796" w:type="dxa"/>
            <w:vAlign w:val="center"/>
            <w:textDirection w:val="lrTb"/>
            <w:noWrap w:val="false"/>
          </w:tcPr>
          <w:p>
            <w:pPr>
              <w:pStyle w:val="1012"/>
              <w:ind w:left="0" w:right="0" w:firstLine="0"/>
              <w:jc w:val="left"/>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各投标人技术响应部分的技术参数能完全满足招标文件要求的，得20分。</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left="0" w:right="0" w:firstLine="0"/>
              <w:jc w:val="left"/>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1.标注 “★” 的指标为实质性要求，投标人对任一★指标存在负偏离的，按无效投标处理。</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left="0" w:right="0" w:firstLine="0"/>
              <w:jc w:val="left"/>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2.标注 “▲” 的指标为重要技术指标，每存在1项负偏离，扣1分。</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left="0" w:right="0" w:firstLine="0"/>
              <w:jc w:val="left"/>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3.其他为一般指标，存在一项负偏离扣0.5分，扣完本项评分为止。本项采用累计扣分制，最高得20分，最低得0分。</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left="0" w:right="0" w:firstLine="0"/>
              <w:jc w:val="left"/>
              <w:spacing w:line="240" w:lineRule="auto"/>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4"/>
                <w:szCs w:val="24"/>
                <w:highlight w:val="none"/>
                <w:lang w:val="en-US" w:eastAsia="zh-CN" w:bidi="ar-SA"/>
              </w:rPr>
              <w:t xml:space="preserve">投标人须按要求提供《技术要求响应表》，清单内有具体要求提供证明材料的，需按要求提供，否则视为负偏离。投标人需详尽真实地提供投标产品的响应偏差表。</w:t>
            </w:r>
            <w:r>
              <w:rPr>
                <w:rFonts w:hint="eastAsia" w:ascii="宋体" w:hAnsi="宋体" w:eastAsia="宋体" w:cs="宋体"/>
                <w:color w:val="000000" w:themeColor="text1"/>
                <w:sz w:val="22"/>
                <w:szCs w:val="22"/>
                <w:highlight w:val="none"/>
                <w:lang w:val="en-US" w:eastAsia="zh-CN" w:bidi="ar-SA"/>
              </w:rPr>
              <w:t xml:space="preserve">本项目技术参数允许正偏离，正偏离不另行加分。</w:t>
            </w:r>
            <w:r>
              <w:rPr>
                <w:rFonts w:hint="eastAsia" w:ascii="宋体" w:hAnsi="宋体" w:eastAsia="宋体" w:cs="宋体"/>
                <w:color w:val="000000" w:themeColor="text1"/>
                <w:sz w:val="22"/>
                <w:szCs w:val="22"/>
                <w:highlight w:val="none"/>
                <w:lang w:val="en-US" w:eastAsia="zh-CN" w:bidi="ar-SA"/>
              </w:rPr>
            </w:r>
            <w:r>
              <w:rPr>
                <w:color w:val="000000" w:themeColor="text1"/>
              </w:rPr>
            </w:r>
          </w:p>
          <w:p>
            <w:pPr>
              <w:pStyle w:val="1012"/>
              <w:ind w:left="0" w:right="0" w:firstLine="0"/>
              <w:jc w:val="left"/>
              <w:spacing w:line="240" w:lineRule="auto"/>
              <w:widowControl w:val="off"/>
              <w:rPr>
                <w:rFonts w:hint="eastAsia" w:ascii="Arial" w:hAnsi="Arial" w:eastAsia="Arial" w:cs="Arial"/>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注：对于招标文件中标注“★”“▲”的参数均需提供彩页或白皮书或检测报告等证明材料，截图要求界面清晰、真实，并在《技术参数响应表》中详细标明技术支持资料在响应文件中的页码和位置。同时投标人应提供评标索引，明确每一项参数证明材料所在页码，未提供技术支持资料的作负偏离处理。投标人应提供评标索引，明确每一项参数证明材料所在页码</w:t>
            </w:r>
            <w:r>
              <w:rPr>
                <w:rFonts w:hint="eastAsia" w:ascii="宋体" w:hAnsi="宋体" w:eastAsia="宋体" w:cs="宋体"/>
                <w:color w:val="000000" w:themeColor="text1"/>
                <w:sz w:val="24"/>
                <w:szCs w:val="24"/>
                <w:highlight w:val="none"/>
                <w:lang w:val="en-US" w:eastAsia="zh-CN" w:bidi="ar-SA"/>
              </w:rPr>
              <w:t xml:space="preserve">。</w:t>
            </w:r>
            <w:r>
              <w:rPr>
                <w:rFonts w:hint="eastAsia" w:ascii="Arial" w:hAnsi="Arial" w:eastAsia="Arial" w:cs="Arial"/>
                <w:color w:val="000000" w:themeColor="text1"/>
                <w:sz w:val="24"/>
                <w:szCs w:val="24"/>
                <w:highlight w:val="none"/>
                <w:lang w:val="en-US" w:eastAsia="zh-CN" w:bidi="ar-SA"/>
              </w:rPr>
            </w:r>
            <w:r>
              <w:rPr>
                <w:color w:val="000000" w:themeColor="text1"/>
              </w:rPr>
            </w:r>
          </w:p>
        </w:tc>
      </w:tr>
      <w:tr>
        <w:trPr/>
        <w:tc>
          <w:tcPr>
            <w:tcW w:w="1407" w:type="dxa"/>
            <w:vAlign w:val="center"/>
            <w:vMerge w:val="continue"/>
            <w:textDirection w:val="lrTb"/>
            <w:noWrap w:val="false"/>
          </w:tcPr>
          <w:p>
            <w:pPr>
              <w:pStyle w:val="1012"/>
              <w:ind w:left="0" w:right="0" w:firstLine="0"/>
              <w:jc w:val="center"/>
              <w:spacing w:line="240" w:lineRule="auto"/>
              <w:widowControl w:val="off"/>
              <w:rPr>
                <w:rFonts w:hint="eastAsia" w:ascii="Arial" w:hAnsi="Arial" w:eastAsia="Arial" w:cs="Arial"/>
                <w:color w:val="000000"/>
                <w:sz w:val="24"/>
                <w:szCs w:val="24"/>
                <w:highlight w:val="none"/>
                <w:lang w:val="en-US" w:eastAsia="zh-CN" w:bidi="ar-SA"/>
              </w:rPr>
            </w:pPr>
            <w:r>
              <w:rPr>
                <w:rFonts w:hint="eastAsia" w:ascii="Arial" w:hAnsi="Arial" w:eastAsia="Arial" w:cs="Arial"/>
                <w:color w:val="000000"/>
                <w:sz w:val="24"/>
                <w:szCs w:val="24"/>
                <w:highlight w:val="none"/>
                <w:lang w:val="en-US" w:eastAsia="zh-CN" w:bidi="ar-SA"/>
              </w:rPr>
            </w:r>
            <w:r/>
          </w:p>
        </w:tc>
        <w:tc>
          <w:tcPr>
            <w:tcW w:w="1373" w:type="dxa"/>
            <w:vAlign w:val="center"/>
            <w:textDirection w:val="lrTb"/>
            <w:noWrap w:val="false"/>
          </w:tcPr>
          <w:p>
            <w:pPr>
              <w:pStyle w:val="1012"/>
              <w:ind w:firstLine="0"/>
              <w:jc w:val="left"/>
              <w:spacing w:line="240" w:lineRule="auto"/>
              <w:widowControl w:val="off"/>
              <w:rPr>
                <w:rFonts w:hint="eastAsia" w:ascii="Arial" w:hAnsi="Arial" w:eastAsia="Arial" w:cs="Arial"/>
                <w:color w:val="000000" w:themeColor="text1"/>
                <w:sz w:val="24"/>
                <w:szCs w:val="24"/>
                <w:highlight w:val="none"/>
              </w:rPr>
            </w:pPr>
            <w:r>
              <w:rPr>
                <w:rFonts w:hint="eastAsia" w:ascii="Arial" w:hAnsi="Arial" w:eastAsia="Arial" w:cs="Arial"/>
                <w:color w:val="000000" w:themeColor="text1"/>
                <w:sz w:val="24"/>
                <w:szCs w:val="24"/>
                <w:highlight w:val="none"/>
                <w:lang w:val="en-US" w:eastAsia="zh-CN" w:bidi="ar-SA"/>
              </w:rPr>
              <w:t xml:space="preserve">机房整体设计方案（10分）</w:t>
            </w:r>
            <w:r>
              <w:rPr>
                <w:rFonts w:hint="eastAsia" w:ascii="Arial" w:hAnsi="Arial" w:eastAsia="Arial" w:cs="Arial"/>
                <w:color w:val="000000" w:themeColor="text1"/>
                <w:sz w:val="24"/>
                <w:szCs w:val="24"/>
                <w:highlight w:val="none"/>
                <w:lang w:val="en-US" w:eastAsia="zh-CN" w:bidi="ar-SA"/>
              </w:rPr>
            </w:r>
            <w:r>
              <w:rPr>
                <w:color w:val="000000" w:themeColor="text1"/>
              </w:rPr>
            </w:r>
          </w:p>
        </w:tc>
        <w:tc>
          <w:tcPr>
            <w:tcW w:w="6796" w:type="dxa"/>
            <w:vAlign w:val="center"/>
            <w:textDirection w:val="lrTb"/>
            <w:noWrap w:val="false"/>
          </w:tcPr>
          <w:p>
            <w:pPr>
              <w:pStyle w:val="1012"/>
              <w:ind w:left="0" w:right="0" w:firstLine="0"/>
              <w:jc w:val="left"/>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投标人自行现场踏勘，结合实地勘察情况，理解本项目的特点与要求，提供整体实施方案及图纸，包括但不限于：</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numPr>
                <w:ilvl w:val="0"/>
                <w:numId w:val="8"/>
              </w:numPr>
              <w:ind w:left="0" w:right="0" w:firstLine="0"/>
              <w:jc w:val="left"/>
              <w:spacing w:line="240" w:lineRule="auto"/>
              <w:widowControl w:val="off"/>
              <w:tabs>
                <w:tab w:val="left" w:pos="312"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完整的机房改扩建后装饰的设计图纸（平面布局图、设备布局图、顶、地、墙施工图等）；</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numPr>
                <w:ilvl w:val="0"/>
                <w:numId w:val="8"/>
              </w:numPr>
              <w:ind w:left="0" w:right="0" w:firstLine="0"/>
              <w:jc w:val="left"/>
              <w:spacing w:line="240" w:lineRule="auto"/>
              <w:widowControl w:val="off"/>
              <w:tabs>
                <w:tab w:val="left" w:pos="312"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完整的电气供配电设计图（包括各配电柜、机柜配电、PDU插座市电及UPS供配电、照明、接地防雷等）；</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numPr>
                <w:ilvl w:val="0"/>
                <w:numId w:val="8"/>
              </w:numPr>
              <w:ind w:left="0" w:right="0" w:firstLine="0"/>
              <w:jc w:val="left"/>
              <w:spacing w:line="240" w:lineRule="auto"/>
              <w:widowControl w:val="off"/>
              <w:tabs>
                <w:tab w:val="left" w:pos="312"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完整机房改扩建详细实施方案（包括拆除、施工、设备安装）；</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numPr>
                <w:ilvl w:val="0"/>
                <w:numId w:val="8"/>
              </w:numPr>
              <w:ind w:left="0" w:right="0" w:firstLine="0"/>
              <w:jc w:val="left"/>
              <w:spacing w:line="240" w:lineRule="auto"/>
              <w:widowControl w:val="off"/>
              <w:tabs>
                <w:tab w:val="left" w:pos="312" w:leader="none"/>
              </w:tabs>
              <w:rPr>
                <w:rFonts w:hint="eastAsia" w:ascii="Arial" w:hAnsi="Arial" w:eastAsia="Arial" w:cs="Arial"/>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重点阐述动力环境监控系统设计方案；</w:t>
            </w:r>
            <w:r>
              <w:rPr>
                <w:rFonts w:hint="eastAsia" w:ascii="Arial" w:hAnsi="Arial" w:eastAsia="Arial" w:cs="Arial"/>
                <w:color w:val="000000" w:themeColor="text1"/>
                <w:sz w:val="24"/>
                <w:szCs w:val="24"/>
                <w:highlight w:val="none"/>
                <w:lang w:val="en-US" w:eastAsia="zh-CN" w:bidi="ar-SA"/>
              </w:rPr>
            </w:r>
            <w:r>
              <w:rPr>
                <w:color w:val="000000" w:themeColor="text1"/>
              </w:rPr>
            </w:r>
          </w:p>
          <w:p>
            <w:pPr>
              <w:pStyle w:val="1012"/>
              <w:numPr>
                <w:ilvl w:val="0"/>
                <w:numId w:val="8"/>
              </w:numPr>
              <w:ind w:left="0" w:right="0" w:firstLine="0"/>
              <w:jc w:val="left"/>
              <w:spacing w:line="240" w:lineRule="auto"/>
              <w:widowControl w:val="off"/>
              <w:tabs>
                <w:tab w:val="left" w:pos="312"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有详细的改扩建后机房整体的3D效果图，效果图有详细设备布局、功能划分、详细机房尺寸等；</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numPr>
                <w:ilvl w:val="0"/>
                <w:numId w:val="8"/>
              </w:numPr>
              <w:ind w:left="0" w:right="0" w:firstLine="0"/>
              <w:jc w:val="left"/>
              <w:spacing w:line="240" w:lineRule="auto"/>
              <w:widowControl w:val="off"/>
              <w:tabs>
                <w:tab w:val="left" w:pos="312" w:leader="none"/>
              </w:tabs>
              <w:rPr>
                <w:rFonts w:hint="eastAsia" w:ascii="Arial" w:hAnsi="Arial" w:eastAsia="Arial" w:cs="Arial"/>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对机房原有设备利旧评估合理，包括但不限于</w:t>
            </w:r>
            <w:r>
              <w:rPr>
                <w:rFonts w:hint="eastAsia" w:ascii="Arial" w:hAnsi="Arial" w:eastAsia="Arial" w:cs="Arial"/>
                <w:color w:val="000000" w:themeColor="text1"/>
                <w:sz w:val="24"/>
                <w:szCs w:val="24"/>
                <w:highlight w:val="none"/>
                <w:lang w:val="en-US" w:eastAsia="zh-CN" w:bidi="ar-SA"/>
              </w:rPr>
              <w:t xml:space="preserve">原有UPS、电池、精密空调、机柜、交换机、消防、动环设备、网络安全、服务器、防火墙等做完整排查、利旧分类、淘汰清单清晰，避免重复投资。</w:t>
            </w:r>
            <w:r>
              <w:rPr>
                <w:rFonts w:hint="eastAsia" w:ascii="Arial" w:hAnsi="Arial" w:eastAsia="Arial" w:cs="Arial"/>
                <w:color w:val="000000" w:themeColor="text1"/>
                <w:sz w:val="24"/>
                <w:szCs w:val="24"/>
                <w:highlight w:val="none"/>
                <w:lang w:val="en-US" w:eastAsia="zh-CN" w:bidi="ar-SA"/>
              </w:rPr>
            </w:r>
            <w:r>
              <w:rPr>
                <w:color w:val="000000" w:themeColor="text1"/>
              </w:rPr>
            </w:r>
          </w:p>
          <w:p>
            <w:pPr>
              <w:pStyle w:val="1012"/>
              <w:ind w:left="0" w:right="0" w:firstLine="0"/>
              <w:jc w:val="left"/>
              <w:spacing w:line="240" w:lineRule="auto"/>
              <w:widowControl w:val="off"/>
              <w:rPr>
                <w:rFonts w:hint="eastAsia" w:ascii="Arial" w:hAnsi="Arial" w:eastAsia="Arial" w:cs="Arial"/>
                <w:color w:val="000000" w:themeColor="text1"/>
                <w:sz w:val="24"/>
                <w:szCs w:val="24"/>
                <w:highlight w:val="none"/>
              </w:rPr>
            </w:pPr>
            <w:r>
              <w:rPr>
                <w:rFonts w:hint="eastAsia" w:ascii="Arial" w:hAnsi="Arial" w:eastAsia="Arial" w:cs="Arial"/>
                <w:color w:val="000000" w:themeColor="text1"/>
                <w:sz w:val="24"/>
                <w:szCs w:val="24"/>
                <w:highlight w:val="none"/>
                <w:lang w:val="en-US" w:eastAsia="zh-CN" w:bidi="ar-SA"/>
              </w:rPr>
              <w:t xml:space="preserve">根据各投标人实施方案的完整性，装饰设计图完备性、总平面图布局合理性（具有尺寸标注准确详尽的布局及3D效果图）；电气设计图规范性、安全性、稳定性；项目整体施工组</w:t>
            </w:r>
            <w:r>
              <w:rPr>
                <w:rFonts w:hint="eastAsia" w:ascii="Arial" w:hAnsi="Arial" w:eastAsia="Arial" w:cs="Arial"/>
                <w:color w:val="000000" w:themeColor="text1"/>
                <w:sz w:val="24"/>
                <w:szCs w:val="24"/>
                <w:highlight w:val="none"/>
                <w:lang w:val="en-US" w:eastAsia="zh-CN" w:bidi="ar-SA"/>
              </w:rPr>
              <w:t xml:space="preserve">织方案的科学性、合理性和周密性等内容进行打分：</w:t>
            </w:r>
            <w:r>
              <w:rPr>
                <w:rFonts w:hint="eastAsia" w:ascii="Arial" w:hAnsi="Arial" w:eastAsia="Arial" w:cs="Arial"/>
                <w:color w:val="000000" w:themeColor="text1"/>
                <w:sz w:val="24"/>
                <w:szCs w:val="24"/>
                <w:highlight w:val="none"/>
                <w:lang w:val="en-US" w:eastAsia="zh-CN" w:bidi="ar-SA"/>
              </w:rPr>
            </w:r>
            <w:r>
              <w:rPr>
                <w:color w:val="000000" w:themeColor="text1"/>
              </w:rPr>
            </w:r>
          </w:p>
          <w:p>
            <w:pPr>
              <w:pStyle w:val="1012"/>
              <w:ind w:left="0" w:right="0" w:firstLine="0"/>
              <w:jc w:val="left"/>
              <w:spacing w:line="240" w:lineRule="auto"/>
              <w:widowControl w:val="off"/>
              <w:rPr>
                <w:rFonts w:hint="eastAsia" w:ascii="Arial" w:hAnsi="Arial" w:eastAsia="Arial" w:cs="Arial"/>
                <w:color w:val="000000" w:themeColor="text1"/>
                <w:sz w:val="24"/>
                <w:szCs w:val="24"/>
                <w:highlight w:val="none"/>
              </w:rPr>
            </w:pPr>
            <w:r>
              <w:rPr>
                <w:rFonts w:hint="eastAsia" w:ascii="Arial" w:hAnsi="Arial" w:eastAsia="Arial" w:cs="Arial"/>
                <w:color w:val="000000" w:themeColor="text1"/>
                <w:sz w:val="24"/>
                <w:szCs w:val="24"/>
                <w:highlight w:val="none"/>
                <w:lang w:val="en-US" w:eastAsia="zh-CN" w:bidi="ar-SA"/>
              </w:rPr>
              <w:t xml:space="preserve">(1）实施方案详细合理、措施得体并且各环节紧密相连、操作规范、安全翔实无缺漏，利旧设备对比清晰、方案具备合理性、可操作性、可行性能全面响应招标文件要求的得10分；</w:t>
            </w:r>
            <w:r>
              <w:rPr>
                <w:rFonts w:hint="eastAsia" w:ascii="Arial" w:hAnsi="Arial" w:eastAsia="Arial" w:cs="Arial"/>
                <w:color w:val="000000" w:themeColor="text1"/>
                <w:sz w:val="24"/>
                <w:szCs w:val="24"/>
                <w:highlight w:val="none"/>
                <w:lang w:val="en-US" w:eastAsia="zh-CN" w:bidi="ar-SA"/>
              </w:rPr>
            </w:r>
            <w:r>
              <w:rPr>
                <w:color w:val="000000" w:themeColor="text1"/>
              </w:rPr>
            </w:r>
          </w:p>
          <w:p>
            <w:pPr>
              <w:pStyle w:val="1012"/>
              <w:ind w:left="0" w:right="0" w:firstLine="0"/>
              <w:jc w:val="left"/>
              <w:spacing w:line="240" w:lineRule="auto"/>
              <w:widowControl w:val="off"/>
              <w:rPr>
                <w:rFonts w:hint="eastAsia" w:ascii="Arial" w:hAnsi="Arial" w:eastAsia="Arial" w:cs="Arial"/>
                <w:color w:val="000000" w:themeColor="text1"/>
                <w:sz w:val="24"/>
                <w:szCs w:val="24"/>
                <w:highlight w:val="none"/>
              </w:rPr>
            </w:pPr>
            <w:r>
              <w:rPr>
                <w:rFonts w:hint="eastAsia" w:ascii="Arial" w:hAnsi="Arial" w:eastAsia="Arial" w:cs="Arial"/>
                <w:color w:val="000000" w:themeColor="text1"/>
                <w:sz w:val="24"/>
                <w:szCs w:val="24"/>
                <w:highlight w:val="none"/>
                <w:lang w:val="en-US" w:eastAsia="zh-CN" w:bidi="ar-SA"/>
              </w:rPr>
              <w:t xml:space="preserve">(2）实施方案基本完整，措施较为具体，各环节衔接有序，要点基本完整，基本能够满足招标文件要求的，得6分</w:t>
            </w:r>
            <w:r>
              <w:rPr>
                <w:rFonts w:hint="eastAsia" w:ascii="Arial" w:hAnsi="Arial" w:eastAsia="Arial" w:cs="Arial"/>
                <w:color w:val="000000" w:themeColor="text1"/>
                <w:sz w:val="24"/>
                <w:szCs w:val="24"/>
                <w:highlight w:val="none"/>
                <w:lang w:val="en-US" w:eastAsia="zh-CN" w:bidi="ar-SA"/>
              </w:rPr>
            </w:r>
            <w:r>
              <w:rPr>
                <w:color w:val="000000" w:themeColor="text1"/>
              </w:rPr>
            </w:r>
          </w:p>
          <w:p>
            <w:pPr>
              <w:pStyle w:val="1012"/>
              <w:ind w:left="0" w:right="0" w:firstLine="0"/>
              <w:jc w:val="left"/>
              <w:spacing w:line="240" w:lineRule="auto"/>
              <w:widowControl w:val="off"/>
              <w:rPr>
                <w:rFonts w:hint="eastAsia" w:ascii="Arial" w:hAnsi="Arial" w:eastAsia="Arial" w:cs="Arial"/>
                <w:color w:val="000000" w:themeColor="text1"/>
                <w:sz w:val="24"/>
                <w:szCs w:val="24"/>
                <w:highlight w:val="none"/>
              </w:rPr>
            </w:pPr>
            <w:r>
              <w:rPr>
                <w:rFonts w:hint="eastAsia" w:ascii="Arial" w:hAnsi="Arial" w:eastAsia="Arial" w:cs="Arial"/>
                <w:color w:val="000000" w:themeColor="text1"/>
                <w:sz w:val="24"/>
                <w:szCs w:val="24"/>
                <w:highlight w:val="none"/>
                <w:lang w:val="en-US" w:eastAsia="zh-CN" w:bidi="ar-SA"/>
              </w:rPr>
              <w:t xml:space="preserve">(3）实施方案基本不够完整，具体措施简略不具体，要点不全面，未能体现衔接流程，未能全面满足招标文件要求的得 3分；</w:t>
            </w:r>
            <w:r>
              <w:rPr>
                <w:rFonts w:hint="eastAsia" w:ascii="Arial" w:hAnsi="Arial" w:eastAsia="Arial" w:cs="Arial"/>
                <w:color w:val="000000" w:themeColor="text1"/>
                <w:sz w:val="24"/>
                <w:szCs w:val="24"/>
                <w:highlight w:val="none"/>
                <w:lang w:val="en-US" w:eastAsia="zh-CN" w:bidi="ar-SA"/>
              </w:rPr>
            </w:r>
            <w:r>
              <w:rPr>
                <w:color w:val="000000" w:themeColor="text1"/>
              </w:rPr>
            </w:r>
          </w:p>
          <w:p>
            <w:pPr>
              <w:pStyle w:val="1012"/>
              <w:ind w:left="0" w:right="0" w:firstLine="0"/>
              <w:jc w:val="left"/>
              <w:spacing w:line="240" w:lineRule="auto"/>
              <w:widowControl w:val="off"/>
              <w:rPr>
                <w:rFonts w:hint="eastAsia" w:ascii="Arial" w:hAnsi="Arial" w:eastAsia="Arial" w:cs="Arial"/>
                <w:color w:val="000000" w:themeColor="text1"/>
                <w:sz w:val="24"/>
                <w:szCs w:val="24"/>
                <w:highlight w:val="none"/>
              </w:rPr>
            </w:pPr>
            <w:r>
              <w:rPr>
                <w:rFonts w:hint="eastAsia" w:ascii="Arial" w:hAnsi="Arial" w:eastAsia="Arial" w:cs="Arial"/>
                <w:color w:val="000000" w:themeColor="text1"/>
                <w:sz w:val="24"/>
                <w:szCs w:val="24"/>
                <w:highlight w:val="none"/>
                <w:lang w:val="en-US" w:eastAsia="zh-CN" w:bidi="ar-SA"/>
              </w:rPr>
              <w:t xml:space="preserve">(4）未提供的不得分。</w:t>
            </w:r>
            <w:r>
              <w:rPr>
                <w:rFonts w:hint="eastAsia" w:ascii="Arial" w:hAnsi="Arial" w:eastAsia="Arial" w:cs="Arial"/>
                <w:color w:val="000000" w:themeColor="text1"/>
                <w:sz w:val="24"/>
                <w:szCs w:val="24"/>
                <w:highlight w:val="none"/>
                <w:lang w:val="en-US" w:eastAsia="zh-CN" w:bidi="ar-SA"/>
              </w:rPr>
            </w:r>
            <w:r>
              <w:rPr>
                <w:color w:val="000000" w:themeColor="text1"/>
              </w:rPr>
            </w:r>
          </w:p>
        </w:tc>
      </w:tr>
      <w:tr>
        <w:trPr/>
        <w:tc>
          <w:tcPr>
            <w:tcW w:w="1407" w:type="dxa"/>
            <w:vAlign w:val="center"/>
            <w:vMerge w:val="continue"/>
            <w:textDirection w:val="lrTb"/>
            <w:noWrap w:val="false"/>
          </w:tcPr>
          <w:p>
            <w:pPr>
              <w:pStyle w:val="1012"/>
              <w:ind w:left="0" w:right="0" w:firstLine="0"/>
              <w:jc w:val="center"/>
              <w:spacing w:line="240" w:lineRule="auto"/>
              <w:widowControl w:val="off"/>
              <w:rPr>
                <w:rFonts w:hint="eastAsia" w:ascii="Arial" w:hAnsi="Arial" w:eastAsia="Arial" w:cs="Arial"/>
                <w:color w:val="000000"/>
                <w:sz w:val="24"/>
                <w:szCs w:val="24"/>
                <w:highlight w:val="none"/>
                <w:lang w:val="en-US" w:eastAsia="zh-CN" w:bidi="ar-SA"/>
              </w:rPr>
            </w:pPr>
            <w:r>
              <w:rPr>
                <w:rFonts w:hint="eastAsia" w:ascii="Arial" w:hAnsi="Arial" w:eastAsia="Arial" w:cs="Arial"/>
                <w:color w:val="000000"/>
                <w:sz w:val="24"/>
                <w:szCs w:val="24"/>
                <w:highlight w:val="none"/>
                <w:lang w:val="en-US" w:eastAsia="zh-CN" w:bidi="ar-SA"/>
              </w:rPr>
            </w:r>
            <w:r/>
          </w:p>
        </w:tc>
        <w:tc>
          <w:tcPr>
            <w:tcW w:w="1373" w:type="dxa"/>
            <w:vAlign w:val="center"/>
            <w:textDirection w:val="lrTb"/>
            <w:noWrap w:val="false"/>
          </w:tcPr>
          <w:p>
            <w:pPr>
              <w:pStyle w:val="1012"/>
              <w:ind w:left="0" w:right="0" w:firstLine="0"/>
              <w:jc w:val="left"/>
              <w:spacing w:line="240" w:lineRule="auto"/>
              <w:widowControl w:val="off"/>
              <w:rPr>
                <w:rFonts w:hint="eastAsia" w:ascii="Arial" w:hAnsi="Arial" w:eastAsia="Arial" w:cs="Arial"/>
                <w:color w:val="000000" w:themeColor="text1"/>
                <w:sz w:val="24"/>
                <w:szCs w:val="24"/>
                <w:highlight w:val="none"/>
              </w:rPr>
            </w:pPr>
            <w:r>
              <w:rPr>
                <w:rFonts w:hint="eastAsia" w:ascii="Arial" w:hAnsi="Arial" w:eastAsia="Arial" w:cs="Arial"/>
                <w:color w:val="000000" w:themeColor="text1"/>
                <w:sz w:val="24"/>
                <w:szCs w:val="24"/>
                <w:highlight w:val="none"/>
                <w:lang w:val="en-US" w:eastAsia="zh-CN" w:bidi="ar-SA"/>
              </w:rPr>
              <w:t xml:space="preserve">项目实施与安全保障方案（5分）</w:t>
            </w:r>
            <w:r>
              <w:rPr>
                <w:rFonts w:hint="eastAsia" w:ascii="Arial" w:hAnsi="Arial" w:eastAsia="Arial" w:cs="Arial"/>
                <w:color w:val="000000" w:themeColor="text1"/>
                <w:sz w:val="24"/>
                <w:szCs w:val="24"/>
                <w:highlight w:val="none"/>
                <w:lang w:val="en-US" w:eastAsia="zh-CN" w:bidi="ar-SA"/>
              </w:rPr>
            </w:r>
            <w:r>
              <w:rPr>
                <w:color w:val="000000" w:themeColor="text1"/>
              </w:rPr>
            </w:r>
          </w:p>
        </w:tc>
        <w:tc>
          <w:tcPr>
            <w:tcW w:w="6796" w:type="dxa"/>
            <w:vAlign w:val="center"/>
            <w:textDirection w:val="lrTb"/>
            <w:noWrap w:val="false"/>
          </w:tcPr>
          <w:p>
            <w:pPr>
              <w:pStyle w:val="1012"/>
              <w:ind w:left="0" w:right="0" w:firstLine="0"/>
              <w:jc w:val="left"/>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根据投标人提供的项目管理和实施方案进行评价，施工组织设计包括但不限于：</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numPr>
                <w:ilvl w:val="0"/>
                <w:numId w:val="9"/>
              </w:numPr>
              <w:ind w:left="0" w:right="0" w:firstLine="0"/>
              <w:jc w:val="left"/>
              <w:spacing w:line="240" w:lineRule="auto"/>
              <w:widowControl w:val="off"/>
              <w:tabs>
                <w:tab w:val="left" w:pos="312"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项目团队组成、主要技术人员、劳动力配置及劳动力保障措施(需提供人员名单及相关证明）；</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numPr>
                <w:ilvl w:val="0"/>
                <w:numId w:val="9"/>
              </w:numPr>
              <w:ind w:left="0" w:right="0" w:firstLine="0"/>
              <w:jc w:val="left"/>
              <w:spacing w:line="240" w:lineRule="auto"/>
              <w:widowControl w:val="off"/>
              <w:tabs>
                <w:tab w:val="left" w:pos="312"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施工程序及总体组织部署</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numPr>
                <w:ilvl w:val="0"/>
                <w:numId w:val="9"/>
              </w:numPr>
              <w:ind w:left="0" w:right="0" w:firstLine="0"/>
              <w:jc w:val="left"/>
              <w:spacing w:line="240" w:lineRule="auto"/>
              <w:widowControl w:val="off"/>
              <w:tabs>
                <w:tab w:val="left" w:pos="312"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实施进度计划安排及保证措施</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numPr>
                <w:ilvl w:val="0"/>
                <w:numId w:val="9"/>
              </w:numPr>
              <w:ind w:left="0" w:right="0" w:firstLine="0"/>
              <w:jc w:val="left"/>
              <w:spacing w:line="240" w:lineRule="auto"/>
              <w:widowControl w:val="off"/>
              <w:tabs>
                <w:tab w:val="left" w:pos="312"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施工安装方案及工艺方法；</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numPr>
                <w:ilvl w:val="0"/>
                <w:numId w:val="9"/>
              </w:numPr>
              <w:ind w:left="0" w:right="0" w:firstLine="0"/>
              <w:jc w:val="left"/>
              <w:spacing w:line="240" w:lineRule="auto"/>
              <w:widowControl w:val="off"/>
              <w:tabs>
                <w:tab w:val="left" w:pos="312"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施</w:t>
            </w:r>
            <w:bookmarkStart w:id="11" w:name="OLE_LINK71"/>
            <w:r>
              <w:rPr>
                <w:rFonts w:hint="eastAsia" w:ascii="宋体" w:hAnsi="宋体" w:eastAsia="宋体" w:cs="宋体"/>
                <w:color w:val="000000" w:themeColor="text1"/>
                <w:sz w:val="24"/>
                <w:szCs w:val="24"/>
                <w:highlight w:val="none"/>
                <w:lang w:val="en-US" w:eastAsia="zh-CN" w:bidi="ar-SA"/>
              </w:rPr>
              <w:t xml:space="preserve">工质量保证措施及目标；</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numPr>
                <w:ilvl w:val="0"/>
                <w:numId w:val="9"/>
              </w:numPr>
              <w:ind w:left="0" w:right="0" w:firstLine="0"/>
              <w:jc w:val="left"/>
              <w:spacing w:line="240" w:lineRule="auto"/>
              <w:widowControl w:val="off"/>
              <w:tabs>
                <w:tab w:val="left" w:pos="312"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安全文明施工保证措施；</w:t>
            </w:r>
            <w:bookmarkEnd w:id="11"/>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numPr>
                <w:ilvl w:val="0"/>
                <w:numId w:val="9"/>
              </w:numPr>
              <w:ind w:left="0" w:right="0" w:firstLine="0"/>
              <w:jc w:val="left"/>
              <w:spacing w:line="240" w:lineRule="auto"/>
              <w:widowControl w:val="off"/>
              <w:tabs>
                <w:tab w:val="left" w:pos="312"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本项目重点、难点分析，合理化建议；</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left="0" w:right="0" w:firstLine="0"/>
              <w:jc w:val="left"/>
              <w:spacing w:line="240" w:lineRule="auto"/>
              <w:widowControl w:val="off"/>
              <w:rPr>
                <w:rFonts w:hint="eastAsia" w:ascii="宋体" w:hAnsi="宋体" w:eastAsia="宋体" w:cs="宋体"/>
                <w:color w:val="000000" w:themeColor="text1"/>
                <w:sz w:val="24"/>
                <w:szCs w:val="24"/>
                <w:highlight w:val="none"/>
              </w:rPr>
            </w:pPr>
            <w:r>
              <w:rPr>
                <w:rFonts w:hint="eastAsia" w:ascii="Arial" w:hAnsi="Arial" w:eastAsia="Arial" w:cs="Arial"/>
                <w:color w:val="000000" w:themeColor="text1"/>
                <w:sz w:val="24"/>
                <w:szCs w:val="24"/>
                <w:highlight w:val="none"/>
                <w:lang w:val="en-US" w:eastAsia="zh-CN" w:bidi="ar-SA"/>
              </w:rPr>
              <w:t xml:space="preserve">(1）</w:t>
            </w:r>
            <w:r>
              <w:rPr>
                <w:rFonts w:hint="eastAsia" w:ascii="宋体" w:hAnsi="宋体" w:eastAsia="宋体" w:cs="宋体"/>
                <w:color w:val="000000" w:themeColor="text1"/>
                <w:sz w:val="24"/>
                <w:szCs w:val="24"/>
                <w:highlight w:val="none"/>
                <w:lang w:val="en-US" w:eastAsia="zh-CN" w:bidi="ar-SA"/>
              </w:rPr>
              <w:t xml:space="preserve">施工组织设计能完全满足以上全部要求，其中计划安排详细合理、组织措施具体得力，各工作环节衔接紧凑，得5分；</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left="0" w:right="0" w:firstLine="0"/>
              <w:jc w:val="left"/>
              <w:spacing w:line="240" w:lineRule="auto"/>
              <w:widowControl w:val="off"/>
              <w:rPr>
                <w:rFonts w:hint="eastAsia" w:ascii="宋体" w:hAnsi="宋体" w:eastAsia="宋体" w:cs="宋体"/>
                <w:color w:val="000000" w:themeColor="text1"/>
                <w:sz w:val="24"/>
                <w:szCs w:val="24"/>
                <w:highlight w:val="none"/>
              </w:rPr>
            </w:pPr>
            <w:r>
              <w:rPr>
                <w:rFonts w:hint="eastAsia" w:ascii="Arial" w:hAnsi="Arial" w:eastAsia="Arial" w:cs="Arial"/>
                <w:color w:val="000000" w:themeColor="text1"/>
                <w:sz w:val="24"/>
                <w:szCs w:val="24"/>
                <w:highlight w:val="none"/>
                <w:lang w:val="en-US" w:eastAsia="zh-CN" w:bidi="ar-SA"/>
              </w:rPr>
              <w:t xml:space="preserve">(2）</w:t>
            </w:r>
            <w:r>
              <w:rPr>
                <w:rFonts w:hint="eastAsia" w:ascii="宋体" w:hAnsi="宋体" w:eastAsia="宋体" w:cs="宋体"/>
                <w:color w:val="000000" w:themeColor="text1"/>
                <w:sz w:val="24"/>
                <w:szCs w:val="24"/>
                <w:highlight w:val="none"/>
                <w:lang w:val="en-US" w:eastAsia="zh-CN" w:bidi="ar-SA"/>
              </w:rPr>
              <w:t xml:space="preserve">施工组织设计能基本满足，措施较为具体，各环节有序得3分。</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left="0" w:right="0" w:firstLine="0"/>
              <w:jc w:val="left"/>
              <w:spacing w:line="240" w:lineRule="auto"/>
              <w:widowControl w:val="off"/>
              <w:rPr>
                <w:rFonts w:hint="eastAsia" w:ascii="宋体" w:hAnsi="宋体" w:eastAsia="宋体" w:cs="宋体"/>
                <w:color w:val="000000" w:themeColor="text1"/>
                <w:sz w:val="24"/>
                <w:szCs w:val="24"/>
                <w:highlight w:val="none"/>
              </w:rPr>
            </w:pPr>
            <w:r>
              <w:rPr>
                <w:rFonts w:hint="eastAsia" w:ascii="Arial" w:hAnsi="Arial" w:eastAsia="Arial" w:cs="Arial"/>
                <w:color w:val="000000" w:themeColor="text1"/>
                <w:sz w:val="24"/>
                <w:szCs w:val="24"/>
                <w:highlight w:val="none"/>
                <w:lang w:val="en-US" w:eastAsia="zh-CN" w:bidi="ar-SA"/>
              </w:rPr>
              <w:t xml:space="preserve">(3）</w:t>
            </w:r>
            <w:r>
              <w:rPr>
                <w:rFonts w:hint="eastAsia" w:ascii="宋体" w:hAnsi="宋体" w:eastAsia="宋体" w:cs="宋体"/>
                <w:color w:val="000000" w:themeColor="text1"/>
                <w:sz w:val="24"/>
                <w:szCs w:val="24"/>
                <w:highlight w:val="none"/>
                <w:lang w:val="en-US" w:eastAsia="zh-CN" w:bidi="ar-SA"/>
              </w:rPr>
              <w:t xml:space="preserve">计划不具体不完整，要点不全面，未能体现衔接流程，措施简略不具体，未有专业人员配备得2分。</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left="0" w:right="0" w:firstLine="0"/>
              <w:jc w:val="left"/>
              <w:spacing w:line="240" w:lineRule="auto"/>
              <w:widowControl w:val="off"/>
              <w:rPr>
                <w:rFonts w:ascii="宋体" w:hAnsi="宋体" w:eastAsia="宋体" w:cs="宋体"/>
                <w:color w:val="000000" w:themeColor="text1"/>
                <w:sz w:val="24"/>
                <w:szCs w:val="24"/>
                <w:highlight w:val="none"/>
              </w:rPr>
            </w:pPr>
            <w:r>
              <w:rPr>
                <w:rFonts w:hint="eastAsia" w:ascii="Arial" w:hAnsi="Arial" w:eastAsia="Arial" w:cs="Arial"/>
                <w:color w:val="000000" w:themeColor="text1"/>
                <w:sz w:val="24"/>
                <w:szCs w:val="24"/>
                <w:highlight w:val="none"/>
                <w:lang w:val="en-US" w:eastAsia="zh-CN" w:bidi="ar-SA"/>
              </w:rPr>
              <w:t xml:space="preserve">(4）未提供的不得分</w:t>
            </w:r>
            <w:r>
              <w:rPr>
                <w:rFonts w:ascii="宋体" w:hAnsi="宋体" w:eastAsia="宋体" w:cs="宋体"/>
                <w:color w:val="000000" w:themeColor="text1"/>
                <w:sz w:val="24"/>
                <w:szCs w:val="24"/>
                <w:highlight w:val="none"/>
                <w:lang w:val="en-US" w:eastAsia="zh-CN" w:bidi="ar-SA"/>
              </w:rPr>
            </w:r>
            <w:r>
              <w:rPr>
                <w:color w:val="000000" w:themeColor="text1"/>
              </w:rPr>
            </w:r>
          </w:p>
        </w:tc>
      </w:tr>
      <w:tr>
        <w:trPr/>
        <w:tc>
          <w:tcPr>
            <w:tcW w:w="1407" w:type="dxa"/>
            <w:vAlign w:val="center"/>
            <w:vMerge w:val="continue"/>
            <w:textDirection w:val="lrTb"/>
            <w:noWrap w:val="false"/>
          </w:tcPr>
          <w:p>
            <w:pPr>
              <w:pStyle w:val="1012"/>
              <w:ind w:left="0" w:right="0" w:firstLine="0"/>
              <w:jc w:val="center"/>
              <w:spacing w:line="240" w:lineRule="auto"/>
              <w:widowControl w:val="off"/>
              <w:rPr>
                <w:rFonts w:hint="eastAsia" w:ascii="Arial" w:hAnsi="Arial" w:eastAsia="Arial" w:cs="Arial"/>
                <w:color w:val="000000"/>
                <w:sz w:val="24"/>
                <w:szCs w:val="24"/>
                <w:highlight w:val="none"/>
                <w:lang w:val="en-US" w:eastAsia="zh-CN" w:bidi="ar-SA"/>
              </w:rPr>
            </w:pPr>
            <w:r>
              <w:rPr>
                <w:rFonts w:hint="eastAsia" w:ascii="Arial" w:hAnsi="Arial" w:eastAsia="Arial" w:cs="Arial"/>
                <w:color w:val="000000"/>
                <w:sz w:val="24"/>
                <w:szCs w:val="24"/>
                <w:highlight w:val="none"/>
                <w:lang w:val="en-US" w:eastAsia="zh-CN" w:bidi="ar-SA"/>
              </w:rPr>
            </w:r>
            <w:r/>
          </w:p>
        </w:tc>
        <w:tc>
          <w:tcPr>
            <w:tcW w:w="1373" w:type="dxa"/>
            <w:vAlign w:val="center"/>
            <w:textDirection w:val="lrTb"/>
            <w:noWrap w:val="false"/>
          </w:tcPr>
          <w:p>
            <w:pPr>
              <w:pStyle w:val="1012"/>
              <w:ind w:left="0" w:right="0" w:firstLine="0"/>
              <w:jc w:val="left"/>
              <w:spacing w:line="240" w:lineRule="auto"/>
              <w:widowControl w:val="off"/>
              <w:rPr>
                <w:rFonts w:hint="eastAsia" w:ascii="Arial" w:hAnsi="Arial" w:eastAsia="Arial" w:cs="Arial"/>
                <w:color w:val="000000" w:themeColor="text1"/>
                <w:sz w:val="24"/>
                <w:szCs w:val="24"/>
                <w:highlight w:val="none"/>
              </w:rPr>
            </w:pPr>
            <w:r>
              <w:rPr>
                <w:rFonts w:hint="eastAsia" w:ascii="Arial" w:hAnsi="Arial" w:eastAsia="Arial" w:cs="Arial"/>
                <w:color w:val="000000" w:themeColor="text1"/>
                <w:sz w:val="24"/>
                <w:szCs w:val="24"/>
                <w:highlight w:val="none"/>
                <w:lang w:val="en-US" w:eastAsia="zh-CN" w:bidi="ar-SA"/>
              </w:rPr>
              <w:t xml:space="preserve">机房数据迁移零中断实施方案（5分）</w:t>
            </w:r>
            <w:r>
              <w:rPr>
                <w:rFonts w:hint="eastAsia" w:ascii="Arial" w:hAnsi="Arial" w:eastAsia="Arial" w:cs="Arial"/>
                <w:color w:val="000000" w:themeColor="text1"/>
                <w:sz w:val="24"/>
                <w:szCs w:val="24"/>
                <w:highlight w:val="none"/>
                <w:lang w:val="en-US" w:eastAsia="zh-CN" w:bidi="ar-SA"/>
              </w:rPr>
            </w:r>
            <w:r>
              <w:rPr>
                <w:color w:val="000000" w:themeColor="text1"/>
              </w:rPr>
            </w:r>
          </w:p>
        </w:tc>
        <w:tc>
          <w:tcPr>
            <w:tcW w:w="6796" w:type="dxa"/>
            <w:vAlign w:val="center"/>
            <w:textDirection w:val="lrTb"/>
            <w:noWrap w:val="false"/>
          </w:tcPr>
          <w:p>
            <w:pPr>
              <w:pStyle w:val="1012"/>
              <w:contextualSpacing/>
              <w:ind w:left="0" w:right="0" w:firstLine="0"/>
              <w:jc w:val="left"/>
              <w:spacing w:line="240" w:lineRule="auto"/>
              <w:widowControl w:val="off"/>
              <w:rPr>
                <w:rFonts w:hint="eastAsia" w:ascii="Arial" w:hAnsi="Arial" w:eastAsia="Arial" w:cs="Arial"/>
                <w:color w:val="000000" w:themeColor="text1"/>
                <w:sz w:val="24"/>
                <w:szCs w:val="24"/>
                <w:highlight w:val="none"/>
              </w:rPr>
            </w:pPr>
            <w:r>
              <w:rPr>
                <w:rFonts w:hint="eastAsia" w:ascii="Arial" w:hAnsi="Arial" w:eastAsia="Arial" w:cs="Arial"/>
                <w:color w:val="000000" w:themeColor="text1"/>
                <w:sz w:val="24"/>
                <w:szCs w:val="24"/>
                <w:highlight w:val="none"/>
                <w:lang w:val="en-US" w:eastAsia="zh-CN" w:bidi="ar-SA"/>
              </w:rPr>
              <w:t xml:space="preserve">本项目是机房改扩建，所有要求均不影响原机房正常使用、医院业务不中断、数据切换零丢失；要求1.针对中医院数据迁移扩容、兼容、备份等策略：2.数据防丢失、业务无缝迁移、零中断、零停机详细步骤；3. 精密配电、强弱电安全双路市电， UPS停电切换零中断 。</w:t>
            </w:r>
            <w:r>
              <w:rPr>
                <w:rFonts w:hint="eastAsia" w:ascii="Arial" w:hAnsi="Arial" w:eastAsia="Arial" w:cs="Arial"/>
                <w:color w:val="000000" w:themeColor="text1"/>
                <w:sz w:val="24"/>
                <w:szCs w:val="24"/>
                <w:highlight w:val="none"/>
                <w:lang w:val="en-US" w:eastAsia="zh-CN" w:bidi="ar-SA"/>
              </w:rPr>
            </w:r>
            <w:r>
              <w:rPr>
                <w:color w:val="000000" w:themeColor="text1"/>
              </w:rPr>
            </w:r>
          </w:p>
          <w:p>
            <w:pPr>
              <w:pStyle w:val="1012"/>
              <w:contextualSpacing/>
              <w:ind w:left="0" w:right="0" w:firstLine="0"/>
              <w:jc w:val="left"/>
              <w:spacing w:line="240" w:lineRule="auto"/>
              <w:widowControl w:val="off"/>
              <w:rPr>
                <w:rFonts w:hint="eastAsia" w:ascii="Arial" w:hAnsi="Arial" w:eastAsia="Arial" w:cs="Arial"/>
                <w:color w:val="000000" w:themeColor="text1"/>
                <w:sz w:val="24"/>
                <w:szCs w:val="24"/>
                <w:highlight w:val="none"/>
              </w:rPr>
            </w:pPr>
            <w:r>
              <w:rPr>
                <w:rFonts w:hint="eastAsia" w:ascii="Arial" w:hAnsi="Arial" w:eastAsia="Arial" w:cs="Arial"/>
                <w:color w:val="000000" w:themeColor="text1"/>
                <w:sz w:val="24"/>
                <w:szCs w:val="24"/>
                <w:highlight w:val="none"/>
                <w:lang w:val="en-US" w:eastAsia="zh-CN" w:bidi="ar-SA"/>
              </w:rPr>
              <w:t xml:space="preserve">(1）方案详细完善、设计内容详细完全满足项目实施要求，合理性、可操作性强的得5分；</w:t>
            </w:r>
            <w:r>
              <w:rPr>
                <w:rFonts w:hint="eastAsia" w:ascii="Arial" w:hAnsi="Arial" w:eastAsia="Arial" w:cs="Arial"/>
                <w:color w:val="000000" w:themeColor="text1"/>
                <w:sz w:val="24"/>
                <w:szCs w:val="24"/>
                <w:highlight w:val="none"/>
                <w:lang w:val="en-US" w:eastAsia="zh-CN" w:bidi="ar-SA"/>
              </w:rPr>
            </w:r>
            <w:r>
              <w:rPr>
                <w:color w:val="000000" w:themeColor="text1"/>
              </w:rPr>
            </w:r>
          </w:p>
          <w:p>
            <w:pPr>
              <w:pStyle w:val="1012"/>
              <w:contextualSpacing/>
              <w:ind w:left="0" w:right="0" w:firstLine="0"/>
              <w:jc w:val="left"/>
              <w:spacing w:line="240" w:lineRule="auto"/>
              <w:widowControl w:val="off"/>
              <w:rPr>
                <w:rFonts w:hint="eastAsia" w:ascii="Arial" w:hAnsi="Arial" w:eastAsia="Arial" w:cs="Arial"/>
                <w:color w:val="000000" w:themeColor="text1"/>
                <w:sz w:val="24"/>
                <w:szCs w:val="24"/>
                <w:highlight w:val="none"/>
              </w:rPr>
            </w:pPr>
            <w:r>
              <w:rPr>
                <w:rFonts w:hint="eastAsia" w:ascii="Arial" w:hAnsi="Arial" w:eastAsia="Arial" w:cs="Arial"/>
                <w:color w:val="000000" w:themeColor="text1"/>
                <w:sz w:val="24"/>
                <w:szCs w:val="24"/>
                <w:highlight w:val="none"/>
                <w:lang w:val="en-US" w:eastAsia="zh-CN" w:bidi="ar-SA"/>
              </w:rPr>
              <w:t xml:space="preserve">(2）方案较为全面合理、能结合本项目提出可行性、可操作性较强的实施方案得3分；</w:t>
            </w:r>
            <w:r>
              <w:rPr>
                <w:rFonts w:hint="eastAsia" w:ascii="Arial" w:hAnsi="Arial" w:eastAsia="Arial" w:cs="Arial"/>
                <w:color w:val="000000" w:themeColor="text1"/>
                <w:sz w:val="24"/>
                <w:szCs w:val="24"/>
                <w:highlight w:val="none"/>
                <w:lang w:val="en-US" w:eastAsia="zh-CN" w:bidi="ar-SA"/>
              </w:rPr>
            </w:r>
            <w:r>
              <w:rPr>
                <w:color w:val="000000" w:themeColor="text1"/>
              </w:rPr>
            </w:r>
          </w:p>
          <w:p>
            <w:pPr>
              <w:pStyle w:val="1012"/>
              <w:contextualSpacing/>
              <w:ind w:left="0" w:right="0" w:firstLine="0"/>
              <w:jc w:val="left"/>
              <w:spacing w:line="240" w:lineRule="auto"/>
              <w:widowControl w:val="off"/>
              <w:rPr>
                <w:rFonts w:hint="eastAsia" w:ascii="Arial" w:hAnsi="Arial" w:eastAsia="Arial" w:cs="Arial"/>
                <w:color w:val="000000" w:themeColor="text1"/>
                <w:sz w:val="24"/>
                <w:szCs w:val="24"/>
                <w:highlight w:val="none"/>
              </w:rPr>
            </w:pPr>
            <w:r>
              <w:rPr>
                <w:rFonts w:hint="eastAsia" w:ascii="Arial" w:hAnsi="Arial" w:eastAsia="Arial" w:cs="Arial"/>
                <w:color w:val="000000" w:themeColor="text1"/>
                <w:sz w:val="24"/>
                <w:szCs w:val="24"/>
                <w:highlight w:val="none"/>
                <w:lang w:val="en-US" w:eastAsia="zh-CN" w:bidi="ar-SA"/>
              </w:rPr>
              <w:t xml:space="preserve">(3）提供了方案全面、合理性一般，未能完全结合本项目提出实施方案的得1分；</w:t>
            </w:r>
            <w:r>
              <w:rPr>
                <w:rFonts w:hint="eastAsia" w:ascii="Arial" w:hAnsi="Arial" w:eastAsia="Arial" w:cs="Arial"/>
                <w:color w:val="000000" w:themeColor="text1"/>
                <w:sz w:val="24"/>
                <w:szCs w:val="24"/>
                <w:highlight w:val="none"/>
                <w:lang w:val="en-US" w:eastAsia="zh-CN" w:bidi="ar-SA"/>
              </w:rPr>
            </w:r>
            <w:r>
              <w:rPr>
                <w:color w:val="000000" w:themeColor="text1"/>
              </w:rPr>
            </w:r>
          </w:p>
          <w:p>
            <w:pPr>
              <w:pStyle w:val="1012"/>
              <w:ind w:left="0" w:right="0" w:firstLine="0"/>
              <w:jc w:val="left"/>
              <w:spacing w:line="240" w:lineRule="auto"/>
              <w:widowControl w:val="off"/>
              <w:rPr>
                <w:rFonts w:hint="eastAsia" w:ascii="Arial" w:hAnsi="Arial" w:eastAsia="Arial" w:cs="Arial"/>
                <w:color w:val="000000" w:themeColor="text1"/>
                <w:sz w:val="24"/>
                <w:szCs w:val="24"/>
                <w:highlight w:val="none"/>
              </w:rPr>
            </w:pPr>
            <w:r>
              <w:rPr>
                <w:rFonts w:hint="eastAsia" w:ascii="Arial" w:hAnsi="Arial" w:eastAsia="Arial" w:cs="Arial"/>
                <w:color w:val="000000" w:themeColor="text1"/>
                <w:sz w:val="24"/>
                <w:szCs w:val="24"/>
                <w:highlight w:val="none"/>
                <w:lang w:val="en-US" w:eastAsia="zh-CN" w:bidi="ar-SA"/>
              </w:rPr>
              <w:t xml:space="preserve">(4）未提供的不得分</w:t>
            </w:r>
            <w:r>
              <w:rPr>
                <w:rFonts w:hint="eastAsia" w:ascii="Arial" w:hAnsi="Arial" w:eastAsia="Arial" w:cs="Arial"/>
                <w:color w:val="000000" w:themeColor="text1"/>
                <w:sz w:val="24"/>
                <w:szCs w:val="24"/>
                <w:highlight w:val="none"/>
                <w:lang w:val="en-US" w:eastAsia="zh-CN" w:bidi="ar-SA"/>
              </w:rPr>
            </w:r>
            <w:r>
              <w:rPr>
                <w:color w:val="000000" w:themeColor="text1"/>
              </w:rPr>
            </w:r>
          </w:p>
        </w:tc>
      </w:tr>
      <w:tr>
        <w:trPr/>
        <w:tc>
          <w:tcPr>
            <w:tcW w:w="1407" w:type="dxa"/>
            <w:vAlign w:val="center"/>
            <w:vMerge w:val="continue"/>
            <w:textDirection w:val="lrTb"/>
            <w:noWrap w:val="false"/>
          </w:tcPr>
          <w:p>
            <w:pPr>
              <w:pStyle w:val="1012"/>
              <w:ind w:left="0" w:right="0" w:firstLine="0"/>
              <w:jc w:val="center"/>
              <w:spacing w:line="240" w:lineRule="auto"/>
              <w:widowControl w:val="off"/>
              <w:rPr>
                <w:rFonts w:hint="eastAsia" w:ascii="Arial" w:hAnsi="Arial" w:eastAsia="Arial" w:cs="Arial"/>
                <w:color w:val="000000"/>
                <w:sz w:val="24"/>
                <w:szCs w:val="24"/>
                <w:highlight w:val="none"/>
                <w:lang w:val="en-US" w:eastAsia="zh-CN" w:bidi="ar-SA"/>
              </w:rPr>
            </w:pPr>
            <w:r>
              <w:rPr>
                <w:rFonts w:hint="eastAsia" w:ascii="Arial" w:hAnsi="Arial" w:eastAsia="Arial" w:cs="Arial"/>
                <w:color w:val="000000"/>
                <w:sz w:val="24"/>
                <w:szCs w:val="24"/>
                <w:highlight w:val="none"/>
                <w:lang w:val="en-US" w:eastAsia="zh-CN" w:bidi="ar-SA"/>
              </w:rPr>
            </w:r>
            <w:r/>
          </w:p>
        </w:tc>
        <w:tc>
          <w:tcPr>
            <w:tcW w:w="1373" w:type="dxa"/>
            <w:vAlign w:val="center"/>
            <w:textDirection w:val="lrTb"/>
            <w:noWrap w:val="false"/>
          </w:tcPr>
          <w:p>
            <w:pPr>
              <w:pStyle w:val="1012"/>
              <w:ind w:firstLine="0"/>
              <w:jc w:val="left"/>
              <w:spacing w:line="240" w:lineRule="auto"/>
              <w:widowControl w:val="off"/>
              <w:rPr>
                <w:rFonts w:hint="eastAsia" w:ascii="Arial" w:hAnsi="Arial" w:eastAsia="Arial" w:cs="Arial"/>
                <w:color w:val="000000" w:themeColor="text1"/>
                <w:sz w:val="24"/>
                <w:szCs w:val="24"/>
                <w:highlight w:val="none"/>
              </w:rPr>
            </w:pPr>
            <w:r>
              <w:rPr>
                <w:rFonts w:hint="eastAsia" w:ascii="Arial" w:hAnsi="Arial" w:eastAsia="Arial" w:cs="Arial"/>
                <w:color w:val="000000" w:themeColor="text1"/>
                <w:sz w:val="24"/>
                <w:szCs w:val="24"/>
                <w:highlight w:val="none"/>
                <w:lang w:val="en-US" w:eastAsia="zh-CN" w:bidi="ar-SA"/>
              </w:rPr>
              <w:t xml:space="preserve">售后服务方案（6分）</w:t>
            </w:r>
            <w:r>
              <w:rPr>
                <w:rFonts w:hint="eastAsia" w:ascii="Arial" w:hAnsi="Arial" w:eastAsia="Arial" w:cs="Arial"/>
                <w:color w:val="000000" w:themeColor="text1"/>
                <w:sz w:val="24"/>
                <w:szCs w:val="24"/>
                <w:highlight w:val="none"/>
                <w:lang w:val="en-US" w:eastAsia="zh-CN" w:bidi="ar-SA"/>
              </w:rPr>
            </w:r>
            <w:r>
              <w:rPr>
                <w:color w:val="000000" w:themeColor="text1"/>
              </w:rPr>
            </w:r>
          </w:p>
        </w:tc>
        <w:tc>
          <w:tcPr>
            <w:tcW w:w="6796" w:type="dxa"/>
            <w:vAlign w:val="center"/>
            <w:textDirection w:val="lrTb"/>
            <w:noWrap w:val="false"/>
          </w:tcPr>
          <w:p>
            <w:pPr>
              <w:pStyle w:val="1012"/>
              <w:numPr>
                <w:ilvl w:val="0"/>
                <w:numId w:val="0"/>
              </w:numPr>
              <w:ind w:left="0" w:right="0" w:firstLine="0"/>
              <w:jc w:val="left"/>
              <w:spacing w:line="240" w:lineRule="auto"/>
              <w:widowControl w:val="off"/>
              <w:rPr>
                <w:rFonts w:hint="eastAsia" w:ascii="Arial" w:hAnsi="Arial" w:eastAsia="Arial" w:cs="Arial"/>
                <w:color w:val="000000" w:themeColor="text1"/>
                <w:sz w:val="24"/>
                <w:szCs w:val="24"/>
                <w:highlight w:val="none"/>
              </w:rPr>
            </w:pPr>
            <w:r>
              <w:rPr>
                <w:rFonts w:hint="eastAsia" w:ascii="Arial" w:hAnsi="Arial" w:eastAsia="Arial" w:cs="Arial"/>
                <w:color w:val="000000" w:themeColor="text1"/>
                <w:sz w:val="24"/>
                <w:szCs w:val="24"/>
                <w:highlight w:val="none"/>
                <w:lang w:val="en-US" w:eastAsia="zh-CN" w:bidi="ar-SA"/>
              </w:rPr>
              <w:t xml:space="preserve">根据售后服务方案（包括人员配备、响应时间、解决问题）驻场、应急抢修、质保等方案：投标人提供具备7×24小时医疗应急响应、医院专属维保、故障快速处置、年度巡检等保配合整改实施方案。</w:t>
            </w:r>
            <w:r>
              <w:rPr>
                <w:rFonts w:hint="eastAsia" w:ascii="Arial" w:hAnsi="Arial" w:eastAsia="Arial" w:cs="Arial"/>
                <w:color w:val="000000" w:themeColor="text1"/>
                <w:sz w:val="24"/>
                <w:szCs w:val="24"/>
                <w:highlight w:val="none"/>
                <w:lang w:val="en-US" w:eastAsia="zh-CN" w:bidi="ar-SA"/>
              </w:rPr>
            </w:r>
            <w:r>
              <w:rPr>
                <w:color w:val="000000" w:themeColor="text1"/>
              </w:rPr>
            </w:r>
          </w:p>
          <w:p>
            <w:pPr>
              <w:pStyle w:val="1012"/>
              <w:numPr>
                <w:ilvl w:val="0"/>
                <w:numId w:val="10"/>
              </w:numPr>
              <w:ind w:right="0" w:firstLine="200"/>
              <w:jc w:val="left"/>
              <w:spacing w:line="240" w:lineRule="auto"/>
              <w:widowControl w:val="off"/>
              <w:rPr>
                <w:rFonts w:hint="eastAsia" w:ascii="Arial" w:hAnsi="Arial" w:eastAsia="Arial" w:cs="Arial"/>
                <w:color w:val="000000" w:themeColor="text1"/>
                <w:sz w:val="24"/>
                <w:szCs w:val="24"/>
                <w:highlight w:val="none"/>
              </w:rPr>
            </w:pPr>
            <w:r>
              <w:rPr>
                <w:rFonts w:hint="eastAsia" w:ascii="Arial" w:hAnsi="Arial" w:eastAsia="Arial" w:cs="Arial"/>
                <w:color w:val="000000" w:themeColor="text1"/>
                <w:sz w:val="24"/>
                <w:szCs w:val="24"/>
                <w:highlight w:val="none"/>
                <w:lang w:val="en-US" w:eastAsia="zh-CN" w:bidi="ar-SA"/>
              </w:rPr>
              <w:t xml:space="preserve">方案完整详细且操作可行，能完全响应得4分，</w:t>
            </w:r>
            <w:r>
              <w:rPr>
                <w:rFonts w:hint="eastAsia" w:ascii="Arial" w:hAnsi="Arial" w:eastAsia="Arial" w:cs="Arial"/>
                <w:color w:val="000000" w:themeColor="text1"/>
                <w:sz w:val="24"/>
                <w:szCs w:val="24"/>
                <w:highlight w:val="none"/>
                <w:lang w:val="en-US" w:eastAsia="zh-CN" w:bidi="ar-SA"/>
              </w:rPr>
            </w:r>
            <w:r>
              <w:rPr>
                <w:color w:val="000000" w:themeColor="text1"/>
              </w:rPr>
            </w:r>
          </w:p>
          <w:p>
            <w:pPr>
              <w:pStyle w:val="1012"/>
              <w:numPr>
                <w:ilvl w:val="0"/>
                <w:numId w:val="10"/>
              </w:numPr>
              <w:ind w:right="0" w:firstLine="200"/>
              <w:jc w:val="left"/>
              <w:spacing w:line="240" w:lineRule="auto"/>
              <w:widowControl w:val="off"/>
              <w:rPr>
                <w:rFonts w:ascii="Arial" w:hAnsi="Arial" w:eastAsia="Arial" w:cs="Arial"/>
                <w:color w:val="000000" w:themeColor="text1"/>
                <w:sz w:val="24"/>
                <w:szCs w:val="24"/>
                <w:highlight w:val="none"/>
              </w:rPr>
            </w:pPr>
            <w:r>
              <w:rPr>
                <w:rFonts w:hint="eastAsia" w:ascii="Arial" w:hAnsi="Arial" w:eastAsia="Arial" w:cs="Arial"/>
                <w:color w:val="000000" w:themeColor="text1"/>
                <w:sz w:val="24"/>
                <w:szCs w:val="24"/>
                <w:highlight w:val="none"/>
                <w:lang w:val="en-US" w:eastAsia="zh-CN" w:bidi="ar-SA"/>
              </w:rPr>
              <w:t xml:space="preserve">方案一般且无具体操作方案，响应不全得2分。</w:t>
            </w:r>
            <w:r>
              <w:rPr>
                <w:rFonts w:ascii="Arial" w:hAnsi="Arial" w:eastAsia="Arial" w:cs="Arial"/>
                <w:color w:val="000000" w:themeColor="text1"/>
                <w:sz w:val="24"/>
                <w:szCs w:val="24"/>
                <w:highlight w:val="none"/>
                <w:lang w:val="en-US" w:eastAsia="zh-CN" w:bidi="ar-SA"/>
              </w:rPr>
            </w:r>
            <w:r>
              <w:rPr>
                <w:color w:val="000000" w:themeColor="text1"/>
              </w:rPr>
            </w:r>
          </w:p>
          <w:p>
            <w:pPr>
              <w:pStyle w:val="1012"/>
              <w:numPr>
                <w:ilvl w:val="0"/>
                <w:numId w:val="0"/>
              </w:numPr>
              <w:ind w:left="200" w:right="0" w:firstLine="0"/>
              <w:jc w:val="left"/>
              <w:spacing w:line="240" w:lineRule="auto"/>
              <w:widowControl w:val="off"/>
              <w:rPr>
                <w:rFonts w:ascii="Arial" w:hAnsi="Arial" w:eastAsia="Arial" w:cs="Arial"/>
                <w:color w:val="000000" w:themeColor="text1"/>
                <w:sz w:val="24"/>
                <w:szCs w:val="24"/>
                <w:highlight w:val="none"/>
              </w:rPr>
            </w:pPr>
            <w:r>
              <w:rPr>
                <w:rFonts w:hint="eastAsia" w:ascii="Arial" w:hAnsi="Arial" w:eastAsia="Arial" w:cs="Arial"/>
                <w:color w:val="000000" w:themeColor="text1"/>
                <w:sz w:val="24"/>
                <w:szCs w:val="24"/>
                <w:highlight w:val="none"/>
                <w:lang w:val="en-US" w:eastAsia="zh-CN" w:bidi="ar-SA"/>
              </w:rPr>
              <w:t xml:space="preserve">本项最高得分4分，未提供的不得分。</w:t>
            </w:r>
            <w:r>
              <w:rPr>
                <w:rFonts w:ascii="Arial" w:hAnsi="Arial" w:eastAsia="Arial" w:cs="Arial"/>
                <w:color w:val="000000" w:themeColor="text1"/>
                <w:sz w:val="24"/>
                <w:szCs w:val="24"/>
                <w:highlight w:val="none"/>
                <w:lang w:val="en-US" w:eastAsia="zh-CN" w:bidi="ar-SA"/>
              </w:rPr>
            </w:r>
            <w:r>
              <w:rPr>
                <w:color w:val="000000" w:themeColor="text1"/>
              </w:rPr>
            </w:r>
          </w:p>
          <w:p>
            <w:pPr>
              <w:pStyle w:val="1012"/>
              <w:ind w:left="0" w:right="0" w:firstLine="0"/>
              <w:jc w:val="left"/>
              <w:spacing w:line="240" w:lineRule="auto"/>
              <w:widowControl w:val="off"/>
              <w:rPr>
                <w:rFonts w:hint="eastAsia" w:ascii="Arial" w:hAnsi="Arial" w:eastAsia="Arial" w:cs="Arial"/>
                <w:color w:val="000000" w:themeColor="text1"/>
                <w:sz w:val="24"/>
                <w:szCs w:val="24"/>
                <w:highlight w:val="none"/>
              </w:rPr>
            </w:pPr>
            <w:r>
              <w:rPr>
                <w:rFonts w:hint="eastAsia" w:ascii="Arial" w:hAnsi="Arial" w:eastAsia="Arial" w:cs="Arial"/>
                <w:b/>
                <w:bCs/>
                <w:color w:val="000000" w:themeColor="text1"/>
                <w:sz w:val="24"/>
                <w:szCs w:val="24"/>
                <w:highlight w:val="none"/>
                <w:lang w:val="en-US" w:eastAsia="zh-CN" w:bidi="ar-SA"/>
              </w:rPr>
              <w:t xml:space="preserve">注：投标文件中提供不少于3名售后服务人员。售后人员需提供投标人为其缴纳的近半年内任意一个月（不含当月）的社保缴费证明，否则视为响应无效，做0分处理。</w:t>
            </w:r>
            <w:r>
              <w:rPr>
                <w:rFonts w:hint="eastAsia" w:ascii="Arial" w:hAnsi="Arial" w:eastAsia="Arial" w:cs="Arial"/>
                <w:color w:val="000000" w:themeColor="text1"/>
                <w:sz w:val="24"/>
                <w:szCs w:val="24"/>
                <w:highlight w:val="none"/>
                <w:lang w:val="en-US" w:eastAsia="zh-CN" w:bidi="ar-SA"/>
              </w:rPr>
              <w:t xml:space="preserve">      </w:t>
            </w:r>
            <w:r>
              <w:rPr>
                <w:rFonts w:hint="eastAsia" w:ascii="Arial" w:hAnsi="Arial" w:eastAsia="Arial" w:cs="Arial"/>
                <w:color w:val="000000" w:themeColor="text1"/>
                <w:sz w:val="24"/>
                <w:szCs w:val="24"/>
                <w:highlight w:val="none"/>
                <w:lang w:val="en-US" w:eastAsia="zh-CN" w:bidi="ar-SA"/>
              </w:rPr>
            </w:r>
            <w:r>
              <w:rPr>
                <w:color w:val="000000" w:themeColor="text1"/>
              </w:rPr>
            </w:r>
          </w:p>
          <w:p>
            <w:pPr>
              <w:pStyle w:val="1012"/>
              <w:ind w:left="0" w:right="0" w:firstLine="0"/>
              <w:jc w:val="left"/>
              <w:spacing w:line="240" w:lineRule="auto"/>
              <w:widowControl w:val="off"/>
              <w:rPr>
                <w:rFonts w:ascii="Arial" w:hAnsi="Arial" w:eastAsia="Arial" w:cs="Arial"/>
                <w:color w:val="000000" w:themeColor="text1"/>
                <w:sz w:val="24"/>
                <w:szCs w:val="24"/>
                <w:highlight w:val="none"/>
              </w:rPr>
            </w:pPr>
            <w:r>
              <w:rPr>
                <w:rFonts w:hint="eastAsia" w:ascii="Arial" w:hAnsi="Arial" w:eastAsia="Arial" w:cs="Arial"/>
                <w:color w:val="000000" w:themeColor="text1"/>
                <w:sz w:val="24"/>
                <w:szCs w:val="24"/>
                <w:highlight w:val="none"/>
                <w:lang w:val="en-US" w:eastAsia="zh-CN" w:bidi="ar-SA"/>
              </w:rPr>
              <w:t xml:space="preserve">本项目设备要求不少于3年质保（投标人提供承诺函），满足3年不得分，4年得1分，5年得2分。本项最高得分2分。</w:t>
            </w:r>
            <w:r>
              <w:rPr>
                <w:rFonts w:ascii="Arial" w:hAnsi="Arial" w:eastAsia="Arial" w:cs="Arial"/>
                <w:color w:val="000000" w:themeColor="text1"/>
                <w:sz w:val="24"/>
                <w:szCs w:val="24"/>
                <w:highlight w:val="none"/>
                <w:lang w:val="en-US" w:eastAsia="zh-CN" w:bidi="ar-SA"/>
              </w:rPr>
            </w:r>
            <w:r>
              <w:rPr>
                <w:color w:val="000000" w:themeColor="text1"/>
              </w:rPr>
            </w:r>
          </w:p>
        </w:tc>
      </w:tr>
      <w:tr>
        <w:trPr/>
        <w:tc>
          <w:tcPr>
            <w:tcW w:w="1407" w:type="dxa"/>
            <w:vAlign w:val="center"/>
            <w:textDirection w:val="lrTb"/>
            <w:noWrap w:val="false"/>
          </w:tcPr>
          <w:p>
            <w:pPr>
              <w:pStyle w:val="1012"/>
              <w:ind w:left="0" w:right="0" w:firstLine="0"/>
              <w:jc w:val="center"/>
              <w:spacing w:line="240" w:lineRule="auto"/>
              <w:widowControl w:val="off"/>
              <w:rPr>
                <w:rFonts w:hint="eastAsia" w:ascii="Arial" w:hAnsi="Arial" w:eastAsia="Arial" w:cs="Arial"/>
                <w:color w:val="000000" w:themeColor="text1"/>
                <w:sz w:val="24"/>
                <w:szCs w:val="24"/>
                <w:highlight w:val="none"/>
              </w:rPr>
            </w:pPr>
            <w:r>
              <w:rPr>
                <w:rFonts w:hint="eastAsia" w:ascii="Arial" w:hAnsi="Arial" w:eastAsia="Arial" w:cs="Arial"/>
                <w:color w:val="000000" w:themeColor="text1"/>
                <w:sz w:val="24"/>
                <w:szCs w:val="24"/>
                <w:highlight w:val="none"/>
                <w:lang w:val="en-US" w:eastAsia="zh-CN" w:bidi="ar-SA"/>
              </w:rPr>
            </w:r>
            <w:r>
              <w:rPr>
                <w:color w:val="000000" w:themeColor="text1"/>
              </w:rPr>
            </w:r>
          </w:p>
        </w:tc>
        <w:tc>
          <w:tcPr>
            <w:tcW w:w="1373" w:type="dxa"/>
            <w:vAlign w:val="center"/>
            <w:textDirection w:val="lrTb"/>
            <w:noWrap w:val="false"/>
          </w:tcPr>
          <w:p>
            <w:pPr>
              <w:pStyle w:val="1012"/>
              <w:ind w:left="0" w:right="0" w:firstLine="0"/>
              <w:jc w:val="left"/>
              <w:spacing w:line="240" w:lineRule="auto"/>
              <w:widowControl w:val="off"/>
              <w:rPr>
                <w:rFonts w:hint="eastAsia" w:ascii="Arial" w:hAnsi="Arial" w:eastAsia="Arial" w:cs="Arial"/>
                <w:color w:val="000000" w:themeColor="text1"/>
                <w:sz w:val="24"/>
                <w:szCs w:val="24"/>
                <w:highlight w:val="none"/>
              </w:rPr>
            </w:pPr>
            <w:r>
              <w:rPr>
                <w:rFonts w:hint="eastAsia" w:ascii="Arial" w:hAnsi="Arial" w:eastAsia="Arial" w:cs="Arial"/>
                <w:color w:val="000000" w:themeColor="text1"/>
                <w:sz w:val="24"/>
                <w:szCs w:val="24"/>
                <w:highlight w:val="none"/>
                <w:lang w:val="en-US" w:eastAsia="zh-CN" w:bidi="ar-SA"/>
              </w:rPr>
              <w:t xml:space="preserve">培训方案（3分）</w:t>
            </w:r>
            <w:r>
              <w:rPr>
                <w:rFonts w:hint="eastAsia" w:ascii="Arial" w:hAnsi="Arial" w:eastAsia="Arial" w:cs="Arial"/>
                <w:color w:val="000000" w:themeColor="text1"/>
                <w:sz w:val="24"/>
                <w:szCs w:val="24"/>
                <w:highlight w:val="none"/>
                <w:lang w:val="en-US" w:eastAsia="zh-CN" w:bidi="ar-SA"/>
              </w:rPr>
            </w:r>
            <w:r>
              <w:rPr>
                <w:color w:val="000000" w:themeColor="text1"/>
              </w:rPr>
            </w:r>
          </w:p>
        </w:tc>
        <w:tc>
          <w:tcPr>
            <w:tcW w:w="6796" w:type="dxa"/>
            <w:vAlign w:val="center"/>
            <w:textDirection w:val="lrTb"/>
            <w:noWrap w:val="false"/>
          </w:tcPr>
          <w:p>
            <w:pPr>
              <w:pStyle w:val="1012"/>
              <w:ind w:left="0" w:right="0" w:firstLine="0"/>
              <w:jc w:val="left"/>
              <w:spacing w:line="240" w:lineRule="auto"/>
              <w:widowControl w:val="off"/>
              <w:rPr>
                <w:rFonts w:ascii="Arial" w:hAnsi="Arial" w:eastAsia="Arial" w:cs="Arial"/>
                <w:color w:val="000000" w:themeColor="text1"/>
                <w:sz w:val="24"/>
                <w:szCs w:val="24"/>
                <w:highlight w:val="none"/>
              </w:rPr>
            </w:pPr>
            <w:r>
              <w:rPr>
                <w:rFonts w:hint="eastAsia" w:ascii="Arial" w:hAnsi="Arial" w:eastAsia="Arial" w:cs="Arial"/>
                <w:color w:val="000000" w:themeColor="text1"/>
                <w:sz w:val="24"/>
                <w:szCs w:val="24"/>
                <w:highlight w:val="none"/>
                <w:lang w:val="en-US" w:eastAsia="zh-CN" w:bidi="ar-SA"/>
              </w:rPr>
              <w:t xml:space="preserve">本项目实行交钥匙方案，投标方提供的培训方案，包括但不限于培训方案、培训计划、培训方式及培训内容等确保招标方能准确、快速、简单明了操作设备。</w:t>
            </w:r>
            <w:r>
              <w:rPr>
                <w:rFonts w:ascii="Arial" w:hAnsi="Arial" w:eastAsia="Arial" w:cs="Arial"/>
                <w:color w:val="000000" w:themeColor="text1"/>
                <w:sz w:val="24"/>
                <w:szCs w:val="24"/>
                <w:highlight w:val="none"/>
                <w:lang w:val="en-US" w:eastAsia="zh-CN" w:bidi="ar-SA"/>
              </w:rPr>
            </w:r>
            <w:r>
              <w:rPr>
                <w:color w:val="000000" w:themeColor="text1"/>
              </w:rPr>
            </w:r>
          </w:p>
          <w:p>
            <w:pPr>
              <w:pStyle w:val="1012"/>
              <w:numPr>
                <w:ilvl w:val="0"/>
                <w:numId w:val="11"/>
              </w:numPr>
              <w:ind w:left="0" w:right="0" w:firstLine="0"/>
              <w:jc w:val="left"/>
              <w:spacing w:line="240" w:lineRule="auto"/>
              <w:widowControl w:val="off"/>
              <w:tabs>
                <w:tab w:val="left" w:pos="312" w:leader="none"/>
              </w:tabs>
              <w:rPr>
                <w:rFonts w:hint="eastAsia" w:ascii="Arial" w:hAnsi="Arial" w:eastAsia="Arial" w:cs="Arial"/>
                <w:color w:val="000000" w:themeColor="text1"/>
                <w:sz w:val="24"/>
                <w:szCs w:val="24"/>
                <w:highlight w:val="none"/>
              </w:rPr>
            </w:pPr>
            <w:r>
              <w:rPr>
                <w:rFonts w:hint="eastAsia" w:ascii="Arial" w:hAnsi="Arial" w:eastAsia="Arial" w:cs="Arial"/>
                <w:color w:val="000000" w:themeColor="text1"/>
                <w:sz w:val="24"/>
                <w:szCs w:val="24"/>
                <w:highlight w:val="none"/>
                <w:lang w:val="en-US" w:eastAsia="zh-CN" w:bidi="ar-SA"/>
              </w:rPr>
              <w:t xml:space="preserve">培训方案内容完整、培训形式多样可行，能较好地满足招标文件需求得3分；</w:t>
            </w:r>
            <w:r>
              <w:rPr>
                <w:rFonts w:hint="eastAsia" w:ascii="Arial" w:hAnsi="Arial" w:eastAsia="Arial" w:cs="Arial"/>
                <w:color w:val="000000" w:themeColor="text1"/>
                <w:sz w:val="24"/>
                <w:szCs w:val="24"/>
                <w:highlight w:val="none"/>
                <w:lang w:val="en-US" w:eastAsia="zh-CN" w:bidi="ar-SA"/>
              </w:rPr>
            </w:r>
            <w:r>
              <w:rPr>
                <w:color w:val="000000" w:themeColor="text1"/>
              </w:rPr>
            </w:r>
          </w:p>
          <w:p>
            <w:pPr>
              <w:pStyle w:val="1012"/>
              <w:numPr>
                <w:ilvl w:val="0"/>
                <w:numId w:val="11"/>
              </w:numPr>
              <w:ind w:left="0" w:right="0" w:firstLine="0"/>
              <w:jc w:val="left"/>
              <w:spacing w:line="240" w:lineRule="auto"/>
              <w:widowControl w:val="off"/>
              <w:tabs>
                <w:tab w:val="left" w:pos="312" w:leader="none"/>
              </w:tabs>
              <w:rPr>
                <w:rFonts w:hint="eastAsia" w:ascii="Arial" w:hAnsi="Arial" w:eastAsia="Arial" w:cs="Arial"/>
                <w:color w:val="000000" w:themeColor="text1"/>
                <w:sz w:val="24"/>
                <w:szCs w:val="24"/>
                <w:highlight w:val="none"/>
              </w:rPr>
            </w:pPr>
            <w:r>
              <w:rPr>
                <w:rFonts w:hint="eastAsia" w:ascii="Arial" w:hAnsi="Arial" w:eastAsia="Arial" w:cs="Arial"/>
                <w:color w:val="000000" w:themeColor="text1"/>
                <w:sz w:val="24"/>
                <w:szCs w:val="24"/>
                <w:highlight w:val="none"/>
                <w:lang w:val="en-US" w:eastAsia="zh-CN" w:bidi="ar-SA"/>
              </w:rPr>
              <w:t xml:space="preserve">培训方案内容承诺经过优化可实现文件需求得2分；</w:t>
            </w:r>
            <w:r>
              <w:rPr>
                <w:rFonts w:hint="eastAsia" w:ascii="Arial" w:hAnsi="Arial" w:eastAsia="Arial" w:cs="Arial"/>
                <w:color w:val="000000" w:themeColor="text1"/>
                <w:sz w:val="24"/>
                <w:szCs w:val="24"/>
                <w:highlight w:val="none"/>
                <w:lang w:val="en-US" w:eastAsia="zh-CN" w:bidi="ar-SA"/>
              </w:rPr>
            </w:r>
            <w:r>
              <w:rPr>
                <w:color w:val="000000" w:themeColor="text1"/>
              </w:rPr>
            </w:r>
          </w:p>
          <w:p>
            <w:pPr>
              <w:pStyle w:val="1012"/>
              <w:numPr>
                <w:ilvl w:val="0"/>
                <w:numId w:val="11"/>
              </w:numPr>
              <w:ind w:left="0" w:right="0" w:firstLine="0"/>
              <w:jc w:val="left"/>
              <w:spacing w:line="240" w:lineRule="auto"/>
              <w:widowControl w:val="off"/>
              <w:tabs>
                <w:tab w:val="left" w:pos="312" w:leader="none"/>
              </w:tabs>
              <w:rPr>
                <w:rFonts w:hint="eastAsia" w:ascii="Arial" w:hAnsi="Arial" w:eastAsia="Arial" w:cs="Arial"/>
                <w:b w:val="0"/>
                <w:i w:val="0"/>
                <w:strike w:val="0"/>
                <w:color w:val="000000" w:themeColor="text1"/>
                <w:sz w:val="24"/>
                <w:szCs w:val="24"/>
                <w:highlight w:val="none"/>
                <w:u w:val="none"/>
              </w:rPr>
            </w:pPr>
            <w:r>
              <w:rPr>
                <w:rFonts w:hint="eastAsia" w:ascii="Arial" w:hAnsi="Arial" w:eastAsia="Arial" w:cs="Arial"/>
                <w:color w:val="000000" w:themeColor="text1"/>
                <w:sz w:val="24"/>
                <w:szCs w:val="24"/>
                <w:highlight w:val="none"/>
                <w:lang w:val="en-US" w:eastAsia="zh-CN" w:bidi="ar-SA"/>
              </w:rPr>
              <w:t xml:space="preserve">培训方案不全面，不能满足文件需求1分。未提供的不得分。</w:t>
            </w:r>
            <w:r>
              <w:rPr>
                <w:rFonts w:hint="eastAsia" w:ascii="Arial" w:hAnsi="Arial" w:eastAsia="Arial" w:cs="Arial"/>
                <w:b w:val="0"/>
                <w:i w:val="0"/>
                <w:strike w:val="0"/>
                <w:color w:val="000000" w:themeColor="text1"/>
                <w:sz w:val="24"/>
                <w:szCs w:val="24"/>
                <w:highlight w:val="none"/>
                <w:u w:val="none"/>
                <w:lang w:val="en-US" w:eastAsia="zh-CN" w:bidi="ar-SA"/>
              </w:rPr>
            </w:r>
            <w:r>
              <w:rPr>
                <w:color w:val="000000" w:themeColor="text1"/>
              </w:rPr>
            </w:r>
          </w:p>
        </w:tc>
      </w:tr>
      <w:tr>
        <w:trPr/>
        <w:tc>
          <w:tcPr>
            <w:tcW w:w="1407" w:type="dxa"/>
            <w:vAlign w:val="center"/>
            <w:textDirection w:val="lrTb"/>
            <w:noWrap w:val="false"/>
          </w:tcPr>
          <w:p>
            <w:pPr>
              <w:pStyle w:val="1012"/>
              <w:ind w:left="0" w:right="0" w:firstLine="0"/>
              <w:jc w:val="center"/>
              <w:spacing w:line="240" w:lineRule="auto"/>
              <w:widowControl w:val="off"/>
              <w:rPr>
                <w:rFonts w:hint="eastAsia" w:ascii="Arial" w:hAnsi="Arial" w:eastAsia="Arial" w:cs="Arial"/>
                <w:color w:val="000000" w:themeColor="text1"/>
                <w:sz w:val="24"/>
                <w:szCs w:val="24"/>
                <w:highlight w:val="none"/>
              </w:rPr>
            </w:pPr>
            <w:r>
              <w:rPr>
                <w:rFonts w:hint="eastAsia" w:ascii="Arial" w:hAnsi="Arial" w:eastAsia="Arial" w:cs="Arial"/>
                <w:color w:val="000000" w:themeColor="text1"/>
                <w:sz w:val="24"/>
                <w:szCs w:val="24"/>
                <w:highlight w:val="none"/>
                <w:lang w:val="en-US" w:eastAsia="zh-CN" w:bidi="ar-SA"/>
              </w:rPr>
            </w:r>
            <w:r>
              <w:rPr>
                <w:color w:val="000000" w:themeColor="text1"/>
              </w:rPr>
            </w:r>
          </w:p>
        </w:tc>
        <w:tc>
          <w:tcPr>
            <w:tcW w:w="1373" w:type="dxa"/>
            <w:vAlign w:val="center"/>
            <w:textDirection w:val="lrTb"/>
            <w:noWrap w:val="false"/>
          </w:tcPr>
          <w:p>
            <w:pPr>
              <w:pStyle w:val="1012"/>
              <w:ind w:left="0" w:right="0" w:firstLine="0"/>
              <w:jc w:val="left"/>
              <w:spacing w:line="240" w:lineRule="auto"/>
              <w:widowControl w:val="off"/>
              <w:rPr>
                <w:rFonts w:hint="eastAsia" w:ascii="Arial" w:hAnsi="Arial" w:eastAsia="Arial" w:cs="Arial"/>
                <w:color w:val="000000" w:themeColor="text1"/>
                <w:sz w:val="24"/>
                <w:szCs w:val="24"/>
                <w:highlight w:val="none"/>
              </w:rPr>
            </w:pPr>
            <w:r>
              <w:rPr>
                <w:rFonts w:hint="eastAsia" w:ascii="Arial" w:hAnsi="Arial" w:eastAsia="Arial" w:cs="Arial"/>
                <w:color w:val="000000" w:themeColor="text1"/>
                <w:sz w:val="24"/>
                <w:szCs w:val="24"/>
                <w:highlight w:val="none"/>
                <w:lang w:val="en-US" w:eastAsia="zh-CN" w:bidi="ar-SA"/>
              </w:rPr>
              <w:t xml:space="preserve">产品评价</w:t>
            </w:r>
            <w:r>
              <w:rPr>
                <w:rFonts w:hint="eastAsia" w:ascii="Arial" w:hAnsi="Arial" w:eastAsia="Arial" w:cs="Arial"/>
                <w:color w:val="000000" w:themeColor="text1"/>
                <w:sz w:val="24"/>
                <w:szCs w:val="24"/>
                <w:highlight w:val="none"/>
                <w:lang w:val="en-US" w:eastAsia="zh-CN" w:bidi="ar-SA"/>
              </w:rPr>
            </w:r>
            <w:r>
              <w:rPr>
                <w:color w:val="000000" w:themeColor="text1"/>
              </w:rPr>
            </w:r>
          </w:p>
          <w:p>
            <w:pPr>
              <w:pStyle w:val="1012"/>
              <w:ind w:left="0" w:right="0" w:firstLine="0"/>
              <w:jc w:val="left"/>
              <w:spacing w:line="240" w:lineRule="auto"/>
              <w:widowControl w:val="off"/>
              <w:rPr>
                <w:rFonts w:hint="eastAsia" w:ascii="Arial" w:hAnsi="Arial" w:eastAsia="Arial" w:cs="Arial"/>
                <w:color w:val="000000" w:themeColor="text1"/>
                <w:sz w:val="24"/>
                <w:szCs w:val="24"/>
                <w:highlight w:val="none"/>
              </w:rPr>
            </w:pPr>
            <w:r>
              <w:rPr>
                <w:rFonts w:hint="eastAsia" w:ascii="Arial" w:hAnsi="Arial" w:eastAsia="Arial" w:cs="Arial"/>
                <w:color w:val="000000" w:themeColor="text1"/>
                <w:sz w:val="24"/>
                <w:szCs w:val="24"/>
                <w:highlight w:val="none"/>
                <w:lang w:val="en-US" w:eastAsia="zh-CN" w:bidi="ar-SA"/>
              </w:rPr>
              <w:t xml:space="preserve">（2分）</w:t>
            </w:r>
            <w:r>
              <w:rPr>
                <w:rFonts w:hint="eastAsia" w:ascii="Arial" w:hAnsi="Arial" w:eastAsia="Arial" w:cs="Arial"/>
                <w:color w:val="000000" w:themeColor="text1"/>
                <w:sz w:val="24"/>
                <w:szCs w:val="24"/>
                <w:highlight w:val="none"/>
                <w:lang w:val="en-US" w:eastAsia="zh-CN" w:bidi="ar-SA"/>
              </w:rPr>
            </w:r>
            <w:r>
              <w:rPr>
                <w:color w:val="000000" w:themeColor="text1"/>
              </w:rPr>
            </w:r>
          </w:p>
        </w:tc>
        <w:tc>
          <w:tcPr>
            <w:tcW w:w="6796" w:type="dxa"/>
            <w:vAlign w:val="center"/>
            <w:textDirection w:val="lrTb"/>
            <w:noWrap w:val="false"/>
          </w:tcPr>
          <w:p>
            <w:pPr>
              <w:pStyle w:val="1333"/>
              <w:ind w:left="0" w:right="0" w:firstLine="0"/>
              <w:jc w:val="left"/>
              <w:spacing w:line="240" w:lineRule="auto"/>
              <w:widowControl w:val="off"/>
              <w:rPr>
                <w:rFonts w:hint="eastAsia" w:ascii="Arial" w:hAnsi="Arial" w:eastAsia="Arial" w:cs="Arial"/>
                <w:color w:val="000000" w:themeColor="text1"/>
                <w:sz w:val="24"/>
                <w:szCs w:val="24"/>
                <w:highlight w:val="none"/>
              </w:rPr>
            </w:pPr>
            <w:r>
              <w:rPr>
                <w:rFonts w:hint="eastAsia" w:ascii="Arial" w:hAnsi="Arial" w:eastAsia="Arial" w:cs="Arial"/>
                <w:color w:val="000000" w:themeColor="text1"/>
                <w:sz w:val="24"/>
                <w:szCs w:val="24"/>
                <w:highlight w:val="none"/>
                <w:lang w:val="en-US" w:eastAsia="zh-CN" w:bidi="ar-SA"/>
              </w:rPr>
              <w:t xml:space="preserve">1.投标文件中提供所投漏洞扫描产品具备国家认可的信息安全产品测评证书，具备EAL3+及以上得0.5分，须提供证书复印件证明，没有不得分。 </w:t>
            </w:r>
            <w:r>
              <w:rPr>
                <w:rFonts w:hint="eastAsia" w:ascii="Arial" w:hAnsi="Arial" w:eastAsia="Arial" w:cs="Arial"/>
                <w:color w:val="000000" w:themeColor="text1"/>
                <w:sz w:val="24"/>
                <w:szCs w:val="24"/>
                <w:highlight w:val="none"/>
                <w:lang w:val="en-US" w:eastAsia="zh-CN" w:bidi="ar-SA"/>
              </w:rPr>
            </w:r>
            <w:r>
              <w:rPr>
                <w:color w:val="000000" w:themeColor="text1"/>
              </w:rPr>
            </w:r>
          </w:p>
          <w:p>
            <w:pPr>
              <w:pStyle w:val="1333"/>
              <w:ind w:left="0" w:right="0" w:firstLine="0"/>
              <w:jc w:val="left"/>
              <w:spacing w:line="240" w:lineRule="auto"/>
              <w:widowControl w:val="off"/>
              <w:rPr>
                <w:rFonts w:hint="eastAsia" w:ascii="Arial" w:hAnsi="Arial" w:eastAsia="Arial" w:cs="Arial"/>
                <w:color w:val="000000" w:themeColor="text1"/>
                <w:sz w:val="24"/>
                <w:szCs w:val="24"/>
                <w:highlight w:val="none"/>
              </w:rPr>
            </w:pPr>
            <w:r>
              <w:rPr>
                <w:rFonts w:hint="eastAsia" w:ascii="Arial" w:hAnsi="Arial" w:eastAsia="Arial" w:cs="Arial"/>
                <w:color w:val="000000" w:themeColor="text1"/>
                <w:sz w:val="24"/>
                <w:szCs w:val="24"/>
                <w:highlight w:val="none"/>
                <w:lang w:val="en-US" w:eastAsia="zh-CN" w:bidi="ar-SA"/>
              </w:rPr>
              <w:t xml:space="preserve">2.投标文件中提供所投防火墙产品具备国家权威信息安全测评机构出具的有效检测报告（符合GB/T 20281-2020《信息安全技术 防火墙安全技术要求和测试评价方法》）得0.5分，提供证书复印件证明，不提供不得分。  </w:t>
            </w:r>
            <w:r>
              <w:rPr>
                <w:rFonts w:hint="eastAsia" w:ascii="Arial" w:hAnsi="Arial" w:eastAsia="Arial" w:cs="Arial"/>
                <w:color w:val="000000" w:themeColor="text1"/>
                <w:sz w:val="24"/>
                <w:szCs w:val="24"/>
                <w:highlight w:val="none"/>
                <w:lang w:val="en-US" w:eastAsia="zh-CN" w:bidi="ar-SA"/>
              </w:rPr>
            </w:r>
            <w:r>
              <w:rPr>
                <w:color w:val="000000" w:themeColor="text1"/>
              </w:rPr>
            </w:r>
          </w:p>
          <w:p>
            <w:pPr>
              <w:pStyle w:val="1333"/>
              <w:ind w:left="0" w:right="0" w:firstLine="0"/>
              <w:jc w:val="left"/>
              <w:spacing w:line="240" w:lineRule="auto"/>
              <w:widowControl w:val="off"/>
              <w:rPr>
                <w:rFonts w:hint="eastAsia" w:ascii="Arial" w:hAnsi="Arial" w:eastAsia="Arial" w:cs="Arial"/>
                <w:color w:val="000000" w:themeColor="text1"/>
                <w:sz w:val="24"/>
                <w:szCs w:val="24"/>
                <w:highlight w:val="none"/>
              </w:rPr>
            </w:pPr>
            <w:r>
              <w:rPr>
                <w:rFonts w:hint="eastAsia" w:ascii="Arial" w:hAnsi="Arial" w:eastAsia="Arial" w:cs="Arial"/>
                <w:color w:val="000000" w:themeColor="text1"/>
                <w:sz w:val="24"/>
                <w:szCs w:val="24"/>
                <w:highlight w:val="none"/>
                <w:lang w:val="en-US" w:eastAsia="zh-CN" w:bidi="ar-SA"/>
              </w:rPr>
              <w:t xml:space="preserve">3.</w:t>
            </w:r>
            <w:r>
              <w:rPr>
                <w:rFonts w:hint="eastAsia" w:ascii="Arial" w:hAnsi="Arial" w:eastAsia="Arial" w:cs="Arial"/>
                <w:color w:val="000000" w:themeColor="text1"/>
                <w:sz w:val="24"/>
                <w:szCs w:val="24"/>
                <w:highlight w:val="none"/>
                <w:lang w:val="en-US" w:eastAsia="zh-CN" w:bidi="ar-SA"/>
              </w:rPr>
              <w:tab/>
            </w:r>
            <w:r>
              <w:rPr>
                <w:rFonts w:hint="eastAsia" w:ascii="Arial" w:hAnsi="Arial" w:eastAsia="Arial" w:cs="Arial"/>
                <w:color w:val="000000" w:themeColor="text1"/>
                <w:sz w:val="24"/>
                <w:szCs w:val="24"/>
                <w:highlight w:val="none"/>
                <w:lang w:val="en-US" w:eastAsia="zh-CN" w:bidi="ar-SA"/>
              </w:rPr>
              <w:t xml:space="preserve">投标文件中提供所投厂商的通信网络安全服务能力，要求</w:t>
            </w:r>
            <w:r>
              <w:rPr>
                <w:rFonts w:hint="eastAsia" w:ascii="Arial" w:hAnsi="Arial" w:eastAsia="宋体" w:cs="Arial"/>
                <w:color w:val="000000" w:themeColor="text1"/>
                <w:sz w:val="24"/>
                <w:szCs w:val="24"/>
                <w:highlight w:val="none"/>
                <w:lang w:val="en-US" w:eastAsia="zh-CN" w:bidi="ar-SA"/>
              </w:rPr>
              <w:t xml:space="preserve">提供</w:t>
            </w:r>
            <w:r>
              <w:rPr>
                <w:rFonts w:hint="eastAsia" w:ascii="Arial" w:hAnsi="Arial" w:eastAsia="Arial" w:cs="Arial"/>
                <w:color w:val="000000" w:themeColor="text1"/>
                <w:sz w:val="24"/>
                <w:szCs w:val="24"/>
                <w:highlight w:val="none"/>
                <w:lang w:val="en-US" w:eastAsia="zh-CN" w:bidi="ar-SA"/>
              </w:rPr>
              <w:t xml:space="preserve">国家认可机构出具的网络安全服务能力相关证书（包括但不限于中国通信企业协会、中国信息安全测评中心等机构颁发的），提供复印件，满足得0.5分。不提供不得分。</w:t>
            </w:r>
            <w:r>
              <w:rPr>
                <w:rFonts w:hint="eastAsia" w:ascii="Arial" w:hAnsi="Arial" w:eastAsia="Arial" w:cs="Arial"/>
                <w:color w:val="000000" w:themeColor="text1"/>
                <w:sz w:val="24"/>
                <w:szCs w:val="24"/>
                <w:highlight w:val="none"/>
                <w:lang w:val="en-US" w:eastAsia="zh-CN" w:bidi="ar-SA"/>
              </w:rPr>
            </w:r>
            <w:r>
              <w:rPr>
                <w:color w:val="000000" w:themeColor="text1"/>
              </w:rPr>
            </w:r>
          </w:p>
          <w:p>
            <w:pPr>
              <w:pStyle w:val="1333"/>
              <w:ind w:left="0" w:right="0" w:firstLine="0"/>
              <w:jc w:val="left"/>
              <w:spacing w:line="240" w:lineRule="auto"/>
              <w:widowControl w:val="off"/>
              <w:rPr>
                <w:rFonts w:hint="eastAsia" w:ascii="Arial" w:hAnsi="Arial" w:eastAsia="Arial" w:cs="Arial"/>
                <w:color w:val="000000" w:themeColor="text1"/>
                <w:sz w:val="24"/>
                <w:szCs w:val="24"/>
                <w:highlight w:val="none"/>
              </w:rPr>
            </w:pPr>
            <w:r>
              <w:rPr>
                <w:rFonts w:hint="eastAsia" w:ascii="Arial" w:hAnsi="Arial" w:eastAsia="Arial" w:cs="Arial"/>
                <w:color w:val="000000" w:themeColor="text1"/>
                <w:sz w:val="24"/>
                <w:szCs w:val="24"/>
                <w:highlight w:val="none"/>
                <w:lang w:val="en-US" w:eastAsia="zh-CN" w:bidi="ar-SA"/>
              </w:rPr>
              <w:t xml:space="preserve">4.投标文件中提供所投门诊应急管理系统厂家具有计算机软件著作权登记证书复印件，软件名称包含</w:t>
            </w:r>
            <w:r>
              <w:rPr>
                <w:rFonts w:hint="eastAsia" w:ascii="Arial" w:hAnsi="Arial" w:eastAsia="宋体" w:cs="Arial"/>
                <w:color w:val="000000" w:themeColor="text1"/>
                <w:sz w:val="24"/>
                <w:szCs w:val="24"/>
                <w:highlight w:val="none"/>
                <w:lang w:val="en-US" w:eastAsia="zh-CN" w:bidi="ar-SA"/>
              </w:rPr>
              <w:t xml:space="preserve">：</w:t>
            </w:r>
            <w:r>
              <w:rPr>
                <w:rFonts w:hint="eastAsia" w:ascii="Arial" w:hAnsi="Arial" w:eastAsia="Arial" w:cs="Arial"/>
                <w:color w:val="000000" w:themeColor="text1"/>
                <w:sz w:val="24"/>
                <w:szCs w:val="24"/>
                <w:highlight w:val="none"/>
                <w:lang w:val="en-US" w:eastAsia="zh-CN" w:bidi="ar-SA"/>
              </w:rPr>
              <w:t xml:space="preserve">门诊应急管理系统，满足得0.5分，不提供不得分。</w:t>
            </w:r>
            <w:r>
              <w:rPr>
                <w:rFonts w:hint="eastAsia" w:ascii="Arial" w:hAnsi="Arial" w:eastAsia="Arial" w:cs="Arial"/>
                <w:color w:val="000000" w:themeColor="text1"/>
                <w:sz w:val="24"/>
                <w:szCs w:val="24"/>
                <w:highlight w:val="none"/>
                <w:lang w:val="en-US" w:eastAsia="zh-CN" w:bidi="ar-SA"/>
              </w:rPr>
            </w:r>
            <w:r>
              <w:rPr>
                <w:color w:val="000000" w:themeColor="text1"/>
              </w:rPr>
            </w:r>
          </w:p>
        </w:tc>
      </w:tr>
      <w:tr>
        <w:trPr/>
        <w:tc>
          <w:tcPr>
            <w:tcW w:w="1407" w:type="dxa"/>
            <w:vAlign w:val="center"/>
            <w:vMerge w:val="restart"/>
            <w:textDirection w:val="lrTb"/>
            <w:noWrap w:val="false"/>
          </w:tcPr>
          <w:p>
            <w:pPr>
              <w:pStyle w:val="1012"/>
              <w:ind w:left="0" w:right="0" w:firstLine="0"/>
              <w:jc w:val="center"/>
              <w:spacing w:line="240" w:lineRule="auto"/>
              <w:widowControl w:val="off"/>
              <w:rPr>
                <w:rFonts w:hint="eastAsia" w:ascii="Arial" w:hAnsi="Arial" w:eastAsia="Arial" w:cs="Arial"/>
                <w:color w:val="000000" w:themeColor="text1"/>
                <w:sz w:val="24"/>
                <w:szCs w:val="24"/>
                <w:highlight w:val="none"/>
              </w:rPr>
            </w:pPr>
            <w:r>
              <w:rPr>
                <w:rFonts w:hint="eastAsia" w:ascii="Arial" w:hAnsi="Arial" w:eastAsia="Arial" w:cs="Arial"/>
                <w:color w:val="000000" w:themeColor="text1"/>
                <w:sz w:val="24"/>
                <w:szCs w:val="24"/>
                <w:highlight w:val="none"/>
                <w:lang w:val="en-US" w:eastAsia="zh-CN" w:bidi="ar-SA"/>
              </w:rPr>
              <w:t xml:space="preserve">商务</w:t>
            </w:r>
            <w:r>
              <w:rPr>
                <w:rFonts w:hint="eastAsia" w:ascii="Arial" w:hAnsi="Arial" w:eastAsia="Arial" w:cs="Arial"/>
                <w:color w:val="000000" w:themeColor="text1"/>
                <w:sz w:val="24"/>
                <w:szCs w:val="24"/>
                <w:highlight w:val="none"/>
                <w:lang w:val="en-US" w:eastAsia="zh-CN" w:bidi="ar-SA"/>
              </w:rPr>
            </w:r>
            <w:r>
              <w:rPr>
                <w:color w:val="000000" w:themeColor="text1"/>
              </w:rPr>
            </w:r>
          </w:p>
          <w:p>
            <w:pPr>
              <w:pStyle w:val="1012"/>
              <w:ind w:left="0" w:right="0" w:firstLine="0"/>
              <w:jc w:val="center"/>
              <w:spacing w:line="240" w:lineRule="auto"/>
              <w:widowControl w:val="off"/>
              <w:rPr>
                <w:rFonts w:hint="eastAsia" w:ascii="Arial" w:hAnsi="Arial" w:eastAsia="Arial" w:cs="Arial"/>
                <w:color w:val="000000" w:themeColor="text1"/>
                <w:sz w:val="24"/>
                <w:szCs w:val="24"/>
                <w:highlight w:val="none"/>
              </w:rPr>
            </w:pPr>
            <w:r>
              <w:rPr>
                <w:rFonts w:hint="eastAsia" w:ascii="Arial" w:hAnsi="Arial" w:eastAsia="Arial" w:cs="Arial"/>
                <w:color w:val="000000" w:themeColor="text1"/>
                <w:sz w:val="24"/>
                <w:szCs w:val="24"/>
                <w:highlight w:val="none"/>
                <w:lang w:val="en-US" w:eastAsia="zh-CN" w:bidi="ar-SA"/>
              </w:rPr>
              <w:t xml:space="preserve">部分</w:t>
            </w:r>
            <w:r>
              <w:rPr>
                <w:rFonts w:hint="eastAsia" w:ascii="Arial" w:hAnsi="Arial" w:eastAsia="Arial" w:cs="Arial"/>
                <w:color w:val="000000" w:themeColor="text1"/>
                <w:sz w:val="24"/>
                <w:szCs w:val="24"/>
                <w:highlight w:val="none"/>
                <w:lang w:val="en-US" w:eastAsia="zh-CN" w:bidi="ar-SA"/>
              </w:rPr>
            </w:r>
            <w:r>
              <w:rPr>
                <w:color w:val="000000" w:themeColor="text1"/>
              </w:rPr>
            </w:r>
          </w:p>
          <w:p>
            <w:pPr>
              <w:pStyle w:val="1012"/>
              <w:ind w:left="0" w:right="0" w:firstLine="0"/>
              <w:jc w:val="center"/>
              <w:spacing w:line="240" w:lineRule="auto"/>
              <w:widowControl w:val="off"/>
              <w:rPr>
                <w:rFonts w:hint="eastAsia" w:ascii="Arial" w:hAnsi="Arial" w:eastAsia="Arial" w:cs="Arial"/>
                <w:color w:val="000000" w:themeColor="text1"/>
                <w:sz w:val="24"/>
                <w:szCs w:val="24"/>
                <w:highlight w:val="none"/>
              </w:rPr>
            </w:pPr>
            <w:r>
              <w:rPr>
                <w:rFonts w:hint="eastAsia" w:ascii="Arial" w:hAnsi="Arial" w:eastAsia="Arial" w:cs="Arial"/>
                <w:color w:val="000000" w:themeColor="text1"/>
                <w:sz w:val="24"/>
                <w:szCs w:val="24"/>
                <w:highlight w:val="none"/>
                <w:lang w:val="en-US" w:eastAsia="zh-CN" w:bidi="ar-SA"/>
              </w:rPr>
              <w:t xml:space="preserve">（19分）</w:t>
            </w:r>
            <w:r>
              <w:rPr>
                <w:rFonts w:hint="eastAsia" w:ascii="Arial" w:hAnsi="Arial" w:eastAsia="Arial" w:cs="Arial"/>
                <w:color w:val="000000" w:themeColor="text1"/>
                <w:sz w:val="24"/>
                <w:szCs w:val="24"/>
                <w:highlight w:val="none"/>
                <w:lang w:val="en-US" w:eastAsia="zh-CN" w:bidi="ar-SA"/>
              </w:rPr>
            </w:r>
            <w:r>
              <w:rPr>
                <w:color w:val="000000" w:themeColor="text1"/>
              </w:rPr>
            </w:r>
          </w:p>
        </w:tc>
        <w:tc>
          <w:tcPr>
            <w:tcW w:w="1373" w:type="dxa"/>
            <w:vAlign w:val="center"/>
            <w:textDirection w:val="lrTb"/>
            <w:noWrap w:val="false"/>
          </w:tcPr>
          <w:p>
            <w:pPr>
              <w:pStyle w:val="1012"/>
              <w:ind w:left="0" w:right="0" w:firstLine="0"/>
              <w:jc w:val="left"/>
              <w:spacing w:line="240" w:lineRule="auto"/>
              <w:widowControl w:val="off"/>
              <w:rPr>
                <w:rFonts w:hint="eastAsia" w:ascii="Arial" w:hAnsi="Arial" w:eastAsia="Arial" w:cs="Arial"/>
                <w:color w:val="000000" w:themeColor="text1"/>
                <w:sz w:val="24"/>
                <w:szCs w:val="24"/>
                <w:highlight w:val="none"/>
              </w:rPr>
            </w:pPr>
            <w:r>
              <w:rPr>
                <w:rFonts w:hint="eastAsia" w:ascii="Arial" w:hAnsi="Arial" w:eastAsia="Arial" w:cs="Arial"/>
                <w:color w:val="000000" w:themeColor="text1"/>
                <w:sz w:val="24"/>
                <w:szCs w:val="24"/>
                <w:highlight w:val="none"/>
                <w:lang w:val="en-US" w:eastAsia="zh-CN" w:bidi="ar-SA"/>
              </w:rPr>
              <w:t xml:space="preserve">履约能力（7分）</w:t>
            </w:r>
            <w:r>
              <w:rPr>
                <w:rFonts w:hint="eastAsia" w:ascii="Arial" w:hAnsi="Arial" w:eastAsia="Arial" w:cs="Arial"/>
                <w:color w:val="000000" w:themeColor="text1"/>
                <w:sz w:val="24"/>
                <w:szCs w:val="24"/>
                <w:highlight w:val="none"/>
                <w:lang w:val="en-US" w:eastAsia="zh-CN" w:bidi="ar-SA"/>
              </w:rPr>
            </w:r>
            <w:r>
              <w:rPr>
                <w:color w:val="000000" w:themeColor="text1"/>
              </w:rPr>
            </w:r>
          </w:p>
        </w:tc>
        <w:tc>
          <w:tcPr>
            <w:tcW w:w="6796" w:type="dxa"/>
            <w:vAlign w:val="center"/>
            <w:textDirection w:val="lrTb"/>
            <w:noWrap w:val="false"/>
          </w:tcPr>
          <w:p>
            <w:pPr>
              <w:pStyle w:val="1445"/>
              <w:numPr>
                <w:ilvl w:val="0"/>
                <w:numId w:val="0"/>
              </w:numPr>
              <w:ind w:left="0" w:right="0" w:firstLine="0"/>
              <w:jc w:val="left"/>
              <w:spacing w:line="240" w:lineRule="auto"/>
              <w:widowControl w:val="off"/>
              <w:rPr>
                <w:rFonts w:hint="eastAsia" w:ascii="Arial" w:hAnsi="Arial" w:eastAsia="Arial" w:cs="Arial"/>
                <w:color w:val="000000" w:themeColor="text1"/>
                <w:sz w:val="24"/>
                <w:szCs w:val="24"/>
                <w:highlight w:val="none"/>
              </w:rPr>
            </w:pPr>
            <w:r>
              <w:rPr>
                <w:rFonts w:hint="eastAsia" w:ascii="Arial" w:hAnsi="Arial" w:eastAsia="Arial" w:cs="Arial"/>
                <w:color w:val="000000" w:themeColor="text1"/>
                <w:sz w:val="24"/>
                <w:szCs w:val="24"/>
                <w:highlight w:val="none"/>
                <w:lang w:val="en-US" w:eastAsia="zh-CN" w:bidi="ar-SA"/>
              </w:rPr>
              <w:t xml:space="preserve">1.投标人具有信息系统安全集成服务资质一级得3分，二级得2分，三级得1分，没有不得分，本项满分3分；</w:t>
            </w:r>
            <w:r>
              <w:rPr>
                <w:rFonts w:hint="eastAsia" w:ascii="Arial" w:hAnsi="Arial" w:eastAsia="Arial" w:cs="Arial"/>
                <w:color w:val="000000" w:themeColor="text1"/>
                <w:sz w:val="24"/>
                <w:szCs w:val="24"/>
                <w:highlight w:val="none"/>
                <w:lang w:val="en-US" w:eastAsia="zh-CN" w:bidi="ar-SA"/>
              </w:rPr>
            </w:r>
            <w:r>
              <w:rPr>
                <w:color w:val="000000" w:themeColor="text1"/>
              </w:rPr>
            </w:r>
          </w:p>
          <w:p>
            <w:pPr>
              <w:pStyle w:val="1445"/>
              <w:numPr>
                <w:ilvl w:val="0"/>
                <w:numId w:val="0"/>
              </w:numPr>
              <w:ind w:left="0" w:right="0" w:firstLine="0"/>
              <w:jc w:val="left"/>
              <w:spacing w:line="240" w:lineRule="auto"/>
              <w:widowControl w:val="off"/>
              <w:rPr>
                <w:rFonts w:hint="eastAsia" w:ascii="Arial" w:hAnsi="Arial" w:eastAsia="Arial" w:cs="Arial"/>
                <w:color w:val="000000" w:themeColor="text1"/>
                <w:sz w:val="24"/>
                <w:szCs w:val="24"/>
                <w:highlight w:val="none"/>
              </w:rPr>
            </w:pPr>
            <w:r>
              <w:rPr>
                <w:rFonts w:hint="eastAsia" w:ascii="Arial" w:hAnsi="Arial" w:eastAsia="Arial" w:cs="Arial"/>
                <w:color w:val="000000" w:themeColor="text1"/>
                <w:sz w:val="24"/>
                <w:szCs w:val="24"/>
                <w:highlight w:val="none"/>
                <w:lang w:val="en-US" w:eastAsia="zh-CN" w:bidi="ar-SA"/>
              </w:rPr>
              <w:t xml:space="preserve">2.投标人具有有效的安全生产许可证（许可范围必须包含建筑施工），得2分。</w:t>
            </w:r>
            <w:r>
              <w:rPr>
                <w:rFonts w:hint="eastAsia" w:ascii="Arial" w:hAnsi="Arial" w:eastAsia="Arial" w:cs="Arial"/>
                <w:color w:val="000000" w:themeColor="text1"/>
                <w:sz w:val="24"/>
                <w:szCs w:val="24"/>
                <w:highlight w:val="none"/>
                <w:lang w:val="en-US" w:eastAsia="zh-CN" w:bidi="ar-SA"/>
              </w:rPr>
            </w:r>
            <w:r>
              <w:rPr>
                <w:color w:val="000000" w:themeColor="text1"/>
              </w:rPr>
            </w:r>
          </w:p>
          <w:p>
            <w:pPr>
              <w:pStyle w:val="1445"/>
              <w:ind w:left="0" w:right="0" w:firstLine="0"/>
              <w:jc w:val="left"/>
              <w:spacing w:line="240" w:lineRule="auto"/>
              <w:widowControl w:val="off"/>
              <w:rPr>
                <w:rFonts w:hint="eastAsia" w:ascii="Arial" w:hAnsi="Arial" w:eastAsia="Arial" w:cs="Arial"/>
                <w:color w:val="000000" w:themeColor="text1"/>
                <w:sz w:val="24"/>
                <w:szCs w:val="24"/>
                <w:highlight w:val="none"/>
              </w:rPr>
            </w:pPr>
            <w:r>
              <w:rPr>
                <w:rFonts w:hint="eastAsia" w:ascii="Arial" w:hAnsi="Arial" w:eastAsia="Arial" w:cs="Arial"/>
                <w:color w:val="000000" w:themeColor="text1"/>
                <w:sz w:val="24"/>
                <w:szCs w:val="24"/>
                <w:highlight w:val="none"/>
                <w:lang w:val="en-US" w:eastAsia="zh-CN" w:bidi="ar-SA"/>
              </w:rPr>
              <w:t xml:space="preserve">3.具有产品质量ISO9001（质量管理体系认证）、ISO14001（环境管理体系认证）、ISO45001（职业健康安全体系认证）证书、ISO20000信息技术服务管理体系认证，共4项，每有1项得0.5分，共计2分。 </w:t>
            </w:r>
            <w:r>
              <w:rPr>
                <w:rFonts w:hint="eastAsia" w:ascii="Arial" w:hAnsi="Arial" w:eastAsia="Arial" w:cs="Arial"/>
                <w:color w:val="000000" w:themeColor="text1"/>
                <w:sz w:val="24"/>
                <w:szCs w:val="24"/>
                <w:highlight w:val="none"/>
                <w:lang w:val="en-US" w:eastAsia="zh-CN" w:bidi="ar-SA"/>
              </w:rPr>
            </w:r>
            <w:r>
              <w:rPr>
                <w:color w:val="000000" w:themeColor="text1"/>
              </w:rPr>
            </w:r>
          </w:p>
        </w:tc>
      </w:tr>
      <w:tr>
        <w:trPr/>
        <w:tc>
          <w:tcPr>
            <w:tcW w:w="1407" w:type="dxa"/>
            <w:vAlign w:val="center"/>
            <w:vMerge w:val="continue"/>
            <w:textDirection w:val="lrTb"/>
            <w:noWrap w:val="false"/>
          </w:tcPr>
          <w:p>
            <w:pPr>
              <w:pStyle w:val="1012"/>
              <w:ind w:left="0" w:right="0" w:firstLine="0"/>
              <w:jc w:val="center"/>
              <w:spacing w:line="240" w:lineRule="auto"/>
              <w:widowControl w:val="off"/>
              <w:rPr>
                <w:rFonts w:hint="eastAsia" w:ascii="Arial" w:hAnsi="Arial" w:eastAsia="Arial" w:cs="Arial"/>
                <w:color w:val="000000"/>
                <w:sz w:val="24"/>
                <w:szCs w:val="24"/>
                <w:highlight w:val="none"/>
                <w:lang w:val="en-US" w:eastAsia="zh-CN" w:bidi="ar-SA"/>
              </w:rPr>
            </w:pPr>
            <w:r>
              <w:rPr>
                <w:rFonts w:hint="eastAsia" w:ascii="Arial" w:hAnsi="Arial" w:eastAsia="Arial" w:cs="Arial"/>
                <w:color w:val="000000"/>
                <w:sz w:val="24"/>
                <w:szCs w:val="24"/>
                <w:highlight w:val="none"/>
                <w:lang w:val="en-US" w:eastAsia="zh-CN" w:bidi="ar-SA"/>
              </w:rPr>
            </w:r>
            <w:r/>
          </w:p>
        </w:tc>
        <w:tc>
          <w:tcPr>
            <w:tcW w:w="1373" w:type="dxa"/>
            <w:vAlign w:val="center"/>
            <w:textDirection w:val="lrTb"/>
            <w:noWrap w:val="false"/>
          </w:tcPr>
          <w:p>
            <w:pPr>
              <w:pStyle w:val="1012"/>
              <w:ind w:left="0" w:right="0" w:firstLine="0"/>
              <w:jc w:val="left"/>
              <w:spacing w:line="240" w:lineRule="auto"/>
              <w:widowControl w:val="off"/>
              <w:rPr>
                <w:rFonts w:hint="eastAsia" w:ascii="Arial" w:hAnsi="Arial" w:eastAsia="Arial" w:cs="Arial"/>
                <w:color w:val="000000" w:themeColor="text1"/>
                <w:sz w:val="24"/>
                <w:szCs w:val="24"/>
                <w:highlight w:val="none"/>
              </w:rPr>
            </w:pPr>
            <w:r>
              <w:rPr>
                <w:rFonts w:hint="eastAsia" w:ascii="Arial" w:hAnsi="Arial" w:eastAsia="Arial" w:cs="Arial"/>
                <w:color w:val="000000" w:themeColor="text1"/>
                <w:sz w:val="24"/>
                <w:szCs w:val="24"/>
                <w:highlight w:val="none"/>
                <w:lang w:val="en-US" w:eastAsia="zh-CN" w:bidi="ar-SA"/>
              </w:rPr>
              <w:t xml:space="preserve">项目团队（8分）</w:t>
            </w:r>
            <w:r>
              <w:rPr>
                <w:rFonts w:hint="eastAsia" w:ascii="Arial" w:hAnsi="Arial" w:eastAsia="Arial" w:cs="Arial"/>
                <w:color w:val="000000" w:themeColor="text1"/>
                <w:sz w:val="24"/>
                <w:szCs w:val="24"/>
                <w:highlight w:val="none"/>
                <w:lang w:val="en-US" w:eastAsia="zh-CN" w:bidi="ar-SA"/>
              </w:rPr>
            </w:r>
            <w:r>
              <w:rPr>
                <w:color w:val="000000" w:themeColor="text1"/>
              </w:rPr>
            </w:r>
          </w:p>
        </w:tc>
        <w:tc>
          <w:tcPr>
            <w:tcW w:w="6796" w:type="dxa"/>
            <w:vAlign w:val="center"/>
            <w:textDirection w:val="lrTb"/>
            <w:noWrap w:val="false"/>
          </w:tcPr>
          <w:p>
            <w:pPr>
              <w:pStyle w:val="1012"/>
              <w:numPr>
                <w:ilvl w:val="0"/>
                <w:numId w:val="0"/>
              </w:numPr>
              <w:ind w:left="0" w:right="0" w:firstLine="0"/>
              <w:jc w:val="left"/>
              <w:spacing w:line="240" w:lineRule="auto"/>
              <w:widowControl w:val="off"/>
              <w:rPr>
                <w:rFonts w:hint="eastAsia" w:ascii="Arial" w:hAnsi="Arial" w:eastAsia="Arial" w:cs="Arial"/>
                <w:color w:val="000000" w:themeColor="text1"/>
                <w:sz w:val="24"/>
                <w:szCs w:val="24"/>
                <w:highlight w:val="none"/>
              </w:rPr>
            </w:pPr>
            <w:r>
              <w:rPr>
                <w:rFonts w:hint="eastAsia" w:ascii="Arial" w:hAnsi="Arial" w:eastAsia="Arial" w:cs="Arial"/>
                <w:color w:val="000000" w:themeColor="text1"/>
                <w:sz w:val="24"/>
                <w:szCs w:val="24"/>
                <w:highlight w:val="none"/>
                <w:lang w:val="en-US" w:eastAsia="zh-CN" w:bidi="ar-SA"/>
              </w:rPr>
              <w:t xml:space="preserve">1.投标人拟派项目经理（限1名）具有一级建造师（机电工程）、高级工程师（电子信息工程）和安全员（B证）有一项得1分；共得3分；</w:t>
            </w:r>
            <w:r>
              <w:rPr>
                <w:rFonts w:hint="eastAsia" w:ascii="Arial" w:hAnsi="Arial" w:eastAsia="Arial" w:cs="Arial"/>
                <w:color w:val="000000" w:themeColor="text1"/>
                <w:sz w:val="24"/>
                <w:szCs w:val="24"/>
                <w:highlight w:val="none"/>
                <w:lang w:val="en-US" w:eastAsia="zh-CN" w:bidi="ar-SA"/>
              </w:rPr>
            </w:r>
            <w:r>
              <w:rPr>
                <w:color w:val="000000" w:themeColor="text1"/>
              </w:rPr>
            </w:r>
          </w:p>
          <w:p>
            <w:pPr>
              <w:pStyle w:val="1012"/>
              <w:ind w:left="0" w:right="0" w:firstLine="0"/>
              <w:jc w:val="left"/>
              <w:spacing w:line="240" w:lineRule="auto"/>
              <w:widowControl w:val="off"/>
              <w:rPr>
                <w:rFonts w:hint="eastAsia" w:ascii="Arial" w:hAnsi="Arial" w:eastAsia="Arial" w:cs="Arial"/>
                <w:color w:val="000000" w:themeColor="text1"/>
                <w:sz w:val="24"/>
                <w:szCs w:val="24"/>
                <w:highlight w:val="none"/>
              </w:rPr>
            </w:pPr>
            <w:r>
              <w:rPr>
                <w:rFonts w:hint="eastAsia" w:ascii="Arial" w:hAnsi="Arial" w:eastAsia="Arial" w:cs="Arial"/>
                <w:color w:val="000000" w:themeColor="text1"/>
                <w:sz w:val="24"/>
                <w:szCs w:val="24"/>
                <w:highlight w:val="none"/>
                <w:lang w:val="en-US" w:eastAsia="zh-CN" w:bidi="ar-SA"/>
              </w:rPr>
              <w:t xml:space="preserve">2.投标人拟派技术负责人（限1名）具有信息系统项目管理师、一级建造师注册证书（机电工程）、ITSS-IT 服务工程师（高级）、高级能源管理证书的，有1项得0.5分。最高得2分。</w:t>
            </w:r>
            <w:r>
              <w:rPr>
                <w:rFonts w:hint="eastAsia" w:ascii="Arial" w:hAnsi="Arial" w:eastAsia="Arial" w:cs="Arial"/>
                <w:color w:val="000000" w:themeColor="text1"/>
                <w:sz w:val="24"/>
                <w:szCs w:val="24"/>
                <w:highlight w:val="none"/>
                <w:lang w:val="en-US" w:eastAsia="zh-CN" w:bidi="ar-SA"/>
              </w:rPr>
            </w:r>
            <w:r>
              <w:rPr>
                <w:color w:val="000000" w:themeColor="text1"/>
              </w:rPr>
            </w:r>
          </w:p>
          <w:p>
            <w:pPr>
              <w:pStyle w:val="1012"/>
              <w:ind w:left="0" w:right="0" w:firstLine="0"/>
              <w:jc w:val="left"/>
              <w:spacing w:line="240" w:lineRule="auto"/>
              <w:widowControl w:val="off"/>
              <w:rPr>
                <w:rFonts w:hint="eastAsia" w:ascii="Arial" w:hAnsi="Arial" w:eastAsia="Arial" w:cs="Arial"/>
                <w:color w:val="000000" w:themeColor="text1"/>
                <w:sz w:val="24"/>
                <w:szCs w:val="24"/>
                <w:highlight w:val="none"/>
              </w:rPr>
            </w:pPr>
            <w:r>
              <w:rPr>
                <w:rFonts w:hint="eastAsia" w:ascii="Arial" w:hAnsi="Arial" w:eastAsia="Arial" w:cs="Arial"/>
                <w:color w:val="000000" w:themeColor="text1"/>
                <w:sz w:val="24"/>
                <w:szCs w:val="24"/>
                <w:highlight w:val="none"/>
                <w:lang w:val="en-US" w:eastAsia="zh-CN" w:bidi="ar-SA"/>
              </w:rPr>
              <w:t xml:space="preserve">3.技术团队：具有中级注册安全工程师（建筑施工安全）、建筑电工证、ITSS服务工程师，CCSC网络安全技术证书、设备环境中级工程师、制冷空调系统安装维修中级证书及以上的。每有一个证书得0.5分，最高得3分</w:t>
            </w:r>
            <w:r>
              <w:rPr>
                <w:rFonts w:hint="eastAsia" w:ascii="Arial" w:hAnsi="Arial" w:eastAsia="Arial" w:cs="Arial"/>
                <w:color w:val="000000" w:themeColor="text1"/>
                <w:sz w:val="24"/>
                <w:szCs w:val="24"/>
                <w:highlight w:val="none"/>
                <w:lang w:val="en-US" w:eastAsia="zh-CN" w:bidi="ar-SA"/>
              </w:rPr>
            </w:r>
            <w:r>
              <w:rPr>
                <w:color w:val="000000" w:themeColor="text1"/>
              </w:rPr>
            </w:r>
          </w:p>
          <w:p>
            <w:pPr>
              <w:pStyle w:val="1012"/>
              <w:ind w:left="0" w:right="0" w:firstLine="0"/>
              <w:jc w:val="left"/>
              <w:spacing w:line="240" w:lineRule="auto"/>
              <w:widowControl w:val="off"/>
              <w:rPr>
                <w:rFonts w:hint="eastAsia" w:ascii="Arial" w:hAnsi="Arial" w:eastAsia="Arial" w:cs="Arial"/>
                <w:color w:val="000000" w:themeColor="text1"/>
                <w:sz w:val="24"/>
                <w:szCs w:val="24"/>
                <w:highlight w:val="none"/>
              </w:rPr>
            </w:pPr>
            <w:r>
              <w:rPr>
                <w:rFonts w:hint="eastAsia" w:ascii="Arial" w:hAnsi="Arial" w:eastAsia="Arial" w:cs="Arial"/>
                <w:color w:val="000000" w:themeColor="text1"/>
                <w:sz w:val="24"/>
                <w:szCs w:val="24"/>
                <w:highlight w:val="none"/>
                <w:lang w:val="en-US" w:eastAsia="zh-CN" w:bidi="ar-SA"/>
              </w:rPr>
              <w:t xml:space="preserve">一人多证或多人一证不得重复计分。</w:t>
            </w:r>
            <w:r>
              <w:rPr>
                <w:rFonts w:hint="eastAsia" w:ascii="Arial" w:hAnsi="Arial" w:eastAsia="Arial" w:cs="Arial"/>
                <w:color w:val="000000" w:themeColor="text1"/>
                <w:sz w:val="24"/>
                <w:szCs w:val="24"/>
                <w:highlight w:val="none"/>
                <w:lang w:val="en-US" w:eastAsia="zh-CN" w:bidi="ar-SA"/>
              </w:rPr>
            </w:r>
            <w:r>
              <w:rPr>
                <w:color w:val="000000" w:themeColor="text1"/>
              </w:rPr>
            </w:r>
          </w:p>
          <w:p>
            <w:pPr>
              <w:pStyle w:val="1012"/>
              <w:ind w:left="0" w:right="0" w:firstLine="0"/>
              <w:jc w:val="left"/>
              <w:spacing w:line="240" w:lineRule="auto"/>
              <w:widowControl w:val="off"/>
              <w:rPr>
                <w:rFonts w:hint="eastAsia" w:ascii="Arial" w:hAnsi="Arial" w:eastAsia="Arial" w:cs="Arial"/>
                <w:color w:val="000000" w:themeColor="text1"/>
                <w:sz w:val="24"/>
                <w:szCs w:val="24"/>
                <w:highlight w:val="none"/>
              </w:rPr>
            </w:pPr>
            <w:r>
              <w:rPr>
                <w:rFonts w:hint="eastAsia" w:ascii="Arial" w:hAnsi="Arial" w:eastAsia="Arial" w:cs="Arial"/>
                <w:color w:val="000000" w:themeColor="text1"/>
                <w:sz w:val="24"/>
                <w:szCs w:val="24"/>
                <w:highlight w:val="none"/>
                <w:lang w:val="en-US" w:eastAsia="zh-CN" w:bidi="ar-SA"/>
              </w:rPr>
              <w:t xml:space="preserve">（</w:t>
            </w:r>
            <w:r>
              <w:rPr>
                <w:rFonts w:hint="eastAsia" w:ascii="Arial" w:hAnsi="Arial" w:eastAsia="Arial" w:cs="Arial"/>
                <w:b/>
                <w:bCs/>
                <w:color w:val="000000" w:themeColor="text1"/>
                <w:sz w:val="24"/>
                <w:szCs w:val="24"/>
                <w:highlight w:val="none"/>
                <w:lang w:val="en-US" w:eastAsia="zh-CN" w:bidi="ar-SA"/>
              </w:rPr>
              <w:t xml:space="preserve">注：同一人员不能同时兼任不同岗位，同一人员具有多种证书的，只认定为其中一个类别，不重复得分</w:t>
            </w:r>
            <w:r>
              <w:rPr>
                <w:rFonts w:hint="eastAsia" w:ascii="Arial" w:hAnsi="Arial" w:eastAsia="Arial" w:cs="Arial"/>
                <w:color w:val="000000" w:themeColor="text1"/>
                <w:sz w:val="24"/>
                <w:szCs w:val="24"/>
                <w:highlight w:val="none"/>
                <w:lang w:val="en-US" w:eastAsia="zh-CN" w:bidi="ar-SA"/>
              </w:rPr>
              <w:t xml:space="preserve">。）</w:t>
            </w:r>
            <w:r>
              <w:rPr>
                <w:rFonts w:hint="eastAsia" w:ascii="Arial" w:hAnsi="Arial" w:eastAsia="Arial" w:cs="Arial"/>
                <w:color w:val="000000" w:themeColor="text1"/>
                <w:sz w:val="24"/>
                <w:szCs w:val="24"/>
                <w:highlight w:val="none"/>
                <w:lang w:val="en-US" w:eastAsia="zh-CN" w:bidi="ar-SA"/>
              </w:rPr>
            </w:r>
            <w:r>
              <w:rPr>
                <w:color w:val="000000" w:themeColor="text1"/>
              </w:rPr>
            </w:r>
          </w:p>
          <w:p>
            <w:pPr>
              <w:pStyle w:val="1012"/>
              <w:ind w:left="0" w:right="0" w:firstLine="0"/>
              <w:jc w:val="left"/>
              <w:spacing w:line="240" w:lineRule="auto"/>
              <w:widowControl w:val="off"/>
              <w:rPr>
                <w:rFonts w:hint="eastAsia" w:ascii="Arial" w:hAnsi="Arial" w:eastAsia="Arial" w:cs="Arial"/>
                <w:color w:val="000000" w:themeColor="text1"/>
                <w:sz w:val="24"/>
                <w:szCs w:val="24"/>
                <w:highlight w:val="none"/>
              </w:rPr>
            </w:pPr>
            <w:r>
              <w:rPr>
                <w:rFonts w:hint="eastAsia" w:ascii="Arial" w:hAnsi="Arial" w:eastAsia="Arial" w:cs="Arial"/>
                <w:b/>
                <w:bCs/>
                <w:color w:val="000000" w:themeColor="text1"/>
                <w:sz w:val="24"/>
                <w:szCs w:val="24"/>
                <w:highlight w:val="none"/>
                <w:lang w:val="en-US" w:eastAsia="zh-CN" w:bidi="ar-SA"/>
              </w:rPr>
              <w:t xml:space="preserve">提供以上人员相关证书及供应商为其缴纳的近半年内任意一个月的社保缴费证明（不含当月）。</w:t>
            </w:r>
            <w:r>
              <w:rPr>
                <w:rFonts w:hint="eastAsia" w:ascii="Arial" w:hAnsi="Arial" w:eastAsia="Arial" w:cs="Arial"/>
                <w:color w:val="000000" w:themeColor="text1"/>
                <w:sz w:val="24"/>
                <w:szCs w:val="24"/>
                <w:highlight w:val="none"/>
                <w:lang w:val="en-US" w:eastAsia="zh-CN" w:bidi="ar-SA"/>
              </w:rPr>
            </w:r>
            <w:r>
              <w:rPr>
                <w:color w:val="000000" w:themeColor="text1"/>
              </w:rPr>
            </w:r>
          </w:p>
        </w:tc>
      </w:tr>
      <w:tr>
        <w:trPr/>
        <w:tc>
          <w:tcPr>
            <w:tcW w:w="1407" w:type="dxa"/>
            <w:vAlign w:val="center"/>
            <w:textDirection w:val="lrTb"/>
            <w:noWrap w:val="false"/>
          </w:tcPr>
          <w:p>
            <w:pPr>
              <w:pStyle w:val="1012"/>
              <w:ind w:left="0" w:right="0" w:firstLine="0"/>
              <w:jc w:val="center"/>
              <w:spacing w:line="240" w:lineRule="auto"/>
              <w:widowControl w:val="off"/>
              <w:rPr>
                <w:rFonts w:hint="eastAsia" w:ascii="Arial" w:hAnsi="Arial" w:eastAsia="Arial" w:cs="Arial"/>
                <w:color w:val="000000" w:themeColor="text1"/>
                <w:sz w:val="24"/>
                <w:szCs w:val="24"/>
                <w:highlight w:val="none"/>
              </w:rPr>
            </w:pPr>
            <w:r>
              <w:rPr>
                <w:rFonts w:hint="eastAsia" w:ascii="Arial" w:hAnsi="Arial" w:eastAsia="Arial" w:cs="Arial"/>
                <w:color w:val="000000" w:themeColor="text1"/>
                <w:sz w:val="24"/>
                <w:szCs w:val="24"/>
                <w:highlight w:val="none"/>
                <w:lang w:val="en-US" w:eastAsia="zh-CN" w:bidi="ar-SA"/>
              </w:rPr>
            </w:r>
            <w:r>
              <w:rPr>
                <w:color w:val="000000" w:themeColor="text1"/>
              </w:rPr>
            </w:r>
          </w:p>
        </w:tc>
        <w:tc>
          <w:tcPr>
            <w:tcW w:w="1373" w:type="dxa"/>
            <w:vAlign w:val="center"/>
            <w:textDirection w:val="lrTb"/>
            <w:noWrap w:val="false"/>
          </w:tcPr>
          <w:p>
            <w:pPr>
              <w:pStyle w:val="1446"/>
              <w:ind w:left="0" w:right="0" w:firstLine="0"/>
              <w:jc w:val="left"/>
              <w:widowControl w:val="off"/>
              <w:rPr>
                <w:rFonts w:hint="eastAsia" w:ascii="Arial" w:hAnsi="Arial" w:eastAsia="Arial" w:cs="Arial"/>
                <w:color w:val="000000" w:themeColor="text1"/>
                <w:sz w:val="24"/>
                <w:szCs w:val="24"/>
                <w:highlight w:val="none"/>
              </w:rPr>
            </w:pPr>
            <w:r>
              <w:rPr>
                <w:rFonts w:hint="eastAsia" w:ascii="Arial" w:hAnsi="Arial" w:eastAsia="Arial" w:cs="Arial"/>
                <w:color w:val="000000" w:themeColor="text1"/>
                <w:sz w:val="24"/>
                <w:szCs w:val="24"/>
                <w:highlight w:val="none"/>
                <w:lang w:val="en-US" w:eastAsia="zh-CN" w:bidi="ar-SA"/>
              </w:rPr>
              <w:t xml:space="preserve">业绩</w:t>
            </w:r>
            <w:r>
              <w:rPr>
                <w:rFonts w:hint="eastAsia" w:ascii="Arial" w:hAnsi="Arial" w:eastAsia="Arial" w:cs="Arial"/>
                <w:color w:val="000000" w:themeColor="text1"/>
                <w:sz w:val="24"/>
                <w:szCs w:val="24"/>
                <w:highlight w:val="none"/>
                <w:lang w:val="en-US" w:eastAsia="zh-CN" w:bidi="ar-SA"/>
              </w:rPr>
            </w:r>
            <w:r>
              <w:rPr>
                <w:color w:val="000000" w:themeColor="text1"/>
              </w:rPr>
            </w:r>
          </w:p>
          <w:p>
            <w:pPr>
              <w:pStyle w:val="1015"/>
              <w:ind w:left="0" w:right="0" w:firstLine="0"/>
              <w:jc w:val="left"/>
              <w:spacing w:line="240" w:lineRule="auto"/>
              <w:widowControl w:val="off"/>
              <w:rPr>
                <w:rFonts w:hint="eastAsia" w:ascii="Arial" w:hAnsi="Arial" w:eastAsia="Arial" w:cs="Arial"/>
                <w:color w:val="000000" w:themeColor="text1"/>
                <w:sz w:val="24"/>
                <w:szCs w:val="24"/>
                <w:highlight w:val="none"/>
              </w:rPr>
            </w:pPr>
            <w:r>
              <w:rPr>
                <w:rFonts w:hint="eastAsia" w:ascii="Arial" w:hAnsi="Arial" w:eastAsia="Arial" w:cs="Arial"/>
                <w:color w:val="000000" w:themeColor="text1"/>
                <w:sz w:val="24"/>
                <w:szCs w:val="24"/>
                <w:highlight w:val="none"/>
                <w:lang w:val="en-US" w:eastAsia="zh-CN" w:bidi="ar-SA"/>
              </w:rPr>
              <w:t xml:space="preserve">（4分）</w:t>
            </w:r>
            <w:r>
              <w:rPr>
                <w:rFonts w:hint="eastAsia" w:ascii="Arial" w:hAnsi="Arial" w:eastAsia="Arial" w:cs="Arial"/>
                <w:color w:val="000000" w:themeColor="text1"/>
                <w:sz w:val="24"/>
                <w:szCs w:val="24"/>
                <w:highlight w:val="none"/>
                <w:lang w:val="en-US" w:eastAsia="zh-CN" w:bidi="ar-SA"/>
              </w:rPr>
            </w:r>
            <w:r>
              <w:rPr>
                <w:color w:val="000000" w:themeColor="text1"/>
              </w:rPr>
            </w:r>
          </w:p>
        </w:tc>
        <w:tc>
          <w:tcPr>
            <w:tcW w:w="6796" w:type="dxa"/>
            <w:vAlign w:val="center"/>
            <w:textDirection w:val="lrTb"/>
            <w:noWrap w:val="false"/>
          </w:tcPr>
          <w:p>
            <w:pPr>
              <w:pStyle w:val="1445"/>
              <w:jc w:val="left"/>
              <w:spacing w:line="240" w:lineRule="auto"/>
              <w:widowControl w:val="off"/>
              <w:rPr>
                <w:rFonts w:hint="eastAsia" w:ascii="Arial" w:hAnsi="Arial" w:eastAsia="Arial" w:cs="Arial"/>
                <w:color w:val="000000" w:themeColor="text1"/>
                <w:sz w:val="24"/>
                <w:szCs w:val="24"/>
                <w:highlight w:val="none"/>
              </w:rPr>
            </w:pPr>
            <w:r>
              <w:rPr>
                <w:rFonts w:hint="eastAsia" w:ascii="Arial" w:hAnsi="Arial" w:eastAsia="Arial" w:cs="Arial"/>
                <w:color w:val="000000" w:themeColor="text1"/>
                <w:sz w:val="24"/>
                <w:szCs w:val="24"/>
                <w:highlight w:val="none"/>
                <w:lang w:val="en-US" w:eastAsia="zh-CN" w:bidi="ar-SA"/>
              </w:rPr>
              <w:t xml:space="preserve">投标人提供近三年以来(2023年8月1日—2026年8月1日）承接的与本项目相关的业绩（信息化机房建设或网络安全集成项目业绩）要求：业绩中同时提供合同、中标通知书、验收报告，单个合同内容包含装修、精密空调、UPS、网络安全设备中任一类别的得0.5分，每增加一个类别加0.5分，单个业绩最高2分，满分4分。日期以合同签订日期为准。</w:t>
            </w:r>
            <w:r>
              <w:rPr>
                <w:rFonts w:hint="eastAsia" w:ascii="Arial" w:hAnsi="Arial" w:eastAsia="Arial" w:cs="Arial"/>
                <w:color w:val="000000" w:themeColor="text1"/>
                <w:sz w:val="24"/>
                <w:szCs w:val="24"/>
                <w:highlight w:val="none"/>
                <w:lang w:val="en-US" w:eastAsia="zh-CN" w:bidi="ar-SA"/>
              </w:rPr>
            </w:r>
            <w:r>
              <w:rPr>
                <w:color w:val="000000" w:themeColor="text1"/>
              </w:rPr>
            </w:r>
          </w:p>
        </w:tc>
      </w:tr>
    </w:tbl>
    <w:p>
      <w:pPr>
        <w:pStyle w:val="1012"/>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pStyle w:val="1012"/>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注：</w:t>
      </w:r>
      <w:r>
        <w:rPr>
          <w:rFonts w:hint="eastAsia" w:ascii="宋体" w:hAnsi="宋体" w:eastAsia="宋体" w:cs="宋体"/>
          <w:color w:val="000000" w:themeColor="text1"/>
          <w:sz w:val="24"/>
          <w:highlight w:val="none"/>
          <w:lang w:val="en-US" w:eastAsia="zh-CN"/>
        </w:rPr>
        <w:t xml:space="preserve">1.</w:t>
      </w:r>
      <w:r>
        <w:rPr>
          <w:rFonts w:hint="eastAsia" w:ascii="宋体" w:hAnsi="宋体" w:eastAsia="宋体" w:cs="宋体"/>
          <w:color w:val="000000" w:themeColor="text1"/>
          <w:sz w:val="24"/>
          <w:highlight w:val="none"/>
        </w:rPr>
        <w:t xml:space="preserve">评分结果精确到小数点后两位</w:t>
      </w:r>
      <w:bookmarkEnd w:id="10"/>
      <w:r>
        <w:rPr>
          <w:color w:val="000000" w:themeColor="text1"/>
        </w:rPr>
      </w:r>
      <w:bookmarkStart w:id="12" w:name="_Toc484939581"/>
      <w:r>
        <w:rPr>
          <w:rFonts w:hint="eastAsia" w:ascii="宋体" w:hAnsi="宋体" w:eastAsia="宋体" w:cs="宋体"/>
          <w:color w:val="000000" w:themeColor="text1"/>
          <w:sz w:val="24"/>
          <w:highlight w:val="none"/>
        </w:rPr>
      </w:r>
      <w:r>
        <w:rPr>
          <w:color w:val="000000" w:themeColor="text1"/>
        </w:rPr>
      </w:r>
    </w:p>
    <w:p>
      <w:pPr>
        <w:pStyle w:val="1012"/>
        <w:ind w:firstLine="676"/>
        <w:widowControl/>
        <w:rPr>
          <w:rFonts w:ascii="宋体" w:hAnsi="宋体" w:eastAsia="宋体" w:cs="宋体"/>
          <w:color w:val="000000" w:themeColor="text1"/>
          <w:sz w:val="24"/>
          <w:highlight w:val="none"/>
        </w:rPr>
      </w:pPr>
      <w:r>
        <w:rPr>
          <w:rFonts w:ascii="宋体" w:hAnsi="宋体" w:eastAsia="宋体" w:cs="宋体"/>
          <w:color w:val="000000" w:themeColor="text1"/>
          <w:sz w:val="24"/>
          <w:highlight w:val="none"/>
        </w:rPr>
      </w:r>
      <w:r>
        <w:rPr>
          <w:color w:val="000000" w:themeColor="text1"/>
        </w:rPr>
      </w:r>
    </w:p>
    <w:p>
      <w:pPr>
        <w:pStyle w:val="1012"/>
        <w:numPr>
          <w:ilvl w:val="0"/>
          <w:numId w:val="0"/>
        </w:numPr>
        <w:jc w:val="both"/>
        <w:keepLines/>
        <w:keepNext/>
        <w:spacing w:line="240" w:lineRule="auto"/>
        <w:rPr>
          <w:rFonts w:hint="eastAsia" w:ascii="宋体" w:hAnsi="宋体" w:eastAsia="宋体" w:cs="宋体"/>
          <w:b/>
          <w:bCs/>
          <w:color w:val="000000" w:themeColor="text1"/>
          <w:sz w:val="36"/>
          <w:szCs w:val="36"/>
          <w:highlight w:val="none"/>
        </w:rPr>
        <w:outlineLvl w:val="0"/>
      </w:pPr>
      <w:r>
        <w:rPr>
          <w:rFonts w:hint="eastAsia" w:ascii="宋体" w:hAnsi="宋体" w:eastAsia="宋体" w:cs="宋体"/>
          <w:b/>
          <w:bCs/>
          <w:color w:val="000000" w:themeColor="text1"/>
          <w:sz w:val="36"/>
          <w:szCs w:val="36"/>
          <w:highlight w:val="none"/>
        </w:rPr>
      </w:r>
      <w:r>
        <w:rPr>
          <w:color w:val="000000" w:themeColor="text1"/>
        </w:rPr>
      </w:r>
    </w:p>
    <w:p>
      <w:pPr>
        <w:pStyle w:val="1012"/>
        <w:numPr>
          <w:ilvl w:val="0"/>
          <w:numId w:val="0"/>
        </w:numPr>
        <w:ind w:firstLine="723"/>
        <w:jc w:val="both"/>
        <w:keepLines/>
        <w:keepNext/>
        <w:spacing w:line="240" w:lineRule="auto"/>
        <w:rPr>
          <w:rFonts w:hint="eastAsia" w:ascii="宋体" w:hAnsi="宋体" w:eastAsia="宋体" w:cs="宋体"/>
          <w:b/>
          <w:bCs/>
          <w:color w:val="000000" w:themeColor="text1"/>
          <w:sz w:val="36"/>
          <w:szCs w:val="36"/>
          <w:highlight w:val="none"/>
        </w:rPr>
        <w:outlineLvl w:val="0"/>
      </w:pPr>
      <w:r>
        <w:rPr>
          <w:rFonts w:hint="eastAsia" w:ascii="宋体" w:hAnsi="宋体" w:eastAsia="宋体" w:cs="宋体"/>
          <w:b/>
          <w:bCs/>
          <w:color w:val="000000" w:themeColor="text1"/>
          <w:sz w:val="36"/>
          <w:szCs w:val="36"/>
          <w:highlight w:val="none"/>
        </w:rPr>
      </w:r>
      <w:r>
        <w:rPr>
          <w:color w:val="000000" w:themeColor="text1"/>
        </w:rPr>
      </w:r>
    </w:p>
    <w:p>
      <w:pPr>
        <w:pStyle w:val="1012"/>
        <w:numPr>
          <w:ilvl w:val="0"/>
          <w:numId w:val="0"/>
        </w:numPr>
        <w:ind w:firstLine="723"/>
        <w:jc w:val="both"/>
        <w:keepLines/>
        <w:keepNext/>
        <w:spacing w:line="240" w:lineRule="auto"/>
        <w:rPr>
          <w:rFonts w:hint="eastAsia" w:ascii="宋体" w:hAnsi="宋体" w:eastAsia="宋体" w:cs="宋体"/>
          <w:b/>
          <w:bCs/>
          <w:color w:val="000000" w:themeColor="text1"/>
          <w:sz w:val="36"/>
          <w:szCs w:val="36"/>
          <w:highlight w:val="none"/>
        </w:rPr>
        <w:outlineLvl w:val="0"/>
      </w:pPr>
      <w:r>
        <w:rPr>
          <w:rFonts w:hint="eastAsia" w:ascii="宋体" w:hAnsi="宋体" w:eastAsia="宋体" w:cs="宋体"/>
          <w:b/>
          <w:bCs/>
          <w:color w:val="000000" w:themeColor="text1"/>
          <w:sz w:val="36"/>
          <w:szCs w:val="36"/>
          <w:highlight w:val="none"/>
        </w:rPr>
      </w:r>
      <w:r>
        <w:rPr>
          <w:color w:val="000000" w:themeColor="text1"/>
        </w:rPr>
      </w:r>
    </w:p>
    <w:p>
      <w:pPr>
        <w:pStyle w:val="1012"/>
        <w:numPr>
          <w:ilvl w:val="0"/>
          <w:numId w:val="0"/>
        </w:numPr>
        <w:ind w:firstLine="723"/>
        <w:jc w:val="both"/>
        <w:keepLines/>
        <w:keepNext/>
        <w:spacing w:line="240" w:lineRule="auto"/>
        <w:rPr>
          <w:rFonts w:hint="eastAsia" w:ascii="宋体" w:hAnsi="宋体" w:eastAsia="宋体" w:cs="宋体"/>
          <w:b/>
          <w:bCs/>
          <w:color w:val="000000" w:themeColor="text1"/>
          <w:sz w:val="36"/>
          <w:szCs w:val="36"/>
          <w:highlight w:val="none"/>
        </w:rPr>
        <w:outlineLvl w:val="0"/>
      </w:pPr>
      <w:r>
        <w:rPr>
          <w:rFonts w:hint="eastAsia" w:ascii="宋体" w:hAnsi="宋体" w:eastAsia="宋体" w:cs="宋体"/>
          <w:b/>
          <w:bCs/>
          <w:color w:val="000000" w:themeColor="text1"/>
          <w:sz w:val="36"/>
          <w:szCs w:val="36"/>
          <w:highlight w:val="none"/>
        </w:rPr>
      </w:r>
      <w:r>
        <w:rPr>
          <w:color w:val="000000" w:themeColor="text1"/>
        </w:rPr>
      </w:r>
    </w:p>
    <w:p>
      <w:pPr>
        <w:pStyle w:val="1057"/>
        <w:ind w:firstLine="0"/>
        <w:spacing w:before="0" w:after="0" w:line="240" w:lineRule="auto"/>
        <w:rPr>
          <w:rFonts w:hint="eastAsia"/>
          <w:color w:val="000000" w:themeColor="text1"/>
        </w:rPr>
      </w:pPr>
      <w:r>
        <w:rPr>
          <w:rFonts w:hint="eastAsia"/>
          <w:color w:val="000000" w:themeColor="text1"/>
        </w:rPr>
      </w:r>
      <w:r>
        <w:rPr>
          <w:color w:val="000000" w:themeColor="text1"/>
        </w:rPr>
      </w:r>
    </w:p>
    <w:p>
      <w:pPr>
        <w:pStyle w:val="1012"/>
        <w:rPr>
          <w:rFonts w:hint="eastAsia"/>
          <w:color w:val="000000" w:themeColor="text1"/>
        </w:rPr>
      </w:pPr>
      <w:r>
        <w:rPr>
          <w:rFonts w:hint="eastAsia"/>
          <w:color w:val="000000" w:themeColor="text1"/>
        </w:rPr>
      </w:r>
      <w:r>
        <w:rPr>
          <w:color w:val="000000" w:themeColor="text1"/>
        </w:rPr>
      </w:r>
    </w:p>
    <w:p>
      <w:pPr>
        <w:pStyle w:val="1012"/>
        <w:rPr>
          <w:rFonts w:hint="eastAsia"/>
          <w:color w:val="000000" w:themeColor="text1"/>
        </w:rPr>
      </w:pPr>
      <w:r>
        <w:rPr>
          <w:rFonts w:hint="eastAsia"/>
          <w:color w:val="000000" w:themeColor="text1"/>
        </w:rPr>
      </w:r>
      <w:r>
        <w:rPr>
          <w:color w:val="000000" w:themeColor="text1"/>
        </w:rPr>
      </w:r>
    </w:p>
    <w:p>
      <w:pPr>
        <w:pStyle w:val="1012"/>
        <w:rPr>
          <w:rFonts w:hint="eastAsia"/>
          <w:color w:val="000000" w:themeColor="text1"/>
        </w:rPr>
      </w:pPr>
      <w:r>
        <w:rPr>
          <w:rFonts w:hint="eastAsia"/>
          <w:color w:val="000000" w:themeColor="text1"/>
        </w:rPr>
      </w:r>
      <w:r>
        <w:rPr>
          <w:color w:val="000000" w:themeColor="text1"/>
        </w:rPr>
      </w:r>
    </w:p>
    <w:p>
      <w:pPr>
        <w:pStyle w:val="1012"/>
        <w:rPr>
          <w:rFonts w:hint="eastAsia"/>
          <w:color w:val="000000" w:themeColor="text1"/>
        </w:rPr>
      </w:pPr>
      <w:r>
        <w:rPr>
          <w:rFonts w:hint="eastAsia"/>
          <w:color w:val="000000" w:themeColor="text1"/>
        </w:rPr>
      </w:r>
      <w:r>
        <w:rPr>
          <w:color w:val="000000" w:themeColor="text1"/>
        </w:rPr>
      </w:r>
    </w:p>
    <w:p>
      <w:pPr>
        <w:pStyle w:val="1012"/>
        <w:rPr>
          <w:rFonts w:hint="eastAsia"/>
          <w:color w:val="000000" w:themeColor="text1"/>
        </w:rPr>
      </w:pPr>
      <w:r>
        <w:rPr>
          <w:rFonts w:hint="eastAsia"/>
          <w:color w:val="000000" w:themeColor="text1"/>
        </w:rPr>
      </w:r>
      <w:r>
        <w:rPr>
          <w:color w:val="000000" w:themeColor="text1"/>
        </w:rPr>
      </w:r>
    </w:p>
    <w:p>
      <w:pPr>
        <w:pStyle w:val="1012"/>
        <w:rPr>
          <w:rFonts w:hint="eastAsia"/>
          <w:color w:val="000000" w:themeColor="text1"/>
        </w:rPr>
      </w:pPr>
      <w:r>
        <w:rPr>
          <w:rFonts w:hint="eastAsia"/>
          <w:color w:val="000000" w:themeColor="text1"/>
        </w:rPr>
      </w:r>
      <w:r>
        <w:rPr>
          <w:color w:val="000000" w:themeColor="text1"/>
        </w:rPr>
      </w:r>
    </w:p>
    <w:p>
      <w:pPr>
        <w:pStyle w:val="1012"/>
        <w:rPr>
          <w:rFonts w:hint="eastAsia"/>
          <w:color w:val="000000" w:themeColor="text1"/>
        </w:rPr>
      </w:pPr>
      <w:r>
        <w:rPr>
          <w:rFonts w:hint="eastAsia"/>
          <w:color w:val="000000" w:themeColor="text1"/>
        </w:rPr>
      </w:r>
      <w:r>
        <w:rPr>
          <w:color w:val="000000" w:themeColor="text1"/>
        </w:rPr>
      </w:r>
    </w:p>
    <w:p>
      <w:pPr>
        <w:pStyle w:val="1012"/>
        <w:rPr>
          <w:rFonts w:hint="eastAsia"/>
          <w:color w:val="000000" w:themeColor="text1"/>
        </w:rPr>
      </w:pPr>
      <w:r>
        <w:rPr>
          <w:rFonts w:hint="eastAsia"/>
          <w:color w:val="000000" w:themeColor="text1"/>
        </w:rPr>
      </w:r>
      <w:r>
        <w:rPr>
          <w:color w:val="000000" w:themeColor="text1"/>
        </w:rPr>
      </w:r>
    </w:p>
    <w:p>
      <w:pPr>
        <w:pStyle w:val="1012"/>
        <w:rPr>
          <w:rFonts w:hint="eastAsia"/>
          <w:color w:val="000000" w:themeColor="text1"/>
        </w:rPr>
      </w:pPr>
      <w:r>
        <w:rPr>
          <w:rFonts w:hint="eastAsia"/>
          <w:color w:val="000000" w:themeColor="text1"/>
        </w:rPr>
      </w:r>
      <w:r>
        <w:rPr>
          <w:color w:val="000000" w:themeColor="text1"/>
        </w:rPr>
      </w:r>
    </w:p>
    <w:p>
      <w:pPr>
        <w:pStyle w:val="1012"/>
        <w:numPr>
          <w:ilvl w:val="0"/>
          <w:numId w:val="0"/>
        </w:numPr>
        <w:ind w:firstLine="1928"/>
        <w:jc w:val="both"/>
        <w:keepLines/>
        <w:keepNext/>
        <w:spacing w:line="240" w:lineRule="auto"/>
        <w:rPr>
          <w:rFonts w:hint="eastAsia" w:ascii="宋体" w:hAnsi="宋体" w:eastAsia="宋体" w:cs="宋体"/>
          <w:color w:val="000000" w:themeColor="text1"/>
          <w:sz w:val="22"/>
          <w:szCs w:val="22"/>
          <w:highlight w:val="none"/>
        </w:rPr>
        <w:outlineLvl w:val="0"/>
      </w:pPr>
      <w:r>
        <w:rPr>
          <w:rFonts w:hint="eastAsia" w:ascii="宋体" w:hAnsi="宋体" w:eastAsia="宋体" w:cs="宋体"/>
          <w:b/>
          <w:bCs/>
          <w:color w:val="000000" w:themeColor="text1"/>
          <w:sz w:val="32"/>
          <w:szCs w:val="32"/>
          <w:highlight w:val="none"/>
          <w:lang w:val="en-US" w:eastAsia="zh-CN"/>
        </w:rPr>
        <w:t xml:space="preserve">第五章</w:t>
      </w:r>
      <w:r>
        <w:rPr>
          <w:rFonts w:hint="eastAsia" w:ascii="宋体" w:hAnsi="宋体" w:eastAsia="宋体" w:cs="宋体"/>
          <w:b/>
          <w:bCs/>
          <w:color w:val="000000" w:themeColor="text1"/>
          <w:sz w:val="32"/>
          <w:szCs w:val="32"/>
          <w:highlight w:val="none"/>
        </w:rPr>
        <w:t xml:space="preserve">  </w:t>
      </w:r>
      <w:bookmarkStart w:id="13" w:name="_Toc4628"/>
      <w:r>
        <w:rPr>
          <w:rFonts w:hint="eastAsia" w:ascii="宋体" w:hAnsi="宋体" w:eastAsia="宋体" w:cs="宋体"/>
          <w:b/>
          <w:bCs/>
          <w:color w:val="000000" w:themeColor="text1"/>
          <w:sz w:val="32"/>
          <w:szCs w:val="32"/>
          <w:highlight w:val="none"/>
        </w:rPr>
        <w:t xml:space="preserve">拟签订的合同文本</w:t>
      </w:r>
      <w:bookmarkEnd w:id="13"/>
      <w:r>
        <w:rPr>
          <w:rFonts w:hint="eastAsia" w:ascii="宋体" w:hAnsi="宋体" w:eastAsia="宋体" w:cs="宋体"/>
          <w:color w:val="000000" w:themeColor="text1"/>
          <w:sz w:val="22"/>
          <w:szCs w:val="22"/>
          <w:highlight w:val="none"/>
        </w:rPr>
      </w:r>
      <w:r>
        <w:rPr>
          <w:color w:val="000000" w:themeColor="text1"/>
        </w:rPr>
      </w:r>
    </w:p>
    <w:p>
      <w:pPr>
        <w:pStyle w:val="1012"/>
        <w:ind w:firstLine="56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备注1.以下为中标后签订本项目合同的通用条款，中标供应商不得提出实质性的修改。招标文件定稿后该备注删除。</w:t>
      </w:r>
      <w:r>
        <w:rPr>
          <w:rFonts w:hint="eastAsia" w:ascii="宋体" w:hAnsi="宋体" w:eastAsia="宋体" w:cs="宋体"/>
          <w:bCs/>
          <w:color w:val="000000" w:themeColor="text1"/>
          <w:sz w:val="24"/>
          <w:szCs w:val="24"/>
        </w:rPr>
      </w:r>
      <w:r>
        <w:rPr>
          <w:color w:val="000000" w:themeColor="text1"/>
        </w:rPr>
      </w:r>
    </w:p>
    <w:p>
      <w:pPr>
        <w:pStyle w:val="1012"/>
        <w:ind w:firstLine="56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备注2：请项目经办人提醒采购人按照《政府采购需求管理办法》第二十三条的规定完善合同文本。招标文件定稿后该备注删除。</w:t>
      </w:r>
      <w:r>
        <w:rPr>
          <w:rFonts w:hint="eastAsia" w:ascii="宋体" w:hAnsi="宋体" w:eastAsia="宋体" w:cs="宋体"/>
          <w:bCs/>
          <w:color w:val="000000" w:themeColor="text1"/>
          <w:sz w:val="24"/>
          <w:szCs w:val="24"/>
        </w:rPr>
      </w:r>
      <w:r>
        <w:rPr>
          <w:color w:val="000000" w:themeColor="text1"/>
        </w:rPr>
      </w:r>
    </w:p>
    <w:p>
      <w:pPr>
        <w:pStyle w:val="1367"/>
        <w:jc w:val="center"/>
        <w:spacing w:line="400" w:lineRule="exact"/>
        <w:rPr>
          <w:rFonts w:hint="eastAsia" w:ascii="宋体" w:hAnsi="宋体" w:eastAsia="宋体" w:cs="宋体"/>
          <w:color w:val="000000" w:themeColor="text1"/>
          <w:spacing w:val="-20"/>
          <w:sz w:val="24"/>
          <w:szCs w:val="24"/>
        </w:rPr>
      </w:pPr>
      <w:r>
        <w:rPr>
          <w:rFonts w:hint="eastAsia" w:ascii="宋体" w:hAnsi="宋体" w:eastAsia="宋体" w:cs="宋体"/>
          <w:color w:val="000000" w:themeColor="text1"/>
          <w:spacing w:val="-20"/>
          <w:sz w:val="24"/>
          <w:szCs w:val="24"/>
        </w:rPr>
      </w:r>
      <w:r>
        <w:rPr>
          <w:color w:val="000000" w:themeColor="text1"/>
        </w:rPr>
      </w:r>
    </w:p>
    <w:p>
      <w:pPr>
        <w:pStyle w:val="1367"/>
        <w:jc w:val="center"/>
        <w:spacing w:line="400" w:lineRule="exact"/>
        <w:rPr>
          <w:rFonts w:hint="eastAsia" w:ascii="宋体" w:hAnsi="宋体" w:eastAsia="宋体" w:cs="宋体"/>
          <w:b/>
          <w:bCs/>
          <w:color w:val="000000" w:themeColor="text1"/>
          <w:spacing w:val="-20"/>
          <w:sz w:val="32"/>
          <w:szCs w:val="32"/>
        </w:rPr>
      </w:pPr>
      <w:r>
        <w:rPr>
          <w:rFonts w:hint="eastAsia" w:ascii="宋体" w:hAnsi="宋体" w:eastAsia="宋体" w:cs="宋体"/>
          <w:b/>
          <w:bCs/>
          <w:color w:val="000000" w:themeColor="text1"/>
          <w:spacing w:val="-20"/>
          <w:sz w:val="32"/>
          <w:szCs w:val="32"/>
        </w:rPr>
        <w:t xml:space="preserve">政府采购合同（服务）（合同编号）</w:t>
      </w:r>
      <w:r>
        <w:rPr>
          <w:rFonts w:hint="eastAsia" w:ascii="宋体" w:hAnsi="宋体" w:eastAsia="宋体" w:cs="宋体"/>
          <w:b/>
          <w:bCs/>
          <w:color w:val="000000" w:themeColor="text1"/>
          <w:spacing w:val="-20"/>
          <w:sz w:val="32"/>
          <w:szCs w:val="32"/>
        </w:rPr>
      </w:r>
      <w:r>
        <w:rPr>
          <w:color w:val="000000" w:themeColor="text1"/>
        </w:rPr>
      </w:r>
    </w:p>
    <w:p>
      <w:pPr>
        <w:pStyle w:val="1012"/>
        <w:ind w:firstLine="560"/>
        <w:spacing w:before="120" w:after="12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项目名称：                   </w:t>
      </w:r>
      <w:r>
        <w:rPr>
          <w:rFonts w:hint="eastAsia" w:ascii="宋体" w:hAnsi="宋体" w:eastAsia="宋体" w:cs="宋体"/>
          <w:color w:val="000000" w:themeColor="text1"/>
          <w:sz w:val="24"/>
          <w:szCs w:val="24"/>
        </w:rPr>
      </w:r>
      <w:r>
        <w:rPr>
          <w:color w:val="000000" w:themeColor="text1"/>
        </w:rPr>
      </w:r>
    </w:p>
    <w:p>
      <w:pPr>
        <w:pStyle w:val="1012"/>
        <w:ind w:firstLine="560"/>
        <w:spacing w:before="120" w:after="12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采购编号：           </w:t>
      </w:r>
      <w:r>
        <w:rPr>
          <w:rFonts w:hint="eastAsia" w:ascii="宋体" w:hAnsi="宋体" w:eastAsia="宋体" w:cs="宋体"/>
          <w:color w:val="000000" w:themeColor="text1"/>
          <w:sz w:val="24"/>
          <w:szCs w:val="24"/>
        </w:rPr>
      </w:r>
      <w:r>
        <w:rPr>
          <w:color w:val="000000" w:themeColor="text1"/>
        </w:rPr>
      </w:r>
    </w:p>
    <w:p>
      <w:pPr>
        <w:pStyle w:val="1300"/>
        <w:ind w:firstLine="560"/>
        <w:spacing w:before="120" w:after="12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甲方：（买方/采购人）_________</w:t>
      </w:r>
      <w:r>
        <w:rPr>
          <w:rFonts w:hint="eastAsia" w:ascii="宋体" w:hAnsi="宋体" w:eastAsia="宋体" w:cs="宋体"/>
          <w:color w:val="000000" w:themeColor="text1"/>
          <w:sz w:val="24"/>
          <w:szCs w:val="24"/>
        </w:rPr>
      </w:r>
      <w:r>
        <w:rPr>
          <w:color w:val="000000" w:themeColor="text1"/>
        </w:rPr>
      </w:r>
    </w:p>
    <w:p>
      <w:pPr>
        <w:pStyle w:val="1300"/>
        <w:ind w:firstLine="560"/>
        <w:spacing w:before="120" w:after="12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乙方：（卖方/中标供应商）_________</w:t>
      </w:r>
      <w:r>
        <w:rPr>
          <w:rFonts w:hint="eastAsia" w:ascii="宋体" w:hAnsi="宋体" w:eastAsia="宋体" w:cs="宋体"/>
          <w:color w:val="000000" w:themeColor="text1"/>
          <w:sz w:val="24"/>
          <w:szCs w:val="24"/>
        </w:rPr>
      </w:r>
      <w:r>
        <w:rPr>
          <w:color w:val="000000" w:themeColor="text1"/>
        </w:rPr>
      </w:r>
    </w:p>
    <w:p>
      <w:pPr>
        <w:pStyle w:val="1300"/>
        <w:ind w:firstLine="560"/>
        <w:spacing w:before="120" w:after="120" w:line="400" w:lineRule="exact"/>
        <w:rPr>
          <w:rFonts w:hint="eastAsia" w:ascii="宋体" w:hAnsi="宋体" w:eastAsia="宋体" w:cs="宋体"/>
          <w:b/>
          <w:color w:val="000000" w:themeColor="text1"/>
          <w:sz w:val="24"/>
          <w:szCs w:val="24"/>
        </w:rPr>
      </w:pPr>
      <w:r>
        <w:rPr>
          <w:rFonts w:hint="eastAsia" w:ascii="宋体" w:hAnsi="宋体" w:eastAsia="宋体" w:cs="宋体"/>
          <w:color w:val="000000" w:themeColor="text1"/>
          <w:sz w:val="24"/>
          <w:szCs w:val="24"/>
        </w:rPr>
        <w:t xml:space="preserve">甲、乙双方根据江苏省政府采购</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项目公开招标的结果，签署本合同。</w:t>
      </w:r>
      <w:r>
        <w:rPr>
          <w:rFonts w:hint="eastAsia" w:ascii="宋体" w:hAnsi="宋体" w:eastAsia="宋体" w:cs="宋体"/>
          <w:b/>
          <w:color w:val="000000" w:themeColor="text1"/>
          <w:sz w:val="24"/>
          <w:szCs w:val="24"/>
        </w:rPr>
      </w:r>
      <w:r>
        <w:rPr>
          <w:color w:val="000000" w:themeColor="text1"/>
        </w:rPr>
      </w:r>
    </w:p>
    <w:p>
      <w:pPr>
        <w:pStyle w:val="1300"/>
        <w:ind w:firstLine="560"/>
        <w:spacing w:before="120" w:after="120" w:line="400" w:lineRule="exact"/>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一、合同内容</w:t>
      </w:r>
      <w:r>
        <w:rPr>
          <w:rFonts w:hint="eastAsia" w:ascii="宋体" w:hAnsi="宋体" w:eastAsia="宋体" w:cs="宋体"/>
          <w:b/>
          <w:bCs w:val="0"/>
          <w:color w:val="000000" w:themeColor="text1"/>
          <w:sz w:val="24"/>
          <w:szCs w:val="24"/>
        </w:rPr>
      </w:r>
      <w:r>
        <w:rPr>
          <w:color w:val="000000" w:themeColor="text1"/>
        </w:rPr>
      </w:r>
    </w:p>
    <w:p>
      <w:pPr>
        <w:pStyle w:val="1300"/>
        <w:ind w:firstLine="560"/>
        <w:spacing w:before="120" w:after="12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1.1 标的名称：</w:t>
      </w:r>
      <w:r>
        <w:rPr>
          <w:rFonts w:hint="eastAsia" w:ascii="宋体" w:hAnsi="宋体" w:eastAsia="宋体" w:cs="宋体"/>
          <w:color w:val="000000" w:themeColor="text1"/>
          <w:sz w:val="24"/>
          <w:szCs w:val="24"/>
        </w:rPr>
      </w:r>
      <w:r>
        <w:rPr>
          <w:color w:val="000000" w:themeColor="text1"/>
        </w:rPr>
      </w:r>
    </w:p>
    <w:p>
      <w:pPr>
        <w:pStyle w:val="1300"/>
        <w:ind w:firstLine="560"/>
        <w:spacing w:before="120" w:after="12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1.2标的质量：</w:t>
      </w:r>
      <w:r>
        <w:rPr>
          <w:rFonts w:hint="eastAsia" w:ascii="宋体" w:hAnsi="宋体" w:eastAsia="宋体" w:cs="宋体"/>
          <w:color w:val="000000" w:themeColor="text1"/>
          <w:sz w:val="24"/>
          <w:szCs w:val="24"/>
        </w:rPr>
      </w:r>
      <w:r>
        <w:rPr>
          <w:color w:val="000000" w:themeColor="text1"/>
        </w:rPr>
      </w:r>
    </w:p>
    <w:p>
      <w:pPr>
        <w:pStyle w:val="1300"/>
        <w:ind w:firstLine="560"/>
        <w:spacing w:before="120" w:after="12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1.3 标的数量（规模）：</w:t>
      </w:r>
      <w:r>
        <w:rPr>
          <w:rFonts w:hint="eastAsia" w:ascii="宋体" w:hAnsi="宋体" w:eastAsia="宋体" w:cs="宋体"/>
          <w:color w:val="000000" w:themeColor="text1"/>
          <w:sz w:val="24"/>
          <w:szCs w:val="24"/>
        </w:rPr>
      </w:r>
      <w:r>
        <w:rPr>
          <w:color w:val="000000" w:themeColor="text1"/>
        </w:rPr>
      </w:r>
    </w:p>
    <w:p>
      <w:pPr>
        <w:pStyle w:val="1300"/>
        <w:ind w:firstLine="560"/>
        <w:spacing w:before="120" w:after="12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1.4 履行时间（期限）：</w:t>
      </w:r>
      <w:r>
        <w:rPr>
          <w:rFonts w:hint="eastAsia" w:ascii="宋体" w:hAnsi="宋体" w:eastAsia="宋体" w:cs="宋体"/>
          <w:color w:val="000000" w:themeColor="text1"/>
          <w:sz w:val="24"/>
          <w:szCs w:val="24"/>
        </w:rPr>
      </w:r>
      <w:r>
        <w:rPr>
          <w:color w:val="000000" w:themeColor="text1"/>
        </w:rPr>
      </w:r>
    </w:p>
    <w:p>
      <w:pPr>
        <w:pStyle w:val="1300"/>
        <w:ind w:firstLine="560"/>
        <w:spacing w:before="120" w:after="12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1.5 履行地点：</w:t>
      </w:r>
      <w:r>
        <w:rPr>
          <w:rFonts w:hint="eastAsia" w:ascii="宋体" w:hAnsi="宋体" w:eastAsia="宋体" w:cs="宋体"/>
          <w:color w:val="000000" w:themeColor="text1"/>
          <w:sz w:val="24"/>
          <w:szCs w:val="24"/>
        </w:rPr>
      </w:r>
      <w:r>
        <w:rPr>
          <w:color w:val="000000" w:themeColor="text1"/>
        </w:rPr>
      </w:r>
    </w:p>
    <w:p>
      <w:pPr>
        <w:pStyle w:val="1300"/>
        <w:ind w:firstLine="560"/>
        <w:spacing w:before="120" w:after="12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1.6 履行方式：</w:t>
      </w:r>
      <w:r>
        <w:rPr>
          <w:rFonts w:hint="eastAsia" w:ascii="宋体" w:hAnsi="宋体" w:eastAsia="宋体" w:cs="宋体"/>
          <w:color w:val="000000" w:themeColor="text1"/>
          <w:sz w:val="24"/>
          <w:szCs w:val="24"/>
        </w:rPr>
      </w:r>
      <w:r>
        <w:rPr>
          <w:color w:val="000000" w:themeColor="text1"/>
        </w:rPr>
      </w:r>
    </w:p>
    <w:p>
      <w:pPr>
        <w:pStyle w:val="1300"/>
        <w:ind w:firstLine="560"/>
        <w:spacing w:before="120" w:after="120" w:line="400" w:lineRule="exact"/>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二、合同金额</w:t>
      </w:r>
      <w:r>
        <w:rPr>
          <w:rFonts w:hint="eastAsia" w:ascii="宋体" w:hAnsi="宋体" w:eastAsia="宋体" w:cs="宋体"/>
          <w:b/>
          <w:bCs w:val="0"/>
          <w:color w:val="000000" w:themeColor="text1"/>
          <w:sz w:val="24"/>
          <w:szCs w:val="24"/>
        </w:rPr>
      </w:r>
      <w:r>
        <w:rPr>
          <w:color w:val="000000" w:themeColor="text1"/>
        </w:rPr>
      </w:r>
    </w:p>
    <w:p>
      <w:pPr>
        <w:pStyle w:val="1300"/>
        <w:ind w:firstLine="560"/>
        <w:spacing w:before="120" w:after="12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2.1 本合同金额为（大写）：________</w:t>
      </w:r>
      <w:r>
        <w:rPr>
          <w:rFonts w:hint="eastAsia" w:ascii="宋体" w:hAnsi="宋体" w:eastAsia="宋体" w:cs="宋体"/>
          <w:color w:val="000000" w:themeColor="text1"/>
          <w:sz w:val="24"/>
          <w:szCs w:val="24"/>
          <w:lang w:val="en-US" w:eastAsia="zh-CN"/>
        </w:rPr>
        <w:t xml:space="preserve">元</w:t>
      </w:r>
      <w:r>
        <w:rPr>
          <w:rFonts w:hint="eastAsia" w:ascii="宋体" w:hAnsi="宋体" w:eastAsia="宋体" w:cs="宋体"/>
          <w:color w:val="000000" w:themeColor="text1"/>
          <w:sz w:val="24"/>
          <w:szCs w:val="24"/>
        </w:rPr>
        <w:t xml:space="preserve">（________元）人民币或其他币种。</w:t>
      </w:r>
      <w:r>
        <w:rPr>
          <w:rFonts w:hint="eastAsia" w:ascii="宋体" w:hAnsi="宋体" w:eastAsia="宋体" w:cs="宋体"/>
          <w:color w:val="000000" w:themeColor="text1"/>
          <w:sz w:val="24"/>
          <w:szCs w:val="24"/>
        </w:rPr>
      </w:r>
      <w:r>
        <w:rPr>
          <w:color w:val="000000" w:themeColor="text1"/>
        </w:rPr>
      </w:r>
    </w:p>
    <w:p>
      <w:pPr>
        <w:pStyle w:val="1300"/>
        <w:ind w:firstLine="560"/>
        <w:spacing w:before="120" w:after="12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本项目为交钥匙总承包项目，实行固定总价包干。招标清单中设备、材料数量仅作参考，投标人须结合现场实际情况，完成全部建设内容直至通过 B 级机房验收交付使用。实现项目功能所需的全部设备、辅材、施工调试等费用均包含在投标总价中，除采购人书面变更外，合同总价不予调整。</w:t>
      </w:r>
      <w:r>
        <w:rPr>
          <w:rFonts w:hint="eastAsia" w:ascii="宋体" w:hAnsi="宋体" w:eastAsia="宋体" w:cs="宋体"/>
          <w:color w:val="000000" w:themeColor="text1"/>
          <w:sz w:val="24"/>
          <w:szCs w:val="24"/>
        </w:rPr>
      </w:r>
      <w:r>
        <w:rPr>
          <w:color w:val="000000" w:themeColor="text1"/>
        </w:rPr>
      </w:r>
    </w:p>
    <w:p>
      <w:pPr>
        <w:pStyle w:val="1300"/>
        <w:ind w:firstLine="560"/>
        <w:spacing w:before="120" w:after="120" w:line="400" w:lineRule="exact"/>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三、技术资料</w:t>
      </w:r>
      <w:r>
        <w:rPr>
          <w:rFonts w:hint="eastAsia" w:ascii="宋体" w:hAnsi="宋体" w:eastAsia="宋体" w:cs="宋体"/>
          <w:b/>
          <w:bCs w:val="0"/>
          <w:color w:val="000000" w:themeColor="text1"/>
          <w:sz w:val="24"/>
          <w:szCs w:val="24"/>
        </w:rPr>
      </w:r>
      <w:r>
        <w:rPr>
          <w:color w:val="000000" w:themeColor="text1"/>
        </w:rPr>
      </w:r>
    </w:p>
    <w:p>
      <w:pPr>
        <w:pStyle w:val="1300"/>
        <w:ind w:firstLine="560"/>
        <w:spacing w:before="120" w:after="12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3.1乙方应按招标文件规定的时间向甲方提供服务（包含与服务相关的货物）的有关技术资料。</w:t>
      </w:r>
      <w:r>
        <w:rPr>
          <w:rFonts w:hint="eastAsia" w:ascii="宋体" w:hAnsi="宋体" w:eastAsia="宋体" w:cs="宋体"/>
          <w:color w:val="000000" w:themeColor="text1"/>
          <w:sz w:val="24"/>
          <w:szCs w:val="24"/>
        </w:rPr>
      </w:r>
      <w:r>
        <w:rPr>
          <w:color w:val="000000" w:themeColor="text1"/>
        </w:rPr>
      </w:r>
    </w:p>
    <w:p>
      <w:pPr>
        <w:pStyle w:val="1300"/>
        <w:ind w:firstLine="560"/>
        <w:spacing w:before="120" w:after="12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color w:val="000000" w:themeColor="text1"/>
          <w:sz w:val="24"/>
          <w:szCs w:val="24"/>
        </w:rPr>
      </w:r>
      <w:r>
        <w:rPr>
          <w:color w:val="000000" w:themeColor="text1"/>
        </w:rPr>
      </w:r>
    </w:p>
    <w:p>
      <w:pPr>
        <w:pStyle w:val="1300"/>
        <w:ind w:firstLine="560"/>
        <w:spacing w:before="120" w:after="120" w:line="400" w:lineRule="exact"/>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四、知识产权</w:t>
      </w:r>
      <w:r>
        <w:rPr>
          <w:rFonts w:hint="eastAsia" w:ascii="宋体" w:hAnsi="宋体" w:eastAsia="宋体" w:cs="宋体"/>
          <w:b/>
          <w:bCs w:val="0"/>
          <w:color w:val="000000" w:themeColor="text1"/>
          <w:sz w:val="24"/>
          <w:szCs w:val="24"/>
        </w:rPr>
      </w:r>
      <w:r>
        <w:rPr>
          <w:color w:val="000000" w:themeColor="text1"/>
        </w:rPr>
      </w:r>
    </w:p>
    <w:p>
      <w:pPr>
        <w:pStyle w:val="1300"/>
        <w:ind w:firstLine="560"/>
        <w:spacing w:before="120" w:after="120" w:line="400" w:lineRule="exact"/>
        <w:rPr>
          <w:rFonts w:hint="eastAsia" w:ascii="宋体" w:hAnsi="宋体" w:eastAsia="宋体" w:cs="宋体"/>
          <w:bCs/>
          <w:color w:val="000000" w:themeColor="text1"/>
          <w:sz w:val="24"/>
          <w:szCs w:val="24"/>
        </w:rPr>
      </w:pPr>
      <w:r>
        <w:rPr>
          <w:rFonts w:hint="eastAsia" w:ascii="宋体" w:hAnsi="宋体" w:eastAsia="宋体" w:cs="宋体"/>
          <w:color w:val="000000" w:themeColor="text1"/>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宋体"/>
          <w:bCs/>
          <w:color w:val="000000" w:themeColor="text1"/>
          <w:sz w:val="24"/>
          <w:szCs w:val="24"/>
        </w:rPr>
      </w:r>
      <w:r>
        <w:rPr>
          <w:color w:val="000000" w:themeColor="text1"/>
        </w:rPr>
      </w:r>
    </w:p>
    <w:p>
      <w:pPr>
        <w:pStyle w:val="1300"/>
        <w:ind w:firstLine="560"/>
        <w:spacing w:before="120" w:after="120" w:line="400" w:lineRule="exact"/>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五、产权担保</w:t>
      </w:r>
      <w:r>
        <w:rPr>
          <w:rFonts w:hint="eastAsia" w:ascii="宋体" w:hAnsi="宋体" w:eastAsia="宋体" w:cs="宋体"/>
          <w:b/>
          <w:bCs w:val="0"/>
          <w:color w:val="000000" w:themeColor="text1"/>
          <w:sz w:val="24"/>
          <w:szCs w:val="24"/>
        </w:rPr>
      </w:r>
      <w:r>
        <w:rPr>
          <w:color w:val="000000" w:themeColor="text1"/>
        </w:rPr>
      </w:r>
    </w:p>
    <w:p>
      <w:pPr>
        <w:pStyle w:val="1300"/>
        <w:ind w:firstLine="560"/>
        <w:spacing w:before="120" w:after="12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5.1 乙方保证所交付的服务（包含与服务相关的货物）的所有权完全属于乙方且无任何抵押、查封等产权瑕疵。</w:t>
      </w:r>
      <w:r>
        <w:rPr>
          <w:rFonts w:hint="eastAsia" w:ascii="宋体" w:hAnsi="宋体" w:eastAsia="宋体" w:cs="宋体"/>
          <w:color w:val="000000" w:themeColor="text1"/>
          <w:sz w:val="24"/>
          <w:szCs w:val="24"/>
        </w:rPr>
      </w:r>
      <w:r>
        <w:rPr>
          <w:color w:val="000000" w:themeColor="text1"/>
        </w:rPr>
      </w:r>
    </w:p>
    <w:p>
      <w:pPr>
        <w:pStyle w:val="1300"/>
        <w:ind w:firstLine="560"/>
        <w:spacing w:before="120" w:after="120" w:line="400" w:lineRule="exact"/>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六、履约保证金</w:t>
      </w:r>
      <w:r>
        <w:rPr>
          <w:rFonts w:hint="eastAsia" w:ascii="宋体" w:hAnsi="宋体" w:eastAsia="宋体" w:cs="宋体"/>
          <w:b/>
          <w:bCs w:val="0"/>
          <w:color w:val="000000" w:themeColor="text1"/>
          <w:sz w:val="24"/>
          <w:szCs w:val="24"/>
        </w:rPr>
      </w:r>
      <w:r>
        <w:rPr>
          <w:color w:val="000000" w:themeColor="text1"/>
        </w:rPr>
      </w:r>
    </w:p>
    <w:p>
      <w:pPr>
        <w:pStyle w:val="1012"/>
        <w:ind w:left="210" w:firstLine="280"/>
        <w:spacing w:before="120" w:after="12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6.1 乙方交纳</w:t>
      </w:r>
      <w:r>
        <w:rPr>
          <w:rFonts w:hint="eastAsia" w:ascii="宋体" w:hAnsi="宋体" w:eastAsia="宋体" w:cs="宋体"/>
          <w:color w:val="000000" w:themeColor="text1"/>
          <w:sz w:val="24"/>
          <w:szCs w:val="24"/>
          <w:lang w:val="en-US" w:eastAsia="zh-CN"/>
        </w:rPr>
        <w:t xml:space="preserve">：</w:t>
      </w:r>
      <w:r>
        <w:rPr>
          <w:rFonts w:hint="eastAsia" w:ascii="宋体" w:hAnsi="宋体" w:eastAsia="宋体" w:cs="宋体"/>
          <w:b/>
          <w:bCs/>
          <w:color w:val="000000" w:themeColor="text1"/>
          <w:sz w:val="24"/>
          <w:szCs w:val="24"/>
          <w:u w:val="single"/>
          <w:lang w:val="en-US" w:eastAsia="zh-CN"/>
        </w:rPr>
        <w:t xml:space="preserve">200000.00元（贰拾万元整）</w:t>
      </w:r>
      <w:r>
        <w:rPr>
          <w:rFonts w:hint="eastAsia" w:ascii="宋体" w:hAnsi="宋体" w:eastAsia="宋体" w:cs="宋体"/>
          <w:color w:val="000000" w:themeColor="text1"/>
          <w:sz w:val="24"/>
          <w:szCs w:val="24"/>
        </w:rPr>
        <w:t xml:space="preserve">作为本合同的履约保证金。</w:t>
      </w:r>
      <w:r>
        <w:rPr>
          <w:rFonts w:hint="eastAsia" w:ascii="宋体" w:hAnsi="宋体" w:eastAsia="宋体" w:cs="宋体"/>
          <w:color w:val="000000" w:themeColor="text1"/>
          <w:sz w:val="24"/>
          <w:szCs w:val="24"/>
        </w:rPr>
      </w:r>
      <w:r>
        <w:rPr>
          <w:color w:val="000000" w:themeColor="text1"/>
        </w:rPr>
      </w:r>
    </w:p>
    <w:p>
      <w:pPr>
        <w:pStyle w:val="1012"/>
        <w:ind w:left="210" w:firstLine="280"/>
        <w:spacing w:before="120" w:after="12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6.2合同履行结束后，甲方应及时退还交纳履约保证金。</w:t>
      </w:r>
      <w:r>
        <w:rPr>
          <w:rFonts w:hint="eastAsia" w:ascii="宋体" w:hAnsi="宋体" w:eastAsia="宋体" w:cs="宋体"/>
          <w:color w:val="000000" w:themeColor="text1"/>
          <w:sz w:val="24"/>
          <w:szCs w:val="24"/>
        </w:rPr>
      </w:r>
      <w:r>
        <w:rPr>
          <w:color w:val="000000" w:themeColor="text1"/>
        </w:rPr>
      </w:r>
    </w:p>
    <w:p>
      <w:pPr>
        <w:pStyle w:val="1012"/>
        <w:ind w:left="210" w:firstLine="280"/>
        <w:spacing w:before="120" w:after="12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6.2.1履约保证金退还方式：以银行电汇、网上银行、数字人民币形式缴纳履约保证金的，退回至投标人存款账户或投标人数字人民币账户；以保函、担保、保险等形式缴纳履约保证金的，在保函、担保、保险约定的保证期限届满之日起自行失效； </w:t>
      </w:r>
      <w:r>
        <w:rPr>
          <w:rFonts w:hint="eastAsia" w:ascii="宋体" w:hAnsi="宋体" w:eastAsia="宋体" w:cs="宋体"/>
          <w:color w:val="000000" w:themeColor="text1"/>
          <w:sz w:val="24"/>
          <w:szCs w:val="24"/>
        </w:rPr>
      </w:r>
      <w:r>
        <w:rPr>
          <w:color w:val="000000" w:themeColor="text1"/>
        </w:rPr>
      </w:r>
    </w:p>
    <w:p>
      <w:pPr>
        <w:pStyle w:val="1012"/>
        <w:ind w:left="210" w:firstLine="280"/>
        <w:spacing w:before="120" w:after="12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6.2.2履约保证金退还时间：符合退还条件的5个工作日内退还；</w:t>
      </w:r>
      <w:r>
        <w:rPr>
          <w:rFonts w:hint="eastAsia" w:ascii="宋体" w:hAnsi="宋体" w:eastAsia="宋体" w:cs="宋体"/>
          <w:color w:val="000000" w:themeColor="text1"/>
          <w:sz w:val="24"/>
          <w:szCs w:val="24"/>
        </w:rPr>
      </w:r>
      <w:r>
        <w:rPr>
          <w:color w:val="000000" w:themeColor="text1"/>
        </w:rPr>
      </w:r>
    </w:p>
    <w:p>
      <w:pPr>
        <w:pStyle w:val="1012"/>
        <w:ind w:left="210" w:firstLine="280"/>
        <w:spacing w:before="120" w:after="12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6.2.3履约保证金退还条件：采购人在项目通过验收后按照合同条款规定的时间内将履约保证金退还中标人；</w:t>
      </w:r>
      <w:r>
        <w:rPr>
          <w:rFonts w:hint="eastAsia" w:ascii="宋体" w:hAnsi="宋体" w:eastAsia="宋体" w:cs="宋体"/>
          <w:color w:val="000000" w:themeColor="text1"/>
          <w:sz w:val="24"/>
          <w:szCs w:val="24"/>
        </w:rPr>
      </w:r>
      <w:r>
        <w:rPr>
          <w:color w:val="000000" w:themeColor="text1"/>
        </w:rPr>
      </w:r>
    </w:p>
    <w:p>
      <w:pPr>
        <w:pStyle w:val="1300"/>
        <w:ind w:firstLine="560"/>
        <w:spacing w:before="120" w:after="12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6.2.4履约保证金不予退还的情形：除不可抗力外，投标人不履行与采购人订立的采购合同、有质量问题未修复好产品缺陷时，履约保证金不予退还。质量问题中标人须承担修复责任并赔偿采购人损失，给采购人造成的损失超过履约保证金数额的，还应当对超过部分予以赔偿。</w:t>
      </w:r>
      <w:r>
        <w:rPr>
          <w:rFonts w:hint="eastAsia" w:ascii="宋体" w:hAnsi="宋体" w:eastAsia="宋体" w:cs="宋体"/>
          <w:color w:val="000000" w:themeColor="text1"/>
          <w:sz w:val="24"/>
          <w:szCs w:val="24"/>
        </w:rPr>
      </w:r>
      <w:r>
        <w:rPr>
          <w:color w:val="000000" w:themeColor="text1"/>
        </w:rPr>
      </w:r>
    </w:p>
    <w:p>
      <w:pPr>
        <w:pStyle w:val="1300"/>
        <w:ind w:firstLine="560"/>
        <w:spacing w:before="120" w:after="120" w:line="400" w:lineRule="exact"/>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七、合同转包或分包</w:t>
      </w:r>
      <w:r>
        <w:rPr>
          <w:rFonts w:hint="eastAsia" w:ascii="宋体" w:hAnsi="宋体" w:eastAsia="宋体" w:cs="宋体"/>
          <w:b/>
          <w:bCs w:val="0"/>
          <w:color w:val="000000" w:themeColor="text1"/>
          <w:sz w:val="24"/>
          <w:szCs w:val="24"/>
        </w:rPr>
      </w:r>
      <w:r>
        <w:rPr>
          <w:color w:val="000000" w:themeColor="text1"/>
        </w:rPr>
      </w:r>
    </w:p>
    <w:p>
      <w:pPr>
        <w:pStyle w:val="1300"/>
        <w:ind w:firstLine="560"/>
        <w:spacing w:before="120" w:after="12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7.1乙方不得将合同标的转包给他人履行。</w:t>
      </w:r>
      <w:r>
        <w:rPr>
          <w:rFonts w:hint="eastAsia" w:ascii="宋体" w:hAnsi="宋体" w:eastAsia="宋体" w:cs="宋体"/>
          <w:color w:val="000000" w:themeColor="text1"/>
          <w:sz w:val="24"/>
          <w:szCs w:val="24"/>
        </w:rPr>
      </w:r>
      <w:r>
        <w:rPr>
          <w:color w:val="000000" w:themeColor="text1"/>
        </w:rPr>
      </w:r>
    </w:p>
    <w:p>
      <w:pPr>
        <w:pStyle w:val="1300"/>
        <w:ind w:firstLine="560"/>
        <w:spacing w:before="120" w:after="12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7.2乙方不得将合同标的分包给他人履行。</w:t>
      </w:r>
      <w:r>
        <w:rPr>
          <w:rFonts w:hint="eastAsia" w:ascii="宋体" w:hAnsi="宋体" w:eastAsia="宋体" w:cs="宋体"/>
          <w:color w:val="000000" w:themeColor="text1"/>
          <w:sz w:val="24"/>
          <w:szCs w:val="24"/>
        </w:rPr>
      </w:r>
      <w:r>
        <w:rPr>
          <w:color w:val="000000" w:themeColor="text1"/>
        </w:rPr>
      </w:r>
    </w:p>
    <w:p>
      <w:pPr>
        <w:pStyle w:val="1300"/>
        <w:ind w:firstLine="560"/>
        <w:spacing w:before="120" w:after="12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7.3乙方如有转包或未经甲方同意的分包行为，甲方有权解除合同。</w:t>
      </w:r>
      <w:r>
        <w:rPr>
          <w:rFonts w:hint="eastAsia" w:ascii="宋体" w:hAnsi="宋体" w:eastAsia="宋体" w:cs="宋体"/>
          <w:color w:val="000000" w:themeColor="text1"/>
          <w:sz w:val="24"/>
          <w:szCs w:val="24"/>
        </w:rPr>
      </w:r>
      <w:r>
        <w:rPr>
          <w:color w:val="000000" w:themeColor="text1"/>
        </w:rPr>
      </w:r>
    </w:p>
    <w:p>
      <w:pPr>
        <w:pStyle w:val="1300"/>
        <w:ind w:firstLine="560"/>
        <w:spacing w:before="120" w:after="120" w:line="400" w:lineRule="exact"/>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八、合同款项支付</w:t>
      </w:r>
      <w:r>
        <w:rPr>
          <w:rFonts w:hint="eastAsia" w:ascii="宋体" w:hAnsi="宋体" w:eastAsia="宋体" w:cs="宋体"/>
          <w:b/>
          <w:bCs w:val="0"/>
          <w:color w:val="000000" w:themeColor="text1"/>
          <w:sz w:val="24"/>
          <w:szCs w:val="24"/>
        </w:rPr>
      </w:r>
      <w:r>
        <w:rPr>
          <w:color w:val="000000" w:themeColor="text1"/>
        </w:rPr>
      </w:r>
    </w:p>
    <w:p>
      <w:pPr>
        <w:pStyle w:val="1300"/>
        <w:ind w:firstLine="560"/>
        <w:spacing w:before="120" w:after="12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8.1合同款项的支付方式及进度安排</w:t>
      </w:r>
      <w:r>
        <w:rPr>
          <w:rFonts w:hint="eastAsia" w:ascii="宋体" w:hAnsi="宋体" w:eastAsia="宋体" w:cs="宋体"/>
          <w:color w:val="000000" w:themeColor="text1"/>
          <w:sz w:val="24"/>
          <w:szCs w:val="24"/>
        </w:rPr>
      </w:r>
      <w:r>
        <w:rPr>
          <w:color w:val="000000" w:themeColor="text1"/>
        </w:rPr>
      </w:r>
    </w:p>
    <w:p>
      <w:pPr>
        <w:pStyle w:val="1300"/>
        <w:ind w:firstLine="560"/>
        <w:spacing w:before="120" w:after="12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8.1.1 预付款支付时间：合同签订并收到发票后10个工作日内，预付款支付比例：合同金额的30%。</w:t>
      </w:r>
      <w:r>
        <w:rPr>
          <w:rFonts w:hint="eastAsia" w:ascii="宋体" w:hAnsi="宋体" w:eastAsia="宋体" w:cs="宋体"/>
          <w:color w:val="000000" w:themeColor="text1"/>
          <w:sz w:val="24"/>
          <w:szCs w:val="24"/>
        </w:rPr>
      </w:r>
      <w:r>
        <w:rPr>
          <w:color w:val="000000" w:themeColor="text1"/>
        </w:rPr>
      </w:r>
    </w:p>
    <w:p>
      <w:pPr>
        <w:pStyle w:val="1300"/>
        <w:ind w:firstLine="560"/>
        <w:spacing w:before="120" w:after="12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8.1.2 尾款支付时间：采购人验收合格并收到发票后10个工作日内，尾款支付比例：合同金额的70%。</w:t>
      </w:r>
      <w:r>
        <w:rPr>
          <w:rFonts w:hint="eastAsia" w:ascii="宋体" w:hAnsi="宋体" w:eastAsia="宋体" w:cs="宋体"/>
          <w:color w:val="000000" w:themeColor="text1"/>
          <w:sz w:val="24"/>
          <w:szCs w:val="24"/>
        </w:rPr>
      </w:r>
      <w:r>
        <w:rPr>
          <w:color w:val="000000" w:themeColor="text1"/>
        </w:rPr>
      </w:r>
    </w:p>
    <w:p>
      <w:pPr>
        <w:pStyle w:val="1300"/>
        <w:ind w:firstLine="560"/>
        <w:spacing w:before="120" w:after="120" w:line="400" w:lineRule="exact"/>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九、税费</w:t>
      </w:r>
      <w:r>
        <w:rPr>
          <w:rFonts w:hint="eastAsia" w:ascii="宋体" w:hAnsi="宋体" w:eastAsia="宋体" w:cs="宋体"/>
          <w:b/>
          <w:bCs w:val="0"/>
          <w:color w:val="000000" w:themeColor="text1"/>
          <w:sz w:val="24"/>
          <w:szCs w:val="24"/>
        </w:rPr>
      </w:r>
      <w:r>
        <w:rPr>
          <w:color w:val="000000" w:themeColor="text1"/>
        </w:rPr>
      </w:r>
    </w:p>
    <w:p>
      <w:pPr>
        <w:pStyle w:val="1300"/>
        <w:ind w:firstLine="560"/>
        <w:spacing w:before="120" w:after="12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9.1本合同执行中相关的一切税费均由乙方负担。</w:t>
      </w:r>
      <w:r>
        <w:rPr>
          <w:rFonts w:hint="eastAsia" w:ascii="宋体" w:hAnsi="宋体" w:eastAsia="宋体" w:cs="宋体"/>
          <w:color w:val="000000" w:themeColor="text1"/>
          <w:sz w:val="24"/>
          <w:szCs w:val="24"/>
        </w:rPr>
      </w:r>
      <w:r>
        <w:rPr>
          <w:color w:val="000000" w:themeColor="text1"/>
        </w:rPr>
      </w:r>
    </w:p>
    <w:p>
      <w:pPr>
        <w:pStyle w:val="1300"/>
        <w:ind w:firstLine="560"/>
        <w:spacing w:before="120" w:after="120" w:line="400" w:lineRule="exact"/>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十、项目验收</w:t>
      </w:r>
      <w:r>
        <w:rPr>
          <w:rFonts w:hint="eastAsia" w:ascii="宋体" w:hAnsi="宋体" w:eastAsia="宋体" w:cs="宋体"/>
          <w:b/>
          <w:bCs w:val="0"/>
          <w:color w:val="000000" w:themeColor="text1"/>
          <w:sz w:val="24"/>
          <w:szCs w:val="24"/>
        </w:rPr>
      </w:r>
      <w:r>
        <w:rPr>
          <w:color w:val="000000" w:themeColor="text1"/>
        </w:rPr>
      </w:r>
    </w:p>
    <w:p>
      <w:pPr>
        <w:pStyle w:val="1300"/>
        <w:ind w:firstLine="560"/>
        <w:spacing w:before="120" w:after="12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10.1 甲方依法组织履约验收工作。</w:t>
      </w:r>
      <w:r>
        <w:rPr>
          <w:rFonts w:hint="eastAsia" w:ascii="宋体" w:hAnsi="宋体" w:eastAsia="宋体" w:cs="宋体"/>
          <w:color w:val="000000" w:themeColor="text1"/>
          <w:sz w:val="24"/>
          <w:szCs w:val="24"/>
        </w:rPr>
      </w:r>
      <w:r>
        <w:rPr>
          <w:color w:val="000000" w:themeColor="text1"/>
        </w:rPr>
      </w:r>
    </w:p>
    <w:p>
      <w:pPr>
        <w:pStyle w:val="1300"/>
        <w:ind w:firstLine="560"/>
        <w:spacing w:before="120" w:after="12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eastAsia="宋体" w:cs="宋体"/>
          <w:color w:val="000000" w:themeColor="text1"/>
          <w:sz w:val="24"/>
          <w:szCs w:val="24"/>
        </w:rPr>
      </w:r>
      <w:r>
        <w:rPr>
          <w:color w:val="000000" w:themeColor="text1"/>
        </w:rPr>
      </w:r>
    </w:p>
    <w:p>
      <w:pPr>
        <w:pStyle w:val="1300"/>
        <w:ind w:firstLine="560"/>
        <w:spacing w:before="120" w:after="12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10.3 对于实际使用人和甲方分离的项目，甲方邀请实际使用人参与验收。</w:t>
      </w:r>
      <w:r>
        <w:rPr>
          <w:rFonts w:hint="eastAsia" w:ascii="宋体" w:hAnsi="宋体" w:eastAsia="宋体" w:cs="宋体"/>
          <w:color w:val="000000" w:themeColor="text1"/>
          <w:sz w:val="24"/>
          <w:szCs w:val="24"/>
        </w:rPr>
      </w:r>
      <w:r>
        <w:rPr>
          <w:color w:val="000000" w:themeColor="text1"/>
        </w:rPr>
      </w:r>
    </w:p>
    <w:p>
      <w:pPr>
        <w:pStyle w:val="1300"/>
        <w:ind w:firstLine="560"/>
        <w:spacing w:before="120" w:after="12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10.4 如有必要，甲方邀请参加本项目的其他供应商或第三方专业机构及专家参与验收，相关意见将作为验收书的参考资料。</w:t>
      </w:r>
      <w:r>
        <w:rPr>
          <w:rFonts w:hint="eastAsia" w:ascii="宋体" w:hAnsi="宋体" w:eastAsia="宋体" w:cs="宋体"/>
          <w:color w:val="000000" w:themeColor="text1"/>
          <w:sz w:val="24"/>
          <w:szCs w:val="24"/>
        </w:rPr>
      </w:r>
      <w:r>
        <w:rPr>
          <w:color w:val="000000" w:themeColor="text1"/>
        </w:rPr>
      </w:r>
    </w:p>
    <w:p>
      <w:pPr>
        <w:pStyle w:val="1300"/>
        <w:ind w:firstLine="560"/>
        <w:spacing w:before="120" w:after="12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10.5 甲方成立验收小组，按照采购合同的约定对乙方的履约情况进行验收。验收时</w:t>
      </w:r>
      <w:r>
        <w:rPr>
          <w:rFonts w:hint="eastAsia" w:hAnsi="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甲方按照采购合同的约定对每一项技术、服务、安全标准的履约情况进行确认。验收结束后</w:t>
      </w:r>
      <w:r>
        <w:rPr>
          <w:rFonts w:hint="eastAsia" w:hAnsi="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验收小组出具验收书</w:t>
      </w:r>
      <w:r>
        <w:rPr>
          <w:rFonts w:hint="eastAsia" w:hAnsi="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列明各项标准的验收情况及项目总体评价</w:t>
      </w:r>
      <w:r>
        <w:rPr>
          <w:rFonts w:hint="eastAsia" w:hAnsi="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由验收双方共同签署。验收结果与采购合同约定的资金支付及履约保证金返还条件挂钩。履约验收的各项资料存档备查。</w:t>
      </w:r>
      <w:r>
        <w:rPr>
          <w:rFonts w:hint="eastAsia" w:ascii="宋体" w:hAnsi="宋体" w:eastAsia="宋体" w:cs="宋体"/>
          <w:color w:val="000000" w:themeColor="text1"/>
          <w:sz w:val="24"/>
          <w:szCs w:val="24"/>
        </w:rPr>
      </w:r>
      <w:r>
        <w:rPr>
          <w:color w:val="000000" w:themeColor="text1"/>
        </w:rPr>
      </w:r>
    </w:p>
    <w:p>
      <w:pPr>
        <w:pStyle w:val="1300"/>
        <w:ind w:firstLine="560"/>
        <w:spacing w:before="120" w:after="12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10.6 验收合格的项目</w:t>
      </w:r>
      <w:r>
        <w:rPr>
          <w:rFonts w:hint="eastAsia" w:hAnsi="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hAnsi="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甲方将及时报告本级财政部门。</w:t>
      </w:r>
      <w:r>
        <w:rPr>
          <w:rFonts w:hint="eastAsia" w:ascii="宋体" w:hAnsi="宋体" w:eastAsia="宋体" w:cs="宋体"/>
          <w:color w:val="000000" w:themeColor="text1"/>
          <w:sz w:val="24"/>
          <w:szCs w:val="24"/>
        </w:rPr>
      </w:r>
      <w:r>
        <w:rPr>
          <w:color w:val="000000" w:themeColor="text1"/>
        </w:rPr>
      </w:r>
    </w:p>
    <w:p>
      <w:pPr>
        <w:pStyle w:val="1300"/>
        <w:ind w:firstLine="560"/>
        <w:spacing w:before="120" w:after="120" w:line="400" w:lineRule="exact"/>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十一、违约责任</w:t>
      </w:r>
      <w:r>
        <w:rPr>
          <w:rFonts w:hint="eastAsia" w:ascii="宋体" w:hAnsi="宋体" w:eastAsia="宋体" w:cs="宋体"/>
          <w:b/>
          <w:bCs w:val="0"/>
          <w:color w:val="000000" w:themeColor="text1"/>
          <w:sz w:val="24"/>
          <w:szCs w:val="24"/>
        </w:rPr>
      </w:r>
      <w:r>
        <w:rPr>
          <w:color w:val="000000" w:themeColor="text1"/>
        </w:rPr>
      </w:r>
    </w:p>
    <w:p>
      <w:pPr>
        <w:pStyle w:val="1300"/>
        <w:ind w:firstLine="560"/>
        <w:spacing w:before="120" w:after="12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11.1 甲方无正当理由拒绝接受乙方提供服务的，甲方向乙方偿付拒绝接受服务合同价款总值</w:t>
      </w:r>
      <w:r>
        <w:rPr>
          <w:rFonts w:hint="eastAsia" w:ascii="宋体" w:hAnsi="宋体" w:eastAsia="宋体" w:cs="宋体"/>
          <w:color w:val="000000" w:themeColor="text1"/>
          <w:sz w:val="24"/>
          <w:szCs w:val="24"/>
          <w:u w:val="single"/>
        </w:rPr>
        <w:t xml:space="preserve">XX%</w:t>
      </w:r>
      <w:r>
        <w:rPr>
          <w:rFonts w:hint="eastAsia" w:ascii="宋体" w:hAnsi="宋体" w:eastAsia="宋体" w:cs="宋体"/>
          <w:color w:val="000000" w:themeColor="text1"/>
          <w:sz w:val="24"/>
          <w:szCs w:val="24"/>
        </w:rPr>
        <w:t xml:space="preserve">的违约金。</w:t>
      </w:r>
      <w:r>
        <w:rPr>
          <w:rFonts w:hint="eastAsia" w:ascii="宋体" w:hAnsi="宋体" w:eastAsia="宋体" w:cs="宋体"/>
          <w:color w:val="000000" w:themeColor="text1"/>
          <w:sz w:val="24"/>
          <w:szCs w:val="24"/>
        </w:rPr>
      </w:r>
      <w:r>
        <w:rPr>
          <w:color w:val="000000" w:themeColor="text1"/>
        </w:rPr>
      </w:r>
    </w:p>
    <w:p>
      <w:pPr>
        <w:pStyle w:val="1300"/>
        <w:ind w:firstLine="560"/>
        <w:spacing w:before="120" w:after="12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11.2 甲方无故逾期验收和办理合同款项支付手续的</w:t>
      </w:r>
      <w:r>
        <w:rPr>
          <w:rFonts w:hint="eastAsia" w:hAnsi="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甲方应按逾期付款总额</w:t>
      </w:r>
      <w:r>
        <w:rPr>
          <w:rFonts w:hint="eastAsia" w:ascii="宋体" w:hAnsi="宋体" w:eastAsia="宋体" w:cs="宋体"/>
          <w:color w:val="000000" w:themeColor="text1"/>
          <w:sz w:val="24"/>
          <w:szCs w:val="24"/>
          <w:u w:val="single"/>
        </w:rPr>
        <w:t xml:space="preserve">XX%</w:t>
      </w:r>
      <w:r>
        <w:rPr>
          <w:rFonts w:hint="eastAsia" w:ascii="宋体" w:hAnsi="宋体" w:eastAsia="宋体" w:cs="宋体"/>
          <w:color w:val="000000" w:themeColor="text1"/>
          <w:sz w:val="24"/>
          <w:szCs w:val="24"/>
        </w:rPr>
        <w:t xml:space="preserve">每日向乙方支付违约金。</w:t>
      </w:r>
      <w:r>
        <w:rPr>
          <w:rFonts w:hint="eastAsia" w:ascii="宋体" w:hAnsi="宋体" w:eastAsia="宋体" w:cs="宋体"/>
          <w:color w:val="000000" w:themeColor="text1"/>
          <w:sz w:val="24"/>
          <w:szCs w:val="24"/>
        </w:rPr>
      </w:r>
      <w:r>
        <w:rPr>
          <w:color w:val="000000" w:themeColor="text1"/>
        </w:rPr>
      </w:r>
    </w:p>
    <w:p>
      <w:pPr>
        <w:pStyle w:val="1300"/>
        <w:ind w:firstLine="560"/>
        <w:spacing w:before="120" w:after="12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themeColor="text1"/>
          <w:sz w:val="24"/>
          <w:szCs w:val="24"/>
          <w:u w:val="single"/>
        </w:rPr>
        <w:t xml:space="preserve">XX%</w:t>
      </w:r>
      <w:r>
        <w:rPr>
          <w:rFonts w:hint="eastAsia" w:ascii="宋体" w:hAnsi="宋体" w:eastAsia="宋体" w:cs="宋体"/>
          <w:color w:val="000000" w:themeColor="text1"/>
          <w:sz w:val="24"/>
          <w:szCs w:val="24"/>
        </w:rPr>
        <w:t xml:space="preserve">的违约金，如造成甲方损失超过违约金的，超出部分由乙方继续承担赔偿责任。 </w:t>
      </w:r>
      <w:r>
        <w:rPr>
          <w:rFonts w:hint="eastAsia" w:ascii="宋体" w:hAnsi="宋体" w:eastAsia="宋体" w:cs="宋体"/>
          <w:color w:val="000000" w:themeColor="text1"/>
          <w:sz w:val="24"/>
          <w:szCs w:val="24"/>
        </w:rPr>
      </w:r>
      <w:r>
        <w:rPr>
          <w:color w:val="000000" w:themeColor="text1"/>
        </w:rPr>
      </w:r>
    </w:p>
    <w:p>
      <w:pPr>
        <w:pStyle w:val="1300"/>
        <w:ind w:firstLine="560"/>
        <w:spacing w:before="120" w:after="12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11.4 乙方所提供服务的标准不符合合同规定及招标文件规定标准的，甲方有权拒绝接受服务，并可单方面解除合同。</w:t>
      </w:r>
      <w:r>
        <w:rPr>
          <w:rFonts w:hint="eastAsia" w:ascii="宋体" w:hAnsi="宋体" w:eastAsia="宋体" w:cs="宋体"/>
          <w:color w:val="000000" w:themeColor="text1"/>
          <w:sz w:val="24"/>
          <w:szCs w:val="24"/>
        </w:rPr>
      </w:r>
      <w:r>
        <w:rPr>
          <w:color w:val="000000" w:themeColor="text1"/>
        </w:rPr>
      </w:r>
    </w:p>
    <w:p>
      <w:pPr>
        <w:pStyle w:val="1300"/>
        <w:ind w:firstLine="560"/>
        <w:spacing w:before="120" w:after="120" w:line="400" w:lineRule="exact"/>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十二、不可抗力事件处理</w:t>
      </w:r>
      <w:r>
        <w:rPr>
          <w:rFonts w:hint="eastAsia" w:ascii="宋体" w:hAnsi="宋体" w:eastAsia="宋体" w:cs="宋体"/>
          <w:b/>
          <w:bCs w:val="0"/>
          <w:color w:val="000000" w:themeColor="text1"/>
          <w:sz w:val="24"/>
          <w:szCs w:val="24"/>
        </w:rPr>
      </w:r>
      <w:r>
        <w:rPr>
          <w:color w:val="000000" w:themeColor="text1"/>
        </w:rPr>
      </w:r>
    </w:p>
    <w:p>
      <w:pPr>
        <w:pStyle w:val="1300"/>
        <w:ind w:firstLine="560"/>
        <w:spacing w:before="120" w:after="12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12.1 在合同有效期内，任何一方因不可抗力事件导致不能履行合同，则合同履行期可延长，其延长期与不可抗力影响 期相同。</w:t>
      </w:r>
      <w:r>
        <w:rPr>
          <w:rFonts w:hint="eastAsia" w:ascii="宋体" w:hAnsi="宋体" w:eastAsia="宋体" w:cs="宋体"/>
          <w:color w:val="000000" w:themeColor="text1"/>
          <w:sz w:val="24"/>
          <w:szCs w:val="24"/>
        </w:rPr>
      </w:r>
      <w:r>
        <w:rPr>
          <w:color w:val="000000" w:themeColor="text1"/>
        </w:rPr>
      </w:r>
    </w:p>
    <w:p>
      <w:pPr>
        <w:pStyle w:val="1300"/>
        <w:ind w:firstLine="560"/>
        <w:spacing w:before="120" w:after="12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12.2 不可抗力事件发生后，应立即通知对方，并寄送有关权威机构出具的证明。</w:t>
      </w:r>
      <w:r>
        <w:rPr>
          <w:rFonts w:hint="eastAsia" w:ascii="宋体" w:hAnsi="宋体" w:eastAsia="宋体" w:cs="宋体"/>
          <w:color w:val="000000" w:themeColor="text1"/>
          <w:sz w:val="24"/>
          <w:szCs w:val="24"/>
        </w:rPr>
      </w:r>
      <w:r>
        <w:rPr>
          <w:color w:val="000000" w:themeColor="text1"/>
        </w:rPr>
      </w:r>
    </w:p>
    <w:p>
      <w:pPr>
        <w:pStyle w:val="1300"/>
        <w:ind w:firstLine="560"/>
        <w:spacing w:before="120" w:after="12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12.3 不可抗力事件延续120天以上，双方应通过友好协商，确定是否继续履行合同。</w:t>
      </w:r>
      <w:r>
        <w:rPr>
          <w:rFonts w:hint="eastAsia" w:ascii="宋体" w:hAnsi="宋体" w:eastAsia="宋体" w:cs="宋体"/>
          <w:color w:val="000000" w:themeColor="text1"/>
          <w:sz w:val="24"/>
          <w:szCs w:val="24"/>
        </w:rPr>
      </w:r>
      <w:r>
        <w:rPr>
          <w:color w:val="000000" w:themeColor="text1"/>
        </w:rPr>
      </w:r>
    </w:p>
    <w:p>
      <w:pPr>
        <w:pStyle w:val="1300"/>
        <w:ind w:firstLine="560"/>
        <w:spacing w:before="120" w:after="120" w:line="400" w:lineRule="exact"/>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十三、解决争议的方法</w:t>
      </w:r>
      <w:r>
        <w:rPr>
          <w:rFonts w:hint="eastAsia" w:ascii="宋体" w:hAnsi="宋体" w:eastAsia="宋体" w:cs="宋体"/>
          <w:b/>
          <w:bCs w:val="0"/>
          <w:color w:val="000000" w:themeColor="text1"/>
          <w:sz w:val="24"/>
          <w:szCs w:val="24"/>
        </w:rPr>
      </w:r>
      <w:r>
        <w:rPr>
          <w:color w:val="000000" w:themeColor="text1"/>
        </w:rPr>
      </w:r>
    </w:p>
    <w:p>
      <w:pPr>
        <w:pStyle w:val="1300"/>
        <w:ind w:firstLine="560"/>
        <w:spacing w:before="120" w:after="12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13.1双方在签订、履行合同中所发生的一切争议，应通过友好协商解决。如协商不成，由甲方住所地人民法院管辖。</w:t>
      </w:r>
      <w:r>
        <w:rPr>
          <w:rFonts w:hint="eastAsia" w:ascii="宋体" w:hAnsi="宋体" w:eastAsia="宋体" w:cs="宋体"/>
          <w:color w:val="000000" w:themeColor="text1"/>
          <w:sz w:val="24"/>
          <w:szCs w:val="24"/>
        </w:rPr>
      </w:r>
      <w:r>
        <w:rPr>
          <w:color w:val="000000" w:themeColor="text1"/>
        </w:rPr>
      </w:r>
    </w:p>
    <w:p>
      <w:pPr>
        <w:pStyle w:val="1300"/>
        <w:ind w:firstLine="560"/>
        <w:spacing w:before="120" w:after="120" w:line="400" w:lineRule="exact"/>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十四、合同</w:t>
      </w:r>
      <w:r>
        <w:rPr>
          <w:rFonts w:hint="eastAsia" w:hAnsi="宋体" w:cs="宋体"/>
          <w:b/>
          <w:bCs w:val="0"/>
          <w:color w:val="000000" w:themeColor="text1"/>
          <w:sz w:val="24"/>
          <w:szCs w:val="24"/>
          <w:lang w:eastAsia="zh-CN"/>
        </w:rPr>
        <w:t xml:space="preserve">生效及其他</w:t>
      </w:r>
      <w:r>
        <w:rPr>
          <w:rFonts w:hint="eastAsia" w:ascii="宋体" w:hAnsi="宋体" w:eastAsia="宋体" w:cs="宋体"/>
          <w:b/>
          <w:bCs w:val="0"/>
          <w:color w:val="000000" w:themeColor="text1"/>
          <w:sz w:val="24"/>
          <w:szCs w:val="24"/>
        </w:rPr>
      </w:r>
      <w:r>
        <w:rPr>
          <w:color w:val="000000" w:themeColor="text1"/>
        </w:rPr>
      </w:r>
    </w:p>
    <w:p>
      <w:pPr>
        <w:pStyle w:val="1300"/>
        <w:ind w:firstLine="560"/>
        <w:spacing w:before="120" w:after="12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14.1 合同经双方法定代表人或授权委托代表人签字并加盖单位公章后生效。</w:t>
      </w:r>
      <w:r>
        <w:rPr>
          <w:rFonts w:hint="eastAsia" w:ascii="宋体" w:hAnsi="宋体" w:eastAsia="宋体" w:cs="宋体"/>
          <w:color w:val="000000" w:themeColor="text1"/>
          <w:sz w:val="24"/>
          <w:szCs w:val="24"/>
        </w:rPr>
      </w:r>
      <w:r>
        <w:rPr>
          <w:color w:val="000000" w:themeColor="text1"/>
        </w:rPr>
      </w:r>
    </w:p>
    <w:p>
      <w:pPr>
        <w:pStyle w:val="1300"/>
        <w:ind w:firstLine="560"/>
        <w:spacing w:before="120" w:after="12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14.2本合同未尽事宜，遵照中华人民共和国现行法律法规有关条文执行。</w:t>
      </w:r>
      <w:r>
        <w:rPr>
          <w:rFonts w:hint="eastAsia" w:ascii="宋体" w:hAnsi="宋体" w:eastAsia="宋体" w:cs="宋体"/>
          <w:color w:val="000000" w:themeColor="text1"/>
          <w:sz w:val="24"/>
          <w:szCs w:val="24"/>
        </w:rPr>
      </w:r>
      <w:r>
        <w:rPr>
          <w:color w:val="000000" w:themeColor="text1"/>
        </w:rPr>
      </w:r>
    </w:p>
    <w:p>
      <w:pPr>
        <w:pStyle w:val="1300"/>
        <w:ind w:firstLine="560"/>
        <w:spacing w:before="120" w:after="12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14.3 本合同正本一式</w:t>
      </w:r>
      <w:r>
        <w:rPr>
          <w:rFonts w:hint="eastAsia" w:hAnsi="宋体" w:cs="宋体"/>
          <w:color w:val="000000" w:themeColor="text1"/>
          <w:sz w:val="24"/>
          <w:szCs w:val="24"/>
          <w:lang w:eastAsia="zh-CN"/>
        </w:rPr>
        <w:t xml:space="preserve">四份</w:t>
      </w:r>
      <w:r>
        <w:rPr>
          <w:rFonts w:hint="eastAsia" w:ascii="宋体" w:hAnsi="宋体" w:eastAsia="宋体" w:cs="宋体"/>
          <w:color w:val="000000" w:themeColor="text1"/>
          <w:sz w:val="24"/>
          <w:szCs w:val="24"/>
        </w:rPr>
        <w:t xml:space="preserve">，具有同等法律效力，甲方、乙方各执</w:t>
      </w:r>
      <w:r>
        <w:rPr>
          <w:rFonts w:hint="eastAsia" w:ascii="宋体" w:hAnsi="宋体" w:eastAsia="宋体" w:cs="宋体"/>
          <w:color w:val="000000" w:themeColor="text1"/>
          <w:sz w:val="24"/>
          <w:szCs w:val="24"/>
          <w:lang w:val="en-US" w:eastAsia="zh-CN"/>
        </w:rPr>
        <w:t xml:space="preserve">两</w:t>
      </w:r>
      <w:r>
        <w:rPr>
          <w:rFonts w:hint="eastAsia" w:ascii="宋体" w:hAnsi="宋体" w:eastAsia="宋体" w:cs="宋体"/>
          <w:color w:val="000000" w:themeColor="text1"/>
          <w:sz w:val="24"/>
          <w:szCs w:val="24"/>
        </w:rPr>
        <w:t xml:space="preserve">份。</w:t>
      </w:r>
      <w:r>
        <w:rPr>
          <w:rFonts w:hint="eastAsia" w:ascii="宋体" w:hAnsi="宋体" w:eastAsia="宋体" w:cs="宋体"/>
          <w:color w:val="000000" w:themeColor="text1"/>
          <w:sz w:val="24"/>
          <w:szCs w:val="24"/>
        </w:rPr>
      </w:r>
      <w:r>
        <w:rPr>
          <w:color w:val="000000" w:themeColor="text1"/>
        </w:rPr>
      </w:r>
    </w:p>
    <w:p>
      <w:pPr>
        <w:pStyle w:val="1300"/>
        <w:jc w:val="right"/>
        <w:spacing w:before="120" w:after="120" w:line="400" w:lineRule="exact"/>
        <w:rPr>
          <w:rFonts w:hint="eastAsia" w:ascii="宋体" w:hAnsi="宋体" w:eastAsia="宋体" w:cs="宋体"/>
          <w:bCs/>
          <w:color w:val="000000" w:themeColor="text1"/>
          <w:sz w:val="22"/>
          <w:szCs w:val="22"/>
          <w:highlight w:val="none"/>
        </w:rPr>
      </w:pPr>
      <w:r>
        <w:rPr>
          <w:rFonts w:hint="eastAsia" w:ascii="宋体" w:hAnsi="宋体" w:eastAsia="宋体" w:cs="宋体"/>
          <w:bCs/>
          <w:color w:val="000000" w:themeColor="text1"/>
          <w:sz w:val="22"/>
          <w:szCs w:val="22"/>
          <w:highlight w:val="none"/>
        </w:rPr>
      </w:r>
      <w:r>
        <w:rPr>
          <w:color w:val="000000" w:themeColor="text1"/>
        </w:rPr>
      </w:r>
    </w:p>
    <w:tbl>
      <w:tblPr>
        <w:tblW w:w="921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54"/>
        <w:gridCol w:w="4365"/>
      </w:tblGrid>
      <w:tr>
        <w:trPr>
          <w:trHeight w:val="352"/>
        </w:trPr>
        <w:tc>
          <w:tcPr>
            <w:tcW w:w="4854" w:type="dxa"/>
            <w:vAlign w:val="center"/>
            <w:textDirection w:val="lrTb"/>
            <w:noWrap w:val="false"/>
          </w:tcPr>
          <w:p>
            <w:pPr>
              <w:pStyle w:val="1012"/>
              <w:ind w:left="0" w:right="0" w:firstLine="0"/>
              <w:jc w:val="both"/>
              <w:keepLines w:val="0"/>
              <w:keepNext w:val="0"/>
              <w:pageBreakBefore w:val="0"/>
              <w:spacing w:line="240" w:lineRule="auto"/>
              <w:widowControl w:val="off"/>
              <w:rPr>
                <w:rFonts w:hint="eastAsia" w:ascii="宋体" w:hAnsi="宋体" w:eastAsia="宋体" w:cs="宋体"/>
                <w:b w:val="0"/>
                <w:bCs/>
                <w:color w:val="000000" w:themeColor="text1"/>
                <w:spacing w:val="-20"/>
                <w:sz w:val="22"/>
                <w:szCs w:val="22"/>
                <w:highlight w:val="none"/>
              </w:rPr>
              <w:outlineLvl w:val="9"/>
            </w:pPr>
            <w:r>
              <w:rPr>
                <w:rFonts w:hint="eastAsia" w:ascii="宋体" w:hAnsi="宋体" w:eastAsia="宋体" w:cs="宋体"/>
                <w:color w:val="000000" w:themeColor="text1"/>
                <w:sz w:val="22"/>
                <w:szCs w:val="22"/>
                <w:highlight w:val="none"/>
                <w:lang w:val="en-US" w:eastAsia="zh-CN" w:bidi="ar-SA"/>
              </w:rPr>
              <w:t xml:space="preserve">甲方</w:t>
            </w:r>
            <w:r>
              <w:rPr>
                <w:rFonts w:hint="eastAsia" w:ascii="宋体" w:hAnsi="宋体" w:eastAsia="宋体" w:cs="宋体"/>
                <w:b w:val="0"/>
                <w:bCs/>
                <w:color w:val="000000" w:themeColor="text1"/>
                <w:spacing w:val="-20"/>
                <w:sz w:val="22"/>
                <w:szCs w:val="22"/>
                <w:highlight w:val="none"/>
                <w:lang w:val="en-US" w:eastAsia="zh-CN" w:bidi="ar-SA"/>
              </w:rPr>
            </w:r>
            <w:r>
              <w:rPr>
                <w:color w:val="000000" w:themeColor="text1"/>
              </w:rPr>
            </w:r>
          </w:p>
        </w:tc>
        <w:tc>
          <w:tcPr>
            <w:tcW w:w="4365" w:type="dxa"/>
            <w:vAlign w:val="center"/>
            <w:textDirection w:val="lrTb"/>
            <w:noWrap w:val="false"/>
          </w:tcPr>
          <w:p>
            <w:pPr>
              <w:pStyle w:val="1012"/>
              <w:ind w:left="0" w:right="0" w:firstLine="0"/>
              <w:jc w:val="both"/>
              <w:keepLines w:val="0"/>
              <w:keepNext w:val="0"/>
              <w:pageBreakBefore w:val="0"/>
              <w:spacing w:line="240" w:lineRule="auto"/>
              <w:widowControl w:val="off"/>
              <w:rPr>
                <w:rFonts w:hint="eastAsia" w:ascii="宋体" w:hAnsi="宋体" w:eastAsia="宋体" w:cs="宋体"/>
                <w:b w:val="0"/>
                <w:bCs/>
                <w:color w:val="000000" w:themeColor="text1"/>
                <w:spacing w:val="-20"/>
                <w:sz w:val="22"/>
                <w:szCs w:val="22"/>
                <w:highlight w:val="none"/>
              </w:rPr>
              <w:outlineLvl w:val="9"/>
            </w:pPr>
            <w:r>
              <w:rPr>
                <w:rFonts w:hint="eastAsia" w:ascii="宋体" w:hAnsi="宋体" w:eastAsia="宋体" w:cs="宋体"/>
                <w:color w:val="000000" w:themeColor="text1"/>
                <w:sz w:val="22"/>
                <w:szCs w:val="22"/>
                <w:highlight w:val="none"/>
                <w:lang w:val="en-US" w:eastAsia="zh-CN" w:bidi="ar-SA"/>
              </w:rPr>
              <w:t xml:space="preserve">乙方</w:t>
            </w:r>
            <w:r>
              <w:rPr>
                <w:rFonts w:hint="eastAsia" w:ascii="宋体" w:hAnsi="宋体" w:eastAsia="宋体" w:cs="宋体"/>
                <w:b w:val="0"/>
                <w:bCs/>
                <w:color w:val="000000" w:themeColor="text1"/>
                <w:spacing w:val="-20"/>
                <w:sz w:val="22"/>
                <w:szCs w:val="22"/>
                <w:highlight w:val="none"/>
                <w:lang w:val="en-US" w:eastAsia="zh-CN" w:bidi="ar-SA"/>
              </w:rPr>
            </w:r>
            <w:r>
              <w:rPr>
                <w:color w:val="000000" w:themeColor="text1"/>
              </w:rPr>
            </w:r>
          </w:p>
        </w:tc>
      </w:tr>
      <w:tr>
        <w:trPr>
          <w:trHeight w:val="352"/>
        </w:trPr>
        <w:tc>
          <w:tcPr>
            <w:tcW w:w="4854" w:type="dxa"/>
            <w:vAlign w:val="center"/>
            <w:textDirection w:val="lrTb"/>
            <w:noWrap w:val="false"/>
          </w:tcPr>
          <w:p>
            <w:pPr>
              <w:pStyle w:val="1012"/>
              <w:ind w:left="0" w:right="0" w:firstLine="0"/>
              <w:jc w:val="both"/>
              <w:keepLines w:val="0"/>
              <w:keepNext w:val="0"/>
              <w:pageBreakBefore w:val="0"/>
              <w:spacing w:line="240" w:lineRule="auto"/>
              <w:widowControl w:val="off"/>
              <w:rPr>
                <w:rFonts w:hint="eastAsia" w:ascii="宋体" w:hAnsi="宋体" w:eastAsia="宋体" w:cs="宋体"/>
                <w:b w:val="0"/>
                <w:bCs/>
                <w:color w:val="000000" w:themeColor="text1"/>
                <w:spacing w:val="-20"/>
                <w:sz w:val="22"/>
                <w:szCs w:val="22"/>
                <w:highlight w:val="none"/>
              </w:rPr>
              <w:outlineLvl w:val="9"/>
            </w:pPr>
            <w:r>
              <w:rPr>
                <w:rFonts w:hint="eastAsia" w:ascii="宋体" w:hAnsi="宋体" w:eastAsia="宋体" w:cs="宋体"/>
                <w:color w:val="000000" w:themeColor="text1"/>
                <w:sz w:val="22"/>
                <w:szCs w:val="22"/>
                <w:highlight w:val="none"/>
                <w:lang w:val="en-US" w:eastAsia="zh-CN" w:bidi="ar-SA"/>
              </w:rPr>
              <w:t xml:space="preserve">（盖章）</w:t>
            </w:r>
            <w:r>
              <w:rPr>
                <w:rFonts w:hint="eastAsia" w:ascii="宋体" w:hAnsi="宋体" w:eastAsia="宋体" w:cs="宋体"/>
                <w:b w:val="0"/>
                <w:bCs/>
                <w:color w:val="000000" w:themeColor="text1"/>
                <w:spacing w:val="-20"/>
                <w:sz w:val="22"/>
                <w:szCs w:val="22"/>
                <w:highlight w:val="none"/>
                <w:lang w:val="en-US" w:eastAsia="zh-CN" w:bidi="ar-SA"/>
              </w:rPr>
            </w:r>
            <w:r>
              <w:rPr>
                <w:color w:val="000000" w:themeColor="text1"/>
              </w:rPr>
            </w:r>
          </w:p>
        </w:tc>
        <w:tc>
          <w:tcPr>
            <w:tcW w:w="4365" w:type="dxa"/>
            <w:vAlign w:val="center"/>
            <w:textDirection w:val="lrTb"/>
            <w:noWrap w:val="false"/>
          </w:tcPr>
          <w:p>
            <w:pPr>
              <w:pStyle w:val="1012"/>
              <w:ind w:left="0" w:right="0" w:firstLine="0"/>
              <w:jc w:val="both"/>
              <w:keepLines w:val="0"/>
              <w:keepNext w:val="0"/>
              <w:pageBreakBefore w:val="0"/>
              <w:spacing w:line="240" w:lineRule="auto"/>
              <w:widowControl w:val="off"/>
              <w:rPr>
                <w:rFonts w:hint="eastAsia" w:ascii="宋体" w:hAnsi="宋体" w:eastAsia="宋体" w:cs="宋体"/>
                <w:b w:val="0"/>
                <w:bCs/>
                <w:color w:val="000000" w:themeColor="text1"/>
                <w:sz w:val="22"/>
                <w:szCs w:val="22"/>
                <w:highlight w:val="none"/>
              </w:rPr>
              <w:outlineLvl w:val="9"/>
            </w:pPr>
            <w:r>
              <w:rPr>
                <w:rFonts w:hint="eastAsia" w:ascii="宋体" w:hAnsi="宋体" w:eastAsia="宋体" w:cs="宋体"/>
                <w:color w:val="000000" w:themeColor="text1"/>
                <w:sz w:val="22"/>
                <w:szCs w:val="22"/>
                <w:highlight w:val="none"/>
                <w:lang w:val="en-US" w:eastAsia="zh-CN" w:bidi="ar-SA"/>
              </w:rPr>
              <w:t xml:space="preserve">（盖章）</w:t>
            </w:r>
            <w:r>
              <w:rPr>
                <w:rFonts w:hint="eastAsia" w:ascii="宋体" w:hAnsi="宋体" w:eastAsia="宋体" w:cs="宋体"/>
                <w:b w:val="0"/>
                <w:bCs/>
                <w:color w:val="000000" w:themeColor="text1"/>
                <w:sz w:val="22"/>
                <w:szCs w:val="22"/>
                <w:highlight w:val="none"/>
                <w:lang w:val="en-US" w:eastAsia="zh-CN" w:bidi="ar-SA"/>
              </w:rPr>
            </w:r>
            <w:r>
              <w:rPr>
                <w:color w:val="000000" w:themeColor="text1"/>
              </w:rPr>
            </w:r>
          </w:p>
        </w:tc>
      </w:tr>
      <w:tr>
        <w:trPr>
          <w:trHeight w:val="352"/>
        </w:trPr>
        <w:tc>
          <w:tcPr>
            <w:tcW w:w="4854" w:type="dxa"/>
            <w:vAlign w:val="center"/>
            <w:textDirection w:val="lrTb"/>
            <w:noWrap w:val="false"/>
          </w:tcPr>
          <w:p>
            <w:pPr>
              <w:pStyle w:val="1012"/>
              <w:ind w:left="0" w:right="0" w:firstLine="0"/>
              <w:jc w:val="both"/>
              <w:keepLines w:val="0"/>
              <w:keepNext w:val="0"/>
              <w:pageBreakBefore w:val="0"/>
              <w:spacing w:line="240" w:lineRule="auto"/>
              <w:widowControl w:val="off"/>
              <w:rPr>
                <w:rFonts w:hint="eastAsia" w:ascii="宋体" w:hAnsi="宋体" w:eastAsia="宋体" w:cs="宋体"/>
                <w:b w:val="0"/>
                <w:bCs/>
                <w:color w:val="000000" w:themeColor="text1"/>
                <w:spacing w:val="-20"/>
                <w:sz w:val="22"/>
                <w:szCs w:val="22"/>
                <w:highlight w:val="none"/>
              </w:rPr>
              <w:outlineLvl w:val="9"/>
            </w:pPr>
            <w:r>
              <w:rPr>
                <w:rFonts w:hint="eastAsia" w:ascii="宋体" w:hAnsi="宋体" w:eastAsia="宋体" w:cs="宋体"/>
                <w:color w:val="000000" w:themeColor="text1"/>
                <w:sz w:val="22"/>
                <w:szCs w:val="22"/>
                <w:highlight w:val="none"/>
                <w:lang w:val="en-US" w:eastAsia="zh-CN" w:bidi="ar-SA"/>
              </w:rPr>
              <w:t xml:space="preserve">法定代表人（签字）：</w:t>
            </w:r>
            <w:r>
              <w:rPr>
                <w:rFonts w:hint="eastAsia" w:ascii="宋体" w:hAnsi="宋体" w:eastAsia="宋体" w:cs="宋体"/>
                <w:b w:val="0"/>
                <w:bCs/>
                <w:color w:val="000000" w:themeColor="text1"/>
                <w:spacing w:val="-20"/>
                <w:sz w:val="22"/>
                <w:szCs w:val="22"/>
                <w:highlight w:val="none"/>
                <w:lang w:val="en-US" w:eastAsia="zh-CN" w:bidi="ar-SA"/>
              </w:rPr>
            </w:r>
            <w:r>
              <w:rPr>
                <w:color w:val="000000" w:themeColor="text1"/>
              </w:rPr>
            </w:r>
          </w:p>
        </w:tc>
        <w:tc>
          <w:tcPr>
            <w:tcW w:w="4365" w:type="dxa"/>
            <w:vAlign w:val="center"/>
            <w:textDirection w:val="lrTb"/>
            <w:noWrap w:val="false"/>
          </w:tcPr>
          <w:p>
            <w:pPr>
              <w:pStyle w:val="1012"/>
              <w:ind w:left="0" w:right="0" w:firstLine="0"/>
              <w:jc w:val="both"/>
              <w:keepLines w:val="0"/>
              <w:keepNext w:val="0"/>
              <w:pageBreakBefore w:val="0"/>
              <w:spacing w:line="240" w:lineRule="auto"/>
              <w:widowControl w:val="off"/>
              <w:rPr>
                <w:rFonts w:hint="eastAsia" w:ascii="宋体" w:hAnsi="宋体" w:eastAsia="宋体" w:cs="宋体"/>
                <w:b w:val="0"/>
                <w:bCs/>
                <w:color w:val="000000" w:themeColor="text1"/>
                <w:spacing w:val="-20"/>
                <w:sz w:val="22"/>
                <w:szCs w:val="22"/>
                <w:highlight w:val="none"/>
              </w:rPr>
              <w:outlineLvl w:val="9"/>
            </w:pPr>
            <w:r>
              <w:rPr>
                <w:rFonts w:hint="eastAsia" w:ascii="宋体" w:hAnsi="宋体" w:eastAsia="宋体" w:cs="宋体"/>
                <w:color w:val="000000" w:themeColor="text1"/>
                <w:sz w:val="22"/>
                <w:szCs w:val="22"/>
                <w:highlight w:val="none"/>
                <w:lang w:val="en-US" w:eastAsia="zh-CN" w:bidi="ar-SA"/>
              </w:rPr>
              <w:t xml:space="preserve">法定代表人（签字）：</w:t>
            </w:r>
            <w:r>
              <w:rPr>
                <w:rFonts w:hint="eastAsia" w:ascii="宋体" w:hAnsi="宋体" w:eastAsia="宋体" w:cs="宋体"/>
                <w:b w:val="0"/>
                <w:bCs/>
                <w:color w:val="000000" w:themeColor="text1"/>
                <w:spacing w:val="-20"/>
                <w:sz w:val="22"/>
                <w:szCs w:val="22"/>
                <w:highlight w:val="none"/>
                <w:lang w:val="en-US" w:eastAsia="zh-CN" w:bidi="ar-SA"/>
              </w:rPr>
            </w:r>
            <w:r>
              <w:rPr>
                <w:color w:val="000000" w:themeColor="text1"/>
              </w:rPr>
            </w:r>
          </w:p>
        </w:tc>
      </w:tr>
      <w:tr>
        <w:trPr>
          <w:trHeight w:val="1103"/>
        </w:trPr>
        <w:tc>
          <w:tcPr>
            <w:tcW w:w="4854" w:type="dxa"/>
            <w:vAlign w:val="center"/>
            <w:textDirection w:val="lrTb"/>
            <w:noWrap w:val="false"/>
          </w:tcPr>
          <w:p>
            <w:pPr>
              <w:pStyle w:val="1012"/>
              <w:ind w:left="0" w:right="0" w:firstLine="0"/>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bidi="ar-SA"/>
              </w:rPr>
              <w:t xml:space="preserve">处室（单位）负责人（签字）：</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left="0" w:right="0" w:firstLine="0"/>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bidi="ar-SA"/>
              </w:rPr>
              <w:t xml:space="preserve">经办人（签字）：</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left="0" w:right="0" w:firstLine="0"/>
              <w:jc w:val="both"/>
              <w:keepLines w:val="0"/>
              <w:keepNext w:val="0"/>
              <w:pageBreakBefore w:val="0"/>
              <w:spacing w:line="240" w:lineRule="auto"/>
              <w:widowControl w:val="off"/>
              <w:rPr>
                <w:rFonts w:hint="eastAsia" w:ascii="宋体" w:hAnsi="宋体" w:eastAsia="宋体" w:cs="宋体"/>
                <w:b w:val="0"/>
                <w:bCs/>
                <w:color w:val="000000" w:themeColor="text1"/>
                <w:spacing w:val="-20"/>
                <w:sz w:val="24"/>
                <w:szCs w:val="24"/>
                <w:highlight w:val="none"/>
              </w:rPr>
              <w:outlineLvl w:val="9"/>
            </w:pPr>
            <w:r>
              <w:rPr>
                <w:rFonts w:hint="eastAsia" w:ascii="宋体" w:hAnsi="宋体" w:eastAsia="宋体" w:cs="宋体"/>
                <w:color w:val="000000" w:themeColor="text1"/>
                <w:sz w:val="24"/>
                <w:szCs w:val="24"/>
                <w:highlight w:val="none"/>
                <w:lang w:val="en-US" w:eastAsia="zh-CN" w:bidi="ar-SA"/>
              </w:rPr>
              <w:t xml:space="preserve">经办人联系电话：</w:t>
            </w:r>
            <w:r>
              <w:rPr>
                <w:rFonts w:hint="eastAsia" w:ascii="宋体" w:hAnsi="宋体" w:eastAsia="宋体" w:cs="宋体"/>
                <w:b w:val="0"/>
                <w:bCs/>
                <w:color w:val="000000" w:themeColor="text1"/>
                <w:spacing w:val="-20"/>
                <w:sz w:val="24"/>
                <w:szCs w:val="24"/>
                <w:highlight w:val="none"/>
                <w:lang w:val="en-US" w:eastAsia="zh-CN" w:bidi="ar-SA"/>
              </w:rPr>
            </w:r>
            <w:r>
              <w:rPr>
                <w:color w:val="000000" w:themeColor="text1"/>
              </w:rPr>
            </w:r>
          </w:p>
        </w:tc>
        <w:tc>
          <w:tcPr>
            <w:tcW w:w="4365" w:type="dxa"/>
            <w:vAlign w:val="center"/>
            <w:textDirection w:val="lrTb"/>
            <w:noWrap w:val="false"/>
          </w:tcPr>
          <w:p>
            <w:pPr>
              <w:pStyle w:val="1012"/>
              <w:ind w:left="0" w:right="0" w:firstLine="0"/>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bidi="ar-SA"/>
              </w:rPr>
              <w:t xml:space="preserve">经办人（签字）：</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left="0" w:right="0" w:firstLine="0"/>
              <w:jc w:val="both"/>
              <w:keepLines w:val="0"/>
              <w:keepNext w:val="0"/>
              <w:pageBreakBefore w:val="0"/>
              <w:spacing w:line="240" w:lineRule="auto"/>
              <w:widowControl w:val="off"/>
              <w:rPr>
                <w:rFonts w:hint="eastAsia" w:ascii="宋体" w:hAnsi="宋体" w:eastAsia="宋体" w:cs="宋体"/>
                <w:b w:val="0"/>
                <w:bCs/>
                <w:color w:val="000000" w:themeColor="text1"/>
                <w:spacing w:val="-20"/>
                <w:sz w:val="24"/>
                <w:szCs w:val="24"/>
                <w:highlight w:val="none"/>
              </w:rPr>
              <w:outlineLvl w:val="9"/>
            </w:pPr>
            <w:r>
              <w:rPr>
                <w:rFonts w:hint="eastAsia" w:ascii="宋体" w:hAnsi="宋体" w:eastAsia="宋体" w:cs="宋体"/>
                <w:color w:val="000000" w:themeColor="text1"/>
                <w:sz w:val="24"/>
                <w:szCs w:val="24"/>
                <w:highlight w:val="none"/>
                <w:lang w:val="en-US" w:eastAsia="zh-CN" w:bidi="ar-SA"/>
              </w:rPr>
              <w:t xml:space="preserve">联系电话：</w:t>
            </w:r>
            <w:r>
              <w:rPr>
                <w:rFonts w:hint="eastAsia" w:ascii="宋体" w:hAnsi="宋体" w:eastAsia="宋体" w:cs="宋体"/>
                <w:b w:val="0"/>
                <w:bCs/>
                <w:color w:val="000000" w:themeColor="text1"/>
                <w:spacing w:val="-20"/>
                <w:sz w:val="24"/>
                <w:szCs w:val="24"/>
                <w:highlight w:val="none"/>
                <w:lang w:val="en-US" w:eastAsia="zh-CN" w:bidi="ar-SA"/>
              </w:rPr>
            </w:r>
            <w:r>
              <w:rPr>
                <w:color w:val="000000" w:themeColor="text1"/>
              </w:rPr>
            </w:r>
          </w:p>
        </w:tc>
      </w:tr>
      <w:tr>
        <w:trPr>
          <w:trHeight w:val="382"/>
        </w:trPr>
        <w:tc>
          <w:tcPr>
            <w:tcW w:w="4854" w:type="dxa"/>
            <w:vAlign w:val="center"/>
            <w:textDirection w:val="lrTb"/>
            <w:noWrap w:val="false"/>
          </w:tcPr>
          <w:p>
            <w:pPr>
              <w:pStyle w:val="1012"/>
              <w:ind w:left="0" w:right="0" w:firstLine="0"/>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bidi="ar-SA"/>
              </w:rPr>
              <w:t xml:space="preserve">地址：</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4365" w:type="dxa"/>
            <w:vAlign w:val="center"/>
            <w:textDirection w:val="lrTb"/>
            <w:noWrap w:val="false"/>
          </w:tcPr>
          <w:p>
            <w:pPr>
              <w:pStyle w:val="1012"/>
              <w:ind w:left="0" w:right="0" w:firstLine="0"/>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bidi="ar-SA"/>
              </w:rPr>
              <w:t xml:space="preserve">地址：</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382"/>
        </w:trPr>
        <w:tc>
          <w:tcPr>
            <w:tcW w:w="4854" w:type="dxa"/>
            <w:vAlign w:val="center"/>
            <w:textDirection w:val="lrTb"/>
            <w:noWrap w:val="false"/>
          </w:tcPr>
          <w:p>
            <w:pPr>
              <w:pStyle w:val="1012"/>
              <w:ind w:left="0" w:right="0" w:firstLine="0"/>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bidi="ar-SA"/>
              </w:rPr>
              <w:t xml:space="preserve">邮编：</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4365" w:type="dxa"/>
            <w:vAlign w:val="center"/>
            <w:textDirection w:val="lrTb"/>
            <w:noWrap w:val="false"/>
          </w:tcPr>
          <w:p>
            <w:pPr>
              <w:pStyle w:val="1012"/>
              <w:ind w:left="0" w:right="0" w:firstLine="0"/>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bidi="ar-SA"/>
              </w:rPr>
              <w:t xml:space="preserve">邮编：</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1826"/>
        </w:trPr>
        <w:tc>
          <w:tcPr>
            <w:tcW w:w="4854" w:type="dxa"/>
            <w:vAlign w:val="center"/>
            <w:textDirection w:val="lrTb"/>
            <w:noWrap w:val="false"/>
          </w:tcPr>
          <w:p>
            <w:pPr>
              <w:pStyle w:val="1012"/>
              <w:ind w:left="0" w:right="0" w:firstLine="0"/>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bidi="ar-SA"/>
              </w:rPr>
              <w:t xml:space="preserve">开票信息：</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left="0" w:right="0" w:firstLine="0"/>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bidi="ar-SA"/>
              </w:rPr>
              <w:t xml:space="preserve">统一社会信用代码证编号：</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left="0" w:right="0" w:firstLine="0"/>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bidi="ar-SA"/>
              </w:rPr>
              <w:t xml:space="preserve">地址：</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left="0" w:right="0" w:firstLine="0"/>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bidi="ar-SA"/>
              </w:rPr>
              <w:t xml:space="preserve">电话：</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left="0" w:right="0" w:firstLine="0"/>
              <w:jc w:val="both"/>
              <w:keepLines w:val="0"/>
              <w:keepNext w:val="0"/>
              <w:pageBreakBefore w:val="0"/>
              <w:spacing w:line="240" w:lineRule="auto"/>
              <w:widowControl w:val="off"/>
              <w:rPr>
                <w:rFonts w:hint="eastAsia" w:ascii="宋体" w:hAnsi="宋体" w:eastAsia="宋体" w:cs="宋体"/>
                <w:b w:val="0"/>
                <w:bCs/>
                <w:color w:val="000000" w:themeColor="text1"/>
                <w:spacing w:val="-20"/>
                <w:sz w:val="24"/>
                <w:szCs w:val="24"/>
                <w:highlight w:val="none"/>
              </w:rPr>
              <w:outlineLvl w:val="9"/>
            </w:pPr>
            <w:r>
              <w:rPr>
                <w:rFonts w:hint="eastAsia" w:ascii="宋体" w:hAnsi="宋体" w:eastAsia="宋体" w:cs="宋体"/>
                <w:color w:val="000000" w:themeColor="text1"/>
                <w:sz w:val="24"/>
                <w:szCs w:val="24"/>
                <w:highlight w:val="none"/>
                <w:lang w:val="en-US" w:eastAsia="zh-CN" w:bidi="ar-SA"/>
              </w:rPr>
              <w:t xml:space="preserve">发票类型：普票</w:t>
            </w:r>
            <w:r>
              <w:rPr>
                <w:rFonts w:hint="eastAsia" w:ascii="宋体" w:hAnsi="宋体" w:eastAsia="宋体" w:cs="宋体"/>
                <w:b w:val="0"/>
                <w:bCs/>
                <w:color w:val="000000" w:themeColor="text1"/>
                <w:spacing w:val="-20"/>
                <w:sz w:val="24"/>
                <w:szCs w:val="24"/>
                <w:highlight w:val="none"/>
                <w:lang w:val="en-US" w:eastAsia="zh-CN" w:bidi="ar-SA"/>
              </w:rPr>
            </w:r>
            <w:r>
              <w:rPr>
                <w:color w:val="000000" w:themeColor="text1"/>
              </w:rPr>
            </w:r>
          </w:p>
        </w:tc>
        <w:tc>
          <w:tcPr>
            <w:tcW w:w="4365" w:type="dxa"/>
            <w:vAlign w:val="center"/>
            <w:textDirection w:val="lrTb"/>
            <w:noWrap w:val="false"/>
          </w:tcPr>
          <w:p>
            <w:pPr>
              <w:pStyle w:val="1012"/>
              <w:ind w:left="0" w:right="0" w:firstLine="0"/>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bidi="ar-SA"/>
              </w:rPr>
              <w:t xml:space="preserve">收款信息：</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left="0" w:right="0" w:firstLine="0"/>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bidi="ar-SA"/>
              </w:rPr>
              <w:t xml:space="preserve">收款人名称：</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left="0" w:right="0" w:firstLine="0"/>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bidi="ar-SA"/>
              </w:rPr>
              <w:t xml:space="preserve">统一社会信用代码证编号：</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left="0" w:right="0" w:firstLine="0"/>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bidi="ar-SA"/>
              </w:rPr>
              <w:t xml:space="preserve">收款银行：</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left="0" w:right="0" w:firstLine="0"/>
              <w:jc w:val="both"/>
              <w:keepLines w:val="0"/>
              <w:keepNext w:val="0"/>
              <w:pageBreakBefore w:val="0"/>
              <w:spacing w:line="240" w:lineRule="auto"/>
              <w:widowControl w:val="off"/>
              <w:rPr>
                <w:rFonts w:hint="eastAsia" w:ascii="宋体" w:hAnsi="宋体" w:eastAsia="宋体" w:cs="宋体"/>
                <w:b w:val="0"/>
                <w:bCs/>
                <w:color w:val="000000" w:themeColor="text1"/>
                <w:spacing w:val="-20"/>
                <w:sz w:val="24"/>
                <w:szCs w:val="24"/>
                <w:highlight w:val="none"/>
              </w:rPr>
              <w:outlineLvl w:val="9"/>
            </w:pPr>
            <w:r>
              <w:rPr>
                <w:rFonts w:hint="eastAsia" w:ascii="宋体" w:hAnsi="宋体" w:eastAsia="宋体" w:cs="宋体"/>
                <w:color w:val="000000" w:themeColor="text1"/>
                <w:sz w:val="24"/>
                <w:szCs w:val="24"/>
                <w:highlight w:val="none"/>
                <w:lang w:val="en-US" w:eastAsia="zh-CN" w:bidi="ar-SA"/>
              </w:rPr>
              <w:t xml:space="preserve">账  号：</w:t>
            </w:r>
            <w:r>
              <w:rPr>
                <w:rFonts w:hint="eastAsia" w:ascii="宋体" w:hAnsi="宋体" w:eastAsia="宋体" w:cs="宋体"/>
                <w:b w:val="0"/>
                <w:bCs/>
                <w:color w:val="000000" w:themeColor="text1"/>
                <w:spacing w:val="-20"/>
                <w:sz w:val="24"/>
                <w:szCs w:val="24"/>
                <w:highlight w:val="none"/>
                <w:lang w:val="en-US" w:eastAsia="zh-CN" w:bidi="ar-SA"/>
              </w:rPr>
            </w:r>
            <w:r>
              <w:rPr>
                <w:color w:val="000000" w:themeColor="text1"/>
              </w:rPr>
            </w:r>
          </w:p>
        </w:tc>
      </w:tr>
      <w:tr>
        <w:trPr>
          <w:trHeight w:val="405"/>
        </w:trPr>
        <w:tc>
          <w:tcPr>
            <w:tcW w:w="4854" w:type="dxa"/>
            <w:vAlign w:val="center"/>
            <w:textDirection w:val="lrTb"/>
            <w:noWrap w:val="false"/>
          </w:tcPr>
          <w:p>
            <w:pPr>
              <w:pStyle w:val="1012"/>
              <w:ind w:left="0" w:right="0" w:firstLine="0"/>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bidi="ar-SA"/>
              </w:rPr>
              <w:t xml:space="preserve">日 期：    年    月    日</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4365" w:type="dxa"/>
            <w:vAlign w:val="center"/>
            <w:textDirection w:val="lrTb"/>
            <w:noWrap w:val="false"/>
          </w:tcPr>
          <w:p>
            <w:pPr>
              <w:pStyle w:val="1012"/>
              <w:ind w:left="0" w:right="0" w:firstLine="0"/>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bidi="ar-SA"/>
              </w:rPr>
              <w:t xml:space="preserve">日 期：    年   月     日</w:t>
            </w:r>
            <w:r>
              <w:rPr>
                <w:rFonts w:hint="eastAsia" w:ascii="宋体" w:hAnsi="宋体" w:eastAsia="宋体" w:cs="宋体"/>
                <w:color w:val="000000" w:themeColor="text1"/>
                <w:sz w:val="24"/>
                <w:szCs w:val="24"/>
                <w:highlight w:val="none"/>
                <w:lang w:val="en-US" w:eastAsia="zh-CN" w:bidi="ar-SA"/>
              </w:rPr>
            </w:r>
            <w:r>
              <w:rPr>
                <w:color w:val="000000" w:themeColor="text1"/>
              </w:rPr>
            </w:r>
          </w:p>
        </w:tc>
      </w:tr>
    </w:tbl>
    <w:p>
      <w:pPr>
        <w:pStyle w:val="1051"/>
        <w:numPr>
          <w:ilvl w:val="1"/>
          <w:numId w:val="0"/>
        </w:numPr>
        <w:ind w:left="0" w:right="0"/>
        <w:pageBreakBefore w:val="0"/>
        <w:spacing w:before="0"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br w:type="page" w:clear="all"/>
      </w:r>
      <w:r>
        <w:rPr>
          <w:rFonts w:hint="eastAsia" w:ascii="宋体" w:hAnsi="宋体" w:eastAsia="宋体" w:cs="宋体"/>
          <w:b/>
          <w:bCs/>
          <w:color w:val="000000" w:themeColor="text1"/>
          <w:sz w:val="24"/>
          <w:szCs w:val="24"/>
          <w:highlight w:val="none"/>
        </w:rPr>
        <w:t xml:space="preserve">附件一：保密协议</w:t>
      </w:r>
      <w:r>
        <w:rPr>
          <w:rFonts w:hint="eastAsia" w:ascii="宋体" w:hAnsi="宋体" w:eastAsia="宋体" w:cs="宋体"/>
          <w:color w:val="000000" w:themeColor="text1"/>
          <w:sz w:val="24"/>
          <w:szCs w:val="24"/>
          <w:highlight w:val="none"/>
        </w:rPr>
      </w:r>
      <w:r>
        <w:rPr>
          <w:color w:val="000000" w:themeColor="text1"/>
        </w:rPr>
      </w:r>
    </w:p>
    <w:p>
      <w:pPr>
        <w:pStyle w:val="1012"/>
        <w:ind w:left="0" w:right="0" w:firstLine="482"/>
        <w:jc w:val="center"/>
        <w:pageBreakBefore w:val="0"/>
        <w:spacing w:line="440" w:lineRule="exact"/>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保密协议</w:t>
      </w:r>
      <w:r>
        <w:rPr>
          <w:rFonts w:hint="eastAsia" w:ascii="宋体" w:hAnsi="宋体" w:eastAsia="宋体" w:cs="宋体"/>
          <w:b/>
          <w:color w:val="000000" w:themeColor="text1"/>
          <w:sz w:val="24"/>
          <w:szCs w:val="24"/>
          <w:highlight w:val="none"/>
        </w:rPr>
      </w:r>
      <w:r>
        <w:rPr>
          <w:color w:val="000000" w:themeColor="text1"/>
        </w:rPr>
      </w:r>
    </w:p>
    <w:p>
      <w:pPr>
        <w:pStyle w:val="1012"/>
        <w:ind w:left="0" w:right="0" w:firstLine="480"/>
        <w:pageBreakBefore w:val="0"/>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甲方</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 _________________________</w:t>
      </w:r>
      <w:r>
        <w:rPr>
          <w:rFonts w:hint="eastAsia" w:ascii="宋体" w:hAnsi="宋体" w:eastAsia="宋体" w:cs="宋体"/>
          <w:color w:val="000000" w:themeColor="text1"/>
          <w:sz w:val="24"/>
          <w:szCs w:val="24"/>
          <w:highlight w:val="none"/>
        </w:rPr>
      </w:r>
      <w:r>
        <w:rPr>
          <w:color w:val="000000" w:themeColor="text1"/>
        </w:rPr>
      </w:r>
    </w:p>
    <w:p>
      <w:pPr>
        <w:pStyle w:val="1012"/>
        <w:ind w:left="0" w:right="0" w:firstLine="480"/>
        <w:pageBreakBefore w:val="0"/>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乙方：_________________________</w:t>
      </w:r>
      <w:r>
        <w:rPr>
          <w:rFonts w:hint="eastAsia" w:ascii="宋体" w:hAnsi="宋体" w:eastAsia="宋体" w:cs="宋体"/>
          <w:color w:val="000000" w:themeColor="text1"/>
          <w:sz w:val="24"/>
          <w:szCs w:val="24"/>
          <w:highlight w:val="none"/>
        </w:rPr>
      </w:r>
      <w:r>
        <w:rPr>
          <w:color w:val="000000" w:themeColor="text1"/>
        </w:rPr>
      </w:r>
    </w:p>
    <w:p>
      <w:pPr>
        <w:pStyle w:val="1012"/>
        <w:ind w:left="0" w:right="0"/>
        <w:pageBreakBefore w:val="0"/>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一、总则</w:t>
      </w:r>
      <w:r>
        <w:rPr>
          <w:rFonts w:hint="eastAsia" w:ascii="宋体" w:hAnsi="宋体" w:eastAsia="宋体" w:cs="宋体"/>
          <w:color w:val="000000" w:themeColor="text1"/>
          <w:sz w:val="24"/>
          <w:szCs w:val="24"/>
          <w:highlight w:val="none"/>
        </w:rPr>
      </w:r>
      <w:r>
        <w:rPr>
          <w:color w:val="000000" w:themeColor="text1"/>
        </w:rPr>
      </w:r>
    </w:p>
    <w:p>
      <w:pPr>
        <w:pStyle w:val="1012"/>
        <w:ind w:left="0" w:right="0" w:firstLine="480"/>
        <w:pageBreakBefore w:val="0"/>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（一）为确保甲乙双方在网络信息安全服务合作事宜有序开展，杜绝信息泄露事件的发生。经甲乙双方友好协商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签订本协议。</w:t>
      </w:r>
      <w:r>
        <w:rPr>
          <w:rFonts w:hint="eastAsia" w:ascii="宋体" w:hAnsi="宋体" w:eastAsia="宋体" w:cs="宋体"/>
          <w:color w:val="000000" w:themeColor="text1"/>
          <w:sz w:val="24"/>
          <w:szCs w:val="24"/>
          <w:highlight w:val="none"/>
        </w:rPr>
      </w:r>
      <w:r>
        <w:rPr>
          <w:color w:val="000000" w:themeColor="text1"/>
        </w:rPr>
      </w:r>
    </w:p>
    <w:p>
      <w:pPr>
        <w:pStyle w:val="1012"/>
        <w:ind w:left="0" w:right="0" w:firstLine="480"/>
        <w:pageBreakBefore w:val="0"/>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（二）本协议适用于的项目名称为：_________________________，项目编号：_______________。</w:t>
      </w:r>
      <w:r>
        <w:rPr>
          <w:rFonts w:hint="eastAsia" w:ascii="宋体" w:hAnsi="宋体" w:eastAsia="宋体" w:cs="宋体"/>
          <w:color w:val="000000" w:themeColor="text1"/>
          <w:sz w:val="24"/>
          <w:szCs w:val="24"/>
          <w:highlight w:val="none"/>
        </w:rPr>
      </w:r>
      <w:r>
        <w:rPr>
          <w:color w:val="000000" w:themeColor="text1"/>
        </w:rPr>
      </w:r>
    </w:p>
    <w:p>
      <w:pPr>
        <w:pStyle w:val="1012"/>
        <w:ind w:left="0" w:right="0"/>
        <w:pageBreakBefore w:val="0"/>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二、信息保密要求</w:t>
      </w:r>
      <w:r>
        <w:rPr>
          <w:rFonts w:hint="eastAsia" w:ascii="宋体" w:hAnsi="宋体" w:eastAsia="宋体" w:cs="宋体"/>
          <w:color w:val="000000" w:themeColor="text1"/>
          <w:sz w:val="24"/>
          <w:szCs w:val="24"/>
          <w:highlight w:val="none"/>
        </w:rPr>
      </w:r>
      <w:r>
        <w:rPr>
          <w:color w:val="000000" w:themeColor="text1"/>
        </w:rPr>
      </w:r>
    </w:p>
    <w:p>
      <w:pPr>
        <w:pStyle w:val="1012"/>
        <w:ind w:left="0" w:right="0" w:firstLine="480"/>
        <w:pageBreakBefore w:val="0"/>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乙方须遵守以下条款，对项目涉及的信息进行保密：</w:t>
      </w:r>
      <w:r>
        <w:rPr>
          <w:rFonts w:hint="eastAsia" w:ascii="宋体" w:hAnsi="宋体" w:eastAsia="宋体" w:cs="宋体"/>
          <w:color w:val="000000" w:themeColor="text1"/>
          <w:sz w:val="24"/>
          <w:szCs w:val="24"/>
          <w:highlight w:val="none"/>
        </w:rPr>
      </w:r>
      <w:r>
        <w:rPr>
          <w:color w:val="000000" w:themeColor="text1"/>
        </w:rPr>
      </w:r>
    </w:p>
    <w:p>
      <w:pPr>
        <w:pStyle w:val="1012"/>
        <w:ind w:left="0" w:right="0" w:firstLine="480"/>
        <w:pageBreakBefore w:val="0"/>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（一）乙方在为甲方提供服务过程中，应对来源于服务对象的所有信息进行涉密情况的征询，对于甲方的保密信息要做好保密管理。</w:t>
      </w:r>
      <w:r>
        <w:rPr>
          <w:rFonts w:hint="eastAsia" w:ascii="宋体" w:hAnsi="宋体" w:eastAsia="宋体" w:cs="宋体"/>
          <w:color w:val="000000" w:themeColor="text1"/>
          <w:sz w:val="24"/>
          <w:szCs w:val="24"/>
          <w:highlight w:val="none"/>
        </w:rPr>
      </w:r>
      <w:r>
        <w:rPr>
          <w:color w:val="000000" w:themeColor="text1"/>
        </w:rPr>
      </w:r>
    </w:p>
    <w:p>
      <w:pPr>
        <w:pStyle w:val="1012"/>
        <w:ind w:left="0" w:right="0" w:firstLine="480"/>
        <w:pageBreakBefore w:val="0"/>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（二）对来源于甲方所有信息（包括但不限于相关技术资料、报告、摘要、纪要、文件、计划、报表、复印件、信息系统应用数据等），乙方负有保密责任，应采取有效保密措施确保信息安全。</w:t>
      </w:r>
      <w:r>
        <w:rPr>
          <w:rFonts w:hint="eastAsia" w:ascii="宋体" w:hAnsi="宋体" w:eastAsia="宋体" w:cs="宋体"/>
          <w:color w:val="000000" w:themeColor="text1"/>
          <w:sz w:val="24"/>
          <w:szCs w:val="24"/>
          <w:highlight w:val="none"/>
        </w:rPr>
      </w:r>
      <w:r>
        <w:rPr>
          <w:color w:val="000000" w:themeColor="text1"/>
        </w:rPr>
      </w:r>
    </w:p>
    <w:p>
      <w:pPr>
        <w:pStyle w:val="1012"/>
        <w:ind w:left="0" w:right="0" w:firstLine="480"/>
        <w:pageBreakBefore w:val="0"/>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（三）乙方人员须在甲方工作人员允许和在场的情况下对甲方内部信息数据进行操作，乙方不得擅自复制、传播甲方的各类信息，不得外泄信息。</w:t>
      </w:r>
      <w:r>
        <w:rPr>
          <w:rFonts w:hint="eastAsia" w:ascii="宋体" w:hAnsi="宋体" w:eastAsia="宋体" w:cs="宋体"/>
          <w:color w:val="000000" w:themeColor="text1"/>
          <w:sz w:val="24"/>
          <w:szCs w:val="24"/>
          <w:highlight w:val="none"/>
        </w:rPr>
      </w:r>
      <w:r>
        <w:rPr>
          <w:color w:val="000000" w:themeColor="text1"/>
        </w:rPr>
      </w:r>
    </w:p>
    <w:p>
      <w:pPr>
        <w:pStyle w:val="1012"/>
        <w:ind w:left="0" w:right="0" w:firstLine="480"/>
        <w:pageBreakBefore w:val="0"/>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（四）乙方在完成相关服务后，将使用的安全技术设备带离现场时，须在甲方监督下及时使用不可恢复的删除方式彻底删除设备内的甲方内部信息。未经甲方许可，不得带走甲方有关文件、资料和数据。</w:t>
      </w:r>
      <w:r>
        <w:rPr>
          <w:rFonts w:hint="eastAsia" w:ascii="宋体" w:hAnsi="宋体" w:eastAsia="宋体" w:cs="宋体"/>
          <w:color w:val="000000" w:themeColor="text1"/>
          <w:sz w:val="24"/>
          <w:szCs w:val="24"/>
          <w:highlight w:val="none"/>
        </w:rPr>
      </w:r>
      <w:r>
        <w:rPr>
          <w:color w:val="000000" w:themeColor="text1"/>
        </w:rPr>
      </w:r>
    </w:p>
    <w:p>
      <w:pPr>
        <w:pStyle w:val="1012"/>
        <w:ind w:left="0" w:right="0" w:firstLine="480"/>
        <w:pageBreakBefore w:val="0"/>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（五）乙方在提供服务过程中，参与项目的乙方人员应遵守甲方有关规章制度。</w:t>
      </w:r>
      <w:r>
        <w:rPr>
          <w:rFonts w:hint="eastAsia" w:ascii="宋体" w:hAnsi="宋体" w:eastAsia="宋体" w:cs="宋体"/>
          <w:color w:val="000000" w:themeColor="text1"/>
          <w:sz w:val="24"/>
          <w:szCs w:val="24"/>
          <w:highlight w:val="none"/>
        </w:rPr>
      </w:r>
      <w:r>
        <w:rPr>
          <w:color w:val="000000" w:themeColor="text1"/>
        </w:rPr>
      </w:r>
    </w:p>
    <w:p>
      <w:pPr>
        <w:pStyle w:val="1012"/>
        <w:ind w:left="0" w:right="0" w:firstLine="480"/>
        <w:pageBreakBefore w:val="0"/>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（六）相关服务完成后，乙方应将相关交付物完整交付甲方，不得保留相关交付物的副本，相关纸质及电子资料必须销毁，防止信息外流。</w:t>
      </w:r>
      <w:r>
        <w:rPr>
          <w:rFonts w:hint="eastAsia" w:ascii="宋体" w:hAnsi="宋体" w:eastAsia="宋体" w:cs="宋体"/>
          <w:color w:val="000000" w:themeColor="text1"/>
          <w:sz w:val="24"/>
          <w:szCs w:val="24"/>
          <w:highlight w:val="none"/>
        </w:rPr>
      </w:r>
      <w:r>
        <w:rPr>
          <w:color w:val="000000" w:themeColor="text1"/>
        </w:rPr>
      </w:r>
    </w:p>
    <w:p>
      <w:pPr>
        <w:pStyle w:val="1012"/>
        <w:ind w:left="0" w:right="0" w:firstLine="480"/>
        <w:pageBreakBefore w:val="0"/>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（七）乙方在工作期间，严格遵守甲方保密制度及有关规定，不得泄露服务对象相关系统及数据库的账号和密码。</w:t>
      </w:r>
      <w:r>
        <w:rPr>
          <w:rFonts w:hint="eastAsia" w:ascii="宋体" w:hAnsi="宋体" w:eastAsia="宋体" w:cs="宋体"/>
          <w:color w:val="000000" w:themeColor="text1"/>
          <w:sz w:val="24"/>
          <w:szCs w:val="24"/>
          <w:highlight w:val="none"/>
        </w:rPr>
      </w:r>
      <w:r>
        <w:rPr>
          <w:color w:val="000000" w:themeColor="text1"/>
        </w:rPr>
      </w:r>
    </w:p>
    <w:p>
      <w:pPr>
        <w:pStyle w:val="1012"/>
        <w:ind w:left="0" w:right="0" w:firstLine="480"/>
        <w:pageBreakBefore w:val="0"/>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（八）本协议效力不受劳动合同订立及解除的影响，乙方工作人员调离乙方公司时，乙方公司应负责采取相关措施防止信息泄露；否则发生的项目信息</w:t>
      </w:r>
      <w:r>
        <w:rPr>
          <w:rFonts w:hint="eastAsia" w:ascii="宋体" w:hAnsi="宋体" w:eastAsia="宋体" w:cs="宋体"/>
          <w:color w:val="000000" w:themeColor="text1"/>
          <w:sz w:val="24"/>
          <w:szCs w:val="24"/>
          <w:highlight w:val="none"/>
          <w:lang w:eastAsia="zh-CN"/>
        </w:rPr>
        <w:t xml:space="preserve">泄漏</w:t>
      </w:r>
      <w:r>
        <w:rPr>
          <w:rFonts w:hint="eastAsia" w:ascii="宋体" w:hAnsi="宋体" w:eastAsia="宋体" w:cs="宋体"/>
          <w:color w:val="000000" w:themeColor="text1"/>
          <w:sz w:val="24"/>
          <w:szCs w:val="24"/>
          <w:highlight w:val="none"/>
        </w:rPr>
        <w:t xml:space="preserve">责任，由乙方负责。</w:t>
      </w:r>
      <w:r>
        <w:rPr>
          <w:rFonts w:hint="eastAsia" w:ascii="宋体" w:hAnsi="宋体" w:eastAsia="宋体" w:cs="宋体"/>
          <w:color w:val="000000" w:themeColor="text1"/>
          <w:sz w:val="24"/>
          <w:szCs w:val="24"/>
          <w:highlight w:val="none"/>
        </w:rPr>
      </w:r>
      <w:r>
        <w:rPr>
          <w:color w:val="000000" w:themeColor="text1"/>
        </w:rPr>
      </w:r>
    </w:p>
    <w:p>
      <w:pPr>
        <w:pStyle w:val="1012"/>
        <w:ind w:left="0" w:right="0" w:firstLine="480"/>
        <w:pageBreakBefore w:val="0"/>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（九）乙方与乙方工作人员签订</w:t>
      </w:r>
      <w:r>
        <w:rPr>
          <w:rFonts w:hint="eastAsia" w:ascii="宋体" w:hAnsi="宋体" w:eastAsia="宋体" w:cs="宋体"/>
          <w:color w:val="000000" w:themeColor="text1"/>
          <w:sz w:val="24"/>
          <w:szCs w:val="24"/>
          <w:highlight w:val="none"/>
          <w:lang w:eastAsia="zh-CN"/>
        </w:rPr>
        <w:t xml:space="preserve">针对</w:t>
      </w:r>
      <w:r>
        <w:rPr>
          <w:rFonts w:hint="eastAsia" w:ascii="宋体" w:hAnsi="宋体" w:eastAsia="宋体" w:cs="宋体"/>
          <w:color w:val="000000" w:themeColor="text1"/>
          <w:sz w:val="24"/>
          <w:szCs w:val="24"/>
          <w:highlight w:val="none"/>
        </w:rPr>
        <w:t xml:space="preserve">本项目的保密协议，确保乙方工作人员严格执行本协议中保密条款。</w:t>
      </w:r>
      <w:r>
        <w:rPr>
          <w:rFonts w:hint="eastAsia" w:ascii="宋体" w:hAnsi="宋体" w:eastAsia="宋体" w:cs="宋体"/>
          <w:color w:val="000000" w:themeColor="text1"/>
          <w:sz w:val="24"/>
          <w:szCs w:val="24"/>
          <w:highlight w:val="none"/>
        </w:rPr>
      </w:r>
      <w:r>
        <w:rPr>
          <w:color w:val="000000" w:themeColor="text1"/>
        </w:rPr>
      </w:r>
    </w:p>
    <w:p>
      <w:pPr>
        <w:pStyle w:val="1012"/>
        <w:ind w:left="0" w:right="0"/>
        <w:pageBreakBefore w:val="0"/>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三、甲方须遵守以下条款，对项目涉及的乙方内部信息进行保密：</w:t>
      </w:r>
      <w:r>
        <w:rPr>
          <w:rFonts w:hint="eastAsia" w:ascii="宋体" w:hAnsi="宋体" w:eastAsia="宋体" w:cs="宋体"/>
          <w:color w:val="000000" w:themeColor="text1"/>
          <w:sz w:val="24"/>
          <w:szCs w:val="24"/>
          <w:highlight w:val="none"/>
        </w:rPr>
      </w:r>
      <w:r>
        <w:rPr>
          <w:color w:val="000000" w:themeColor="text1"/>
        </w:rPr>
      </w:r>
    </w:p>
    <w:p>
      <w:pPr>
        <w:pStyle w:val="1012"/>
        <w:ind w:left="0" w:right="0" w:firstLine="480"/>
        <w:pageBreakBefore w:val="0"/>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（一）甲方提供涉密技术资料、数据时应向乙方明示。</w:t>
      </w:r>
      <w:r>
        <w:rPr>
          <w:rFonts w:hint="eastAsia" w:ascii="宋体" w:hAnsi="宋体" w:eastAsia="宋体" w:cs="宋体"/>
          <w:color w:val="000000" w:themeColor="text1"/>
          <w:sz w:val="24"/>
          <w:szCs w:val="24"/>
          <w:highlight w:val="none"/>
        </w:rPr>
      </w:r>
      <w:r>
        <w:rPr>
          <w:color w:val="000000" w:themeColor="text1"/>
        </w:rPr>
      </w:r>
    </w:p>
    <w:p>
      <w:pPr>
        <w:pStyle w:val="1012"/>
        <w:ind w:left="0" w:right="0" w:firstLine="480"/>
        <w:pageBreakBefore w:val="0"/>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（二）甲方不得向任何第三方披露乙方的工作程序，技术工具、设备、方法等。</w:t>
      </w:r>
      <w:r>
        <w:rPr>
          <w:rFonts w:hint="eastAsia" w:ascii="宋体" w:hAnsi="宋体" w:eastAsia="宋体" w:cs="宋体"/>
          <w:color w:val="000000" w:themeColor="text1"/>
          <w:sz w:val="24"/>
          <w:szCs w:val="24"/>
          <w:highlight w:val="none"/>
        </w:rPr>
      </w:r>
      <w:r>
        <w:rPr>
          <w:color w:val="000000" w:themeColor="text1"/>
        </w:rPr>
      </w:r>
    </w:p>
    <w:p>
      <w:pPr>
        <w:pStyle w:val="1012"/>
        <w:ind w:left="0" w:right="0" w:firstLine="480"/>
        <w:pageBreakBefore w:val="0"/>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（三）甲方不得向任何第三方披露乙方的技术资料或文档，包括但不限于项目过程文档、实施方案等。</w:t>
      </w:r>
      <w:r>
        <w:rPr>
          <w:rFonts w:hint="eastAsia" w:ascii="宋体" w:hAnsi="宋体" w:eastAsia="宋体" w:cs="宋体"/>
          <w:color w:val="000000" w:themeColor="text1"/>
          <w:sz w:val="24"/>
          <w:szCs w:val="24"/>
          <w:highlight w:val="none"/>
        </w:rPr>
      </w:r>
      <w:r>
        <w:rPr>
          <w:color w:val="000000" w:themeColor="text1"/>
        </w:rPr>
      </w:r>
    </w:p>
    <w:p>
      <w:pPr>
        <w:pStyle w:val="1012"/>
        <w:ind w:left="0" w:right="0"/>
        <w:pageBreakBefore w:val="0"/>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四、保密期限</w:t>
      </w:r>
      <w:r>
        <w:rPr>
          <w:rFonts w:hint="eastAsia" w:ascii="宋体" w:hAnsi="宋体" w:eastAsia="宋体" w:cs="宋体"/>
          <w:color w:val="000000" w:themeColor="text1"/>
          <w:sz w:val="24"/>
          <w:szCs w:val="24"/>
          <w:highlight w:val="none"/>
        </w:rPr>
      </w:r>
      <w:r>
        <w:rPr>
          <w:color w:val="000000" w:themeColor="text1"/>
        </w:rPr>
      </w:r>
    </w:p>
    <w:p>
      <w:pPr>
        <w:pStyle w:val="1012"/>
        <w:ind w:left="0" w:right="0" w:firstLine="480"/>
        <w:pageBreakBefore w:val="0"/>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本协议经双方盖章后生效，有效期为</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年。如果所涉及的保密信息依照国家有关</w:t>
      </w:r>
      <w:r>
        <w:rPr>
          <w:rFonts w:hint="eastAsia" w:ascii="宋体" w:hAnsi="宋体" w:eastAsia="宋体" w:cs="宋体"/>
          <w:color w:val="000000" w:themeColor="text1"/>
          <w:sz w:val="24"/>
          <w:szCs w:val="24"/>
          <w:highlight w:val="none"/>
          <w:lang w:eastAsia="zh-CN"/>
        </w:rPr>
        <w:t xml:space="preserve">法律法规</w:t>
      </w:r>
      <w:r>
        <w:rPr>
          <w:rFonts w:hint="eastAsia" w:ascii="宋体" w:hAnsi="宋体" w:eastAsia="宋体" w:cs="宋体"/>
          <w:color w:val="000000" w:themeColor="text1"/>
          <w:sz w:val="24"/>
          <w:szCs w:val="24"/>
          <w:highlight w:val="none"/>
        </w:rPr>
        <w:t xml:space="preserve">其保密期限超过上述规定的年限，则双方的保密责任在这些法律法规规定的年限内继续有效。</w:t>
      </w:r>
      <w:r>
        <w:rPr>
          <w:rFonts w:hint="eastAsia" w:ascii="宋体" w:hAnsi="宋体" w:eastAsia="宋体" w:cs="宋体"/>
          <w:color w:val="000000" w:themeColor="text1"/>
          <w:sz w:val="24"/>
          <w:szCs w:val="24"/>
          <w:highlight w:val="none"/>
        </w:rPr>
      </w:r>
      <w:r>
        <w:rPr>
          <w:color w:val="000000" w:themeColor="text1"/>
        </w:rPr>
      </w:r>
    </w:p>
    <w:p>
      <w:pPr>
        <w:pStyle w:val="1012"/>
        <w:ind w:left="0" w:right="0"/>
        <w:pageBreakBefore w:val="0"/>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五、违约责任：</w:t>
      </w:r>
      <w:r>
        <w:rPr>
          <w:rFonts w:hint="eastAsia" w:ascii="宋体" w:hAnsi="宋体" w:eastAsia="宋体" w:cs="宋体"/>
          <w:color w:val="000000" w:themeColor="text1"/>
          <w:sz w:val="24"/>
          <w:szCs w:val="24"/>
          <w:highlight w:val="none"/>
        </w:rPr>
      </w:r>
      <w:r>
        <w:rPr>
          <w:color w:val="000000" w:themeColor="text1"/>
        </w:rPr>
      </w:r>
    </w:p>
    <w:p>
      <w:pPr>
        <w:pStyle w:val="1012"/>
        <w:ind w:left="0" w:right="0" w:firstLine="480"/>
        <w:pageBreakBefore w:val="0"/>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乙方不得以任何理由、任何形式泄露甲方的相关机密。如果违反，乙方必须承担甲方因此而造成的全部损失（含直接及间接经济损失）；情节严重者，并提请有关部门追究其刑事责任。</w:t>
      </w:r>
      <w:r>
        <w:rPr>
          <w:rFonts w:hint="eastAsia" w:ascii="宋体" w:hAnsi="宋体" w:eastAsia="宋体" w:cs="宋体"/>
          <w:color w:val="000000" w:themeColor="text1"/>
          <w:sz w:val="24"/>
          <w:szCs w:val="24"/>
          <w:highlight w:val="none"/>
        </w:rPr>
      </w:r>
      <w:r>
        <w:rPr>
          <w:color w:val="000000" w:themeColor="text1"/>
        </w:rPr>
      </w:r>
    </w:p>
    <w:p>
      <w:pPr>
        <w:pStyle w:val="1012"/>
        <w:ind w:left="0" w:right="0"/>
        <w:pageBreakBefore w:val="0"/>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【本文结束】</w:t>
      </w:r>
      <w:r>
        <w:rPr>
          <w:rFonts w:hint="eastAsia" w:ascii="宋体" w:hAnsi="宋体" w:eastAsia="宋体" w:cs="宋体"/>
          <w:color w:val="000000" w:themeColor="text1"/>
          <w:sz w:val="24"/>
          <w:szCs w:val="24"/>
          <w:highlight w:val="none"/>
        </w:rPr>
      </w:r>
      <w:r>
        <w:rPr>
          <w:color w:val="000000" w:themeColor="text1"/>
        </w:rPr>
      </w:r>
    </w:p>
    <w:p>
      <w:pPr>
        <w:pStyle w:val="1012"/>
        <w:ind w:left="0" w:right="0"/>
        <w:pageBreakBefore w:val="0"/>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1012"/>
        <w:ind w:left="0" w:right="0"/>
        <w:pageBreakBefore w:val="0"/>
        <w:spacing w:line="440" w:lineRule="exact"/>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p>
    <w:p>
      <w:pPr>
        <w:pStyle w:val="1012"/>
        <w:ind w:left="0" w:right="0"/>
        <w:pageBreakBefore w:val="0"/>
        <w:spacing w:line="440" w:lineRule="exact"/>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p>
    <w:p>
      <w:pPr>
        <w:pStyle w:val="1012"/>
        <w:ind w:left="0" w:right="0"/>
        <w:pageBreakBefore w:val="0"/>
        <w:spacing w:line="440" w:lineRule="exact"/>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p>
    <w:p>
      <w:pPr>
        <w:pStyle w:val="1012"/>
        <w:ind w:left="0" w:right="0"/>
        <w:pageBreakBefore w:val="0"/>
        <w:spacing w:line="440" w:lineRule="exact"/>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p>
    <w:p>
      <w:pPr>
        <w:pStyle w:val="1012"/>
        <w:ind w:left="0" w:right="0"/>
        <w:pageBreakBefore w:val="0"/>
        <w:spacing w:line="440" w:lineRule="exact"/>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p>
    <w:p>
      <w:pPr>
        <w:pStyle w:val="1012"/>
        <w:ind w:left="0" w:right="0"/>
        <w:pageBreakBefore w:val="0"/>
        <w:spacing w:line="440" w:lineRule="exact"/>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p>
    <w:p>
      <w:pPr>
        <w:pStyle w:val="1012"/>
        <w:ind w:left="0" w:right="0"/>
        <w:pageBreakBefore w:val="0"/>
        <w:spacing w:line="440" w:lineRule="exact"/>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p>
    <w:p>
      <w:pPr>
        <w:pStyle w:val="1012"/>
        <w:ind w:left="0" w:right="0"/>
        <w:pageBreakBefore w:val="0"/>
        <w:spacing w:line="440" w:lineRule="exact"/>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p>
    <w:p>
      <w:pPr>
        <w:pStyle w:val="1012"/>
        <w:ind w:left="0" w:right="0"/>
        <w:pageBreakBefore w:val="0"/>
        <w:spacing w:line="440" w:lineRule="exact"/>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p>
    <w:p>
      <w:pPr>
        <w:pStyle w:val="1012"/>
        <w:ind w:left="0" w:right="0"/>
        <w:pageBreakBefore w:val="0"/>
        <w:spacing w:line="440" w:lineRule="exact"/>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p>
    <w:p>
      <w:pPr>
        <w:pStyle w:val="1012"/>
        <w:ind w:left="0" w:right="0"/>
        <w:pageBreakBefore w:val="0"/>
        <w:spacing w:line="440" w:lineRule="exact"/>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p>
    <w:p>
      <w:pPr>
        <w:pStyle w:val="1012"/>
        <w:ind w:left="0" w:right="0"/>
        <w:pageBreakBefore w:val="0"/>
        <w:spacing w:line="440" w:lineRule="exact"/>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p>
    <w:p>
      <w:pPr>
        <w:pStyle w:val="1012"/>
        <w:ind w:left="0" w:right="0"/>
        <w:pageBreakBefore w:val="0"/>
        <w:spacing w:line="440" w:lineRule="exact"/>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p>
    <w:p>
      <w:pPr>
        <w:pStyle w:val="1012"/>
        <w:ind w:left="0" w:right="0"/>
        <w:pageBreakBefore w:val="0"/>
        <w:spacing w:line="440" w:lineRule="exact"/>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p>
    <w:p>
      <w:pPr>
        <w:pStyle w:val="1012"/>
        <w:ind w:left="0" w:right="0"/>
        <w:pageBreakBefore w:val="0"/>
        <w:spacing w:line="440" w:lineRule="exact"/>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p>
    <w:p>
      <w:pPr>
        <w:pStyle w:val="1012"/>
        <w:ind w:left="0" w:right="0"/>
        <w:pageBreakBefore w:val="0"/>
        <w:spacing w:line="440" w:lineRule="exact"/>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p>
    <w:p>
      <w:pPr>
        <w:pStyle w:val="1012"/>
        <w:ind w:left="0" w:right="0"/>
        <w:pageBreakBefore w:val="0"/>
        <w:spacing w:line="440" w:lineRule="exact"/>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附件二：网络信息安全承诺书</w:t>
      </w:r>
      <w:r>
        <w:rPr>
          <w:rFonts w:hint="eastAsia" w:ascii="宋体" w:hAnsi="宋体" w:eastAsia="宋体" w:cs="宋体"/>
          <w:b/>
          <w:bCs/>
          <w:color w:val="000000" w:themeColor="text1"/>
          <w:sz w:val="24"/>
          <w:szCs w:val="24"/>
          <w:highlight w:val="none"/>
        </w:rPr>
      </w:r>
      <w:r>
        <w:rPr>
          <w:color w:val="000000" w:themeColor="text1"/>
        </w:rPr>
      </w:r>
    </w:p>
    <w:p>
      <w:pPr>
        <w:pStyle w:val="1012"/>
        <w:ind w:left="0" w:right="0" w:firstLine="482"/>
        <w:pageBreakBefore w:val="0"/>
        <w:spacing w:line="440" w:lineRule="exact"/>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甲方保证遵守以下各项规定：</w:t>
      </w:r>
      <w:r>
        <w:rPr>
          <w:rFonts w:hint="eastAsia" w:ascii="宋体" w:hAnsi="宋体" w:eastAsia="宋体" w:cs="宋体"/>
          <w:b/>
          <w:color w:val="000000" w:themeColor="text1"/>
          <w:sz w:val="24"/>
          <w:szCs w:val="24"/>
          <w:highlight w:val="none"/>
        </w:rPr>
      </w:r>
      <w:r>
        <w:rPr>
          <w:color w:val="000000" w:themeColor="text1"/>
        </w:rPr>
      </w:r>
    </w:p>
    <w:p>
      <w:pPr>
        <w:pStyle w:val="1012"/>
        <w:ind w:left="0" w:right="0" w:firstLine="480"/>
        <w:pageBreakBefore w:val="0"/>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第一条，</w:t>
      </w:r>
      <w:r>
        <w:rPr>
          <w:rFonts w:hint="eastAsia" w:ascii="宋体" w:hAnsi="宋体" w:eastAsia="宋体" w:cs="宋体"/>
          <w:color w:val="000000" w:themeColor="text1"/>
          <w:sz w:val="24"/>
          <w:szCs w:val="24"/>
          <w:highlight w:val="none"/>
        </w:rPr>
        <w:t xml:space="preserve">遵守国家有关法律、行政法规和管理规章，严格执行信息安全管理规定。</w:t>
      </w:r>
      <w:r>
        <w:rPr>
          <w:rFonts w:hint="eastAsia" w:ascii="宋体" w:hAnsi="宋体" w:eastAsia="宋体" w:cs="宋体"/>
          <w:color w:val="000000" w:themeColor="text1"/>
          <w:sz w:val="24"/>
          <w:szCs w:val="24"/>
          <w:highlight w:val="none"/>
        </w:rPr>
      </w:r>
      <w:r>
        <w:rPr>
          <w:color w:val="000000" w:themeColor="text1"/>
        </w:rPr>
      </w:r>
    </w:p>
    <w:p>
      <w:pPr>
        <w:pStyle w:val="1012"/>
        <w:ind w:left="0" w:right="0" w:firstLine="480"/>
        <w:pageBreakBefore w:val="0"/>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第二条，</w:t>
      </w:r>
      <w:r>
        <w:rPr>
          <w:rFonts w:hint="eastAsia" w:ascii="宋体" w:hAnsi="宋体" w:eastAsia="宋体" w:cs="宋体"/>
          <w:color w:val="000000" w:themeColor="text1"/>
          <w:sz w:val="24"/>
          <w:szCs w:val="24"/>
          <w:highlight w:val="none"/>
        </w:rPr>
        <w:t xml:space="preserve">不得利用</w:t>
      </w:r>
      <w:r>
        <w:rPr>
          <w:rFonts w:hint="eastAsia" w:ascii="宋体" w:hAnsi="宋体" w:eastAsia="宋体" w:cs="宋体"/>
          <w:color w:val="000000" w:themeColor="text1"/>
          <w:sz w:val="24"/>
          <w:szCs w:val="24"/>
          <w:highlight w:val="none"/>
          <w:lang w:val="en-US" w:eastAsia="zh-CN"/>
        </w:rPr>
        <w:t xml:space="preserve">医院核心数据</w:t>
      </w:r>
      <w:r>
        <w:rPr>
          <w:rFonts w:hint="eastAsia" w:ascii="宋体" w:hAnsi="宋体" w:eastAsia="宋体" w:cs="宋体"/>
          <w:color w:val="000000" w:themeColor="text1"/>
          <w:sz w:val="24"/>
          <w:szCs w:val="24"/>
          <w:highlight w:val="none"/>
        </w:rPr>
        <w:t xml:space="preserve">产品从事危害国家安全、泄露国家机密等违法犯罪活动，不得利用</w:t>
      </w:r>
      <w:r>
        <w:rPr>
          <w:rFonts w:hint="eastAsia" w:ascii="宋体" w:hAnsi="宋体" w:eastAsia="宋体" w:cs="宋体"/>
          <w:color w:val="000000" w:themeColor="text1"/>
          <w:sz w:val="24"/>
          <w:szCs w:val="24"/>
          <w:highlight w:val="none"/>
          <w:lang w:val="en-US" w:eastAsia="zh-CN"/>
        </w:rPr>
        <w:t xml:space="preserve">本医院</w:t>
      </w:r>
      <w:r>
        <w:rPr>
          <w:rFonts w:hint="eastAsia" w:ascii="宋体" w:hAnsi="宋体" w:eastAsia="宋体" w:cs="宋体"/>
          <w:color w:val="000000" w:themeColor="text1"/>
          <w:sz w:val="24"/>
          <w:szCs w:val="24"/>
          <w:highlight w:val="none"/>
        </w:rPr>
        <w:t xml:space="preserve">产品制作、查阅、复制和传播违反宪法和法律、妨碍社会治安、破坏国家统一、破坏民族团结、色情、暴力等的信息，不得利用</w:t>
      </w:r>
      <w:r>
        <w:rPr>
          <w:rFonts w:hint="eastAsia" w:ascii="宋体" w:hAnsi="宋体" w:eastAsia="宋体" w:cs="宋体"/>
          <w:color w:val="000000" w:themeColor="text1"/>
          <w:sz w:val="24"/>
          <w:szCs w:val="24"/>
          <w:highlight w:val="none"/>
          <w:lang w:val="en-US" w:eastAsia="zh-CN"/>
        </w:rPr>
        <w:t xml:space="preserve">本医院产品</w:t>
      </w:r>
      <w:r>
        <w:rPr>
          <w:rFonts w:hint="eastAsia" w:ascii="宋体" w:hAnsi="宋体" w:eastAsia="宋体" w:cs="宋体"/>
          <w:color w:val="000000" w:themeColor="text1"/>
          <w:sz w:val="24"/>
          <w:szCs w:val="24"/>
          <w:highlight w:val="none"/>
        </w:rPr>
        <w:t xml:space="preserve">制作、查阅、复制和传播任何含有下列内容之一的信息：煽动抗拒、破坏宪法和法律、行政法规实施的；</w:t>
      </w:r>
      <w:r>
        <w:rPr>
          <w:rFonts w:hint="eastAsia" w:ascii="宋体" w:hAnsi="宋体" w:eastAsia="宋体" w:cs="宋体"/>
          <w:color w:val="000000" w:themeColor="text1"/>
          <w:sz w:val="24"/>
          <w:szCs w:val="24"/>
          <w:highlight w:val="none"/>
        </w:rPr>
      </w:r>
      <w:r>
        <w:rPr>
          <w:color w:val="000000" w:themeColor="text1"/>
        </w:rPr>
      </w:r>
    </w:p>
    <w:p>
      <w:pPr>
        <w:pStyle w:val="1012"/>
        <w:ind w:left="0" w:right="0" w:firstLine="480"/>
        <w:pageBreakBefore w:val="0"/>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1.</w:t>
      </w:r>
      <w:r>
        <w:rPr>
          <w:rFonts w:hint="eastAsia" w:ascii="宋体" w:hAnsi="宋体" w:eastAsia="宋体" w:cs="宋体"/>
          <w:color w:val="000000" w:themeColor="text1"/>
          <w:sz w:val="24"/>
          <w:szCs w:val="24"/>
          <w:highlight w:val="none"/>
        </w:rPr>
        <w:t xml:space="preserve">煽动颠覆国家政权，推翻社会主义制度的；</w:t>
      </w:r>
      <w:r>
        <w:rPr>
          <w:rFonts w:hint="eastAsia" w:ascii="宋体" w:hAnsi="宋体" w:eastAsia="宋体" w:cs="宋体"/>
          <w:color w:val="000000" w:themeColor="text1"/>
          <w:sz w:val="24"/>
          <w:szCs w:val="24"/>
          <w:highlight w:val="none"/>
        </w:rPr>
      </w:r>
      <w:r>
        <w:rPr>
          <w:color w:val="000000" w:themeColor="text1"/>
        </w:rPr>
      </w:r>
    </w:p>
    <w:p>
      <w:pPr>
        <w:pStyle w:val="1012"/>
        <w:ind w:left="0" w:right="0" w:firstLine="480"/>
        <w:pageBreakBefore w:val="0"/>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rPr>
        <w:t xml:space="preserve">危害国家安全，泄露国家机密的；</w:t>
      </w:r>
      <w:r>
        <w:rPr>
          <w:rFonts w:hint="eastAsia" w:ascii="宋体" w:hAnsi="宋体" w:eastAsia="宋体" w:cs="宋体"/>
          <w:color w:val="000000" w:themeColor="text1"/>
          <w:sz w:val="24"/>
          <w:szCs w:val="24"/>
          <w:highlight w:val="none"/>
        </w:rPr>
      </w:r>
      <w:r>
        <w:rPr>
          <w:color w:val="000000" w:themeColor="text1"/>
        </w:rPr>
      </w:r>
    </w:p>
    <w:p>
      <w:pPr>
        <w:pStyle w:val="1012"/>
        <w:ind w:left="0" w:right="0" w:firstLine="480"/>
        <w:pageBreakBefore w:val="0"/>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3.</w:t>
      </w:r>
      <w:r>
        <w:rPr>
          <w:rFonts w:hint="eastAsia" w:ascii="宋体" w:hAnsi="宋体" w:eastAsia="宋体" w:cs="宋体"/>
          <w:color w:val="000000" w:themeColor="text1"/>
          <w:sz w:val="24"/>
          <w:szCs w:val="24"/>
          <w:highlight w:val="none"/>
        </w:rPr>
        <w:t xml:space="preserve">煽动分裂国家、破坏国家统一的；</w:t>
      </w:r>
      <w:r>
        <w:rPr>
          <w:rFonts w:hint="eastAsia" w:ascii="宋体" w:hAnsi="宋体" w:eastAsia="宋体" w:cs="宋体"/>
          <w:color w:val="000000" w:themeColor="text1"/>
          <w:sz w:val="24"/>
          <w:szCs w:val="24"/>
          <w:highlight w:val="none"/>
        </w:rPr>
      </w:r>
      <w:r>
        <w:rPr>
          <w:color w:val="000000" w:themeColor="text1"/>
        </w:rPr>
      </w:r>
    </w:p>
    <w:p>
      <w:pPr>
        <w:pStyle w:val="1012"/>
        <w:ind w:left="0" w:right="0" w:firstLine="480"/>
        <w:pageBreakBefore w:val="0"/>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4.</w:t>
      </w:r>
      <w:r>
        <w:rPr>
          <w:rFonts w:hint="eastAsia" w:ascii="宋体" w:hAnsi="宋体" w:eastAsia="宋体" w:cs="宋体"/>
          <w:color w:val="000000" w:themeColor="text1"/>
          <w:sz w:val="24"/>
          <w:szCs w:val="24"/>
          <w:highlight w:val="none"/>
        </w:rPr>
        <w:t xml:space="preserve">煽动民族仇恨、民族歧视，破坏民族团结的；</w:t>
      </w:r>
      <w:r>
        <w:rPr>
          <w:rFonts w:hint="eastAsia" w:ascii="宋体" w:hAnsi="宋体" w:eastAsia="宋体" w:cs="宋体"/>
          <w:color w:val="000000" w:themeColor="text1"/>
          <w:sz w:val="24"/>
          <w:szCs w:val="24"/>
          <w:highlight w:val="none"/>
        </w:rPr>
      </w:r>
      <w:r>
        <w:rPr>
          <w:color w:val="000000" w:themeColor="text1"/>
        </w:rPr>
      </w:r>
    </w:p>
    <w:p>
      <w:pPr>
        <w:pStyle w:val="1012"/>
        <w:ind w:left="0" w:right="0" w:firstLine="480"/>
        <w:pageBreakBefore w:val="0"/>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5.</w:t>
      </w:r>
      <w:r>
        <w:rPr>
          <w:rFonts w:hint="eastAsia" w:ascii="宋体" w:hAnsi="宋体" w:eastAsia="宋体" w:cs="宋体"/>
          <w:color w:val="000000" w:themeColor="text1"/>
          <w:sz w:val="24"/>
          <w:szCs w:val="24"/>
          <w:highlight w:val="none"/>
        </w:rPr>
        <w:t xml:space="preserve">捏造或者歪曲事实，散布谣言，扰乱社会秩序，破坏社会稳定的；</w:t>
      </w:r>
      <w:r>
        <w:rPr>
          <w:rFonts w:hint="eastAsia" w:ascii="宋体" w:hAnsi="宋体" w:eastAsia="宋体" w:cs="宋体"/>
          <w:color w:val="000000" w:themeColor="text1"/>
          <w:sz w:val="24"/>
          <w:szCs w:val="24"/>
          <w:highlight w:val="none"/>
        </w:rPr>
      </w:r>
      <w:r>
        <w:rPr>
          <w:color w:val="000000" w:themeColor="text1"/>
        </w:rPr>
      </w:r>
    </w:p>
    <w:p>
      <w:pPr>
        <w:pStyle w:val="1012"/>
        <w:ind w:left="0" w:right="0" w:firstLine="480"/>
        <w:pageBreakBefore w:val="0"/>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6.</w:t>
      </w:r>
      <w:r>
        <w:rPr>
          <w:rFonts w:hint="eastAsia" w:ascii="宋体" w:hAnsi="宋体" w:eastAsia="宋体" w:cs="宋体"/>
          <w:color w:val="000000" w:themeColor="text1"/>
          <w:sz w:val="24"/>
          <w:szCs w:val="24"/>
          <w:highlight w:val="none"/>
        </w:rPr>
        <w:t xml:space="preserve">破坏国家宗教政策，宣扬邪教和封建迷信、淫秽、色情、赌博、暴力、凶杀、恐怖，教唆犯罪的；</w:t>
      </w:r>
      <w:r>
        <w:rPr>
          <w:rFonts w:hint="eastAsia" w:ascii="宋体" w:hAnsi="宋体" w:eastAsia="宋体" w:cs="宋体"/>
          <w:color w:val="000000" w:themeColor="text1"/>
          <w:sz w:val="24"/>
          <w:szCs w:val="24"/>
          <w:highlight w:val="none"/>
        </w:rPr>
      </w:r>
      <w:r>
        <w:rPr>
          <w:color w:val="000000" w:themeColor="text1"/>
        </w:rPr>
      </w:r>
    </w:p>
    <w:p>
      <w:pPr>
        <w:pStyle w:val="1012"/>
        <w:ind w:left="0" w:right="0" w:firstLine="480"/>
        <w:pageBreakBefore w:val="0"/>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7.</w:t>
      </w:r>
      <w:r>
        <w:rPr>
          <w:rFonts w:hint="eastAsia" w:ascii="宋体" w:hAnsi="宋体" w:eastAsia="宋体" w:cs="宋体"/>
          <w:color w:val="000000" w:themeColor="text1"/>
          <w:sz w:val="24"/>
          <w:szCs w:val="24"/>
          <w:highlight w:val="none"/>
        </w:rPr>
        <w:t xml:space="preserve">公然侮辱他人或者捏造事实诽谤他人</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侵害他人合法权益的；</w:t>
      </w:r>
      <w:r>
        <w:rPr>
          <w:rFonts w:hint="eastAsia" w:ascii="宋体" w:hAnsi="宋体" w:eastAsia="宋体" w:cs="宋体"/>
          <w:color w:val="000000" w:themeColor="text1"/>
          <w:sz w:val="24"/>
          <w:szCs w:val="24"/>
          <w:highlight w:val="none"/>
        </w:rPr>
      </w:r>
      <w:r>
        <w:rPr>
          <w:color w:val="000000" w:themeColor="text1"/>
        </w:rPr>
      </w:r>
    </w:p>
    <w:p>
      <w:pPr>
        <w:pStyle w:val="1012"/>
        <w:ind w:left="0" w:right="0" w:firstLine="480"/>
        <w:pageBreakBefore w:val="0"/>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8.</w:t>
      </w:r>
      <w:r>
        <w:rPr>
          <w:rFonts w:hint="eastAsia" w:ascii="宋体" w:hAnsi="宋体" w:eastAsia="宋体" w:cs="宋体"/>
          <w:color w:val="000000" w:themeColor="text1"/>
          <w:sz w:val="24"/>
          <w:szCs w:val="24"/>
          <w:highlight w:val="none"/>
        </w:rPr>
        <w:t xml:space="preserve">损害国家和/或者国家机关信誉和/或者利益的；</w:t>
      </w:r>
      <w:r>
        <w:rPr>
          <w:rFonts w:hint="eastAsia" w:ascii="宋体" w:hAnsi="宋体" w:eastAsia="宋体" w:cs="宋体"/>
          <w:color w:val="000000" w:themeColor="text1"/>
          <w:sz w:val="24"/>
          <w:szCs w:val="24"/>
          <w:highlight w:val="none"/>
        </w:rPr>
      </w:r>
      <w:r>
        <w:rPr>
          <w:color w:val="000000" w:themeColor="text1"/>
        </w:rPr>
      </w:r>
    </w:p>
    <w:p>
      <w:pPr>
        <w:pStyle w:val="1012"/>
        <w:ind w:left="0" w:right="0" w:firstLine="480"/>
        <w:pageBreakBefore w:val="0"/>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9.</w:t>
      </w:r>
      <w:r>
        <w:rPr>
          <w:rFonts w:hint="eastAsia" w:ascii="宋体" w:hAnsi="宋体" w:eastAsia="宋体" w:cs="宋体"/>
          <w:color w:val="000000" w:themeColor="text1"/>
          <w:sz w:val="24"/>
          <w:szCs w:val="24"/>
          <w:highlight w:val="none"/>
        </w:rPr>
        <w:t xml:space="preserve">其他违反宪法和法律、行政法规的。</w:t>
      </w:r>
      <w:r>
        <w:rPr>
          <w:rFonts w:hint="eastAsia" w:ascii="宋体" w:hAnsi="宋体" w:eastAsia="宋体" w:cs="宋体"/>
          <w:color w:val="000000" w:themeColor="text1"/>
          <w:sz w:val="24"/>
          <w:szCs w:val="24"/>
          <w:highlight w:val="none"/>
        </w:rPr>
      </w:r>
      <w:r>
        <w:rPr>
          <w:color w:val="000000" w:themeColor="text1"/>
        </w:rPr>
      </w:r>
    </w:p>
    <w:p>
      <w:pPr>
        <w:pStyle w:val="1012"/>
        <w:ind w:left="0" w:right="0" w:firstLine="480"/>
        <w:pageBreakBefore w:val="0"/>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第三条，</w:t>
      </w:r>
      <w:r>
        <w:rPr>
          <w:rFonts w:hint="eastAsia" w:ascii="宋体" w:hAnsi="宋体" w:eastAsia="宋体" w:cs="宋体"/>
          <w:color w:val="000000" w:themeColor="text1"/>
          <w:sz w:val="24"/>
          <w:szCs w:val="24"/>
          <w:highlight w:val="none"/>
        </w:rPr>
        <w:t xml:space="preserve">不得利用</w:t>
      </w:r>
      <w:r>
        <w:rPr>
          <w:rFonts w:hint="eastAsia" w:ascii="宋体" w:hAnsi="宋体" w:eastAsia="宋体" w:cs="宋体"/>
          <w:color w:val="000000" w:themeColor="text1"/>
          <w:sz w:val="24"/>
          <w:szCs w:val="24"/>
          <w:highlight w:val="none"/>
          <w:lang w:val="en-US" w:eastAsia="zh-CN"/>
        </w:rPr>
        <w:t xml:space="preserve">本医院产品</w:t>
      </w:r>
      <w:r>
        <w:rPr>
          <w:rFonts w:hint="eastAsia" w:ascii="宋体" w:hAnsi="宋体" w:eastAsia="宋体" w:cs="宋体"/>
          <w:color w:val="000000" w:themeColor="text1"/>
          <w:sz w:val="24"/>
          <w:szCs w:val="24"/>
          <w:highlight w:val="none"/>
        </w:rPr>
        <w:t xml:space="preserve">从事下列危害计算机信息网络安全的活动：</w:t>
      </w:r>
      <w:r>
        <w:rPr>
          <w:rFonts w:hint="eastAsia" w:ascii="宋体" w:hAnsi="宋体" w:eastAsia="宋体" w:cs="宋体"/>
          <w:color w:val="000000" w:themeColor="text1"/>
          <w:sz w:val="24"/>
          <w:szCs w:val="24"/>
          <w:highlight w:val="none"/>
        </w:rPr>
      </w:r>
      <w:r>
        <w:rPr>
          <w:color w:val="000000" w:themeColor="text1"/>
        </w:rPr>
      </w:r>
    </w:p>
    <w:p>
      <w:pPr>
        <w:pStyle w:val="1012"/>
        <w:ind w:left="0" w:right="0" w:firstLine="480"/>
        <w:pageBreakBefore w:val="0"/>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1.</w:t>
      </w:r>
      <w:r>
        <w:rPr>
          <w:rFonts w:hint="eastAsia" w:ascii="宋体" w:hAnsi="宋体" w:eastAsia="宋体" w:cs="宋体"/>
          <w:color w:val="000000" w:themeColor="text1"/>
          <w:sz w:val="24"/>
          <w:szCs w:val="24"/>
          <w:highlight w:val="none"/>
        </w:rPr>
        <w:t xml:space="preserve">未经允许，进入计算机信息网络或者使用计算机信息网络资源的；</w:t>
      </w:r>
      <w:r>
        <w:rPr>
          <w:rFonts w:hint="eastAsia" w:ascii="宋体" w:hAnsi="宋体" w:eastAsia="宋体" w:cs="宋体"/>
          <w:color w:val="000000" w:themeColor="text1"/>
          <w:sz w:val="24"/>
          <w:szCs w:val="24"/>
          <w:highlight w:val="none"/>
        </w:rPr>
      </w:r>
      <w:r>
        <w:rPr>
          <w:color w:val="000000" w:themeColor="text1"/>
        </w:rPr>
      </w:r>
    </w:p>
    <w:p>
      <w:pPr>
        <w:pStyle w:val="1012"/>
        <w:ind w:left="0" w:right="0" w:firstLine="480"/>
        <w:pageBreakBefore w:val="0"/>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rPr>
        <w:t xml:space="preserve">未经允许，对计算机信息网络功能进行删除、修改或者增加的；</w:t>
      </w:r>
      <w:r>
        <w:rPr>
          <w:rFonts w:hint="eastAsia" w:ascii="宋体" w:hAnsi="宋体" w:eastAsia="宋体" w:cs="宋体"/>
          <w:color w:val="000000" w:themeColor="text1"/>
          <w:sz w:val="24"/>
          <w:szCs w:val="24"/>
          <w:highlight w:val="none"/>
        </w:rPr>
      </w:r>
      <w:r>
        <w:rPr>
          <w:color w:val="000000" w:themeColor="text1"/>
        </w:rPr>
      </w:r>
    </w:p>
    <w:p>
      <w:pPr>
        <w:pStyle w:val="1012"/>
        <w:ind w:left="0" w:right="0" w:firstLine="480"/>
        <w:pageBreakBefore w:val="0"/>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3.</w:t>
      </w:r>
      <w:r>
        <w:rPr>
          <w:rFonts w:hint="eastAsia" w:ascii="宋体" w:hAnsi="宋体" w:eastAsia="宋体" w:cs="宋体"/>
          <w:color w:val="000000" w:themeColor="text1"/>
          <w:sz w:val="24"/>
          <w:szCs w:val="24"/>
          <w:highlight w:val="none"/>
        </w:rPr>
        <w:t xml:space="preserve">故意制作、传播计算机病毒等破坏性程序的；</w:t>
      </w:r>
      <w:r>
        <w:rPr>
          <w:rFonts w:hint="eastAsia" w:ascii="宋体" w:hAnsi="宋体" w:eastAsia="宋体" w:cs="宋体"/>
          <w:color w:val="000000" w:themeColor="text1"/>
          <w:sz w:val="24"/>
          <w:szCs w:val="24"/>
          <w:highlight w:val="none"/>
        </w:rPr>
      </w:r>
      <w:r>
        <w:rPr>
          <w:color w:val="000000" w:themeColor="text1"/>
        </w:rPr>
      </w:r>
    </w:p>
    <w:p>
      <w:pPr>
        <w:pStyle w:val="1012"/>
        <w:ind w:left="0" w:right="0" w:firstLine="480"/>
        <w:pageBreakBefore w:val="0"/>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4.</w:t>
      </w:r>
      <w:r>
        <w:rPr>
          <w:rFonts w:hint="eastAsia" w:ascii="宋体" w:hAnsi="宋体" w:eastAsia="宋体" w:cs="宋体"/>
          <w:color w:val="000000" w:themeColor="text1"/>
          <w:sz w:val="24"/>
          <w:szCs w:val="24"/>
          <w:highlight w:val="none"/>
        </w:rPr>
        <w:t xml:space="preserve">其他危害计算机信息网络安全的。</w:t>
      </w:r>
      <w:r>
        <w:rPr>
          <w:rFonts w:hint="eastAsia" w:ascii="宋体" w:hAnsi="宋体" w:eastAsia="宋体" w:cs="宋体"/>
          <w:color w:val="000000" w:themeColor="text1"/>
          <w:sz w:val="24"/>
          <w:szCs w:val="24"/>
          <w:highlight w:val="none"/>
        </w:rPr>
      </w:r>
      <w:r>
        <w:rPr>
          <w:color w:val="000000" w:themeColor="text1"/>
        </w:rPr>
      </w:r>
    </w:p>
    <w:p>
      <w:pPr>
        <w:pStyle w:val="1012"/>
        <w:ind w:left="0" w:right="0" w:firstLine="482"/>
        <w:pageBreakBefore w:val="0"/>
        <w:spacing w:line="440" w:lineRule="exact"/>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甲乙双方保证遵守以下各项规定：</w:t>
      </w:r>
      <w:r>
        <w:rPr>
          <w:rFonts w:hint="eastAsia" w:ascii="宋体" w:hAnsi="宋体" w:eastAsia="宋体" w:cs="宋体"/>
          <w:b/>
          <w:color w:val="000000" w:themeColor="text1"/>
          <w:sz w:val="24"/>
          <w:szCs w:val="24"/>
          <w:highlight w:val="none"/>
        </w:rPr>
      </w:r>
      <w:r>
        <w:rPr>
          <w:color w:val="000000" w:themeColor="text1"/>
        </w:rPr>
      </w:r>
    </w:p>
    <w:p>
      <w:pPr>
        <w:pStyle w:val="1012"/>
        <w:ind w:left="0" w:right="0" w:firstLine="480"/>
        <w:pageBreakBefore w:val="0"/>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第四条，</w:t>
      </w:r>
      <w:r>
        <w:rPr>
          <w:rFonts w:hint="eastAsia" w:ascii="宋体" w:hAnsi="宋体" w:eastAsia="宋体" w:cs="宋体"/>
          <w:color w:val="000000" w:themeColor="text1"/>
          <w:sz w:val="24"/>
          <w:szCs w:val="24"/>
          <w:highlight w:val="none"/>
        </w:rPr>
        <w:t xml:space="preserve">严格遵守《中华人民共和国网络安全法</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中华人民共和国数据安全法</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中华人民共和国个人信息保护法</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全国人民代表大会常务委员会关于加强网络信息保护的决定》、国务院令第292号《互联网信息服务管理办法》的相关规定，采取技术措施和其他必要措施确保信息安全，在发生或者可能发生信息泄露、毁损、丢失等情况时，立即采取补救措施进行补救。</w:t>
      </w:r>
      <w:r>
        <w:rPr>
          <w:rFonts w:hint="eastAsia" w:ascii="宋体" w:hAnsi="宋体" w:eastAsia="宋体" w:cs="宋体"/>
          <w:color w:val="000000" w:themeColor="text1"/>
          <w:sz w:val="24"/>
          <w:szCs w:val="24"/>
          <w:highlight w:val="none"/>
        </w:rPr>
      </w:r>
      <w:r>
        <w:rPr>
          <w:color w:val="000000" w:themeColor="text1"/>
        </w:rPr>
      </w:r>
    </w:p>
    <w:p>
      <w:pPr>
        <w:pStyle w:val="1012"/>
        <w:ind w:left="0" w:right="0" w:firstLine="480"/>
        <w:pageBreakBefore w:val="0"/>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第五条，</w:t>
      </w:r>
      <w:r>
        <w:rPr>
          <w:rFonts w:hint="eastAsia" w:ascii="宋体" w:hAnsi="宋体" w:eastAsia="宋体" w:cs="宋体"/>
          <w:color w:val="000000" w:themeColor="text1"/>
          <w:sz w:val="24"/>
          <w:szCs w:val="24"/>
          <w:highlight w:val="none"/>
        </w:rPr>
        <w:t xml:space="preserve">甲乙双方在合作过程中，发现存在法律法规明令禁止的情形时，应当立即配合有关部门，停止传输、保存有关记录，并向有关机关或部门报告。</w:t>
      </w:r>
      <w:r>
        <w:rPr>
          <w:rFonts w:hint="eastAsia" w:ascii="宋体" w:hAnsi="宋体" w:eastAsia="宋体" w:cs="宋体"/>
          <w:color w:val="000000" w:themeColor="text1"/>
          <w:sz w:val="24"/>
          <w:szCs w:val="24"/>
          <w:highlight w:val="none"/>
        </w:rPr>
      </w:r>
      <w:r>
        <w:rPr>
          <w:color w:val="000000" w:themeColor="text1"/>
        </w:rPr>
      </w:r>
    </w:p>
    <w:p>
      <w:pPr>
        <w:pStyle w:val="1012"/>
        <w:ind w:left="0" w:right="0" w:firstLine="480"/>
        <w:pageBreakBefore w:val="0"/>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第六条，</w:t>
      </w:r>
      <w:r>
        <w:rPr>
          <w:rFonts w:hint="eastAsia" w:ascii="宋体" w:hAnsi="宋体" w:eastAsia="宋体" w:cs="宋体"/>
          <w:color w:val="000000" w:themeColor="text1"/>
          <w:sz w:val="24"/>
          <w:szCs w:val="24"/>
          <w:highlight w:val="none"/>
        </w:rPr>
        <w:t xml:space="preserve">甲方提供给乙方</w:t>
      </w:r>
      <w:r>
        <w:rPr>
          <w:rFonts w:hint="eastAsia" w:ascii="宋体" w:hAnsi="宋体" w:eastAsia="宋体" w:cs="宋体"/>
          <w:color w:val="000000" w:themeColor="text1"/>
          <w:sz w:val="24"/>
          <w:szCs w:val="24"/>
          <w:highlight w:val="none"/>
          <w:lang w:eastAsia="zh-CN"/>
        </w:rPr>
        <w:t xml:space="preserve">的</w:t>
      </w:r>
      <w:r>
        <w:rPr>
          <w:rFonts w:hint="eastAsia" w:ascii="宋体" w:hAnsi="宋体" w:eastAsia="宋体" w:cs="宋体"/>
          <w:color w:val="000000" w:themeColor="text1"/>
          <w:sz w:val="24"/>
          <w:szCs w:val="24"/>
          <w:highlight w:val="none"/>
        </w:rPr>
        <w:t xml:space="preserve">数据、设备等资源，以及云计算平台上甲方业务系统运行过程中收集、产生、存储的数据和文档等资源属甲方所有。乙方应保障甲方对这些资源的访问、利用、支配，未经甲方授权，不得访问、修改、披露、利用、转让、销毁其数据；在服务合同终止时，应按要求做好数据、文档等资源的移交和清除工作。</w:t>
      </w:r>
      <w:r>
        <w:rPr>
          <w:rFonts w:hint="eastAsia" w:ascii="宋体" w:hAnsi="宋体" w:eastAsia="宋体" w:cs="宋体"/>
          <w:color w:val="000000" w:themeColor="text1"/>
          <w:sz w:val="24"/>
          <w:szCs w:val="24"/>
          <w:highlight w:val="none"/>
        </w:rPr>
      </w:r>
      <w:r>
        <w:rPr>
          <w:color w:val="000000" w:themeColor="text1"/>
        </w:rPr>
      </w:r>
    </w:p>
    <w:p>
      <w:pPr>
        <w:pStyle w:val="1012"/>
        <w:ind w:left="0" w:right="0" w:firstLine="480"/>
        <w:pageBreakBefore w:val="0"/>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第七条，</w:t>
      </w:r>
      <w:r>
        <w:rPr>
          <w:rFonts w:hint="eastAsia" w:ascii="宋体" w:hAnsi="宋体" w:eastAsia="宋体" w:cs="宋体"/>
          <w:color w:val="000000" w:themeColor="text1"/>
          <w:sz w:val="24"/>
          <w:szCs w:val="24"/>
          <w:highlight w:val="none"/>
        </w:rPr>
        <w:t xml:space="preserve">承载甲方数据和业务的云计算平台要参照甲方信息系统进行网络安全管理，乙方应遵守党政信息系统的网络安全政策规定、信息安全等级保护要求、技术标准，落实安全管理和防护措施，接受网络安全主管部门的网络安全监管。</w:t>
      </w:r>
      <w:r>
        <w:rPr>
          <w:rFonts w:hint="eastAsia" w:ascii="宋体" w:hAnsi="宋体" w:eastAsia="宋体" w:cs="宋体"/>
          <w:color w:val="000000" w:themeColor="text1"/>
          <w:sz w:val="24"/>
          <w:szCs w:val="24"/>
          <w:highlight w:val="none"/>
        </w:rPr>
      </w:r>
      <w:r>
        <w:rPr>
          <w:color w:val="000000" w:themeColor="text1"/>
        </w:rPr>
      </w:r>
    </w:p>
    <w:p>
      <w:pPr>
        <w:pStyle w:val="1012"/>
        <w:ind w:left="0" w:right="0" w:firstLine="480"/>
        <w:pageBreakBefore w:val="0"/>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第八条，</w:t>
      </w:r>
      <w:r>
        <w:rPr>
          <w:rFonts w:hint="eastAsia" w:ascii="宋体" w:hAnsi="宋体" w:eastAsia="宋体" w:cs="宋体"/>
          <w:color w:val="000000" w:themeColor="text1"/>
          <w:sz w:val="24"/>
          <w:szCs w:val="24"/>
          <w:highlight w:val="none"/>
        </w:rPr>
        <w:t xml:space="preserve">甲乙双方合作的云计算服务平台、数据中心等要设在境内。敏感信息未经批准不得在境外传输、处理、存储。</w:t>
      </w:r>
      <w:r>
        <w:rPr>
          <w:rFonts w:hint="eastAsia" w:ascii="宋体" w:hAnsi="宋体" w:eastAsia="宋体" w:cs="宋体"/>
          <w:color w:val="000000" w:themeColor="text1"/>
          <w:sz w:val="24"/>
          <w:szCs w:val="24"/>
          <w:highlight w:val="none"/>
        </w:rPr>
      </w:r>
      <w:r>
        <w:rPr>
          <w:color w:val="000000" w:themeColor="text1"/>
        </w:rPr>
      </w:r>
    </w:p>
    <w:p>
      <w:pPr>
        <w:pStyle w:val="1012"/>
        <w:ind w:left="0" w:right="0" w:firstLine="480"/>
        <w:pageBreakBefore w:val="0"/>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第九条，</w:t>
      </w:r>
      <w:r>
        <w:rPr>
          <w:rFonts w:hint="eastAsia" w:ascii="宋体" w:hAnsi="宋体" w:eastAsia="宋体" w:cs="宋体"/>
          <w:color w:val="000000" w:themeColor="text1"/>
          <w:sz w:val="24"/>
          <w:szCs w:val="24"/>
          <w:highlight w:val="none"/>
        </w:rPr>
        <w:t xml:space="preserve">乙方将采取合理且适当的安全措施，旨在帮助甲方保护甲方的内容免受意外或非法的损失、访问或披露。未经甲方的授权，乙方不会查看、使用、向第三方分发甲方的内容，除非：</w:t>
      </w:r>
      <w:r>
        <w:rPr>
          <w:rFonts w:hint="eastAsia" w:ascii="宋体" w:hAnsi="宋体" w:eastAsia="宋体" w:cs="宋体"/>
          <w:color w:val="000000" w:themeColor="text1"/>
          <w:sz w:val="24"/>
          <w:szCs w:val="24"/>
          <w:highlight w:val="none"/>
        </w:rPr>
      </w:r>
      <w:r>
        <w:rPr>
          <w:color w:val="000000" w:themeColor="text1"/>
        </w:rPr>
      </w:r>
    </w:p>
    <w:p>
      <w:pPr>
        <w:pStyle w:val="1012"/>
        <w:ind w:left="0" w:right="0" w:firstLine="480"/>
        <w:pageBreakBefore w:val="0"/>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1.为遵守法律或政府机构发布的具有约束力的命令所需。</w:t>
      </w:r>
      <w:r>
        <w:rPr>
          <w:rFonts w:hint="eastAsia" w:ascii="宋体" w:hAnsi="宋体" w:eastAsia="宋体" w:cs="宋体"/>
          <w:color w:val="000000" w:themeColor="text1"/>
          <w:sz w:val="24"/>
          <w:szCs w:val="24"/>
          <w:highlight w:val="none"/>
        </w:rPr>
      </w:r>
      <w:r>
        <w:rPr>
          <w:color w:val="000000" w:themeColor="text1"/>
        </w:rPr>
      </w:r>
    </w:p>
    <w:p>
      <w:pPr>
        <w:pStyle w:val="1012"/>
        <w:ind w:left="0" w:right="0" w:firstLine="480"/>
        <w:pageBreakBefore w:val="0"/>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2.为维护合法权益而提起的诉讼或仲裁所需。</w:t>
      </w:r>
      <w:r>
        <w:rPr>
          <w:rFonts w:hint="eastAsia" w:ascii="宋体" w:hAnsi="宋体" w:eastAsia="宋体" w:cs="宋体"/>
          <w:color w:val="000000" w:themeColor="text1"/>
          <w:sz w:val="24"/>
          <w:szCs w:val="24"/>
          <w:highlight w:val="none"/>
        </w:rPr>
      </w:r>
      <w:r>
        <w:rPr>
          <w:color w:val="000000" w:themeColor="text1"/>
        </w:rPr>
      </w:r>
    </w:p>
    <w:p>
      <w:pPr>
        <w:pStyle w:val="1012"/>
        <w:ind w:left="0" w:right="0" w:firstLine="480"/>
        <w:pageBreakBefore w:val="0"/>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第十条，</w:t>
      </w:r>
      <w:r>
        <w:rPr>
          <w:rFonts w:hint="eastAsia" w:ascii="宋体" w:hAnsi="宋体" w:eastAsia="宋体" w:cs="宋体"/>
          <w:color w:val="000000" w:themeColor="text1"/>
          <w:sz w:val="24"/>
          <w:szCs w:val="24"/>
          <w:highlight w:val="none"/>
        </w:rPr>
        <w:t xml:space="preserve">甲方应正确地配置和使用乙方提供的服务，并自行采取一定的安全性措施，对甲方的内容进行保护和备份，包括但不限于使用加密技术、防止甲方的内容被擅自访问，并对甲方的内容进行日常存档。</w:t>
      </w:r>
      <w:r>
        <w:rPr>
          <w:rFonts w:hint="eastAsia" w:ascii="宋体" w:hAnsi="宋体" w:eastAsia="宋体" w:cs="宋体"/>
          <w:color w:val="000000" w:themeColor="text1"/>
          <w:sz w:val="24"/>
          <w:szCs w:val="24"/>
          <w:highlight w:val="none"/>
        </w:rPr>
      </w:r>
      <w:r>
        <w:rPr>
          <w:color w:val="000000" w:themeColor="text1"/>
        </w:rPr>
      </w:r>
    </w:p>
    <w:p>
      <w:pPr>
        <w:pStyle w:val="1012"/>
        <w:ind w:left="0" w:right="0" w:firstLine="480"/>
        <w:pageBreakBefore w:val="0"/>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第十一条，</w:t>
      </w:r>
      <w:r>
        <w:rPr>
          <w:rFonts w:hint="eastAsia" w:ascii="宋体" w:hAnsi="宋体" w:eastAsia="宋体" w:cs="宋体"/>
          <w:color w:val="000000" w:themeColor="text1"/>
          <w:sz w:val="24"/>
          <w:szCs w:val="24"/>
          <w:highlight w:val="none"/>
        </w:rPr>
        <w:t xml:space="preserve">对于由甲方的内容引起的安全漏洞，包括但不限于病毒、特洛伊木马、蠕虫或甲方的内容中包含的其他有害编程惯例，或对于甲方未按本协议约定使用乙方服务而引起的安全漏洞，甲方应承担责任。</w:t>
      </w:r>
      <w:r>
        <w:rPr>
          <w:rFonts w:hint="eastAsia" w:ascii="宋体" w:hAnsi="宋体" w:eastAsia="宋体" w:cs="宋体"/>
          <w:color w:val="000000" w:themeColor="text1"/>
          <w:sz w:val="24"/>
          <w:szCs w:val="24"/>
          <w:highlight w:val="none"/>
        </w:rPr>
      </w:r>
      <w:r>
        <w:rPr>
          <w:color w:val="000000" w:themeColor="text1"/>
        </w:rPr>
      </w:r>
    </w:p>
    <w:p>
      <w:pPr>
        <w:pStyle w:val="1012"/>
        <w:ind w:left="0" w:right="0"/>
        <w:pageBreakBefore w:val="0"/>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【本文结束】</w:t>
      </w:r>
      <w:r>
        <w:rPr>
          <w:rFonts w:hint="eastAsia" w:ascii="宋体" w:hAnsi="宋体" w:eastAsia="宋体" w:cs="宋体"/>
          <w:color w:val="000000" w:themeColor="text1"/>
          <w:sz w:val="24"/>
          <w:szCs w:val="24"/>
          <w:highlight w:val="none"/>
        </w:rPr>
      </w:r>
      <w:r>
        <w:rPr>
          <w:color w:val="000000" w:themeColor="text1"/>
        </w:rPr>
      </w:r>
    </w:p>
    <w:p>
      <w:pPr>
        <w:pStyle w:val="1012"/>
        <w:ind w:left="0" w:right="0" w:firstLine="0"/>
        <w:pageBreakBefore w:val="0"/>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1012"/>
        <w:ind w:left="0" w:right="0" w:firstLine="0"/>
        <w:pageBreakBefore w:val="0"/>
        <w:spacing w:line="440" w:lineRule="exact"/>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p>
    <w:p>
      <w:pPr>
        <w:pStyle w:val="1012"/>
        <w:ind w:left="0" w:right="0" w:firstLine="0"/>
        <w:pageBreakBefore w:val="0"/>
        <w:spacing w:line="440" w:lineRule="exact"/>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p>
    <w:p>
      <w:pPr>
        <w:pStyle w:val="1012"/>
        <w:ind w:left="0" w:right="0" w:firstLine="0"/>
        <w:pageBreakBefore w:val="0"/>
        <w:spacing w:line="440" w:lineRule="exact"/>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p>
    <w:p>
      <w:pPr>
        <w:pStyle w:val="1012"/>
        <w:ind w:left="0" w:right="0" w:firstLine="0"/>
        <w:pageBreakBefore w:val="0"/>
        <w:spacing w:line="440" w:lineRule="exact"/>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p>
    <w:p>
      <w:pPr>
        <w:pStyle w:val="1012"/>
        <w:ind w:left="0" w:right="0" w:firstLine="0"/>
        <w:pageBreakBefore w:val="0"/>
        <w:spacing w:line="440" w:lineRule="exact"/>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p>
    <w:p>
      <w:pPr>
        <w:pStyle w:val="1012"/>
        <w:ind w:left="0" w:right="0" w:firstLine="0"/>
        <w:pageBreakBefore w:val="0"/>
        <w:spacing w:line="440" w:lineRule="exact"/>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p>
    <w:p>
      <w:pPr>
        <w:pStyle w:val="1012"/>
        <w:ind w:left="0" w:right="0" w:firstLine="0"/>
        <w:pageBreakBefore w:val="0"/>
        <w:spacing w:line="440" w:lineRule="exact"/>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p>
    <w:p>
      <w:pPr>
        <w:pStyle w:val="1012"/>
        <w:ind w:left="0" w:right="0" w:firstLine="0"/>
        <w:pageBreakBefore w:val="0"/>
        <w:spacing w:line="440" w:lineRule="exact"/>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p>
    <w:p>
      <w:pPr>
        <w:pStyle w:val="1012"/>
        <w:numPr>
          <w:ilvl w:val="0"/>
          <w:numId w:val="0"/>
        </w:numPr>
        <w:jc w:val="both"/>
        <w:rPr>
          <w:rFonts w:hint="eastAsia" w:ascii="宋体" w:hAnsi="宋体" w:eastAsia="宋体" w:cs="宋体"/>
          <w:b/>
          <w:bCs/>
          <w:color w:val="000000" w:themeColor="text1"/>
          <w:sz w:val="36"/>
          <w:szCs w:val="36"/>
          <w:highlight w:val="none"/>
        </w:rPr>
        <w:outlineLvl w:val="0"/>
      </w:pPr>
      <w:r>
        <w:rPr>
          <w:color w:val="000000" w:themeColor="text1"/>
        </w:rPr>
      </w:r>
      <w:bookmarkStart w:id="14" w:name="_Toc20278"/>
      <w:r>
        <w:rPr>
          <w:rFonts w:hint="eastAsia" w:ascii="宋体" w:hAnsi="宋体" w:eastAsia="宋体" w:cs="宋体"/>
          <w:b/>
          <w:bCs/>
          <w:color w:val="000000" w:themeColor="text1"/>
          <w:sz w:val="36"/>
          <w:szCs w:val="36"/>
          <w:highlight w:val="none"/>
        </w:rPr>
      </w:r>
      <w:r>
        <w:rPr>
          <w:color w:val="000000" w:themeColor="text1"/>
        </w:rPr>
      </w:r>
    </w:p>
    <w:p>
      <w:pPr>
        <w:pStyle w:val="1012"/>
        <w:numPr>
          <w:ilvl w:val="0"/>
          <w:numId w:val="0"/>
        </w:numPr>
        <w:jc w:val="center"/>
        <w:rPr>
          <w:rFonts w:hint="eastAsia" w:ascii="宋体" w:hAnsi="宋体" w:eastAsia="宋体" w:cs="宋体"/>
          <w:bCs/>
          <w:color w:val="000000" w:themeColor="text1"/>
          <w:sz w:val="21"/>
          <w:szCs w:val="36"/>
          <w:highlight w:val="none"/>
        </w:rPr>
        <w:outlineLvl w:val="0"/>
      </w:pPr>
      <w:r>
        <w:rPr>
          <w:rFonts w:hint="eastAsia" w:ascii="宋体" w:hAnsi="宋体" w:eastAsia="宋体" w:cs="宋体"/>
          <w:b/>
          <w:bCs/>
          <w:color w:val="000000" w:themeColor="text1"/>
          <w:sz w:val="36"/>
          <w:szCs w:val="36"/>
          <w:highlight w:val="none"/>
          <w:lang w:val="en-US" w:eastAsia="zh-CN" w:bidi="ar-SA"/>
        </w:rPr>
        <w:t xml:space="preserve">第六章 </w:t>
      </w:r>
      <w:r>
        <w:rPr>
          <w:rFonts w:hint="eastAsia" w:ascii="宋体" w:hAnsi="宋体" w:eastAsia="宋体" w:cs="宋体"/>
          <w:b/>
          <w:bCs/>
          <w:color w:val="000000" w:themeColor="text1"/>
          <w:sz w:val="36"/>
          <w:szCs w:val="36"/>
          <w:highlight w:val="none"/>
        </w:rPr>
        <w:t xml:space="preserve">采购需求</w:t>
      </w:r>
      <w:bookmarkEnd w:id="14"/>
      <w:r>
        <w:rPr>
          <w:rFonts w:hint="eastAsia" w:ascii="宋体" w:hAnsi="宋体" w:eastAsia="宋体" w:cs="宋体"/>
          <w:bCs/>
          <w:color w:val="000000" w:themeColor="text1"/>
          <w:sz w:val="21"/>
          <w:szCs w:val="36"/>
          <w:highlight w:val="none"/>
        </w:rPr>
      </w:r>
      <w:r>
        <w:rPr>
          <w:color w:val="000000" w:themeColor="text1"/>
        </w:rPr>
      </w:r>
    </w:p>
    <w:p>
      <w:pPr>
        <w:pStyle w:val="1049"/>
        <w:numPr>
          <w:ilvl w:val="0"/>
          <w:numId w:val="12"/>
        </w:numPr>
        <w:ind w:left="-200"/>
        <w:rPr>
          <w:rFonts w:hint="eastAsia" w:ascii="宋体" w:hAnsi="宋体" w:eastAsia="宋体" w:cs="宋体"/>
          <w:color w:val="000000" w:themeColor="text1"/>
          <w:sz w:val="32"/>
          <w:szCs w:val="32"/>
          <w:highlight w:val="none"/>
        </w:rPr>
      </w:pPr>
      <w:r>
        <w:rPr>
          <w:color w:val="000000" w:themeColor="text1"/>
        </w:rPr>
      </w:r>
      <w:bookmarkStart w:id="15" w:name="_Toc31255"/>
      <w:r>
        <w:rPr>
          <w:rFonts w:hint="eastAsia" w:ascii="宋体" w:hAnsi="宋体" w:eastAsia="宋体" w:cs="宋体"/>
          <w:b/>
          <w:bCs/>
          <w:color w:val="000000" w:themeColor="text1"/>
          <w:sz w:val="32"/>
          <w:szCs w:val="32"/>
          <w:highlight w:val="none"/>
          <w:lang w:val="en-US" w:eastAsia="zh-CN"/>
        </w:rPr>
        <w:t xml:space="preserve">设备采购清单</w:t>
      </w:r>
      <w:bookmarkEnd w:id="15"/>
      <w:r>
        <w:rPr>
          <w:rFonts w:hint="eastAsia" w:ascii="宋体" w:hAnsi="宋体" w:eastAsia="宋体" w:cs="宋体"/>
          <w:color w:val="000000" w:themeColor="text1"/>
          <w:sz w:val="32"/>
          <w:szCs w:val="32"/>
          <w:highlight w:val="none"/>
        </w:rPr>
      </w:r>
      <w:r>
        <w:rPr>
          <w:color w:val="000000" w:themeColor="text1"/>
        </w:rPr>
      </w:r>
    </w:p>
    <w:p>
      <w:pPr>
        <w:pStyle w:val="1012"/>
        <w:ind w:left="0" w:right="0" w:firstLine="480"/>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本项目为交钥匙总承包项目，实行固定总价包干。招标清单设备材料数量仅作为参考，中标人应充分踏勘现场、理解全部建设需求，所有为实现 B 级机房建设目标所需的设备、材料、辅材、施工、调试、验收等全部费用均包含在中标总价内。</w:t>
      </w:r>
      <w:r>
        <w:rPr>
          <w:rFonts w:hint="eastAsia" w:ascii="宋体" w:hAnsi="宋体" w:eastAsia="宋体" w:cs="宋体"/>
          <w:i w:val="0"/>
          <w:iCs w:val="0"/>
          <w:color w:val="000000" w:themeColor="text1"/>
          <w:sz w:val="24"/>
          <w:szCs w:val="24"/>
          <w:highlight w:val="none"/>
          <w:u w:val="none"/>
        </w:rPr>
      </w:r>
      <w:r>
        <w:rPr>
          <w:color w:val="000000" w:themeColor="text1"/>
        </w:rPr>
      </w:r>
    </w:p>
    <w:p>
      <w:pPr>
        <w:pStyle w:val="1051"/>
        <w:rPr>
          <w:rFonts w:hint="eastAsia" w:ascii="宋体" w:hAnsi="宋体" w:eastAsia="宋体" w:cs="宋体"/>
          <w:b/>
          <w:bCs/>
          <w:color w:val="000000" w:themeColor="text1"/>
          <w:sz w:val="24"/>
          <w:szCs w:val="20"/>
          <w:highlight w:val="none"/>
        </w:rPr>
      </w:pPr>
      <w:r>
        <w:rPr>
          <w:color w:val="000000" w:themeColor="text1"/>
        </w:rPr>
      </w:r>
      <w:bookmarkStart w:id="16" w:name="_Toc24036"/>
      <w:r>
        <w:rPr>
          <w:rFonts w:hint="eastAsia" w:ascii="宋体" w:hAnsi="宋体" w:eastAsia="宋体" w:cs="宋体"/>
          <w:b/>
          <w:bCs/>
          <w:color w:val="000000" w:themeColor="text1"/>
          <w:sz w:val="24"/>
          <w:szCs w:val="20"/>
          <w:highlight w:val="none"/>
          <w:lang w:val="en-US" w:eastAsia="zh-CN"/>
        </w:rPr>
        <w:t xml:space="preserve">1.1网络安全设备清单</w:t>
      </w:r>
      <w:bookmarkEnd w:id="16"/>
      <w:r>
        <w:rPr>
          <w:rFonts w:hint="eastAsia" w:ascii="宋体" w:hAnsi="宋体" w:eastAsia="宋体" w:cs="宋体"/>
          <w:b/>
          <w:bCs/>
          <w:color w:val="000000" w:themeColor="text1"/>
          <w:sz w:val="24"/>
          <w:szCs w:val="20"/>
          <w:highlight w:val="none"/>
        </w:rPr>
      </w:r>
      <w:r>
        <w:rPr>
          <w:color w:val="000000" w:themeColor="text1"/>
        </w:rPr>
      </w:r>
    </w:p>
    <w:p>
      <w:pPr>
        <w:pStyle w:val="1012"/>
        <w:rPr>
          <w:rFonts w:hint="eastAsia"/>
          <w:color w:val="000000" w:themeColor="text1"/>
          <w:highlight w:val="none"/>
        </w:rPr>
      </w:pPr>
      <w:r>
        <w:rPr>
          <w:rFonts w:hint="eastAsia"/>
          <w:color w:val="000000" w:themeColor="text1"/>
          <w:highlight w:val="none"/>
        </w:rPr>
      </w:r>
      <w:r>
        <w:rPr>
          <w:color w:val="000000" w:themeColor="text1"/>
        </w:rPr>
      </w:r>
    </w:p>
    <w:tbl>
      <w:tblPr>
        <w:tblW w:w="9031" w:type="dxa"/>
        <w:jc w:val="center"/>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 w:type="dxa"/>
          <w:top w:w="-1" w:type="dxa"/>
          <w:right w:w="-1" w:type="dxa"/>
          <w:bottom w:w="-1" w:type="dxa"/>
        </w:tblCellMar>
        <w:tblLook w:val="04A0" w:firstRow="1" w:lastRow="0" w:firstColumn="1" w:lastColumn="0" w:noHBand="0" w:noVBand="1"/>
      </w:tblPr>
      <w:tblGrid>
        <w:gridCol w:w="825"/>
        <w:gridCol w:w="2028"/>
        <w:gridCol w:w="3623"/>
        <w:gridCol w:w="1189"/>
        <w:gridCol w:w="1366"/>
      </w:tblGrid>
      <w:tr>
        <w:trPr/>
        <w:tc>
          <w:tcPr>
            <w:tcMar>
              <w:left w:w="-1" w:type="dxa"/>
              <w:top w:w="-1" w:type="dxa"/>
              <w:right w:w="-1" w:type="dxa"/>
              <w:bottom w:w="-1" w:type="dxa"/>
            </w:tcMar>
            <w:tcW w:w="82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SA"/>
              </w:rPr>
              <w:t xml:space="preserve">序号</w:t>
            </w:r>
            <w:r>
              <w:rPr>
                <w:rFonts w:hint="eastAsia" w:ascii="宋体" w:hAnsi="宋体" w:eastAsia="宋体" w:cs="宋体"/>
                <w:b/>
                <w:bCs/>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2028"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区域</w:t>
            </w:r>
            <w:r>
              <w:rPr>
                <w:rFonts w:hint="eastAsia" w:ascii="宋体" w:hAnsi="宋体" w:eastAsia="宋体" w:cs="宋体"/>
                <w:b/>
                <w:bCs/>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3623" w:type="dxa"/>
            <w:vAlign w:val="center"/>
            <w:textDirection w:val="lrTb"/>
            <w:noWrap w:val="false"/>
          </w:tcPr>
          <w:p>
            <w:pPr>
              <w:pStyle w:val="1012"/>
              <w:ind w:left="0" w:right="0" w:firstLine="0"/>
              <w:jc w:val="left"/>
              <w:keepLines w:val="0"/>
              <w:keepNext w:val="0"/>
              <w:spacing w:line="274" w:lineRule="auto"/>
              <w:widowControl/>
              <w:rPr>
                <w:rFonts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设备名称</w:t>
            </w:r>
            <w:r>
              <w:rPr>
                <w:rFonts w:ascii="宋体" w:hAnsi="宋体" w:eastAsia="宋体" w:cs="宋体"/>
                <w:b/>
                <w:bCs/>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189"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SA"/>
              </w:rPr>
              <w:t xml:space="preserve">单位</w:t>
            </w:r>
            <w:r>
              <w:rPr>
                <w:rFonts w:hint="eastAsia" w:ascii="宋体" w:hAnsi="宋体" w:eastAsia="宋体" w:cs="宋体"/>
                <w:b/>
                <w:bCs/>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3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数量</w:t>
            </w:r>
            <w:r>
              <w:rPr>
                <w:rFonts w:hint="eastAsia" w:ascii="宋体" w:hAnsi="宋体" w:eastAsia="宋体" w:cs="宋体"/>
                <w:b/>
                <w:bCs/>
                <w:i w:val="0"/>
                <w:iCs w:val="0"/>
                <w:color w:val="000000" w:themeColor="text1"/>
                <w:sz w:val="24"/>
                <w:szCs w:val="24"/>
                <w:highlight w:val="none"/>
                <w:u w:val="none"/>
                <w:lang w:val="en-US" w:eastAsia="zh-CN" w:bidi="ar-SA"/>
              </w:rPr>
            </w:r>
            <w:r>
              <w:rPr>
                <w:color w:val="000000" w:themeColor="text1"/>
              </w:rPr>
            </w:r>
          </w:p>
        </w:tc>
      </w:tr>
      <w:tr>
        <w:trPr/>
        <w:tc>
          <w:tcPr>
            <w:gridSpan w:val="5"/>
            <w:tcMar>
              <w:left w:w="-1" w:type="dxa"/>
              <w:top w:w="-1" w:type="dxa"/>
              <w:right w:w="-1" w:type="dxa"/>
              <w:bottom w:w="-1" w:type="dxa"/>
            </w:tcMar>
            <w:tcW w:w="9031"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1.1.1利旧设备清单明细</w:t>
            </w:r>
            <w:r>
              <w:rPr>
                <w:rFonts w:hint="eastAsia" w:ascii="宋体" w:hAnsi="宋体" w:eastAsia="宋体" w:cs="宋体"/>
                <w:b/>
                <w:bCs/>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825" w:type="dxa"/>
            <w:vAlign w:val="center"/>
            <w:textDirection w:val="lrTb"/>
            <w:noWrap w:val="false"/>
          </w:tcPr>
          <w:p>
            <w:pPr>
              <w:pStyle w:val="1012"/>
              <w:ind w:left="0" w:right="0" w:firstLine="0"/>
              <w:jc w:val="center"/>
              <w:keepLines w:val="0"/>
              <w:keepNext w:val="0"/>
              <w:spacing w:line="274" w:lineRule="auto"/>
              <w:widowControl/>
              <w:rPr>
                <w:rFonts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2028" w:type="dxa"/>
            <w:vAlign w:val="center"/>
            <w:vMerge w:val="restart"/>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医疗专网</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3623"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内网核心交换机</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189"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3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82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2028" w:type="dxa"/>
            <w:vAlign w:val="center"/>
            <w:vMerge w:val="continue"/>
            <w:textDirection w:val="lrTb"/>
            <w:noWrap w:val="false"/>
          </w:tcPr>
          <w:p>
            <w:pPr>
              <w:pStyle w:val="1012"/>
              <w:ind w:left="0" w:right="0" w:firstLine="0"/>
              <w:jc w:val="center"/>
              <w:spacing w:line="274" w:lineRule="auto"/>
              <w:widowControl w:val="off"/>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r>
            <w:r/>
          </w:p>
        </w:tc>
        <w:tc>
          <w:tcPr>
            <w:tcMar>
              <w:left w:w="-1" w:type="dxa"/>
              <w:top w:w="-1" w:type="dxa"/>
              <w:right w:w="-1" w:type="dxa"/>
              <w:bottom w:w="-1" w:type="dxa"/>
            </w:tcMar>
            <w:tcW w:w="3623"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防病毒系统</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189"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3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82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2028" w:type="dxa"/>
            <w:vAlign w:val="center"/>
            <w:vMerge w:val="continue"/>
            <w:textDirection w:val="lrTb"/>
            <w:noWrap w:val="false"/>
          </w:tcPr>
          <w:p>
            <w:pPr>
              <w:pStyle w:val="1012"/>
              <w:ind w:left="0" w:right="0" w:firstLine="0"/>
              <w:jc w:val="center"/>
              <w:spacing w:line="274" w:lineRule="auto"/>
              <w:widowControl w:val="off"/>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r>
            <w:r/>
          </w:p>
        </w:tc>
        <w:tc>
          <w:tcPr>
            <w:tcMar>
              <w:left w:w="-1" w:type="dxa"/>
              <w:top w:w="-1" w:type="dxa"/>
              <w:right w:w="-1" w:type="dxa"/>
              <w:bottom w:w="-1" w:type="dxa"/>
            </w:tcMar>
            <w:tcW w:w="3623"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数据库脱敏</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189"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3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82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2028" w:type="dxa"/>
            <w:vAlign w:val="center"/>
            <w:vMerge w:val="continue"/>
            <w:textDirection w:val="lrTb"/>
            <w:noWrap w:val="false"/>
          </w:tcPr>
          <w:p>
            <w:pPr>
              <w:pStyle w:val="1012"/>
              <w:ind w:left="0" w:right="0" w:firstLine="0"/>
              <w:jc w:val="center"/>
              <w:spacing w:line="274" w:lineRule="auto"/>
              <w:widowControl w:val="off"/>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r>
            <w:r/>
          </w:p>
        </w:tc>
        <w:tc>
          <w:tcPr>
            <w:tcMar>
              <w:left w:w="-1" w:type="dxa"/>
              <w:top w:w="-1" w:type="dxa"/>
              <w:right w:w="-1" w:type="dxa"/>
              <w:bottom w:w="-1" w:type="dxa"/>
            </w:tcMar>
            <w:tcW w:w="3623"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时间服务器</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189"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3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82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2028" w:type="dxa"/>
            <w:vAlign w:val="center"/>
            <w:vMerge w:val="continue"/>
            <w:textDirection w:val="lrTb"/>
            <w:noWrap w:val="false"/>
          </w:tcPr>
          <w:p>
            <w:pPr>
              <w:pStyle w:val="1012"/>
              <w:ind w:left="0" w:right="0" w:firstLine="0"/>
              <w:jc w:val="center"/>
              <w:spacing w:line="274" w:lineRule="auto"/>
              <w:widowControl w:val="off"/>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r>
            <w:r/>
          </w:p>
        </w:tc>
        <w:tc>
          <w:tcPr>
            <w:tcMar>
              <w:left w:w="-1" w:type="dxa"/>
              <w:top w:w="-1" w:type="dxa"/>
              <w:right w:w="-1" w:type="dxa"/>
              <w:bottom w:w="-1" w:type="dxa"/>
            </w:tcMar>
            <w:tcW w:w="3623"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电子签名</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189"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3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82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2028" w:type="dxa"/>
            <w:vAlign w:val="center"/>
            <w:vMerge w:val="continue"/>
            <w:textDirection w:val="lrTb"/>
            <w:noWrap w:val="false"/>
          </w:tcPr>
          <w:p>
            <w:pPr>
              <w:pStyle w:val="1012"/>
              <w:ind w:left="0" w:right="0" w:firstLine="0"/>
              <w:jc w:val="center"/>
              <w:spacing w:line="274" w:lineRule="auto"/>
              <w:widowControl w:val="off"/>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r>
            <w:r/>
          </w:p>
        </w:tc>
        <w:tc>
          <w:tcPr>
            <w:tcMar>
              <w:left w:w="-1" w:type="dxa"/>
              <w:top w:w="-1" w:type="dxa"/>
              <w:right w:w="-1" w:type="dxa"/>
              <w:bottom w:w="-1" w:type="dxa"/>
            </w:tcMar>
            <w:tcW w:w="3623"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防统方服务器</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189"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3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82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7</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2028" w:type="dxa"/>
            <w:vAlign w:val="center"/>
            <w:vMerge w:val="continue"/>
            <w:textDirection w:val="lrTb"/>
            <w:noWrap w:val="false"/>
          </w:tcPr>
          <w:p>
            <w:pPr>
              <w:pStyle w:val="1012"/>
              <w:ind w:left="0" w:right="0" w:firstLine="0"/>
              <w:jc w:val="center"/>
              <w:spacing w:line="274" w:lineRule="auto"/>
              <w:widowControl w:val="off"/>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r>
            <w:r/>
          </w:p>
        </w:tc>
        <w:tc>
          <w:tcPr>
            <w:tcMar>
              <w:left w:w="-1" w:type="dxa"/>
              <w:top w:w="-1" w:type="dxa"/>
              <w:right w:w="-1" w:type="dxa"/>
              <w:bottom w:w="-1" w:type="dxa"/>
            </w:tcMar>
            <w:tcW w:w="3623"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VPN</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189"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3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82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8</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2028" w:type="dxa"/>
            <w:vAlign w:val="center"/>
            <w:vMerge w:val="continue"/>
            <w:textDirection w:val="lrTb"/>
            <w:noWrap w:val="false"/>
          </w:tcPr>
          <w:p>
            <w:pPr>
              <w:pStyle w:val="1012"/>
              <w:ind w:left="0" w:right="0" w:firstLine="0"/>
              <w:jc w:val="center"/>
              <w:spacing w:line="274" w:lineRule="auto"/>
              <w:widowControl w:val="off"/>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r>
            <w:r/>
          </w:p>
        </w:tc>
        <w:tc>
          <w:tcPr>
            <w:tcMar>
              <w:left w:w="-1" w:type="dxa"/>
              <w:top w:w="-1" w:type="dxa"/>
              <w:right w:w="-1" w:type="dxa"/>
              <w:bottom w:w="-1" w:type="dxa"/>
            </w:tcMar>
            <w:tcW w:w="3623"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堡垒机</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189"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3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82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9</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2028" w:type="dxa"/>
            <w:vAlign w:val="center"/>
            <w:vMerge w:val="continue"/>
            <w:textDirection w:val="lrTb"/>
            <w:noWrap w:val="false"/>
          </w:tcPr>
          <w:p>
            <w:pPr>
              <w:pStyle w:val="1012"/>
              <w:ind w:left="0" w:right="0" w:firstLine="0"/>
              <w:jc w:val="center"/>
              <w:spacing w:line="274" w:lineRule="auto"/>
              <w:widowControl w:val="off"/>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r>
            <w:r/>
          </w:p>
        </w:tc>
        <w:tc>
          <w:tcPr>
            <w:tcMar>
              <w:left w:w="-1" w:type="dxa"/>
              <w:top w:w="-1" w:type="dxa"/>
              <w:right w:w="-1" w:type="dxa"/>
              <w:bottom w:w="-1" w:type="dxa"/>
            </w:tcMar>
            <w:tcW w:w="3623"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内外网网闸</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189"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3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82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10</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2028" w:type="dxa"/>
            <w:vAlign w:val="center"/>
            <w:vMerge w:val="continue"/>
            <w:textDirection w:val="lrTb"/>
            <w:noWrap w:val="false"/>
          </w:tcPr>
          <w:p>
            <w:pPr>
              <w:pStyle w:val="1012"/>
              <w:ind w:left="0" w:right="0" w:firstLine="0"/>
              <w:jc w:val="center"/>
              <w:spacing w:line="274" w:lineRule="auto"/>
              <w:widowControl w:val="off"/>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r>
            <w:r/>
          </w:p>
        </w:tc>
        <w:tc>
          <w:tcPr>
            <w:tcMar>
              <w:left w:w="-1" w:type="dxa"/>
              <w:top w:w="-1" w:type="dxa"/>
              <w:right w:w="-1" w:type="dxa"/>
              <w:bottom w:w="-1" w:type="dxa"/>
            </w:tcMar>
            <w:tcW w:w="3623"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内网集群交换机</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189"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3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82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2028" w:type="dxa"/>
            <w:vAlign w:val="center"/>
            <w:vMerge w:val="continue"/>
            <w:textDirection w:val="lrTb"/>
            <w:noWrap w:val="false"/>
          </w:tcPr>
          <w:p>
            <w:pPr>
              <w:pStyle w:val="1012"/>
              <w:ind w:left="0" w:right="0" w:firstLine="0"/>
              <w:jc w:val="center"/>
              <w:spacing w:line="274" w:lineRule="auto"/>
              <w:widowControl w:val="off"/>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r>
            <w:r/>
          </w:p>
        </w:tc>
        <w:tc>
          <w:tcPr>
            <w:tcMar>
              <w:left w:w="-1" w:type="dxa"/>
              <w:top w:w="-1" w:type="dxa"/>
              <w:right w:w="-1" w:type="dxa"/>
              <w:bottom w:w="-1" w:type="dxa"/>
            </w:tcMar>
            <w:tcW w:w="3623"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内网服务器存储管理</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189"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3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82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2028" w:type="dxa"/>
            <w:vAlign w:val="center"/>
            <w:vMerge w:val="continue"/>
            <w:textDirection w:val="lrTb"/>
            <w:noWrap w:val="false"/>
          </w:tcPr>
          <w:p>
            <w:pPr>
              <w:pStyle w:val="1012"/>
              <w:ind w:left="0" w:right="0" w:firstLine="0"/>
              <w:jc w:val="center"/>
              <w:spacing w:line="274" w:lineRule="auto"/>
              <w:widowControl w:val="off"/>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r>
            <w:r/>
          </w:p>
        </w:tc>
        <w:tc>
          <w:tcPr>
            <w:tcMar>
              <w:left w:w="-1" w:type="dxa"/>
              <w:top w:w="-1" w:type="dxa"/>
              <w:right w:w="-1" w:type="dxa"/>
              <w:bottom w:w="-1" w:type="dxa"/>
            </w:tcMar>
            <w:tcW w:w="3623"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内网集群</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189"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3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82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13</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2028" w:type="dxa"/>
            <w:vAlign w:val="center"/>
            <w:vMerge w:val="continue"/>
            <w:textDirection w:val="lrTb"/>
            <w:noWrap w:val="false"/>
          </w:tcPr>
          <w:p>
            <w:pPr>
              <w:pStyle w:val="1012"/>
              <w:ind w:left="0" w:right="0" w:firstLine="0"/>
              <w:jc w:val="center"/>
              <w:spacing w:line="274" w:lineRule="auto"/>
              <w:widowControl w:val="off"/>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r>
            <w:r/>
          </w:p>
        </w:tc>
        <w:tc>
          <w:tcPr>
            <w:tcMar>
              <w:left w:w="-1" w:type="dxa"/>
              <w:top w:w="-1" w:type="dxa"/>
              <w:right w:w="-1" w:type="dxa"/>
              <w:bottom w:w="-1" w:type="dxa"/>
            </w:tcMar>
            <w:tcW w:w="3623"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分布式存储（一）</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189"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3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82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14</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2028" w:type="dxa"/>
            <w:vAlign w:val="center"/>
            <w:vMerge w:val="restart"/>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外网区域</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3623"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外网防火墙</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189"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3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82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15</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2028" w:type="dxa"/>
            <w:vAlign w:val="center"/>
            <w:vMerge w:val="continue"/>
            <w:textDirection w:val="lrTb"/>
            <w:noWrap w:val="false"/>
          </w:tcPr>
          <w:p>
            <w:pPr>
              <w:pStyle w:val="1012"/>
              <w:ind w:left="0" w:right="0" w:firstLine="0"/>
              <w:jc w:val="center"/>
              <w:spacing w:line="274" w:lineRule="auto"/>
              <w:widowControl w:val="off"/>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r>
            <w:r/>
          </w:p>
        </w:tc>
        <w:tc>
          <w:tcPr>
            <w:tcMar>
              <w:left w:w="-1" w:type="dxa"/>
              <w:top w:w="-1" w:type="dxa"/>
              <w:right w:w="-1" w:type="dxa"/>
              <w:bottom w:w="-1" w:type="dxa"/>
            </w:tcMar>
            <w:tcW w:w="3623"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外网WAF</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189"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3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82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16</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2028" w:type="dxa"/>
            <w:vAlign w:val="center"/>
            <w:vMerge w:val="continue"/>
            <w:textDirection w:val="lrTb"/>
            <w:noWrap w:val="false"/>
          </w:tcPr>
          <w:p>
            <w:pPr>
              <w:pStyle w:val="1012"/>
              <w:ind w:left="0" w:right="0" w:firstLine="0"/>
              <w:jc w:val="center"/>
              <w:spacing w:line="274" w:lineRule="auto"/>
              <w:widowControl w:val="off"/>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r>
            <w:r/>
          </w:p>
        </w:tc>
        <w:tc>
          <w:tcPr>
            <w:tcMar>
              <w:left w:w="-1" w:type="dxa"/>
              <w:top w:w="-1" w:type="dxa"/>
              <w:right w:w="-1" w:type="dxa"/>
              <w:bottom w:w="-1" w:type="dxa"/>
            </w:tcMar>
            <w:tcW w:w="3623"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外网服务器存储管理</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189"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3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82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17</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2028" w:type="dxa"/>
            <w:vAlign w:val="center"/>
            <w:vMerge w:val="continue"/>
            <w:textDirection w:val="lrTb"/>
            <w:noWrap w:val="false"/>
          </w:tcPr>
          <w:p>
            <w:pPr>
              <w:pStyle w:val="1012"/>
              <w:ind w:left="0" w:right="0" w:firstLine="0"/>
              <w:jc w:val="center"/>
              <w:spacing w:line="274" w:lineRule="auto"/>
              <w:widowControl w:val="off"/>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r>
            <w:r/>
          </w:p>
        </w:tc>
        <w:tc>
          <w:tcPr>
            <w:tcMar>
              <w:left w:w="-1" w:type="dxa"/>
              <w:top w:w="-1" w:type="dxa"/>
              <w:right w:w="-1" w:type="dxa"/>
              <w:bottom w:w="-1" w:type="dxa"/>
            </w:tcMar>
            <w:tcW w:w="3623"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外网集群交换机</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189"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3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82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18</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2028" w:type="dxa"/>
            <w:vAlign w:val="center"/>
            <w:vMerge w:val="continue"/>
            <w:textDirection w:val="lrTb"/>
            <w:noWrap w:val="false"/>
          </w:tcPr>
          <w:p>
            <w:pPr>
              <w:pStyle w:val="1012"/>
              <w:ind w:left="0" w:right="0" w:firstLine="0"/>
              <w:jc w:val="center"/>
              <w:spacing w:line="274" w:lineRule="auto"/>
              <w:widowControl w:val="off"/>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r>
            <w:r/>
          </w:p>
        </w:tc>
        <w:tc>
          <w:tcPr>
            <w:tcMar>
              <w:left w:w="-1" w:type="dxa"/>
              <w:top w:w="-1" w:type="dxa"/>
              <w:right w:w="-1" w:type="dxa"/>
              <w:bottom w:w="-1" w:type="dxa"/>
            </w:tcMar>
            <w:tcW w:w="3623"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外网集群</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189"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3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gridSpan w:val="4"/>
            <w:tcMar>
              <w:left w:w="-1" w:type="dxa"/>
              <w:top w:w="-1" w:type="dxa"/>
              <w:right w:w="-1" w:type="dxa"/>
              <w:bottom w:w="-1" w:type="dxa"/>
            </w:tcMar>
            <w:tcW w:w="7665"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1.1.2更换设备部分明细</w:t>
            </w:r>
            <w:r>
              <w:rPr>
                <w:rFonts w:hint="eastAsia" w:ascii="宋体" w:hAnsi="宋体" w:eastAsia="宋体" w:cs="宋体"/>
                <w:b/>
                <w:bCs/>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366" w:type="dxa"/>
            <w:vAlign w:val="center"/>
            <w:textDirection w:val="lrTb"/>
            <w:noWrap w:val="false"/>
          </w:tcPr>
          <w:p>
            <w:pPr>
              <w:pStyle w:val="1012"/>
              <w:ind w:left="0" w:right="0" w:firstLine="0"/>
              <w:jc w:val="center"/>
              <w:spacing w:line="274" w:lineRule="auto"/>
              <w:widowControl w:val="off"/>
              <w:rPr>
                <w:rFonts w:hint="eastAsia" w:ascii="宋体" w:hAnsi="宋体" w:eastAsia="宋体" w:cs="宋体"/>
                <w:b/>
                <w:bCs/>
                <w:i w:val="0"/>
                <w:iCs w:val="0"/>
                <w:color w:val="000000" w:themeColor="text1"/>
                <w:sz w:val="24"/>
                <w:szCs w:val="24"/>
                <w:highlight w:val="none"/>
                <w:u w:val="none"/>
              </w:rPr>
            </w:pPr>
            <w:r>
              <w:rPr>
                <w:rFonts w:hint="eastAsia" w:ascii="宋体" w:hAnsi="宋体" w:eastAsia="宋体" w:cs="宋体"/>
                <w:b/>
                <w:bCs/>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82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2028" w:type="dxa"/>
            <w:vAlign w:val="center"/>
            <w:vMerge w:val="restart"/>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医疗专网</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3623"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数据库审计</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189"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3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82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2028" w:type="dxa"/>
            <w:vAlign w:val="center"/>
            <w:vMerge w:val="continue"/>
            <w:textDirection w:val="lrTb"/>
            <w:noWrap w:val="false"/>
          </w:tcPr>
          <w:p>
            <w:pPr>
              <w:pStyle w:val="1012"/>
              <w:ind w:left="0" w:right="0" w:firstLine="0"/>
              <w:jc w:val="center"/>
              <w:spacing w:line="274" w:lineRule="auto"/>
              <w:widowControl w:val="off"/>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r>
            <w:r/>
          </w:p>
        </w:tc>
        <w:tc>
          <w:tcPr>
            <w:tcMar>
              <w:left w:w="-1" w:type="dxa"/>
              <w:top w:w="-1" w:type="dxa"/>
              <w:right w:w="-1" w:type="dxa"/>
              <w:bottom w:w="-1" w:type="dxa"/>
            </w:tcMar>
            <w:tcW w:w="3623"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日志审计</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189"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3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82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2028" w:type="dxa"/>
            <w:vAlign w:val="center"/>
            <w:vMerge w:val="continue"/>
            <w:textDirection w:val="lrTb"/>
            <w:noWrap w:val="false"/>
          </w:tcPr>
          <w:p>
            <w:pPr>
              <w:pStyle w:val="1012"/>
              <w:ind w:left="0" w:right="0" w:firstLine="0"/>
              <w:jc w:val="center"/>
              <w:spacing w:line="274" w:lineRule="auto"/>
              <w:widowControl w:val="off"/>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r>
            <w:r/>
          </w:p>
        </w:tc>
        <w:tc>
          <w:tcPr>
            <w:tcMar>
              <w:left w:w="-1" w:type="dxa"/>
              <w:top w:w="-1" w:type="dxa"/>
              <w:right w:w="-1" w:type="dxa"/>
              <w:bottom w:w="-1" w:type="dxa"/>
            </w:tcMar>
            <w:tcW w:w="3623"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内网边界防火墙(含IPS、AV模块）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189"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3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82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2028" w:type="dxa"/>
            <w:vAlign w:val="center"/>
            <w:vMerge w:val="continue"/>
            <w:textDirection w:val="lrTb"/>
            <w:noWrap w:val="false"/>
          </w:tcPr>
          <w:p>
            <w:pPr>
              <w:pStyle w:val="1012"/>
              <w:ind w:left="0" w:right="0" w:firstLine="0"/>
              <w:jc w:val="center"/>
              <w:spacing w:line="274" w:lineRule="auto"/>
              <w:widowControl w:val="off"/>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r>
            <w:r/>
          </w:p>
        </w:tc>
        <w:tc>
          <w:tcPr>
            <w:tcMar>
              <w:left w:w="-1" w:type="dxa"/>
              <w:top w:w="-1" w:type="dxa"/>
              <w:right w:w="-1" w:type="dxa"/>
              <w:bottom w:w="-1" w:type="dxa"/>
            </w:tcMar>
            <w:tcW w:w="3623"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安全服务（含内网态势感知及探针）</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189"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3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82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2028" w:type="dxa"/>
            <w:vAlign w:val="center"/>
            <w:vMerge w:val="continue"/>
            <w:textDirection w:val="lrTb"/>
            <w:noWrap w:val="false"/>
          </w:tcPr>
          <w:p>
            <w:pPr>
              <w:pStyle w:val="1012"/>
              <w:ind w:left="0" w:right="0" w:firstLine="0"/>
              <w:jc w:val="center"/>
              <w:spacing w:line="274" w:lineRule="auto"/>
              <w:widowControl w:val="off"/>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r>
            <w:r/>
          </w:p>
        </w:tc>
        <w:tc>
          <w:tcPr>
            <w:tcMar>
              <w:left w:w="-1" w:type="dxa"/>
              <w:top w:w="-1" w:type="dxa"/>
              <w:right w:w="-1" w:type="dxa"/>
              <w:bottom w:w="-1" w:type="dxa"/>
            </w:tcMar>
            <w:tcW w:w="3623"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容灾备份恢复一体机</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189"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3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82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2028" w:type="dxa"/>
            <w:vAlign w:val="center"/>
            <w:vMerge w:val="continue"/>
            <w:textDirection w:val="lrTb"/>
            <w:noWrap w:val="false"/>
          </w:tcPr>
          <w:p>
            <w:pPr>
              <w:pStyle w:val="1012"/>
              <w:ind w:left="0" w:right="0" w:firstLine="0"/>
              <w:jc w:val="center"/>
              <w:spacing w:line="274" w:lineRule="auto"/>
              <w:widowControl w:val="off"/>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r>
            <w:r/>
          </w:p>
        </w:tc>
        <w:tc>
          <w:tcPr>
            <w:tcMar>
              <w:left w:w="-1" w:type="dxa"/>
              <w:top w:w="-1" w:type="dxa"/>
              <w:right w:w="-1" w:type="dxa"/>
              <w:bottom w:w="-1" w:type="dxa"/>
            </w:tcMar>
            <w:tcW w:w="3623"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零信任网关</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189" w:type="dxa"/>
            <w:vAlign w:val="center"/>
            <w:textDirection w:val="lrTb"/>
            <w:noWrap w:val="false"/>
          </w:tcPr>
          <w:p>
            <w:pPr>
              <w:pStyle w:val="1012"/>
              <w:ind w:left="0" w:right="0" w:firstLine="0"/>
              <w:jc w:val="center"/>
              <w:spacing w:line="274" w:lineRule="auto"/>
              <w:shd w:val="clear" w:color="auto" w:fill="f9f9f9"/>
              <w:widowControl w:val="off"/>
              <w:rPr>
                <w:rFonts w:hint="eastAsia" w:ascii="宋体" w:hAnsi="宋体" w:eastAsia="宋体" w:cs="宋体"/>
                <w:i w:val="0"/>
                <w:iCs w:val="0"/>
                <w:color w:val="000000" w:themeColor="text1"/>
                <w:sz w:val="24"/>
                <w:szCs w:val="24"/>
                <w:highlight w:val="none"/>
                <w:u w:val="none"/>
              </w:rPr>
              <w:pBdr>
                <w:left w:val="single" w:color="CCCCCC" w:sz="12" w:space="0"/>
              </w:pBdr>
            </w:pPr>
            <w:r>
              <w:rPr>
                <w:rFonts w:hint="eastAsia" w:ascii="宋体" w:hAnsi="宋体" w:eastAsia="宋体" w:cs="宋体"/>
                <w:i w:val="0"/>
                <w:iCs w:val="0"/>
                <w:color w:val="000000" w:themeColor="text1"/>
                <w:sz w:val="24"/>
                <w:szCs w:val="24"/>
                <w:highlight w:val="none"/>
                <w:u w:val="none"/>
                <w:lang w:val="en-US" w:eastAsia="zh-CN" w:bidi="ar"/>
              </w:rPr>
              <w:t xml:space="preserve">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3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82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7</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2028" w:type="dxa"/>
            <w:vAlign w:val="center"/>
            <w:vMerge w:val="continue"/>
            <w:textDirection w:val="lrTb"/>
            <w:noWrap w:val="false"/>
          </w:tcPr>
          <w:p>
            <w:pPr>
              <w:pStyle w:val="1012"/>
              <w:ind w:left="0" w:right="0" w:firstLine="0"/>
              <w:jc w:val="center"/>
              <w:spacing w:line="274" w:lineRule="auto"/>
              <w:widowControl w:val="off"/>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r>
            <w:r/>
          </w:p>
        </w:tc>
        <w:tc>
          <w:tcPr>
            <w:tcMar>
              <w:left w:w="-1" w:type="dxa"/>
              <w:top w:w="-1" w:type="dxa"/>
              <w:right w:w="-1" w:type="dxa"/>
              <w:bottom w:w="-1" w:type="dxa"/>
            </w:tcMar>
            <w:tcW w:w="3623"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准入与桌管系统</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189"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3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82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8</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2028" w:type="dxa"/>
            <w:vAlign w:val="center"/>
            <w:vMerge w:val="continue"/>
            <w:textDirection w:val="lrTb"/>
            <w:noWrap w:val="false"/>
          </w:tcPr>
          <w:p>
            <w:pPr>
              <w:pStyle w:val="1012"/>
              <w:ind w:left="0" w:right="0" w:firstLine="0"/>
              <w:jc w:val="center"/>
              <w:spacing w:line="274" w:lineRule="auto"/>
              <w:widowControl w:val="off"/>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r>
            <w:r/>
          </w:p>
        </w:tc>
        <w:tc>
          <w:tcPr>
            <w:tcMar>
              <w:left w:w="-1" w:type="dxa"/>
              <w:top w:w="-1" w:type="dxa"/>
              <w:right w:w="-1" w:type="dxa"/>
              <w:bottom w:w="-1" w:type="dxa"/>
            </w:tcMar>
            <w:tcW w:w="3623"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防勒索软件扩容升级</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189"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3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82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9</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2028"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外网区域</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3623"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外网核心交换机</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189"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3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gridSpan w:val="4"/>
            <w:tcMar>
              <w:left w:w="-1" w:type="dxa"/>
              <w:top w:w="-1" w:type="dxa"/>
              <w:right w:w="-1" w:type="dxa"/>
              <w:bottom w:w="-1" w:type="dxa"/>
            </w:tcMar>
            <w:tcW w:w="7665"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1.1.3新增设备部分明细</w:t>
            </w:r>
            <w:r>
              <w:rPr>
                <w:rFonts w:hint="eastAsia" w:ascii="宋体" w:hAnsi="宋体" w:eastAsia="宋体" w:cs="宋体"/>
                <w:b/>
                <w:bCs/>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366" w:type="dxa"/>
            <w:vAlign w:val="center"/>
            <w:textDirection w:val="lrTb"/>
            <w:noWrap w:val="false"/>
          </w:tcPr>
          <w:p>
            <w:pPr>
              <w:pStyle w:val="1012"/>
              <w:ind w:left="0" w:right="0" w:firstLine="0"/>
              <w:jc w:val="center"/>
              <w:spacing w:line="274" w:lineRule="auto"/>
              <w:widowControl w:val="off"/>
              <w:rPr>
                <w:rFonts w:hint="eastAsia" w:ascii="宋体" w:hAnsi="宋体" w:eastAsia="宋体" w:cs="宋体"/>
                <w:b/>
                <w:bCs/>
                <w:i w:val="0"/>
                <w:iCs w:val="0"/>
                <w:color w:val="000000" w:themeColor="text1"/>
                <w:sz w:val="24"/>
                <w:szCs w:val="24"/>
                <w:highlight w:val="none"/>
                <w:u w:val="none"/>
              </w:rPr>
            </w:pPr>
            <w:r>
              <w:rPr>
                <w:rFonts w:hint="eastAsia" w:ascii="宋体" w:hAnsi="宋体" w:eastAsia="宋体" w:cs="宋体"/>
                <w:b/>
                <w:bCs/>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82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2028" w:type="dxa"/>
            <w:vAlign w:val="center"/>
            <w:vMerge w:val="restart"/>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医疗专网</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3623"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内网数据中心防火墙（含IPS和AV模块）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189"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3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82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2028" w:type="dxa"/>
            <w:vAlign w:val="center"/>
            <w:vMerge w:val="continue"/>
            <w:textDirection w:val="lrTb"/>
            <w:noWrap w:val="false"/>
          </w:tcPr>
          <w:p>
            <w:pPr>
              <w:pStyle w:val="1012"/>
              <w:ind w:left="0" w:right="0" w:firstLine="0"/>
              <w:jc w:val="center"/>
              <w:spacing w:line="274" w:lineRule="auto"/>
              <w:widowControl w:val="off"/>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r>
            <w:r/>
          </w:p>
        </w:tc>
        <w:tc>
          <w:tcPr>
            <w:tcMar>
              <w:left w:w="-1" w:type="dxa"/>
              <w:top w:w="-1" w:type="dxa"/>
              <w:right w:w="-1" w:type="dxa"/>
              <w:bottom w:w="-1" w:type="dxa"/>
            </w:tcMar>
            <w:tcW w:w="3623"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漏洞扫描系统</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189"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3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82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2028" w:type="dxa"/>
            <w:vAlign w:val="center"/>
            <w:vMerge w:val="continue"/>
            <w:textDirection w:val="lrTb"/>
            <w:noWrap w:val="false"/>
          </w:tcPr>
          <w:p>
            <w:pPr>
              <w:pStyle w:val="1012"/>
              <w:ind w:left="0" w:right="0" w:firstLine="0"/>
              <w:jc w:val="center"/>
              <w:spacing w:line="274" w:lineRule="auto"/>
              <w:widowControl w:val="off"/>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r>
            <w:r/>
          </w:p>
        </w:tc>
        <w:tc>
          <w:tcPr>
            <w:tcMar>
              <w:left w:w="-1" w:type="dxa"/>
              <w:top w:w="-1" w:type="dxa"/>
              <w:right w:w="-1" w:type="dxa"/>
              <w:bottom w:w="-1" w:type="dxa"/>
            </w:tcMar>
            <w:tcW w:w="3623"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内网IT资源一体化管理</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189"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3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82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2028" w:type="dxa"/>
            <w:vAlign w:val="center"/>
            <w:vMerge w:val="restart"/>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外网区域</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3623"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外网出口防火墙（含IPS和AV模块）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189"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3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82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2028" w:type="dxa"/>
            <w:vAlign w:val="center"/>
            <w:vMerge w:val="continue"/>
            <w:textDirection w:val="lrTb"/>
            <w:noWrap w:val="false"/>
          </w:tcPr>
          <w:p>
            <w:pPr>
              <w:pStyle w:val="1012"/>
              <w:ind w:left="0" w:right="0" w:firstLine="0"/>
              <w:jc w:val="center"/>
              <w:spacing w:line="274" w:lineRule="auto"/>
              <w:widowControl w:val="off"/>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r>
            <w:r/>
          </w:p>
        </w:tc>
        <w:tc>
          <w:tcPr>
            <w:tcMar>
              <w:left w:w="-1" w:type="dxa"/>
              <w:top w:w="-1" w:type="dxa"/>
              <w:right w:w="-1" w:type="dxa"/>
              <w:bottom w:w="-1" w:type="dxa"/>
            </w:tcMar>
            <w:tcW w:w="3623"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外网AC（行为审计）</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189"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3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gridSpan w:val="4"/>
            <w:tcMar>
              <w:left w:w="-1" w:type="dxa"/>
              <w:top w:w="-1" w:type="dxa"/>
              <w:right w:w="-1" w:type="dxa"/>
              <w:bottom w:w="-1" w:type="dxa"/>
            </w:tcMar>
            <w:tcW w:w="7665"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1.1.4无线网络设备明细</w:t>
            </w:r>
            <w:r>
              <w:rPr>
                <w:rFonts w:hint="eastAsia" w:ascii="宋体" w:hAnsi="宋体" w:eastAsia="宋体" w:cs="宋体"/>
                <w:b/>
                <w:bCs/>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366" w:type="dxa"/>
            <w:vAlign w:val="center"/>
            <w:textDirection w:val="lrTb"/>
            <w:noWrap w:val="false"/>
          </w:tcPr>
          <w:p>
            <w:pPr>
              <w:pStyle w:val="1012"/>
              <w:ind w:left="0" w:right="0" w:firstLine="0"/>
              <w:jc w:val="center"/>
              <w:spacing w:line="274" w:lineRule="auto"/>
              <w:widowControl w:val="off"/>
              <w:rPr>
                <w:rFonts w:hint="eastAsia" w:ascii="宋体" w:hAnsi="宋体" w:eastAsia="宋体" w:cs="宋体"/>
                <w:b/>
                <w:bCs/>
                <w:i w:val="0"/>
                <w:iCs w:val="0"/>
                <w:color w:val="000000" w:themeColor="text1"/>
                <w:sz w:val="24"/>
                <w:szCs w:val="24"/>
                <w:highlight w:val="none"/>
                <w:u w:val="none"/>
              </w:rPr>
            </w:pPr>
            <w:r>
              <w:rPr>
                <w:rFonts w:hint="eastAsia" w:ascii="宋体" w:hAnsi="宋体" w:eastAsia="宋体" w:cs="宋体"/>
                <w:b/>
                <w:bCs/>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82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2028" w:type="dxa"/>
            <w:vAlign w:val="center"/>
            <w:vMerge w:val="restart"/>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无线网络(门诊外网和住院内网、外网全覆盖）</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3623"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无线控制器</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189"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3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ascii="Arial" w:hAnsi="Arial" w:eastAsia="宋体" w:cs="Arial"/>
                <w:i w:val="0"/>
                <w:iCs w:val="0"/>
                <w:color w:val="000000" w:themeColor="text1"/>
                <w:sz w:val="24"/>
                <w:szCs w:val="24"/>
                <w:highlight w:val="none"/>
                <w:u w:val="none"/>
                <w:lang w:val="en-US" w:eastAsia="zh-CN" w:bidi="ar"/>
              </w:rPr>
              <w:t xml:space="preserve">≥</w:t>
            </w: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82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2028" w:type="dxa"/>
            <w:vAlign w:val="center"/>
            <w:vMerge w:val="continue"/>
            <w:textDirection w:val="lrTb"/>
            <w:noWrap w:val="false"/>
          </w:tcPr>
          <w:p>
            <w:pPr>
              <w:pStyle w:val="1012"/>
              <w:ind w:left="0" w:right="0" w:firstLine="0"/>
              <w:jc w:val="center"/>
              <w:spacing w:line="274" w:lineRule="auto"/>
              <w:widowControl w:val="off"/>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r>
            <w:r/>
          </w:p>
        </w:tc>
        <w:tc>
          <w:tcPr>
            <w:tcMar>
              <w:left w:w="-1" w:type="dxa"/>
              <w:top w:w="-1" w:type="dxa"/>
              <w:right w:w="-1" w:type="dxa"/>
              <w:bottom w:w="-1" w:type="dxa"/>
            </w:tcMar>
            <w:tcW w:w="3623"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吸顶AP</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189"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3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ascii="Arial" w:hAnsi="Arial" w:eastAsia="宋体" w:cs="Arial"/>
                <w:i w:val="0"/>
                <w:iCs w:val="0"/>
                <w:color w:val="000000" w:themeColor="text1"/>
                <w:sz w:val="24"/>
                <w:szCs w:val="24"/>
                <w:highlight w:val="none"/>
                <w:u w:val="none"/>
                <w:lang w:val="en-US" w:eastAsia="zh-CN" w:bidi="ar"/>
              </w:rPr>
              <w:t xml:space="preserve">≥</w:t>
            </w:r>
            <w:r>
              <w:rPr>
                <w:rFonts w:hint="eastAsia" w:ascii="宋体" w:hAnsi="宋体" w:eastAsia="宋体" w:cs="宋体"/>
                <w:i w:val="0"/>
                <w:iCs w:val="0"/>
                <w:color w:val="000000" w:themeColor="text1"/>
                <w:sz w:val="24"/>
                <w:szCs w:val="24"/>
                <w:highlight w:val="none"/>
                <w:u w:val="none"/>
                <w:lang w:val="en-US" w:eastAsia="zh-CN" w:bidi="ar"/>
              </w:rPr>
              <w:t xml:space="preserve">36</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82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2028" w:type="dxa"/>
            <w:vAlign w:val="center"/>
            <w:vMerge w:val="continue"/>
            <w:textDirection w:val="lrTb"/>
            <w:noWrap w:val="false"/>
          </w:tcPr>
          <w:p>
            <w:pPr>
              <w:pStyle w:val="1012"/>
              <w:ind w:left="0" w:right="0" w:firstLine="0"/>
              <w:jc w:val="center"/>
              <w:spacing w:line="274" w:lineRule="auto"/>
              <w:widowControl w:val="off"/>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r>
            <w:r/>
          </w:p>
        </w:tc>
        <w:tc>
          <w:tcPr>
            <w:tcMar>
              <w:left w:w="-1" w:type="dxa"/>
              <w:top w:w="-1" w:type="dxa"/>
              <w:right w:w="-1" w:type="dxa"/>
              <w:bottom w:w="-1" w:type="dxa"/>
            </w:tcMar>
            <w:tcW w:w="3623"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面板AP</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189"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3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ascii="Arial" w:hAnsi="Arial" w:eastAsia="宋体" w:cs="Arial"/>
                <w:i w:val="0"/>
                <w:iCs w:val="0"/>
                <w:color w:val="000000" w:themeColor="text1"/>
                <w:sz w:val="24"/>
                <w:szCs w:val="24"/>
                <w:highlight w:val="none"/>
                <w:u w:val="none"/>
                <w:lang w:val="en-US" w:eastAsia="zh-CN" w:bidi="ar"/>
              </w:rPr>
              <w:t xml:space="preserve">≥</w:t>
            </w:r>
            <w:r>
              <w:rPr>
                <w:rFonts w:hint="eastAsia" w:ascii="宋体" w:hAnsi="宋体" w:eastAsia="宋体" w:cs="宋体"/>
                <w:i w:val="0"/>
                <w:iCs w:val="0"/>
                <w:color w:val="000000" w:themeColor="text1"/>
                <w:sz w:val="24"/>
                <w:szCs w:val="24"/>
                <w:highlight w:val="none"/>
                <w:u w:val="none"/>
                <w:lang w:val="en-US" w:eastAsia="zh-CN" w:bidi="ar"/>
              </w:rPr>
              <w:t xml:space="preserve">121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82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2028" w:type="dxa"/>
            <w:vAlign w:val="center"/>
            <w:vMerge w:val="continue"/>
            <w:textDirection w:val="lrTb"/>
            <w:noWrap w:val="false"/>
          </w:tcPr>
          <w:p>
            <w:pPr>
              <w:pStyle w:val="1012"/>
              <w:ind w:left="0" w:right="0" w:firstLine="0"/>
              <w:jc w:val="center"/>
              <w:spacing w:line="274" w:lineRule="auto"/>
              <w:widowControl w:val="off"/>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r>
            <w:r/>
          </w:p>
        </w:tc>
        <w:tc>
          <w:tcPr>
            <w:tcMar>
              <w:left w:w="-1" w:type="dxa"/>
              <w:top w:w="-1" w:type="dxa"/>
              <w:right w:w="-1" w:type="dxa"/>
              <w:bottom w:w="-1" w:type="dxa"/>
            </w:tcMar>
            <w:tcW w:w="3623"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高密AP</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189"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3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ascii="Arial" w:hAnsi="Arial" w:eastAsia="宋体" w:cs="Arial"/>
                <w:i w:val="0"/>
                <w:iCs w:val="0"/>
                <w:color w:val="000000" w:themeColor="text1"/>
                <w:sz w:val="24"/>
                <w:szCs w:val="24"/>
                <w:highlight w:val="none"/>
                <w:u w:val="none"/>
                <w:lang w:val="en-US" w:eastAsia="zh-CN" w:bidi="ar"/>
              </w:rPr>
              <w:t xml:space="preserve">≥</w:t>
            </w: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82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2028" w:type="dxa"/>
            <w:vAlign w:val="center"/>
            <w:vMerge w:val="continue"/>
            <w:textDirection w:val="lrTb"/>
            <w:noWrap w:val="false"/>
          </w:tcPr>
          <w:p>
            <w:pPr>
              <w:pStyle w:val="1012"/>
              <w:ind w:left="0" w:right="0" w:firstLine="0"/>
              <w:jc w:val="center"/>
              <w:spacing w:line="274" w:lineRule="auto"/>
              <w:widowControl w:val="off"/>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r>
            <w:r/>
          </w:p>
        </w:tc>
        <w:tc>
          <w:tcPr>
            <w:tcMar>
              <w:left w:w="-1" w:type="dxa"/>
              <w:top w:w="-1" w:type="dxa"/>
              <w:right w:w="-1" w:type="dxa"/>
              <w:bottom w:w="-1" w:type="dxa"/>
            </w:tcMar>
            <w:tcW w:w="3623"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24口无线POE交换机（含2个千兆光模块）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189"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3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ascii="Arial" w:hAnsi="Arial" w:eastAsia="宋体" w:cs="Arial"/>
                <w:i w:val="0"/>
                <w:iCs w:val="0"/>
                <w:color w:val="000000" w:themeColor="text1"/>
                <w:sz w:val="24"/>
                <w:szCs w:val="24"/>
                <w:highlight w:val="none"/>
                <w:u w:val="none"/>
                <w:lang w:val="en-US" w:eastAsia="zh-CN" w:bidi="ar"/>
              </w:rPr>
              <w:t xml:space="preserve">≥</w:t>
            </w:r>
            <w:r>
              <w:rPr>
                <w:rFonts w:hint="eastAsia" w:ascii="宋体" w:hAnsi="宋体" w:eastAsia="宋体" w:cs="宋体"/>
                <w:i w:val="0"/>
                <w:iCs w:val="0"/>
                <w:color w:val="000000" w:themeColor="text1"/>
                <w:sz w:val="24"/>
                <w:szCs w:val="24"/>
                <w:highlight w:val="none"/>
                <w:u w:val="none"/>
                <w:lang w:val="en-US" w:eastAsia="zh-CN" w:bidi="ar"/>
              </w:rPr>
              <w:t xml:space="preserve">14</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82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2028" w:type="dxa"/>
            <w:vAlign w:val="center"/>
            <w:vMerge w:val="continue"/>
            <w:textDirection w:val="lrTb"/>
            <w:noWrap w:val="false"/>
          </w:tcPr>
          <w:p>
            <w:pPr>
              <w:pStyle w:val="1012"/>
              <w:ind w:left="0" w:right="0" w:firstLine="0"/>
              <w:jc w:val="center"/>
              <w:spacing w:line="274" w:lineRule="auto"/>
              <w:widowControl w:val="off"/>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r>
            <w:r/>
          </w:p>
        </w:tc>
        <w:tc>
          <w:tcPr>
            <w:tcMar>
              <w:left w:w="-1" w:type="dxa"/>
              <w:top w:w="-1" w:type="dxa"/>
              <w:right w:w="-1" w:type="dxa"/>
              <w:bottom w:w="-1" w:type="dxa"/>
            </w:tcMar>
            <w:tcW w:w="3623"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8口无线POE交换机（含1个千兆光模块）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189"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3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ascii="Arial" w:hAnsi="Arial" w:eastAsia="宋体" w:cs="Arial"/>
                <w:i w:val="0"/>
                <w:iCs w:val="0"/>
                <w:color w:val="000000" w:themeColor="text1"/>
                <w:sz w:val="24"/>
                <w:szCs w:val="24"/>
                <w:highlight w:val="none"/>
                <w:u w:val="none"/>
                <w:lang w:val="en-US" w:eastAsia="zh-CN" w:bidi="ar"/>
              </w:rPr>
              <w:t xml:space="preserve">≥</w:t>
            </w:r>
            <w:r>
              <w:rPr>
                <w:rFonts w:hint="eastAsia" w:ascii="宋体" w:hAnsi="宋体" w:eastAsia="宋体" w:cs="宋体"/>
                <w:i w:val="0"/>
                <w:iCs w:val="0"/>
                <w:color w:val="000000" w:themeColor="text1"/>
                <w:sz w:val="24"/>
                <w:szCs w:val="24"/>
                <w:highlight w:val="none"/>
                <w:u w:val="none"/>
                <w:lang w:val="en-US" w:eastAsia="zh-CN" w:bidi="ar"/>
              </w:rPr>
              <w:t xml:space="preserve">4</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82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7</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2028" w:type="dxa"/>
            <w:vAlign w:val="center"/>
            <w:vMerge w:val="continue"/>
            <w:textDirection w:val="lrTb"/>
            <w:noWrap w:val="false"/>
          </w:tcPr>
          <w:p>
            <w:pPr>
              <w:pStyle w:val="1012"/>
              <w:ind w:left="0" w:right="0" w:firstLine="0"/>
              <w:jc w:val="center"/>
              <w:spacing w:line="274" w:lineRule="auto"/>
              <w:widowControl w:val="off"/>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r>
            <w:r/>
          </w:p>
        </w:tc>
        <w:tc>
          <w:tcPr>
            <w:tcMar>
              <w:left w:w="-1" w:type="dxa"/>
              <w:top w:w="-1" w:type="dxa"/>
              <w:right w:w="-1" w:type="dxa"/>
              <w:bottom w:w="-1" w:type="dxa"/>
            </w:tcMar>
            <w:tcW w:w="3623"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六类双绞线</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189"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箱</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3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ascii="Arial" w:hAnsi="Arial" w:eastAsia="宋体" w:cs="Arial"/>
                <w:i w:val="0"/>
                <w:iCs w:val="0"/>
                <w:color w:val="000000" w:themeColor="text1"/>
                <w:sz w:val="24"/>
                <w:szCs w:val="24"/>
                <w:highlight w:val="none"/>
                <w:u w:val="none"/>
                <w:lang w:val="en-US" w:eastAsia="zh-CN" w:bidi="ar"/>
              </w:rPr>
              <w:t xml:space="preserve">≥</w:t>
            </w:r>
            <w:r>
              <w:rPr>
                <w:rFonts w:hint="eastAsia" w:ascii="宋体" w:hAnsi="宋体" w:eastAsia="宋体" w:cs="宋体"/>
                <w:i w:val="0"/>
                <w:iCs w:val="0"/>
                <w:color w:val="000000" w:themeColor="text1"/>
                <w:sz w:val="24"/>
                <w:szCs w:val="24"/>
                <w:highlight w:val="none"/>
                <w:u w:val="none"/>
                <w:lang w:val="en-US" w:eastAsia="zh-CN" w:bidi="ar"/>
              </w:rPr>
              <w:t xml:space="preserve">35</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82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8</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2028" w:type="dxa"/>
            <w:vAlign w:val="center"/>
            <w:vMerge w:val="continue"/>
            <w:textDirection w:val="lrTb"/>
            <w:noWrap w:val="false"/>
          </w:tcPr>
          <w:p>
            <w:pPr>
              <w:pStyle w:val="1012"/>
              <w:ind w:left="0" w:right="0" w:firstLine="0"/>
              <w:jc w:val="center"/>
              <w:spacing w:line="274" w:lineRule="auto"/>
              <w:widowControl w:val="off"/>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r>
            <w:r/>
          </w:p>
        </w:tc>
        <w:tc>
          <w:tcPr>
            <w:tcMar>
              <w:left w:w="-1" w:type="dxa"/>
              <w:top w:w="-1" w:type="dxa"/>
              <w:right w:w="-1" w:type="dxa"/>
              <w:bottom w:w="-1" w:type="dxa"/>
            </w:tcMar>
            <w:tcW w:w="3623"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PVC管槽</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189"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米</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3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ascii="Arial" w:hAnsi="Arial" w:eastAsia="宋体" w:cs="Arial"/>
                <w:i w:val="0"/>
                <w:iCs w:val="0"/>
                <w:color w:val="000000" w:themeColor="text1"/>
                <w:sz w:val="24"/>
                <w:szCs w:val="24"/>
                <w:highlight w:val="none"/>
                <w:u w:val="none"/>
                <w:lang w:val="en-US" w:eastAsia="zh-CN" w:bidi="ar"/>
              </w:rPr>
              <w:t xml:space="preserve">≥</w:t>
            </w:r>
            <w:r>
              <w:rPr>
                <w:rFonts w:hint="eastAsia" w:ascii="宋体" w:hAnsi="宋体" w:eastAsia="宋体" w:cs="宋体"/>
                <w:i w:val="0"/>
                <w:iCs w:val="0"/>
                <w:color w:val="000000" w:themeColor="text1"/>
                <w:sz w:val="24"/>
                <w:szCs w:val="24"/>
                <w:highlight w:val="none"/>
                <w:u w:val="none"/>
                <w:lang w:val="en-US" w:eastAsia="zh-CN" w:bidi="ar"/>
              </w:rPr>
              <w:t xml:space="preserve">2500</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82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9</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2028" w:type="dxa"/>
            <w:vAlign w:val="center"/>
            <w:vMerge w:val="continue"/>
            <w:textDirection w:val="lrTb"/>
            <w:noWrap w:val="false"/>
          </w:tcPr>
          <w:p>
            <w:pPr>
              <w:pStyle w:val="1012"/>
              <w:ind w:left="0" w:right="0" w:firstLine="0"/>
              <w:jc w:val="center"/>
              <w:spacing w:line="274" w:lineRule="auto"/>
              <w:widowControl w:val="off"/>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r>
            <w:r/>
          </w:p>
        </w:tc>
        <w:tc>
          <w:tcPr>
            <w:tcMar>
              <w:left w:w="-1" w:type="dxa"/>
              <w:top w:w="-1" w:type="dxa"/>
              <w:right w:w="-1" w:type="dxa"/>
              <w:bottom w:w="-1" w:type="dxa"/>
            </w:tcMar>
            <w:tcW w:w="3623"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电源线</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189"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米</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3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ascii="Arial" w:hAnsi="Arial" w:eastAsia="宋体" w:cs="Arial"/>
                <w:i w:val="0"/>
                <w:iCs w:val="0"/>
                <w:color w:val="000000" w:themeColor="text1"/>
                <w:sz w:val="24"/>
                <w:szCs w:val="24"/>
                <w:highlight w:val="none"/>
                <w:u w:val="none"/>
                <w:lang w:val="en-US" w:eastAsia="zh-CN" w:bidi="ar"/>
              </w:rPr>
              <w:t xml:space="preserve">≥</w:t>
            </w:r>
            <w:r>
              <w:rPr>
                <w:rFonts w:hint="eastAsia" w:ascii="宋体" w:hAnsi="宋体" w:eastAsia="宋体" w:cs="宋体"/>
                <w:i w:val="0"/>
                <w:iCs w:val="0"/>
                <w:color w:val="000000" w:themeColor="text1"/>
                <w:sz w:val="24"/>
                <w:szCs w:val="24"/>
                <w:highlight w:val="none"/>
                <w:u w:val="none"/>
                <w:lang w:val="en-US" w:eastAsia="zh-CN" w:bidi="ar"/>
              </w:rPr>
              <w:t xml:space="preserve">1000</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82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10</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2028" w:type="dxa"/>
            <w:vAlign w:val="center"/>
            <w:vMerge w:val="continue"/>
            <w:textDirection w:val="lrTb"/>
            <w:noWrap w:val="false"/>
          </w:tcPr>
          <w:p>
            <w:pPr>
              <w:pStyle w:val="1012"/>
              <w:ind w:left="0" w:right="0" w:firstLine="0"/>
              <w:jc w:val="center"/>
              <w:spacing w:line="274" w:lineRule="auto"/>
              <w:widowControl w:val="off"/>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r>
            <w:r/>
          </w:p>
        </w:tc>
        <w:tc>
          <w:tcPr>
            <w:tcMar>
              <w:left w:w="-1" w:type="dxa"/>
              <w:top w:w="-1" w:type="dxa"/>
              <w:right w:w="-1" w:type="dxa"/>
              <w:bottom w:w="-1" w:type="dxa"/>
            </w:tcMar>
            <w:tcW w:w="3623"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桥架</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189"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米</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3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ascii="Arial" w:hAnsi="Arial" w:eastAsia="宋体" w:cs="Arial"/>
                <w:i w:val="0"/>
                <w:iCs w:val="0"/>
                <w:color w:val="000000" w:themeColor="text1"/>
                <w:sz w:val="24"/>
                <w:szCs w:val="24"/>
                <w:highlight w:val="none"/>
                <w:u w:val="none"/>
                <w:lang w:val="en-US" w:eastAsia="zh-CN" w:bidi="ar"/>
              </w:rPr>
              <w:t xml:space="preserve">≥</w:t>
            </w:r>
            <w:r>
              <w:rPr>
                <w:rFonts w:hint="eastAsia" w:ascii="宋体" w:hAnsi="宋体" w:eastAsia="宋体" w:cs="宋体"/>
                <w:i w:val="0"/>
                <w:iCs w:val="0"/>
                <w:color w:val="000000" w:themeColor="text1"/>
                <w:sz w:val="24"/>
                <w:szCs w:val="24"/>
                <w:highlight w:val="none"/>
                <w:u w:val="none"/>
                <w:lang w:val="en-US" w:eastAsia="zh-CN" w:bidi="ar"/>
              </w:rPr>
              <w:t xml:space="preserve">100</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82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2028" w:type="dxa"/>
            <w:vAlign w:val="center"/>
            <w:vMerge w:val="continue"/>
            <w:textDirection w:val="lrTb"/>
            <w:noWrap w:val="false"/>
          </w:tcPr>
          <w:p>
            <w:pPr>
              <w:pStyle w:val="1012"/>
              <w:ind w:left="0" w:right="0" w:firstLine="0"/>
              <w:jc w:val="center"/>
              <w:spacing w:line="274" w:lineRule="auto"/>
              <w:widowControl w:val="off"/>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r>
            <w:r/>
          </w:p>
        </w:tc>
        <w:tc>
          <w:tcPr>
            <w:tcMar>
              <w:left w:w="-1" w:type="dxa"/>
              <w:top w:w="-1" w:type="dxa"/>
              <w:right w:w="-1" w:type="dxa"/>
              <w:bottom w:w="-1" w:type="dxa"/>
            </w:tcMar>
            <w:tcW w:w="3623"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光跳线</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189"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根</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3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80</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82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2028" w:type="dxa"/>
            <w:vAlign w:val="center"/>
            <w:vMerge w:val="continue"/>
            <w:textDirection w:val="lrTb"/>
            <w:noWrap w:val="false"/>
          </w:tcPr>
          <w:p>
            <w:pPr>
              <w:pStyle w:val="1012"/>
              <w:ind w:left="0" w:right="0" w:firstLine="0"/>
              <w:jc w:val="center"/>
              <w:spacing w:line="274" w:lineRule="auto"/>
              <w:widowControl w:val="off"/>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r>
            <w:r/>
          </w:p>
        </w:tc>
        <w:tc>
          <w:tcPr>
            <w:tcMar>
              <w:left w:w="-1" w:type="dxa"/>
              <w:top w:w="-1" w:type="dxa"/>
              <w:right w:w="-1" w:type="dxa"/>
              <w:bottom w:w="-1" w:type="dxa"/>
            </w:tcMar>
            <w:tcW w:w="3623"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双绞线跳线</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189"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根</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3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80</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82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13</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2028" w:type="dxa"/>
            <w:vAlign w:val="center"/>
            <w:vMerge w:val="continue"/>
            <w:textDirection w:val="lrTb"/>
            <w:noWrap w:val="false"/>
          </w:tcPr>
          <w:p>
            <w:pPr>
              <w:pStyle w:val="1012"/>
              <w:ind w:left="0" w:right="0" w:firstLine="0"/>
              <w:jc w:val="center"/>
              <w:spacing w:line="274" w:lineRule="auto"/>
              <w:widowControl w:val="off"/>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r>
            <w:r/>
          </w:p>
        </w:tc>
        <w:tc>
          <w:tcPr>
            <w:tcMar>
              <w:left w:w="-1" w:type="dxa"/>
              <w:top w:w="-1" w:type="dxa"/>
              <w:right w:w="-1" w:type="dxa"/>
              <w:bottom w:w="-1" w:type="dxa"/>
            </w:tcMar>
            <w:tcW w:w="3623"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理线器</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189"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个</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3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20</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82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14</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2028" w:type="dxa"/>
            <w:vAlign w:val="center"/>
            <w:vMerge w:val="continue"/>
            <w:textDirection w:val="lrTb"/>
            <w:noWrap w:val="false"/>
          </w:tcPr>
          <w:p>
            <w:pPr>
              <w:pStyle w:val="1012"/>
              <w:ind w:left="0" w:right="0" w:firstLine="0"/>
              <w:jc w:val="center"/>
              <w:spacing w:line="274" w:lineRule="auto"/>
              <w:widowControl w:val="off"/>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r>
            <w:r/>
          </w:p>
        </w:tc>
        <w:tc>
          <w:tcPr>
            <w:tcMar>
              <w:left w:w="-1" w:type="dxa"/>
              <w:top w:w="-1" w:type="dxa"/>
              <w:right w:w="-1" w:type="dxa"/>
              <w:bottom w:w="-1" w:type="dxa"/>
            </w:tcMar>
            <w:tcW w:w="3623"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显示设备</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189"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3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gridSpan w:val="3"/>
            <w:tcMar>
              <w:left w:w="-1" w:type="dxa"/>
              <w:top w:w="-1" w:type="dxa"/>
              <w:right w:w="-1" w:type="dxa"/>
              <w:bottom w:w="-1" w:type="dxa"/>
            </w:tcMar>
            <w:tcW w:w="6476" w:type="dxa"/>
            <w:vAlign w:val="center"/>
            <w:textDirection w:val="lrTb"/>
            <w:noWrap w:val="false"/>
          </w:tcPr>
          <w:p>
            <w:pPr>
              <w:pStyle w:val="1012"/>
              <w:ind w:left="0" w:right="0" w:firstLine="0"/>
              <w:jc w:val="left"/>
              <w:spacing w:line="274" w:lineRule="auto"/>
              <w:widowControl w:val="off"/>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b/>
                <w:bCs/>
                <w:i w:val="0"/>
                <w:iCs w:val="0"/>
                <w:color w:val="000000" w:themeColor="text1"/>
                <w:sz w:val="24"/>
                <w:szCs w:val="24"/>
                <w:highlight w:val="none"/>
                <w:u w:val="none"/>
                <w:lang w:val="en-US" w:eastAsia="zh-CN" w:bidi="ar"/>
              </w:rPr>
              <w:t xml:space="preserve">1.1.5</w:t>
            </w:r>
            <w:r>
              <w:rPr>
                <w:rFonts w:hint="eastAsia" w:ascii="宋体" w:hAnsi="宋体" w:eastAsia="宋体" w:cs="宋体"/>
                <w:b/>
                <w:bCs/>
                <w:i w:val="0"/>
                <w:iCs w:val="0"/>
                <w:color w:val="000000" w:themeColor="text1"/>
                <w:sz w:val="24"/>
                <w:szCs w:val="24"/>
                <w:highlight w:val="none"/>
                <w:u w:val="none"/>
                <w:lang w:val="en-US" w:eastAsia="zh-CN" w:bidi="ar-SA"/>
              </w:rPr>
              <w:t xml:space="preserve">门诊应急管理系统明细</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189" w:type="dxa"/>
            <w:vAlign w:val="center"/>
            <w:textDirection w:val="lrTb"/>
            <w:noWrap w:val="false"/>
          </w:tcPr>
          <w:p>
            <w:pPr>
              <w:pStyle w:val="1012"/>
              <w:ind w:left="0" w:right="0" w:firstLine="0"/>
              <w:jc w:val="center"/>
              <w:spacing w:line="274" w:lineRule="auto"/>
              <w:widowControl w:val="off"/>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366" w:type="dxa"/>
            <w:vAlign w:val="center"/>
            <w:textDirection w:val="lrTb"/>
            <w:noWrap w:val="false"/>
          </w:tcPr>
          <w:p>
            <w:pPr>
              <w:pStyle w:val="1012"/>
              <w:ind w:left="0" w:right="0" w:firstLine="0"/>
              <w:jc w:val="center"/>
              <w:spacing w:line="274" w:lineRule="auto"/>
              <w:widowControl w:val="off"/>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825" w:type="dxa"/>
            <w:vAlign w:val="center"/>
            <w:textDirection w:val="lrTb"/>
            <w:noWrap w:val="false"/>
          </w:tcPr>
          <w:p>
            <w:pPr>
              <w:pStyle w:val="1012"/>
              <w:ind w:left="0" w:right="0" w:firstLine="0"/>
              <w:jc w:val="center"/>
              <w:spacing w:line="274" w:lineRule="auto"/>
              <w:widowControl w:val="off"/>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lang w:val="en-US" w:eastAsia="zh-CN" w:bidi="ar-SA"/>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2028" w:type="dxa"/>
            <w:vAlign w:val="center"/>
            <w:vMerge w:val="restart"/>
            <w:textDirection w:val="lrTb"/>
            <w:noWrap w:val="false"/>
          </w:tcPr>
          <w:p>
            <w:pPr>
              <w:pStyle w:val="1012"/>
              <w:ind w:left="0" w:right="0" w:firstLine="0"/>
              <w:jc w:val="center"/>
              <w:spacing w:line="274" w:lineRule="auto"/>
              <w:widowControl w:val="off"/>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lang w:val="en-US" w:eastAsia="zh-CN" w:bidi="ar-SA"/>
              </w:rPr>
              <w:t xml:space="preserve">门诊应急管理系统</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3623"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离线应急支付管理系统平台</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189"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3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825" w:type="dxa"/>
            <w:vAlign w:val="center"/>
            <w:textDirection w:val="lrTb"/>
            <w:noWrap w:val="false"/>
          </w:tcPr>
          <w:p>
            <w:pPr>
              <w:pStyle w:val="1012"/>
              <w:ind w:left="0" w:right="0" w:firstLine="0"/>
              <w:jc w:val="center"/>
              <w:spacing w:line="274" w:lineRule="auto"/>
              <w:widowControl w:val="off"/>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lang w:val="en-US" w:eastAsia="zh-CN" w:bidi="ar-SA"/>
              </w:rPr>
              <w:t xml:space="preserve">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2028" w:type="dxa"/>
            <w:vAlign w:val="center"/>
            <w:vMerge w:val="continue"/>
            <w:textDirection w:val="lrTb"/>
            <w:noWrap w:val="false"/>
          </w:tcPr>
          <w:p>
            <w:pPr>
              <w:pStyle w:val="1012"/>
              <w:ind w:left="0" w:right="0" w:firstLine="0"/>
              <w:jc w:val="center"/>
              <w:spacing w:line="274" w:lineRule="auto"/>
              <w:widowControl w:val="off"/>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r>
            <w:r/>
          </w:p>
        </w:tc>
        <w:tc>
          <w:tcPr>
            <w:tcMar>
              <w:left w:w="-1" w:type="dxa"/>
              <w:top w:w="-1" w:type="dxa"/>
              <w:right w:w="-1" w:type="dxa"/>
              <w:bottom w:w="-1" w:type="dxa"/>
            </w:tcMar>
            <w:tcW w:w="3623"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桌面业务终端</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189"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3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825" w:type="dxa"/>
            <w:vAlign w:val="center"/>
            <w:textDirection w:val="lrTb"/>
            <w:noWrap w:val="false"/>
          </w:tcPr>
          <w:p>
            <w:pPr>
              <w:pStyle w:val="1012"/>
              <w:ind w:left="0" w:right="0" w:firstLine="0"/>
              <w:jc w:val="center"/>
              <w:spacing w:line="274" w:lineRule="auto"/>
              <w:widowControl w:val="off"/>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lang w:val="en-US" w:eastAsia="zh-CN" w:bidi="ar-SA"/>
              </w:rPr>
              <w:t xml:space="preserve">3</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2028" w:type="dxa"/>
            <w:vAlign w:val="center"/>
            <w:vMerge w:val="continue"/>
            <w:textDirection w:val="lrTb"/>
            <w:noWrap w:val="false"/>
          </w:tcPr>
          <w:p>
            <w:pPr>
              <w:pStyle w:val="1012"/>
              <w:ind w:left="0" w:right="0" w:firstLine="0"/>
              <w:jc w:val="center"/>
              <w:spacing w:line="274" w:lineRule="auto"/>
              <w:widowControl w:val="off"/>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r>
            <w:r/>
          </w:p>
        </w:tc>
        <w:tc>
          <w:tcPr>
            <w:tcMar>
              <w:left w:w="-1" w:type="dxa"/>
              <w:top w:w="-1" w:type="dxa"/>
              <w:right w:w="-1" w:type="dxa"/>
              <w:bottom w:w="-1" w:type="dxa"/>
            </w:tcMar>
            <w:tcW w:w="3623"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移动端轻应用</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189"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3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825" w:type="dxa"/>
            <w:vAlign w:val="center"/>
            <w:textDirection w:val="lrTb"/>
            <w:noWrap w:val="false"/>
          </w:tcPr>
          <w:p>
            <w:pPr>
              <w:pStyle w:val="1012"/>
              <w:ind w:left="0" w:right="0" w:firstLine="0"/>
              <w:jc w:val="center"/>
              <w:spacing w:line="274" w:lineRule="auto"/>
              <w:widowControl w:val="off"/>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lang w:val="en-US" w:eastAsia="zh-CN" w:bidi="ar-SA"/>
              </w:rPr>
              <w:t xml:space="preserve">4</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2028" w:type="dxa"/>
            <w:vAlign w:val="center"/>
            <w:vMerge w:val="continue"/>
            <w:textDirection w:val="lrTb"/>
            <w:noWrap w:val="false"/>
          </w:tcPr>
          <w:p>
            <w:pPr>
              <w:pStyle w:val="1012"/>
              <w:ind w:left="0" w:right="0" w:firstLine="0"/>
              <w:jc w:val="center"/>
              <w:spacing w:line="274" w:lineRule="auto"/>
              <w:widowControl w:val="off"/>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r>
            <w:r/>
          </w:p>
        </w:tc>
        <w:tc>
          <w:tcPr>
            <w:tcMar>
              <w:left w:w="-1" w:type="dxa"/>
              <w:top w:w="-1" w:type="dxa"/>
              <w:right w:w="-1" w:type="dxa"/>
              <w:bottom w:w="-1" w:type="dxa"/>
            </w:tcMar>
            <w:tcW w:w="3623"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WEB端管理平台</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189"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3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825" w:type="dxa"/>
            <w:vAlign w:val="center"/>
            <w:textDirection w:val="lrTb"/>
            <w:noWrap w:val="false"/>
          </w:tcPr>
          <w:p>
            <w:pPr>
              <w:pStyle w:val="1012"/>
              <w:ind w:left="0" w:right="0" w:firstLine="0"/>
              <w:jc w:val="center"/>
              <w:spacing w:line="274" w:lineRule="auto"/>
              <w:widowControl w:val="off"/>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lang w:val="en-US" w:eastAsia="zh-CN" w:bidi="ar-SA"/>
              </w:rPr>
              <w:t xml:space="preserve">5</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2028" w:type="dxa"/>
            <w:vAlign w:val="center"/>
            <w:vMerge w:val="continue"/>
            <w:textDirection w:val="lrTb"/>
            <w:noWrap w:val="false"/>
          </w:tcPr>
          <w:p>
            <w:pPr>
              <w:pStyle w:val="1012"/>
              <w:ind w:left="0" w:right="0" w:firstLine="0"/>
              <w:jc w:val="center"/>
              <w:spacing w:line="274" w:lineRule="auto"/>
              <w:widowControl w:val="off"/>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r>
            <w:r/>
          </w:p>
        </w:tc>
        <w:tc>
          <w:tcPr>
            <w:tcMar>
              <w:left w:w="-1" w:type="dxa"/>
              <w:top w:w="-1" w:type="dxa"/>
              <w:right w:w="-1" w:type="dxa"/>
              <w:bottom w:w="-1" w:type="dxa"/>
            </w:tcMar>
            <w:tcW w:w="3623"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云端服务保障</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189"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3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bl>
    <w:p>
      <w:pPr>
        <w:pStyle w:val="1012"/>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lang w:val="en-US" w:eastAsia="zh-CN"/>
        </w:rPr>
        <w:br w:type="page" w:clear="all"/>
      </w:r>
      <w:r>
        <w:rPr>
          <w:rFonts w:hint="eastAsia" w:ascii="宋体" w:hAnsi="宋体" w:eastAsia="宋体" w:cs="宋体"/>
          <w:b/>
          <w:bCs/>
          <w:color w:val="000000" w:themeColor="text1"/>
          <w:highlight w:val="none"/>
        </w:rPr>
      </w:r>
      <w:r>
        <w:rPr>
          <w:color w:val="000000" w:themeColor="text1"/>
        </w:rPr>
      </w:r>
    </w:p>
    <w:p>
      <w:pPr>
        <w:pStyle w:val="1051"/>
        <w:rPr>
          <w:rFonts w:hint="eastAsia" w:ascii="宋体" w:hAnsi="宋体" w:eastAsia="宋体" w:cs="宋体"/>
          <w:b/>
          <w:bCs/>
          <w:color w:val="000000" w:themeColor="text1"/>
          <w:highlight w:val="none"/>
        </w:rPr>
      </w:pPr>
      <w:r>
        <w:rPr>
          <w:color w:val="000000" w:themeColor="text1"/>
        </w:rPr>
      </w:r>
      <w:bookmarkStart w:id="17" w:name="_Toc15173"/>
      <w:r>
        <w:rPr>
          <w:rFonts w:hint="eastAsia" w:ascii="宋体" w:hAnsi="宋体" w:eastAsia="宋体" w:cs="宋体"/>
          <w:b/>
          <w:bCs/>
          <w:color w:val="000000" w:themeColor="text1"/>
          <w:highlight w:val="none"/>
          <w:lang w:val="en-US" w:eastAsia="zh-CN"/>
        </w:rPr>
        <w:t xml:space="preserve">1.2机房基础建设清单</w:t>
      </w:r>
      <w:bookmarkEnd w:id="17"/>
      <w:r>
        <w:rPr>
          <w:rFonts w:hint="eastAsia" w:ascii="宋体" w:hAnsi="宋体" w:eastAsia="宋体" w:cs="宋体"/>
          <w:b/>
          <w:bCs/>
          <w:color w:val="000000" w:themeColor="text1"/>
          <w:highlight w:val="none"/>
        </w:rPr>
      </w:r>
      <w:r>
        <w:rPr>
          <w:color w:val="000000" w:themeColor="text1"/>
        </w:rPr>
      </w:r>
    </w:p>
    <w:p>
      <w:pPr>
        <w:pStyle w:val="1053"/>
        <w:rPr>
          <w:b/>
          <w:bCs/>
          <w:color w:val="000000" w:themeColor="text1"/>
          <w:highlight w:val="none"/>
        </w:rPr>
      </w:pPr>
      <w:r>
        <w:rPr>
          <w:color w:val="000000" w:themeColor="text1"/>
        </w:rPr>
      </w:r>
      <w:bookmarkStart w:id="18" w:name="_Toc2423"/>
      <w:r>
        <w:rPr>
          <w:rFonts w:hint="eastAsia"/>
          <w:b/>
          <w:bCs/>
          <w:color w:val="000000" w:themeColor="text1"/>
          <w:highlight w:val="none"/>
          <w:lang w:val="en-US" w:eastAsia="zh-CN"/>
        </w:rPr>
        <w:t xml:space="preserve">1.2.1机房基础环境</w:t>
      </w:r>
      <w:bookmarkEnd w:id="18"/>
      <w:r>
        <w:rPr>
          <w:b/>
          <w:bCs/>
          <w:color w:val="000000" w:themeColor="text1"/>
          <w:highlight w:val="none"/>
        </w:rPr>
      </w:r>
      <w:r>
        <w:rPr>
          <w:color w:val="000000" w:themeColor="text1"/>
        </w:rPr>
      </w:r>
    </w:p>
    <w:p>
      <w:pPr>
        <w:pStyle w:val="1012"/>
        <w:rPr>
          <w:rFonts w:hint="eastAsia"/>
          <w:color w:val="000000" w:themeColor="text1"/>
          <w:highlight w:val="none"/>
        </w:rPr>
      </w:pPr>
      <w:r>
        <w:rPr>
          <w:rFonts w:hint="eastAsia"/>
          <w:color w:val="000000" w:themeColor="text1"/>
          <w:highlight w:val="none"/>
        </w:rPr>
      </w:r>
      <w:r>
        <w:rPr>
          <w:color w:val="000000" w:themeColor="text1"/>
        </w:rPr>
      </w:r>
    </w:p>
    <w:tbl>
      <w:tblPr>
        <w:tblW w:w="9031"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73"/>
        <w:gridCol w:w="5407"/>
        <w:gridCol w:w="985"/>
        <w:gridCol w:w="1666"/>
      </w:tblGrid>
      <w:tr>
        <w:trPr/>
        <w:tc>
          <w:tcPr>
            <w:tcW w:w="973" w:type="dxa"/>
            <w:vAlign w:val="center"/>
            <w:textDirection w:val="lrTb"/>
            <w:noWrap/>
          </w:tcPr>
          <w:p>
            <w:pPr>
              <w:pStyle w:val="1012"/>
              <w:ind w:left="0" w:right="0" w:firstLine="0"/>
              <w:jc w:val="center"/>
              <w:keepLines w:val="0"/>
              <w:keepNext w:val="0"/>
              <w:spacing w:line="274" w:lineRule="auto"/>
              <w:widowControl/>
              <w:rPr>
                <w:rFonts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SA"/>
              </w:rPr>
              <w:t xml:space="preserve">序号</w:t>
            </w:r>
            <w:r>
              <w:rPr>
                <w:rFonts w:ascii="宋体" w:hAnsi="宋体" w:eastAsia="宋体" w:cs="宋体"/>
                <w:b/>
                <w:bCs/>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center"/>
              <w:keepLines w:val="0"/>
              <w:keepNext w:val="0"/>
              <w:spacing w:line="274" w:lineRule="auto"/>
              <w:widowControl/>
              <w:rPr>
                <w:rFonts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SA"/>
              </w:rPr>
              <w:t xml:space="preserve">设备名称</w:t>
            </w:r>
            <w:r>
              <w:rPr>
                <w:rFonts w:ascii="宋体" w:hAnsi="宋体" w:eastAsia="宋体" w:cs="宋体"/>
                <w:b/>
                <w:bCs/>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SA"/>
              </w:rPr>
              <w:t xml:space="preserve">单位</w:t>
            </w:r>
            <w:r>
              <w:rPr>
                <w:rFonts w:hint="eastAsia" w:ascii="宋体" w:hAnsi="宋体" w:eastAsia="宋体" w:cs="宋体"/>
                <w:b/>
                <w:bCs/>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SA"/>
              </w:rPr>
              <w:t xml:space="preserve">设备数量</w:t>
            </w:r>
            <w:r>
              <w:rPr>
                <w:rFonts w:ascii="宋体" w:hAnsi="宋体" w:eastAsia="宋体" w:cs="宋体"/>
                <w:b/>
                <w:bCs/>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center"/>
              <w:keepLines w:val="0"/>
              <w:keepNext w:val="0"/>
              <w:spacing w:line="274" w:lineRule="auto"/>
              <w:widowControl/>
              <w:rPr>
                <w:rFonts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SA"/>
              </w:rPr>
              <w:t xml:space="preserve">（一）机柜系统</w:t>
            </w:r>
            <w:r>
              <w:rPr>
                <w:rFonts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964"/>
              <w:jc w:val="both"/>
              <w:keepLines w:val="0"/>
              <w:keepNext w:val="0"/>
              <w:spacing w:line="274" w:lineRule="auto"/>
              <w:widowControl/>
              <w:rPr>
                <w:rFonts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1.微模块－机柜系统</w:t>
            </w:r>
            <w:r>
              <w:rPr>
                <w:rFonts w:ascii="宋体" w:hAnsi="宋体" w:eastAsia="宋体" w:cs="宋体"/>
                <w:b/>
                <w:bCs/>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服务器机柜</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13</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机柜侧板</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固定托盘</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13</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PDU</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个</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26</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gridSpan w:val="2"/>
            <w:tcW w:w="6380"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2.微模块－冷通道组件</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tcPr>
          <w:p>
            <w:pPr>
              <w:pStyle w:val="1012"/>
              <w:ind w:left="0" w:right="0" w:firstLine="0"/>
              <w:jc w:val="left"/>
              <w:spacing w:line="274" w:lineRule="auto"/>
              <w:widowControl w:val="off"/>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tcPr>
          <w:p>
            <w:pPr>
              <w:pStyle w:val="1012"/>
              <w:ind w:left="0" w:right="0" w:firstLine="0"/>
              <w:jc w:val="center"/>
              <w:spacing w:line="274" w:lineRule="auto"/>
              <w:widowControl w:val="off"/>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控制天窗（固定天窗）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天窗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大屏门盒</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围框</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8</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自动移门</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组</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线槽</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8</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7</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LED灯</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8</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照明系统</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9</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其他配套附件</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项</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gridSpan w:val="2"/>
            <w:tcW w:w="638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3.微模块－供配电系统</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spacing w:line="274" w:lineRule="auto"/>
              <w:widowControl w:val="off"/>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spacing w:line="274" w:lineRule="auto"/>
              <w:widowControl w:val="off"/>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市电配电柜</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一体化UPS</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功率模块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个</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电池架</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电池开关盒</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蓄电池</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个</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80</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7</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市电柜至UPS输入线缆</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米</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ascii="Arial" w:hAnsi="Arial" w:eastAsia="宋体" w:cs="Arial"/>
                <w:i w:val="0"/>
                <w:iCs w:val="0"/>
                <w:color w:val="000000" w:themeColor="text1"/>
                <w:sz w:val="24"/>
                <w:szCs w:val="24"/>
                <w:highlight w:val="none"/>
                <w:u w:val="none"/>
                <w:lang w:val="en-US" w:eastAsia="zh-CN" w:bidi="ar"/>
              </w:rPr>
              <w:t xml:space="preserve">≥</w:t>
            </w:r>
            <w:r>
              <w:rPr>
                <w:rFonts w:hint="eastAsia" w:ascii="宋体" w:hAnsi="宋体" w:eastAsia="宋体" w:cs="宋体"/>
                <w:i w:val="0"/>
                <w:iCs w:val="0"/>
                <w:color w:val="000000" w:themeColor="text1"/>
                <w:sz w:val="24"/>
                <w:szCs w:val="24"/>
                <w:highlight w:val="none"/>
                <w:u w:val="none"/>
                <w:lang w:val="en-US" w:eastAsia="zh-CN" w:bidi="ar"/>
              </w:rPr>
              <w:t xml:space="preserve">20</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8</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PDU线缆</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米</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ascii="Arial" w:hAnsi="Arial" w:eastAsia="宋体" w:cs="Arial"/>
                <w:i w:val="0"/>
                <w:iCs w:val="0"/>
                <w:color w:val="000000" w:themeColor="text1"/>
                <w:sz w:val="24"/>
                <w:szCs w:val="24"/>
                <w:highlight w:val="none"/>
                <w:u w:val="none"/>
                <w:lang w:val="en-US" w:eastAsia="zh-CN" w:bidi="ar"/>
              </w:rPr>
              <w:t xml:space="preserve">≥</w:t>
            </w:r>
            <w:r>
              <w:rPr>
                <w:rFonts w:hint="eastAsia" w:ascii="宋体" w:hAnsi="宋体" w:eastAsia="宋体" w:cs="宋体"/>
                <w:i w:val="0"/>
                <w:iCs w:val="0"/>
                <w:color w:val="000000" w:themeColor="text1"/>
                <w:sz w:val="24"/>
                <w:szCs w:val="24"/>
                <w:highlight w:val="none"/>
                <w:u w:val="none"/>
                <w:lang w:val="en-US" w:eastAsia="zh-CN" w:bidi="ar"/>
              </w:rPr>
              <w:t xml:space="preserve">260</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9</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UPS至电池连接线缆</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米</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ascii="Arial" w:hAnsi="Arial" w:eastAsia="宋体" w:cs="Arial"/>
                <w:i w:val="0"/>
                <w:iCs w:val="0"/>
                <w:color w:val="000000" w:themeColor="text1"/>
                <w:sz w:val="24"/>
                <w:szCs w:val="24"/>
                <w:highlight w:val="none"/>
                <w:u w:val="none"/>
                <w:lang w:val="en-US" w:eastAsia="zh-CN" w:bidi="ar"/>
              </w:rPr>
              <w:t xml:space="preserve">≥</w:t>
            </w:r>
            <w:r>
              <w:rPr>
                <w:rFonts w:hint="eastAsia" w:ascii="宋体" w:hAnsi="宋体" w:eastAsia="宋体" w:cs="宋体"/>
                <w:i w:val="0"/>
                <w:iCs w:val="0"/>
                <w:color w:val="000000" w:themeColor="text1"/>
                <w:sz w:val="24"/>
                <w:szCs w:val="24"/>
                <w:highlight w:val="none"/>
                <w:u w:val="none"/>
                <w:lang w:val="en-US" w:eastAsia="zh-CN" w:bidi="ar"/>
              </w:rPr>
              <w:t xml:space="preserve">60</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10</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蓄电池连接线</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米</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ascii="Arial" w:hAnsi="Arial" w:eastAsia="宋体" w:cs="Arial"/>
                <w:i w:val="0"/>
                <w:iCs w:val="0"/>
                <w:color w:val="000000" w:themeColor="text1"/>
                <w:sz w:val="24"/>
                <w:szCs w:val="24"/>
                <w:highlight w:val="none"/>
                <w:u w:val="none"/>
                <w:lang w:val="en-US" w:eastAsia="zh-CN" w:bidi="ar"/>
              </w:rPr>
              <w:t xml:space="preserve">≥</w:t>
            </w:r>
            <w:r>
              <w:rPr>
                <w:rFonts w:hint="eastAsia" w:ascii="宋体" w:hAnsi="宋体" w:eastAsia="宋体" w:cs="宋体"/>
                <w:i w:val="0"/>
                <w:iCs w:val="0"/>
                <w:color w:val="000000" w:themeColor="text1"/>
                <w:sz w:val="24"/>
                <w:szCs w:val="24"/>
                <w:highlight w:val="none"/>
                <w:u w:val="none"/>
                <w:lang w:val="en-US" w:eastAsia="zh-CN" w:bidi="ar"/>
              </w:rPr>
              <w:t xml:space="preserve">60</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底座</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个</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20</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gridSpan w:val="2"/>
            <w:tcW w:w="638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4.微模块-温控系统</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spacing w:line="274" w:lineRule="auto"/>
              <w:widowControl w:val="off"/>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spacing w:line="274" w:lineRule="auto"/>
              <w:widowControl w:val="off"/>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行级精密空调室内机（加热加湿）</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空调室外机</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房间空调（含室外机）</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铜管</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米</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ascii="Arial" w:hAnsi="Arial" w:eastAsia="宋体" w:cs="Arial"/>
                <w:i w:val="0"/>
                <w:iCs w:val="0"/>
                <w:color w:val="000000" w:themeColor="text1"/>
                <w:sz w:val="24"/>
                <w:szCs w:val="24"/>
                <w:highlight w:val="none"/>
                <w:u w:val="none"/>
                <w:lang w:val="en-US" w:eastAsia="zh-CN" w:bidi="ar"/>
              </w:rPr>
              <w:t xml:space="preserve">≥</w:t>
            </w:r>
            <w:r>
              <w:rPr>
                <w:rFonts w:hint="eastAsia" w:ascii="宋体" w:hAnsi="宋体" w:eastAsia="宋体" w:cs="宋体"/>
                <w:i w:val="0"/>
                <w:iCs w:val="0"/>
                <w:color w:val="000000" w:themeColor="text1"/>
                <w:sz w:val="24"/>
                <w:szCs w:val="24"/>
                <w:highlight w:val="none"/>
                <w:u w:val="none"/>
                <w:lang w:val="en-US" w:eastAsia="zh-CN" w:bidi="ar"/>
              </w:rPr>
              <w:t xml:space="preserve">80</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铜弯头</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批</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铜直接</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批</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7</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室外风机平台</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10</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保温材料</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米</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ascii="Arial" w:hAnsi="Arial" w:eastAsia="宋体" w:cs="Arial"/>
                <w:i w:val="0"/>
                <w:iCs w:val="0"/>
                <w:color w:val="000000" w:themeColor="text1"/>
                <w:sz w:val="24"/>
                <w:szCs w:val="24"/>
                <w:highlight w:val="none"/>
                <w:u w:val="none"/>
                <w:lang w:val="en-US" w:eastAsia="zh-CN" w:bidi="ar"/>
              </w:rPr>
              <w:t xml:space="preserve">≥</w:t>
            </w:r>
            <w:r>
              <w:rPr>
                <w:rFonts w:hint="eastAsia" w:ascii="宋体" w:hAnsi="宋体" w:eastAsia="宋体" w:cs="宋体"/>
                <w:i w:val="0"/>
                <w:iCs w:val="0"/>
                <w:color w:val="000000" w:themeColor="text1"/>
                <w:sz w:val="24"/>
                <w:szCs w:val="24"/>
                <w:highlight w:val="none"/>
                <w:u w:val="none"/>
                <w:lang w:val="en-US" w:eastAsia="zh-CN" w:bidi="ar"/>
              </w:rPr>
              <w:t xml:space="preserve">80</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过墙水穿孔</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个</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制冷剂</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个</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8</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13</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辅材</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项</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spacing w:line="274" w:lineRule="auto"/>
              <w:widowControl w:val="off"/>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（二）动力环境监控系统</w:t>
            </w:r>
            <w:r>
              <w:rPr>
                <w:rFonts w:hint="eastAsia" w:ascii="宋体" w:hAnsi="宋体" w:eastAsia="宋体" w:cs="宋体"/>
                <w:b/>
                <w:bCs/>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tcPr>
          <w:p>
            <w:pPr>
              <w:pStyle w:val="1012"/>
              <w:ind w:left="0" w:right="0" w:firstLine="0"/>
              <w:jc w:val="center"/>
              <w:spacing w:line="274" w:lineRule="auto"/>
              <w:widowControl w:val="off"/>
              <w:rPr>
                <w:rFonts w:hint="eastAsia" w:ascii="宋体" w:hAnsi="宋体" w:eastAsia="宋体" w:cs="宋体"/>
                <w:b/>
                <w:bCs/>
                <w:i w:val="0"/>
                <w:iCs w:val="0"/>
                <w:color w:val="000000" w:themeColor="text1"/>
                <w:sz w:val="24"/>
                <w:szCs w:val="24"/>
                <w:highlight w:val="none"/>
                <w:u w:val="none"/>
              </w:rPr>
            </w:pPr>
            <w:r>
              <w:rPr>
                <w:rFonts w:hint="eastAsia" w:ascii="宋体" w:hAnsi="宋体" w:eastAsia="宋体" w:cs="宋体"/>
                <w:b/>
                <w:bCs/>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tcPr>
          <w:p>
            <w:pPr>
              <w:pStyle w:val="1012"/>
              <w:ind w:left="0" w:right="0" w:firstLine="0"/>
              <w:jc w:val="center"/>
              <w:spacing w:line="274" w:lineRule="auto"/>
              <w:widowControl w:val="off"/>
              <w:rPr>
                <w:rFonts w:hint="eastAsia" w:ascii="宋体" w:hAnsi="宋体" w:eastAsia="宋体" w:cs="宋体"/>
                <w:b/>
                <w:bCs/>
                <w:i w:val="0"/>
                <w:iCs w:val="0"/>
                <w:color w:val="000000" w:themeColor="text1"/>
                <w:sz w:val="24"/>
                <w:szCs w:val="24"/>
                <w:highlight w:val="none"/>
                <w:u w:val="none"/>
              </w:rPr>
            </w:pPr>
            <w:r>
              <w:rPr>
                <w:rFonts w:hint="eastAsia" w:ascii="宋体" w:hAnsi="宋体" w:eastAsia="宋体" w:cs="宋体"/>
                <w:b/>
                <w:bCs/>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配电柜监测软件授权</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电池检测仪主机</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单体电池检测模块（含内阻）</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个</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80</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电流采集模块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个</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蓄电池监测软件授权</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精密空调监测软件授权</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7</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区域式漏水变送器</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个</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8</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漏水绳</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根</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9</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区域式漏水监控软件授权</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10</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智能温湿度传感器</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个</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温湿度监测软件授权</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新风机监测软件授权</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13</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消防监测软件授权</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14</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氢气传感器</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个</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15</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工业电源</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个</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16</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氢气监测软件授权</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17</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吸顶式红外探测器</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个</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18</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红外防盗监测软件授权</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19</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摄像头</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20</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硬盘录像机</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个</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8口POE交换机</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监控级硬盘</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23</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视频集成接口软件授权</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24</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人脸+密码+指纹+刷卡读卡器</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25</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出门按钮</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个</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26</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双门电磁锁（带门磁）</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把</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27</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超声波驱鼠器</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28</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驱鼠器监测软件模块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29</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空气净化消毒机</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30</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展示管理工控机</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显示器</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1U嵌入式采集主机</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33</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开关量采集模块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个</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34</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GPRS短信模块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35</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USB电话语音盒</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36</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信号控制模块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37</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声光报警器</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38</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机房监控系统软件</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39</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短信告警功能</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40</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邮件告警功能</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电话告警功能</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多媒体语音告警功能</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43</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声光告警功能</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44</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微信端报警</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45</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短信平台对接</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46</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报警管理</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47</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告警分析功能</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48</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管理主机IT运维管理功能</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49</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数据分析</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50</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系统阈值即改即生效功能</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实时值校准功能</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系统主题风格定制功能</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53</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web远程访问</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54</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安装箱</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个</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55</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工业电源</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56</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网线</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米</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ascii="Arial" w:hAnsi="Arial" w:eastAsia="宋体" w:cs="Arial"/>
                <w:i w:val="0"/>
                <w:iCs w:val="0"/>
                <w:color w:val="000000" w:themeColor="text1"/>
                <w:sz w:val="24"/>
                <w:szCs w:val="24"/>
                <w:highlight w:val="none"/>
                <w:u w:val="none"/>
                <w:lang w:val="en-US" w:eastAsia="zh-CN" w:bidi="ar"/>
              </w:rPr>
              <w:t xml:space="preserve">≥</w:t>
            </w:r>
            <w:r>
              <w:rPr>
                <w:rFonts w:hint="eastAsia" w:ascii="宋体" w:hAnsi="宋体" w:eastAsia="宋体" w:cs="宋体"/>
                <w:i w:val="0"/>
                <w:iCs w:val="0"/>
                <w:color w:val="000000" w:themeColor="text1"/>
                <w:sz w:val="24"/>
                <w:szCs w:val="24"/>
                <w:highlight w:val="none"/>
                <w:u w:val="none"/>
                <w:lang w:val="en-US" w:eastAsia="zh-CN" w:bidi="ar"/>
              </w:rPr>
              <w:t xml:space="preserve">500</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57</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管材</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米</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ascii="Arial" w:hAnsi="Arial" w:eastAsia="宋体" w:cs="Arial"/>
                <w:i w:val="0"/>
                <w:iCs w:val="0"/>
                <w:color w:val="000000" w:themeColor="text1"/>
                <w:sz w:val="24"/>
                <w:szCs w:val="24"/>
                <w:highlight w:val="none"/>
                <w:u w:val="none"/>
                <w:lang w:val="en-US" w:eastAsia="zh-CN" w:bidi="ar"/>
              </w:rPr>
              <w:t xml:space="preserve">≥</w:t>
            </w:r>
            <w:r>
              <w:rPr>
                <w:rFonts w:hint="eastAsia" w:ascii="宋体" w:hAnsi="宋体" w:eastAsia="宋体" w:cs="宋体"/>
                <w:i w:val="0"/>
                <w:iCs w:val="0"/>
                <w:color w:val="000000" w:themeColor="text1"/>
                <w:sz w:val="24"/>
                <w:szCs w:val="24"/>
                <w:highlight w:val="none"/>
                <w:u w:val="none"/>
                <w:lang w:val="en-US" w:eastAsia="zh-CN" w:bidi="ar"/>
              </w:rPr>
              <w:t xml:space="preserve">120</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58</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微模块监控采集器</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59</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智能网络设备</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个</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60</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大屏及软件</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个</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天窗磁力锁</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个</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7</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通道内照明系统-LED灯</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个</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18</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63</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通道门禁系统</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64</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多功能传感器</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个</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65</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空调回风温度传感器</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个</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66</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蜂鸣器</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个</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67</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执行器</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个</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68</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模块内部信号线缆</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spacing w:line="274" w:lineRule="auto"/>
              <w:widowControl w:val="off"/>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（三）电气系统</w:t>
            </w:r>
            <w:r>
              <w:rPr>
                <w:rFonts w:hint="eastAsia" w:ascii="宋体" w:hAnsi="宋体" w:eastAsia="宋体" w:cs="宋体"/>
                <w:b/>
                <w:bCs/>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tcPr>
          <w:p>
            <w:pPr>
              <w:pStyle w:val="1012"/>
              <w:ind w:left="0" w:right="0" w:firstLine="0"/>
              <w:jc w:val="center"/>
              <w:spacing w:line="274" w:lineRule="auto"/>
              <w:widowControl w:val="off"/>
              <w:rPr>
                <w:rFonts w:hint="eastAsia" w:ascii="宋体" w:hAnsi="宋体" w:eastAsia="宋体" w:cs="宋体"/>
                <w:b/>
                <w:bCs/>
                <w:i w:val="0"/>
                <w:iCs w:val="0"/>
                <w:color w:val="000000" w:themeColor="text1"/>
                <w:sz w:val="24"/>
                <w:szCs w:val="24"/>
                <w:highlight w:val="none"/>
                <w:u w:val="none"/>
              </w:rPr>
            </w:pPr>
            <w:r>
              <w:rPr>
                <w:rFonts w:hint="eastAsia" w:ascii="宋体" w:hAnsi="宋体" w:eastAsia="宋体" w:cs="宋体"/>
                <w:b/>
                <w:bCs/>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tcPr>
          <w:p>
            <w:pPr>
              <w:pStyle w:val="1012"/>
              <w:ind w:left="0" w:right="0" w:firstLine="0"/>
              <w:jc w:val="center"/>
              <w:spacing w:line="274" w:lineRule="auto"/>
              <w:widowControl w:val="off"/>
              <w:rPr>
                <w:rFonts w:hint="eastAsia" w:ascii="宋体" w:hAnsi="宋体" w:eastAsia="宋体" w:cs="宋体"/>
                <w:b/>
                <w:bCs/>
                <w:i w:val="0"/>
                <w:iCs w:val="0"/>
                <w:color w:val="000000" w:themeColor="text1"/>
                <w:sz w:val="24"/>
                <w:szCs w:val="24"/>
                <w:highlight w:val="none"/>
                <w:u w:val="none"/>
              </w:rPr>
            </w:pPr>
            <w:r>
              <w:rPr>
                <w:rFonts w:hint="eastAsia" w:ascii="宋体" w:hAnsi="宋体" w:eastAsia="宋体" w:cs="宋体"/>
                <w:b/>
                <w:bCs/>
                <w:i w:val="0"/>
                <w:iCs w:val="0"/>
                <w:color w:val="000000" w:themeColor="text1"/>
                <w:sz w:val="24"/>
                <w:szCs w:val="24"/>
                <w:highlight w:val="none"/>
                <w:u w:val="none"/>
                <w:lang w:val="en-US" w:eastAsia="zh-CN" w:bidi="ar-SA"/>
              </w:rPr>
            </w:r>
            <w:r>
              <w:rPr>
                <w:color w:val="000000" w:themeColor="text1"/>
              </w:rPr>
            </w:r>
          </w:p>
        </w:tc>
      </w:tr>
      <w:tr>
        <w:trPr/>
        <w:tc>
          <w:tcPr>
            <w:gridSpan w:val="2"/>
            <w:tcW w:w="6380" w:type="dxa"/>
            <w:vAlign w:val="center"/>
            <w:textDirection w:val="lrTb"/>
            <w:noWrap/>
          </w:tcPr>
          <w:p>
            <w:pPr>
              <w:pStyle w:val="1012"/>
              <w:ind w:left="0" w:right="0" w:firstLine="1680"/>
              <w:jc w:val="both"/>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1）电线(缆）工程</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tcPr>
          <w:p>
            <w:pPr>
              <w:pStyle w:val="1012"/>
              <w:ind w:left="0" w:right="0" w:firstLine="0"/>
              <w:jc w:val="center"/>
              <w:spacing w:line="274" w:lineRule="auto"/>
              <w:widowControl w:val="off"/>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tcPr>
          <w:p>
            <w:pPr>
              <w:pStyle w:val="1012"/>
              <w:ind w:left="0" w:right="0" w:firstLine="0"/>
              <w:jc w:val="center"/>
              <w:spacing w:line="274" w:lineRule="auto"/>
              <w:widowControl w:val="off"/>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入户总线缆</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米</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ascii="Arial" w:hAnsi="Arial" w:eastAsia="宋体" w:cs="Arial"/>
                <w:i w:val="0"/>
                <w:iCs w:val="0"/>
                <w:color w:val="000000" w:themeColor="text1"/>
                <w:sz w:val="24"/>
                <w:szCs w:val="24"/>
                <w:highlight w:val="none"/>
                <w:u w:val="none"/>
                <w:lang w:val="en-US" w:eastAsia="zh-CN" w:bidi="ar"/>
              </w:rPr>
              <w:t xml:space="preserve">≥</w:t>
            </w:r>
            <w:r>
              <w:rPr>
                <w:rFonts w:hint="eastAsia" w:ascii="宋体" w:hAnsi="宋体" w:eastAsia="宋体" w:cs="宋体"/>
                <w:i w:val="0"/>
                <w:iCs w:val="0"/>
                <w:color w:val="000000" w:themeColor="text1"/>
                <w:sz w:val="24"/>
                <w:szCs w:val="24"/>
                <w:highlight w:val="none"/>
                <w:u w:val="none"/>
                <w:lang w:val="en-US" w:eastAsia="zh-CN" w:bidi="ar"/>
              </w:rPr>
              <w:t xml:space="preserve">100</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空调电力电缆</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米</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ascii="Arial" w:hAnsi="Arial" w:eastAsia="宋体" w:cs="Arial"/>
                <w:i w:val="0"/>
                <w:iCs w:val="0"/>
                <w:color w:val="000000" w:themeColor="text1"/>
                <w:sz w:val="24"/>
                <w:szCs w:val="24"/>
                <w:highlight w:val="none"/>
                <w:u w:val="none"/>
                <w:lang w:val="en-US" w:eastAsia="zh-CN" w:bidi="ar"/>
              </w:rPr>
              <w:t xml:space="preserve">≥</w:t>
            </w:r>
            <w:r>
              <w:rPr>
                <w:rFonts w:hint="eastAsia" w:ascii="宋体" w:hAnsi="宋体" w:eastAsia="宋体" w:cs="宋体"/>
                <w:i w:val="0"/>
                <w:iCs w:val="0"/>
                <w:color w:val="000000" w:themeColor="text1"/>
                <w:sz w:val="24"/>
                <w:szCs w:val="24"/>
                <w:highlight w:val="none"/>
                <w:u w:val="none"/>
                <w:lang w:val="en-US" w:eastAsia="zh-CN" w:bidi="ar"/>
              </w:rPr>
              <w:t xml:space="preserve">60</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灯具插座电力电缆</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卷</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gridSpan w:val="2"/>
            <w:tcW w:w="6380"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2）电源插座及照明工程</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tcPr>
          <w:p>
            <w:pPr>
              <w:pStyle w:val="1012"/>
              <w:ind w:left="0" w:right="0" w:firstLine="0"/>
              <w:jc w:val="center"/>
              <w:spacing w:line="274" w:lineRule="auto"/>
              <w:widowControl w:val="off"/>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tcPr>
          <w:p>
            <w:pPr>
              <w:pStyle w:val="1012"/>
              <w:ind w:left="0" w:right="0" w:firstLine="0"/>
              <w:jc w:val="center"/>
              <w:spacing w:line="274" w:lineRule="auto"/>
              <w:widowControl w:val="off"/>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面板开关</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只</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照明LED灯</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10</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应急照明LED灯</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8</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安全出口门指示灯</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应急双头灯</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五孔插座</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gridSpan w:val="2"/>
            <w:tcW w:w="6380"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3）线路敷设工程</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tcPr>
          <w:p>
            <w:pPr>
              <w:pStyle w:val="1012"/>
              <w:ind w:left="0" w:right="0" w:firstLine="0"/>
              <w:jc w:val="center"/>
              <w:spacing w:line="274" w:lineRule="auto"/>
              <w:widowControl w:val="off"/>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tcPr>
          <w:p>
            <w:pPr>
              <w:pStyle w:val="1012"/>
              <w:ind w:left="0" w:right="0" w:firstLine="0"/>
              <w:jc w:val="center"/>
              <w:spacing w:line="274" w:lineRule="auto"/>
              <w:widowControl w:val="off"/>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JDG镀锌钢管</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m</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100</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金属软管</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m</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60</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强电桥架</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米</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ascii="Arial" w:hAnsi="Arial" w:eastAsia="宋体" w:cs="Arial"/>
                <w:i w:val="0"/>
                <w:iCs w:val="0"/>
                <w:color w:val="000000" w:themeColor="text1"/>
                <w:sz w:val="24"/>
                <w:szCs w:val="24"/>
                <w:highlight w:val="none"/>
                <w:u w:val="none"/>
                <w:lang w:val="en-US" w:eastAsia="zh-CN" w:bidi="ar"/>
              </w:rPr>
              <w:t xml:space="preserve">≥</w:t>
            </w:r>
            <w:r>
              <w:rPr>
                <w:rFonts w:hint="eastAsia" w:ascii="宋体" w:hAnsi="宋体" w:eastAsia="宋体" w:cs="宋体"/>
                <w:i w:val="0"/>
                <w:iCs w:val="0"/>
                <w:color w:val="000000" w:themeColor="text1"/>
                <w:sz w:val="24"/>
                <w:szCs w:val="24"/>
                <w:highlight w:val="none"/>
                <w:u w:val="none"/>
                <w:lang w:val="en-US" w:eastAsia="zh-CN" w:bidi="ar"/>
              </w:rPr>
              <w:t xml:space="preserve">40</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弱电桥架</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米</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ascii="Arial" w:hAnsi="Arial" w:eastAsia="宋体" w:cs="Arial"/>
                <w:i w:val="0"/>
                <w:iCs w:val="0"/>
                <w:color w:val="000000" w:themeColor="text1"/>
                <w:sz w:val="24"/>
                <w:szCs w:val="24"/>
                <w:highlight w:val="none"/>
                <w:u w:val="none"/>
                <w:lang w:val="en-US" w:eastAsia="zh-CN" w:bidi="ar"/>
              </w:rPr>
              <w:t xml:space="preserve">≥</w:t>
            </w:r>
            <w:r>
              <w:rPr>
                <w:rFonts w:hint="eastAsia" w:ascii="宋体" w:hAnsi="宋体" w:eastAsia="宋体" w:cs="宋体"/>
                <w:i w:val="0"/>
                <w:iCs w:val="0"/>
                <w:color w:val="000000" w:themeColor="text1"/>
                <w:sz w:val="24"/>
                <w:szCs w:val="24"/>
                <w:highlight w:val="none"/>
                <w:u w:val="none"/>
                <w:lang w:val="en-US" w:eastAsia="zh-CN" w:bidi="ar"/>
              </w:rPr>
              <w:t xml:space="preserve">30</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gridSpan w:val="2"/>
            <w:tcW w:w="6380"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（四）防雷接地系统</w:t>
            </w:r>
            <w:r>
              <w:rPr>
                <w:rFonts w:hint="eastAsia" w:ascii="宋体" w:hAnsi="宋体" w:eastAsia="宋体" w:cs="宋体"/>
                <w:b/>
                <w:bCs/>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tcPr>
          <w:p>
            <w:pPr>
              <w:pStyle w:val="1012"/>
              <w:ind w:left="0" w:right="0" w:firstLine="0"/>
              <w:jc w:val="center"/>
              <w:spacing w:line="274" w:lineRule="auto"/>
              <w:widowControl w:val="off"/>
              <w:rPr>
                <w:rFonts w:hint="eastAsia" w:ascii="宋体" w:hAnsi="宋体" w:eastAsia="宋体" w:cs="宋体"/>
                <w:b/>
                <w:bCs/>
                <w:i w:val="0"/>
                <w:iCs w:val="0"/>
                <w:color w:val="000000" w:themeColor="text1"/>
                <w:sz w:val="24"/>
                <w:szCs w:val="24"/>
                <w:highlight w:val="none"/>
                <w:u w:val="none"/>
              </w:rPr>
            </w:pPr>
            <w:r>
              <w:rPr>
                <w:rFonts w:hint="eastAsia" w:ascii="宋体" w:hAnsi="宋体" w:eastAsia="宋体" w:cs="宋体"/>
                <w:b/>
                <w:bCs/>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tcPr>
          <w:p>
            <w:pPr>
              <w:pStyle w:val="1012"/>
              <w:ind w:left="0" w:right="0" w:firstLine="0"/>
              <w:jc w:val="center"/>
              <w:spacing w:line="274" w:lineRule="auto"/>
              <w:widowControl w:val="off"/>
              <w:rPr>
                <w:rFonts w:hint="eastAsia" w:ascii="宋体" w:hAnsi="宋体" w:eastAsia="宋体" w:cs="宋体"/>
                <w:b/>
                <w:bCs/>
                <w:i w:val="0"/>
                <w:iCs w:val="0"/>
                <w:color w:val="000000" w:themeColor="text1"/>
                <w:sz w:val="24"/>
                <w:szCs w:val="24"/>
                <w:highlight w:val="none"/>
                <w:u w:val="none"/>
              </w:rPr>
            </w:pPr>
            <w:r>
              <w:rPr>
                <w:rFonts w:hint="eastAsia" w:ascii="宋体" w:hAnsi="宋体" w:eastAsia="宋体" w:cs="宋体"/>
                <w:b/>
                <w:bCs/>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等电位接地端子箱</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个</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B级电源系统防雷器</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个</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C级电源系统防雷器</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个</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接地紫铜带</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米</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ascii="Arial" w:hAnsi="Arial" w:eastAsia="宋体" w:cs="Arial"/>
                <w:i w:val="0"/>
                <w:iCs w:val="0"/>
                <w:color w:val="000000" w:themeColor="text1"/>
                <w:sz w:val="24"/>
                <w:szCs w:val="24"/>
                <w:highlight w:val="none"/>
                <w:u w:val="none"/>
                <w:lang w:val="en-US" w:eastAsia="zh-CN" w:bidi="ar"/>
              </w:rPr>
              <w:t xml:space="preserve">≥</w:t>
            </w:r>
            <w:r>
              <w:rPr>
                <w:rFonts w:hint="eastAsia" w:ascii="宋体" w:hAnsi="宋体" w:eastAsia="宋体" w:cs="宋体"/>
                <w:i w:val="0"/>
                <w:iCs w:val="0"/>
                <w:color w:val="000000" w:themeColor="text1"/>
                <w:sz w:val="24"/>
                <w:szCs w:val="24"/>
                <w:highlight w:val="none"/>
                <w:u w:val="none"/>
                <w:lang w:val="en-US" w:eastAsia="zh-CN" w:bidi="ar"/>
              </w:rPr>
              <w:t xml:space="preserve">60</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绝缘支撑件</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个</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ascii="Arial" w:hAnsi="Arial" w:eastAsia="宋体" w:cs="Arial"/>
                <w:i w:val="0"/>
                <w:iCs w:val="0"/>
                <w:color w:val="000000" w:themeColor="text1"/>
                <w:sz w:val="24"/>
                <w:szCs w:val="24"/>
                <w:highlight w:val="none"/>
                <w:u w:val="none"/>
                <w:lang w:val="en-US" w:eastAsia="zh-CN" w:bidi="ar"/>
              </w:rPr>
              <w:t xml:space="preserve">≥</w:t>
            </w:r>
            <w:r>
              <w:rPr>
                <w:rFonts w:hint="eastAsia" w:ascii="宋体" w:hAnsi="宋体" w:eastAsia="宋体" w:cs="宋体"/>
                <w:i w:val="0"/>
                <w:iCs w:val="0"/>
                <w:color w:val="000000" w:themeColor="text1"/>
                <w:sz w:val="24"/>
                <w:szCs w:val="24"/>
                <w:highlight w:val="none"/>
                <w:u w:val="none"/>
                <w:lang w:val="en-US" w:eastAsia="zh-CN" w:bidi="ar"/>
              </w:rPr>
              <w:t xml:space="preserve">40</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接地母线</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米</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30</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7</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接地跨接线</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卷</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gridSpan w:val="2"/>
            <w:tcW w:w="6380"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（五）气体灭火系统</w:t>
            </w:r>
            <w:r>
              <w:rPr>
                <w:rFonts w:hint="eastAsia" w:ascii="宋体" w:hAnsi="宋体" w:eastAsia="宋体" w:cs="宋体"/>
                <w:b/>
                <w:bCs/>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单位</w:t>
            </w:r>
            <w:r>
              <w:rPr>
                <w:rFonts w:hint="eastAsia" w:ascii="宋体" w:hAnsi="宋体" w:eastAsia="宋体" w:cs="宋体"/>
                <w:b/>
                <w:bCs/>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设备数量</w:t>
            </w:r>
            <w:r>
              <w:rPr>
                <w:rFonts w:hint="eastAsia" w:ascii="宋体" w:hAnsi="宋体" w:eastAsia="宋体" w:cs="宋体"/>
                <w:b/>
                <w:bCs/>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序号</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设备名称</w:t>
            </w:r>
            <w:r>
              <w:rPr>
                <w:rFonts w:hint="eastAsia" w:ascii="宋体" w:hAnsi="宋体" w:eastAsia="宋体" w:cs="宋体"/>
                <w:b/>
                <w:bCs/>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spacing w:line="274" w:lineRule="auto"/>
              <w:widowControl w:val="off"/>
              <w:rPr>
                <w:rFonts w:hint="eastAsia" w:ascii="宋体" w:hAnsi="宋体" w:eastAsia="宋体" w:cs="宋体"/>
                <w:b/>
                <w:bCs/>
                <w:i w:val="0"/>
                <w:iCs w:val="0"/>
                <w:color w:val="000000" w:themeColor="text1"/>
                <w:sz w:val="24"/>
                <w:szCs w:val="24"/>
                <w:highlight w:val="none"/>
                <w:u w:val="none"/>
              </w:rPr>
            </w:pPr>
            <w:r>
              <w:rPr>
                <w:rFonts w:hint="eastAsia" w:ascii="宋体" w:hAnsi="宋体" w:eastAsia="宋体" w:cs="宋体"/>
                <w:b/>
                <w:bCs/>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spacing w:line="274" w:lineRule="auto"/>
              <w:widowControl w:val="off"/>
              <w:rPr>
                <w:rFonts w:hint="eastAsia" w:ascii="宋体" w:hAnsi="宋体" w:eastAsia="宋体" w:cs="宋体"/>
                <w:b/>
                <w:bCs/>
                <w:i w:val="0"/>
                <w:iCs w:val="0"/>
                <w:color w:val="000000" w:themeColor="text1"/>
                <w:sz w:val="24"/>
                <w:szCs w:val="24"/>
                <w:highlight w:val="none"/>
                <w:u w:val="none"/>
              </w:rPr>
            </w:pPr>
            <w:r>
              <w:rPr>
                <w:rFonts w:hint="eastAsia" w:ascii="宋体" w:hAnsi="宋体" w:eastAsia="宋体" w:cs="宋体"/>
                <w:b/>
                <w:bCs/>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钢瓶（含组件）</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个</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七氟丙烷药剂</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kg</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210</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瓶体控制器</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烟感报警器</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个</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8</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温感报警器</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个</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8</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气体灭火控制器</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个</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7</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紧急启停</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个</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8</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强制启停</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个</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9</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放气指示灯</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个</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10</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声光报警器</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个</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泄压口</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消防线材</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卷</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gridSpan w:val="2"/>
            <w:tcW w:w="6380"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（六）新风排烟系统</w:t>
            </w:r>
            <w:r>
              <w:rPr>
                <w:rFonts w:hint="eastAsia" w:ascii="宋体" w:hAnsi="宋体" w:eastAsia="宋体" w:cs="宋体"/>
                <w:b/>
                <w:bCs/>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tcPr>
          <w:p>
            <w:pPr>
              <w:pStyle w:val="1012"/>
              <w:ind w:left="0" w:right="0" w:firstLine="0"/>
              <w:jc w:val="center"/>
              <w:spacing w:line="274" w:lineRule="auto"/>
              <w:widowControl w:val="off"/>
              <w:rPr>
                <w:rFonts w:hint="eastAsia" w:ascii="宋体" w:hAnsi="宋体" w:eastAsia="宋体" w:cs="宋体"/>
                <w:b/>
                <w:bCs/>
                <w:i w:val="0"/>
                <w:iCs w:val="0"/>
                <w:color w:val="000000" w:themeColor="text1"/>
                <w:sz w:val="24"/>
                <w:szCs w:val="24"/>
                <w:highlight w:val="none"/>
                <w:u w:val="none"/>
              </w:rPr>
            </w:pPr>
            <w:r>
              <w:rPr>
                <w:rFonts w:hint="eastAsia" w:ascii="宋体" w:hAnsi="宋体" w:eastAsia="宋体" w:cs="宋体"/>
                <w:b/>
                <w:bCs/>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tcPr>
          <w:p>
            <w:pPr>
              <w:pStyle w:val="1012"/>
              <w:ind w:left="0" w:right="0" w:firstLine="0"/>
              <w:jc w:val="center"/>
              <w:spacing w:line="274" w:lineRule="auto"/>
              <w:widowControl w:val="off"/>
              <w:rPr>
                <w:rFonts w:hint="eastAsia" w:ascii="宋体" w:hAnsi="宋体" w:eastAsia="宋体" w:cs="宋体"/>
                <w:b/>
                <w:bCs/>
                <w:i w:val="0"/>
                <w:iCs w:val="0"/>
                <w:color w:val="000000" w:themeColor="text1"/>
                <w:sz w:val="24"/>
                <w:szCs w:val="24"/>
                <w:highlight w:val="none"/>
                <w:u w:val="none"/>
              </w:rPr>
            </w:pPr>
            <w:r>
              <w:rPr>
                <w:rFonts w:hint="eastAsia" w:ascii="宋体" w:hAnsi="宋体" w:eastAsia="宋体" w:cs="宋体"/>
                <w:b/>
                <w:bCs/>
                <w:i w:val="0"/>
                <w:iCs w:val="0"/>
                <w:color w:val="000000" w:themeColor="text1"/>
                <w:sz w:val="24"/>
                <w:szCs w:val="24"/>
                <w:highlight w:val="none"/>
                <w:u w:val="none"/>
                <w:lang w:val="en-US" w:eastAsia="zh-CN" w:bidi="ar-SA"/>
              </w:rPr>
            </w:r>
            <w:r>
              <w:rPr>
                <w:color w:val="000000" w:themeColor="text1"/>
              </w:rPr>
            </w:r>
          </w:p>
        </w:tc>
      </w:tr>
      <w:tr>
        <w:trPr/>
        <w:tc>
          <w:tcPr>
            <w:gridSpan w:val="2"/>
            <w:tcW w:w="6380"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1）新风工程</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tcPr>
          <w:p>
            <w:pPr>
              <w:pStyle w:val="1012"/>
              <w:ind w:left="0" w:right="0" w:firstLine="0"/>
              <w:jc w:val="center"/>
              <w:spacing w:line="274" w:lineRule="auto"/>
              <w:widowControl w:val="off"/>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tcPr>
          <w:p>
            <w:pPr>
              <w:pStyle w:val="1012"/>
              <w:ind w:left="0" w:right="0" w:firstLine="0"/>
              <w:jc w:val="center"/>
              <w:spacing w:line="274" w:lineRule="auto"/>
              <w:widowControl w:val="off"/>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新风机</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防火阀</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个</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风管</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风口</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防雨百叶风口</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个</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外墙洞口开洞</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个</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7</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控制线及铺设</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项</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gridSpan w:val="2"/>
            <w:tcW w:w="638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2）事故排烟工程</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spacing w:line="274" w:lineRule="auto"/>
              <w:widowControl w:val="off"/>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spacing w:line="274" w:lineRule="auto"/>
              <w:widowControl w:val="off"/>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排烟管道密闭防火阀（280°）</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通风管道绝热</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米</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35</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轴流排风机</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双层百叶风口</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墙洞新风口</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排风管</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35</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973"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7</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5407"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墙洞排风口</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985"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166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bl>
    <w:p>
      <w:pPr>
        <w:pStyle w:val="1012"/>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r>
      <w:r>
        <w:rPr>
          <w:color w:val="000000" w:themeColor="text1"/>
        </w:rPr>
      </w:r>
    </w:p>
    <w:p>
      <w:pPr>
        <w:pStyle w:val="1012"/>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r>
      <w:r>
        <w:rPr>
          <w:color w:val="000000" w:themeColor="text1"/>
        </w:rPr>
      </w:r>
    </w:p>
    <w:p>
      <w:pPr>
        <w:pStyle w:val="1012"/>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1012"/>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1012"/>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1012"/>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1012"/>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1012"/>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1012"/>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1012"/>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1012"/>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1012"/>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1053"/>
        <w:rPr>
          <w:rFonts w:hint="eastAsia"/>
          <w:b/>
          <w:bCs/>
          <w:color w:val="000000" w:themeColor="text1"/>
          <w:highlight w:val="none"/>
        </w:rPr>
      </w:pPr>
      <w:r>
        <w:rPr>
          <w:color w:val="000000" w:themeColor="text1"/>
        </w:rPr>
      </w:r>
      <w:bookmarkStart w:id="19" w:name="_Toc10703"/>
      <w:r>
        <w:rPr>
          <w:rFonts w:hint="eastAsia"/>
          <w:b/>
          <w:bCs/>
          <w:color w:val="000000" w:themeColor="text1"/>
          <w:highlight w:val="none"/>
          <w:lang w:val="en-US" w:eastAsia="zh-CN"/>
        </w:rPr>
        <w:t xml:space="preserve">1.2.2机房装修</w:t>
      </w:r>
      <w:bookmarkEnd w:id="19"/>
      <w:r>
        <w:rPr>
          <w:rFonts w:hint="eastAsia"/>
          <w:b/>
          <w:bCs/>
          <w:color w:val="000000" w:themeColor="text1"/>
          <w:highlight w:val="none"/>
        </w:rPr>
      </w:r>
      <w:r>
        <w:rPr>
          <w:color w:val="000000" w:themeColor="text1"/>
        </w:rPr>
      </w:r>
    </w:p>
    <w:tbl>
      <w:tblPr>
        <w:tblW w:w="9091"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182"/>
        <w:gridCol w:w="4748"/>
        <w:gridCol w:w="1182"/>
        <w:gridCol w:w="1979"/>
      </w:tblGrid>
      <w:tr>
        <w:trPr>
          <w:tblHeader/>
        </w:trPr>
        <w:tc>
          <w:tcPr>
            <w:tcW w:w="1182" w:type="dxa"/>
            <w:vAlign w:val="center"/>
            <w:textDirection w:val="lrTb"/>
            <w:noWrap w:val="false"/>
          </w:tcPr>
          <w:p>
            <w:pPr>
              <w:pStyle w:val="1012"/>
              <w:ind w:left="0" w:right="0" w:firstLine="0"/>
              <w:jc w:val="center"/>
              <w:keepLines w:val="0"/>
              <w:keepNext w:val="0"/>
              <w:spacing w:line="240" w:lineRule="auto"/>
              <w:widowControl/>
              <w:rPr>
                <w:rFonts w:hint="eastAsia" w:ascii="宋体" w:hAnsi="宋体" w:eastAsia="宋体" w:cs="宋体"/>
                <w:b/>
                <w:i w:val="0"/>
                <w:iCs w:val="0"/>
                <w:color w:val="000000" w:themeColor="text1"/>
                <w:sz w:val="22"/>
                <w:szCs w:val="22"/>
                <w:highlight w:val="none"/>
                <w:u w:val="none"/>
              </w:rPr>
              <w:suppressLineNumbers w:val="0"/>
            </w:pPr>
            <w:r>
              <w:rPr>
                <w:rFonts w:hint="eastAsia" w:ascii="宋体" w:hAnsi="宋体" w:eastAsia="宋体" w:cs="宋体"/>
                <w:b/>
                <w:i w:val="0"/>
                <w:iCs w:val="0"/>
                <w:color w:val="000000" w:themeColor="text1"/>
                <w:sz w:val="22"/>
                <w:szCs w:val="22"/>
                <w:highlight w:val="none"/>
                <w:u w:val="none"/>
                <w:lang w:val="en-US" w:eastAsia="zh-CN" w:bidi="ar"/>
              </w:rPr>
              <w:t xml:space="preserve">序号</w:t>
            </w:r>
            <w:r>
              <w:rPr>
                <w:rFonts w:hint="eastAsia" w:ascii="宋体" w:hAnsi="宋体" w:eastAsia="宋体" w:cs="宋体"/>
                <w:b/>
                <w:i w:val="0"/>
                <w:iCs w:val="0"/>
                <w:color w:val="000000" w:themeColor="text1"/>
                <w:sz w:val="22"/>
                <w:szCs w:val="22"/>
                <w:highlight w:val="none"/>
                <w:u w:val="none"/>
                <w:lang w:val="en-US" w:eastAsia="zh-CN" w:bidi="ar-SA"/>
              </w:rPr>
            </w:r>
            <w:r>
              <w:rPr>
                <w:color w:val="000000" w:themeColor="text1"/>
              </w:rPr>
            </w:r>
          </w:p>
        </w:tc>
        <w:tc>
          <w:tcPr>
            <w:tcW w:w="4748" w:type="dxa"/>
            <w:vAlign w:val="center"/>
            <w:textDirection w:val="lrTb"/>
            <w:noWrap w:val="false"/>
          </w:tcPr>
          <w:p>
            <w:pPr>
              <w:pStyle w:val="1012"/>
              <w:ind w:left="0" w:right="0" w:firstLine="0"/>
              <w:jc w:val="center"/>
              <w:keepLines w:val="0"/>
              <w:keepNext w:val="0"/>
              <w:spacing w:line="240" w:lineRule="auto"/>
              <w:widowControl/>
              <w:rPr>
                <w:rFonts w:hint="eastAsia" w:ascii="宋体" w:hAnsi="宋体" w:eastAsia="宋体" w:cs="宋体"/>
                <w:b/>
                <w:bCs/>
                <w:i w:val="0"/>
                <w:iCs w:val="0"/>
                <w:color w:val="000000" w:themeColor="text1"/>
                <w:sz w:val="22"/>
                <w:szCs w:val="22"/>
                <w:highlight w:val="none"/>
                <w:u w:val="none"/>
              </w:rPr>
              <w:suppressLineNumbers w:val="0"/>
            </w:pPr>
            <w:r>
              <w:rPr>
                <w:rFonts w:hint="eastAsia" w:ascii="宋体" w:hAnsi="宋体" w:eastAsia="宋体" w:cs="宋体"/>
                <w:b/>
                <w:bCs/>
                <w:i w:val="0"/>
                <w:iCs w:val="0"/>
                <w:color w:val="000000" w:themeColor="text1"/>
                <w:sz w:val="22"/>
                <w:szCs w:val="22"/>
                <w:highlight w:val="none"/>
                <w:u w:val="none"/>
                <w:lang w:val="en-US" w:eastAsia="zh-CN" w:bidi="ar"/>
              </w:rPr>
              <w:t xml:space="preserve">设备名称</w:t>
            </w:r>
            <w:r>
              <w:rPr>
                <w:rFonts w:hint="eastAsia" w:ascii="宋体" w:hAnsi="宋体" w:eastAsia="宋体" w:cs="宋体"/>
                <w:b/>
                <w:bCs/>
                <w:i w:val="0"/>
                <w:iCs w:val="0"/>
                <w:color w:val="000000" w:themeColor="text1"/>
                <w:sz w:val="22"/>
                <w:szCs w:val="22"/>
                <w:highlight w:val="none"/>
                <w:u w:val="none"/>
                <w:lang w:val="en-US" w:eastAsia="zh-CN" w:bidi="ar-SA"/>
              </w:rPr>
            </w:r>
            <w:r>
              <w:rPr>
                <w:color w:val="000000" w:themeColor="text1"/>
              </w:rPr>
            </w:r>
          </w:p>
        </w:tc>
        <w:tc>
          <w:tcPr>
            <w:tcW w:w="1182" w:type="dxa"/>
            <w:vAlign w:val="center"/>
            <w:textDirection w:val="lrTb"/>
            <w:noWrap w:val="false"/>
          </w:tcPr>
          <w:p>
            <w:pPr>
              <w:pStyle w:val="1012"/>
              <w:ind w:left="0" w:right="0" w:firstLine="0"/>
              <w:jc w:val="center"/>
              <w:keepLines w:val="0"/>
              <w:keepNext w:val="0"/>
              <w:spacing w:line="240" w:lineRule="auto"/>
              <w:widowControl/>
              <w:rPr>
                <w:rFonts w:hint="eastAsia" w:ascii="宋体" w:hAnsi="宋体" w:eastAsia="宋体" w:cs="宋体"/>
                <w:b/>
                <w:bCs/>
                <w:i w:val="0"/>
                <w:iCs w:val="0"/>
                <w:color w:val="000000" w:themeColor="text1"/>
                <w:sz w:val="22"/>
                <w:szCs w:val="22"/>
                <w:highlight w:val="none"/>
                <w:u w:val="none"/>
              </w:rPr>
              <w:suppressLineNumbers w:val="0"/>
            </w:pPr>
            <w:r>
              <w:rPr>
                <w:rFonts w:hint="eastAsia" w:ascii="宋体" w:hAnsi="宋体" w:eastAsia="宋体" w:cs="宋体"/>
                <w:b/>
                <w:bCs/>
                <w:i w:val="0"/>
                <w:iCs w:val="0"/>
                <w:color w:val="000000" w:themeColor="text1"/>
                <w:sz w:val="22"/>
                <w:szCs w:val="22"/>
                <w:highlight w:val="none"/>
                <w:u w:val="none"/>
                <w:lang w:val="en-US" w:eastAsia="zh-CN" w:bidi="ar"/>
              </w:rPr>
              <w:t xml:space="preserve">单位</w:t>
            </w:r>
            <w:r>
              <w:rPr>
                <w:rFonts w:hint="eastAsia" w:ascii="宋体" w:hAnsi="宋体" w:eastAsia="宋体" w:cs="宋体"/>
                <w:b/>
                <w:bCs/>
                <w:i w:val="0"/>
                <w:iCs w:val="0"/>
                <w:color w:val="000000" w:themeColor="text1"/>
                <w:sz w:val="22"/>
                <w:szCs w:val="22"/>
                <w:highlight w:val="none"/>
                <w:u w:val="none"/>
                <w:lang w:val="en-US" w:eastAsia="zh-CN" w:bidi="ar-SA"/>
              </w:rPr>
            </w:r>
            <w:r>
              <w:rPr>
                <w:color w:val="000000" w:themeColor="text1"/>
              </w:rPr>
            </w:r>
          </w:p>
        </w:tc>
        <w:tc>
          <w:tcPr>
            <w:tcW w:w="1979" w:type="dxa"/>
            <w:vAlign w:val="center"/>
            <w:textDirection w:val="lrTb"/>
            <w:noWrap w:val="false"/>
          </w:tcPr>
          <w:p>
            <w:pPr>
              <w:pStyle w:val="1012"/>
              <w:ind w:left="0" w:right="0" w:firstLine="0"/>
              <w:jc w:val="center"/>
              <w:keepLines w:val="0"/>
              <w:keepNext w:val="0"/>
              <w:spacing w:line="240" w:lineRule="auto"/>
              <w:widowControl/>
              <w:rPr>
                <w:rFonts w:hint="eastAsia" w:ascii="宋体" w:hAnsi="宋体" w:eastAsia="宋体" w:cs="宋体"/>
                <w:b/>
                <w:bCs/>
                <w:i w:val="0"/>
                <w:iCs w:val="0"/>
                <w:color w:val="000000" w:themeColor="text1"/>
                <w:sz w:val="22"/>
                <w:szCs w:val="22"/>
                <w:highlight w:val="none"/>
                <w:u w:val="none"/>
              </w:rPr>
              <w:suppressLineNumbers w:val="0"/>
            </w:pPr>
            <w:r>
              <w:rPr>
                <w:rFonts w:hint="eastAsia" w:ascii="宋体" w:hAnsi="宋体" w:eastAsia="宋体" w:cs="宋体"/>
                <w:b/>
                <w:bCs/>
                <w:i w:val="0"/>
                <w:iCs w:val="0"/>
                <w:color w:val="000000" w:themeColor="text1"/>
                <w:sz w:val="22"/>
                <w:szCs w:val="22"/>
                <w:highlight w:val="none"/>
                <w:u w:val="none"/>
                <w:lang w:val="en-US" w:eastAsia="zh-CN" w:bidi="ar"/>
              </w:rPr>
              <w:t xml:space="preserve">设备数量</w:t>
            </w:r>
            <w:r>
              <w:rPr>
                <w:rFonts w:hint="eastAsia" w:ascii="宋体" w:hAnsi="宋体" w:eastAsia="宋体" w:cs="宋体"/>
                <w:b/>
                <w:bCs/>
                <w:i w:val="0"/>
                <w:iCs w:val="0"/>
                <w:color w:val="000000" w:themeColor="text1"/>
                <w:sz w:val="22"/>
                <w:szCs w:val="22"/>
                <w:highlight w:val="none"/>
                <w:u w:val="none"/>
                <w:lang w:val="en-US" w:eastAsia="zh-CN" w:bidi="ar-SA"/>
              </w:rPr>
            </w:r>
            <w:r>
              <w:rPr>
                <w:color w:val="000000" w:themeColor="text1"/>
              </w:rPr>
            </w:r>
          </w:p>
        </w:tc>
      </w:tr>
      <w:tr>
        <w:trPr/>
        <w:tc>
          <w:tcPr>
            <w:gridSpan w:val="2"/>
            <w:tcW w:w="5930" w:type="dxa"/>
            <w:vAlign w:val="center"/>
            <w:textDirection w:val="lrTb"/>
            <w:noWrap w:val="false"/>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1）拆除工程</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182" w:type="dxa"/>
            <w:vAlign w:val="center"/>
            <w:textDirection w:val="lrTb"/>
            <w:noWrap w:val="false"/>
          </w:tcPr>
          <w:p>
            <w:pPr>
              <w:pStyle w:val="1012"/>
              <w:ind w:left="0" w:right="0" w:firstLine="0"/>
              <w:jc w:val="center"/>
              <w:spacing w:line="240" w:lineRule="auto"/>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979" w:type="dxa"/>
            <w:vAlign w:val="center"/>
            <w:textDirection w:val="lrTb"/>
            <w:noWrap w:val="false"/>
          </w:tcPr>
          <w:p>
            <w:pPr>
              <w:pStyle w:val="1012"/>
              <w:ind w:left="0" w:right="0" w:firstLine="0"/>
              <w:jc w:val="center"/>
              <w:spacing w:line="240" w:lineRule="auto"/>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r>
      <w:tr>
        <w:trPr/>
        <w:tc>
          <w:tcPr>
            <w:tcW w:w="1182" w:type="dxa"/>
            <w:vAlign w:val="center"/>
            <w:textDirection w:val="lrTb"/>
            <w:noWrap/>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1</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4748" w:type="dxa"/>
            <w:vAlign w:val="center"/>
            <w:textDirection w:val="lrTb"/>
            <w:noWrap w:val="false"/>
          </w:tcPr>
          <w:p>
            <w:pPr>
              <w:pStyle w:val="1012"/>
              <w:ind w:left="0" w:right="0" w:firstLine="0"/>
              <w:jc w:val="left"/>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墙体拆除</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182" w:type="dxa"/>
            <w:vAlign w:val="center"/>
            <w:textDirection w:val="lrTb"/>
            <w:noWrap w:val="false"/>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979" w:type="dxa"/>
            <w:vAlign w:val="center"/>
            <w:textDirection w:val="lrTb"/>
            <w:noWrap w:val="false"/>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68</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r>
      <w:tr>
        <w:trPr/>
        <w:tc>
          <w:tcPr>
            <w:tcW w:w="1182" w:type="dxa"/>
            <w:vAlign w:val="center"/>
            <w:textDirection w:val="lrTb"/>
            <w:noWrap/>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2</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4748" w:type="dxa"/>
            <w:vAlign w:val="center"/>
            <w:textDirection w:val="lrTb"/>
            <w:noWrap w:val="false"/>
          </w:tcPr>
          <w:p>
            <w:pPr>
              <w:pStyle w:val="1012"/>
              <w:ind w:left="0" w:right="0" w:firstLine="0"/>
              <w:jc w:val="left"/>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墙面装饰拆除</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182" w:type="dxa"/>
            <w:vAlign w:val="center"/>
            <w:textDirection w:val="lrTb"/>
            <w:noWrap w:val="false"/>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979" w:type="dxa"/>
            <w:vAlign w:val="center"/>
            <w:textDirection w:val="lrTb"/>
            <w:noWrap w:val="false"/>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58</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r>
      <w:tr>
        <w:trPr/>
        <w:tc>
          <w:tcPr>
            <w:tcW w:w="1182" w:type="dxa"/>
            <w:vAlign w:val="center"/>
            <w:textDirection w:val="lrTb"/>
            <w:noWrap/>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3</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4748" w:type="dxa"/>
            <w:vAlign w:val="center"/>
            <w:textDirection w:val="lrTb"/>
            <w:noWrap w:val="false"/>
          </w:tcPr>
          <w:p>
            <w:pPr>
              <w:pStyle w:val="1012"/>
              <w:ind w:left="0" w:right="0" w:firstLine="0"/>
              <w:jc w:val="left"/>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地面拆除</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182" w:type="dxa"/>
            <w:vAlign w:val="center"/>
            <w:textDirection w:val="lrTb"/>
            <w:noWrap w:val="false"/>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979" w:type="dxa"/>
            <w:vAlign w:val="center"/>
            <w:textDirection w:val="lrTb"/>
            <w:noWrap w:val="false"/>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36</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r>
      <w:tr>
        <w:trPr/>
        <w:tc>
          <w:tcPr>
            <w:tcW w:w="1182" w:type="dxa"/>
            <w:vAlign w:val="center"/>
            <w:textDirection w:val="lrTb"/>
            <w:noWrap/>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4</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4748" w:type="dxa"/>
            <w:vAlign w:val="center"/>
            <w:textDirection w:val="lrTb"/>
            <w:noWrap w:val="false"/>
          </w:tcPr>
          <w:p>
            <w:pPr>
              <w:pStyle w:val="1012"/>
              <w:ind w:left="0" w:right="0" w:firstLine="0"/>
              <w:jc w:val="left"/>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顶面拆除</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182" w:type="dxa"/>
            <w:vAlign w:val="center"/>
            <w:textDirection w:val="lrTb"/>
            <w:noWrap w:val="false"/>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979" w:type="dxa"/>
            <w:vAlign w:val="center"/>
            <w:textDirection w:val="lrTb"/>
            <w:noWrap w:val="false"/>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36</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r>
      <w:tr>
        <w:trPr/>
        <w:tc>
          <w:tcPr>
            <w:tcW w:w="1182" w:type="dxa"/>
            <w:vAlign w:val="center"/>
            <w:textDirection w:val="lrTb"/>
            <w:noWrap/>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5</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4748" w:type="dxa"/>
            <w:vAlign w:val="center"/>
            <w:textDirection w:val="lrTb"/>
            <w:noWrap w:val="false"/>
          </w:tcPr>
          <w:p>
            <w:pPr>
              <w:pStyle w:val="1012"/>
              <w:ind w:left="0" w:right="0" w:firstLine="0"/>
              <w:jc w:val="left"/>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垃圾清运</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182" w:type="dxa"/>
            <w:vAlign w:val="center"/>
            <w:textDirection w:val="lrTb"/>
            <w:noWrap w:val="false"/>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979" w:type="dxa"/>
            <w:vAlign w:val="center"/>
            <w:textDirection w:val="lrTb"/>
            <w:noWrap w:val="false"/>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198</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r>
      <w:tr>
        <w:trPr/>
        <w:tc>
          <w:tcPr>
            <w:tcW w:w="1182" w:type="dxa"/>
            <w:vAlign w:val="center"/>
            <w:textDirection w:val="lrTb"/>
            <w:noWrap/>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6</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4748" w:type="dxa"/>
            <w:vAlign w:val="center"/>
            <w:textDirection w:val="lrTb"/>
            <w:noWrap w:val="false"/>
          </w:tcPr>
          <w:p>
            <w:pPr>
              <w:pStyle w:val="1012"/>
              <w:ind w:left="0" w:right="0" w:firstLine="0"/>
              <w:jc w:val="left"/>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承重梁找平美化</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182" w:type="dxa"/>
            <w:vAlign w:val="center"/>
            <w:textDirection w:val="lrTb"/>
            <w:noWrap w:val="false"/>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979" w:type="dxa"/>
            <w:vAlign w:val="center"/>
            <w:textDirection w:val="lrTb"/>
            <w:noWrap w:val="false"/>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18</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r>
      <w:tr>
        <w:trPr/>
        <w:tc>
          <w:tcPr>
            <w:tcW w:w="1182" w:type="dxa"/>
            <w:vAlign w:val="center"/>
            <w:textDirection w:val="lrTb"/>
            <w:noWrap/>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7</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4748" w:type="dxa"/>
            <w:vAlign w:val="center"/>
            <w:textDirection w:val="lrTb"/>
            <w:noWrap w:val="false"/>
          </w:tcPr>
          <w:p>
            <w:pPr>
              <w:pStyle w:val="1012"/>
              <w:ind w:left="0" w:right="0" w:firstLine="0"/>
              <w:jc w:val="left"/>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防鼠封堵及挡鼠板</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182" w:type="dxa"/>
            <w:vAlign w:val="center"/>
            <w:textDirection w:val="lrTb"/>
            <w:noWrap w:val="false"/>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项</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979" w:type="dxa"/>
            <w:vAlign w:val="center"/>
            <w:textDirection w:val="lrTb"/>
            <w:noWrap w:val="false"/>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1</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r>
      <w:tr>
        <w:trPr/>
        <w:tc>
          <w:tcPr>
            <w:tcW w:w="1182" w:type="dxa"/>
            <w:vAlign w:val="center"/>
            <w:textDirection w:val="lrTb"/>
            <w:noWrap/>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8</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4748" w:type="dxa"/>
            <w:vAlign w:val="center"/>
            <w:textDirection w:val="lrTb"/>
            <w:noWrap w:val="false"/>
          </w:tcPr>
          <w:p>
            <w:pPr>
              <w:pStyle w:val="1012"/>
              <w:ind w:left="0" w:right="0" w:firstLine="0"/>
              <w:jc w:val="left"/>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窗户封堵</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182" w:type="dxa"/>
            <w:vAlign w:val="center"/>
            <w:textDirection w:val="lrTb"/>
            <w:noWrap w:val="false"/>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979" w:type="dxa"/>
            <w:vAlign w:val="center"/>
            <w:textDirection w:val="lrTb"/>
            <w:noWrap w:val="false"/>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10</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r>
      <w:tr>
        <w:trPr/>
        <w:tc>
          <w:tcPr>
            <w:gridSpan w:val="2"/>
            <w:tcW w:w="5930" w:type="dxa"/>
            <w:vAlign w:val="center"/>
            <w:textDirection w:val="lrTb"/>
            <w:noWrap w:val="false"/>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2）地面工程</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182" w:type="dxa"/>
            <w:vAlign w:val="center"/>
            <w:textDirection w:val="lrTb"/>
            <w:noWrap w:val="false"/>
          </w:tcPr>
          <w:p>
            <w:pPr>
              <w:pStyle w:val="1012"/>
              <w:ind w:left="0" w:right="0" w:firstLine="0"/>
              <w:jc w:val="center"/>
              <w:spacing w:line="240" w:lineRule="auto"/>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979" w:type="dxa"/>
            <w:vAlign w:val="center"/>
            <w:textDirection w:val="lrTb"/>
            <w:noWrap w:val="false"/>
          </w:tcPr>
          <w:p>
            <w:pPr>
              <w:pStyle w:val="1012"/>
              <w:ind w:left="0" w:right="0" w:firstLine="0"/>
              <w:jc w:val="center"/>
              <w:spacing w:line="240" w:lineRule="auto"/>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r>
      <w:tr>
        <w:trPr/>
        <w:tc>
          <w:tcPr>
            <w:tcW w:w="1182" w:type="dxa"/>
            <w:vAlign w:val="center"/>
            <w:textDirection w:val="lrTb"/>
            <w:noWrap/>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1</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4748" w:type="dxa"/>
            <w:vAlign w:val="center"/>
            <w:textDirection w:val="lrTb"/>
            <w:noWrap w:val="false"/>
          </w:tcPr>
          <w:p>
            <w:pPr>
              <w:pStyle w:val="1012"/>
              <w:ind w:left="0" w:right="0" w:firstLine="0"/>
              <w:jc w:val="left"/>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地面找平</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182" w:type="dxa"/>
            <w:vAlign w:val="center"/>
            <w:textDirection w:val="lrTb"/>
            <w:noWrap w:val="false"/>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979" w:type="dxa"/>
            <w:vAlign w:val="center"/>
            <w:textDirection w:val="lrTb"/>
            <w:noWrap w:val="false"/>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86</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r>
      <w:tr>
        <w:trPr/>
        <w:tc>
          <w:tcPr>
            <w:tcW w:w="1182" w:type="dxa"/>
            <w:vAlign w:val="center"/>
            <w:textDirection w:val="lrTb"/>
            <w:noWrap/>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2</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4748" w:type="dxa"/>
            <w:vAlign w:val="center"/>
            <w:textDirection w:val="lrTb"/>
            <w:noWrap w:val="false"/>
          </w:tcPr>
          <w:p>
            <w:pPr>
              <w:pStyle w:val="1012"/>
              <w:ind w:left="0" w:right="0" w:firstLine="0"/>
              <w:jc w:val="left"/>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地面防尘漆</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182" w:type="dxa"/>
            <w:vAlign w:val="center"/>
            <w:textDirection w:val="lrTb"/>
            <w:noWrap w:val="false"/>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979" w:type="dxa"/>
            <w:vAlign w:val="center"/>
            <w:textDirection w:val="lrTb"/>
            <w:noWrap w:val="false"/>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86</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r>
      <w:tr>
        <w:trPr/>
        <w:tc>
          <w:tcPr>
            <w:tcW w:w="1182" w:type="dxa"/>
            <w:vAlign w:val="center"/>
            <w:textDirection w:val="lrTb"/>
            <w:noWrap/>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3</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4748" w:type="dxa"/>
            <w:vAlign w:val="center"/>
            <w:textDirection w:val="lrTb"/>
            <w:noWrap w:val="false"/>
          </w:tcPr>
          <w:p>
            <w:pPr>
              <w:pStyle w:val="1012"/>
              <w:ind w:left="0" w:right="0" w:firstLine="0"/>
              <w:jc w:val="left"/>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橡塑保温棉</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182" w:type="dxa"/>
            <w:vAlign w:val="center"/>
            <w:textDirection w:val="lrTb"/>
            <w:noWrap w:val="false"/>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979" w:type="dxa"/>
            <w:vAlign w:val="center"/>
            <w:textDirection w:val="lrTb"/>
            <w:noWrap w:val="false"/>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86</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r>
      <w:tr>
        <w:trPr/>
        <w:tc>
          <w:tcPr>
            <w:tcW w:w="1182" w:type="dxa"/>
            <w:vAlign w:val="center"/>
            <w:textDirection w:val="lrTb"/>
            <w:noWrap/>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4</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4748" w:type="dxa"/>
            <w:vAlign w:val="center"/>
            <w:textDirection w:val="lrTb"/>
            <w:noWrap w:val="false"/>
          </w:tcPr>
          <w:p>
            <w:pPr>
              <w:pStyle w:val="1012"/>
              <w:ind w:left="0" w:right="0" w:firstLine="0"/>
              <w:jc w:val="left"/>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全钢无边防静电活动地板</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182" w:type="dxa"/>
            <w:vAlign w:val="center"/>
            <w:textDirection w:val="lrTb"/>
            <w:noWrap w:val="false"/>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979" w:type="dxa"/>
            <w:vAlign w:val="center"/>
            <w:textDirection w:val="lrTb"/>
            <w:noWrap w:val="false"/>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86</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r>
      <w:tr>
        <w:trPr/>
        <w:tc>
          <w:tcPr>
            <w:tcW w:w="1182" w:type="dxa"/>
            <w:vAlign w:val="center"/>
            <w:textDirection w:val="lrTb"/>
            <w:noWrap/>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5</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4748" w:type="dxa"/>
            <w:vAlign w:val="center"/>
            <w:textDirection w:val="lrTb"/>
            <w:noWrap w:val="false"/>
          </w:tcPr>
          <w:p>
            <w:pPr>
              <w:pStyle w:val="1012"/>
              <w:ind w:left="0" w:right="0" w:firstLine="0"/>
              <w:jc w:val="left"/>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挡水围堰</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182" w:type="dxa"/>
            <w:vAlign w:val="center"/>
            <w:textDirection w:val="lrTb"/>
            <w:noWrap w:val="false"/>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套</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979" w:type="dxa"/>
            <w:vAlign w:val="center"/>
            <w:textDirection w:val="lrTb"/>
            <w:noWrap w:val="false"/>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4</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r>
      <w:tr>
        <w:trPr/>
        <w:tc>
          <w:tcPr>
            <w:tcW w:w="1182" w:type="dxa"/>
            <w:vAlign w:val="center"/>
            <w:textDirection w:val="lrTb"/>
            <w:noWrap/>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6</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4748" w:type="dxa"/>
            <w:vAlign w:val="center"/>
            <w:textDirection w:val="lrTb"/>
            <w:noWrap w:val="false"/>
          </w:tcPr>
          <w:p>
            <w:pPr>
              <w:pStyle w:val="1012"/>
              <w:ind w:left="0" w:right="0" w:firstLine="0"/>
              <w:jc w:val="left"/>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空调进水管道</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182" w:type="dxa"/>
            <w:vAlign w:val="center"/>
            <w:textDirection w:val="lrTb"/>
            <w:noWrap w:val="false"/>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米</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979" w:type="dxa"/>
            <w:vAlign w:val="center"/>
            <w:textDirection w:val="lrTb"/>
            <w:noWrap w:val="false"/>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60</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r>
      <w:tr>
        <w:trPr/>
        <w:tc>
          <w:tcPr>
            <w:tcW w:w="1182" w:type="dxa"/>
            <w:vAlign w:val="center"/>
            <w:textDirection w:val="lrTb"/>
            <w:noWrap/>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7</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4748" w:type="dxa"/>
            <w:vAlign w:val="center"/>
            <w:textDirection w:val="lrTb"/>
            <w:noWrap w:val="false"/>
          </w:tcPr>
          <w:p>
            <w:pPr>
              <w:pStyle w:val="1012"/>
              <w:ind w:left="0" w:right="0" w:firstLine="0"/>
              <w:jc w:val="left"/>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空调排水管道</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182" w:type="dxa"/>
            <w:vAlign w:val="center"/>
            <w:textDirection w:val="lrTb"/>
            <w:noWrap w:val="false"/>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米</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979" w:type="dxa"/>
            <w:vAlign w:val="center"/>
            <w:textDirection w:val="lrTb"/>
            <w:noWrap w:val="false"/>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60</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r>
      <w:tr>
        <w:trPr/>
        <w:tc>
          <w:tcPr>
            <w:gridSpan w:val="2"/>
            <w:tcW w:w="5930" w:type="dxa"/>
            <w:vAlign w:val="center"/>
            <w:textDirection w:val="lrTb"/>
            <w:noWrap w:val="false"/>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3）顶面工程</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182" w:type="dxa"/>
            <w:vAlign w:val="center"/>
            <w:textDirection w:val="lrTb"/>
            <w:noWrap w:val="false"/>
          </w:tcPr>
          <w:p>
            <w:pPr>
              <w:pStyle w:val="1012"/>
              <w:ind w:left="0" w:right="0" w:firstLine="0"/>
              <w:jc w:val="center"/>
              <w:spacing w:line="240" w:lineRule="auto"/>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979" w:type="dxa"/>
            <w:vAlign w:val="center"/>
            <w:textDirection w:val="lrTb"/>
            <w:noWrap w:val="false"/>
          </w:tcPr>
          <w:p>
            <w:pPr>
              <w:pStyle w:val="1012"/>
              <w:ind w:left="0" w:right="0" w:firstLine="0"/>
              <w:jc w:val="center"/>
              <w:spacing w:line="240" w:lineRule="auto"/>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r>
      <w:tr>
        <w:trPr/>
        <w:tc>
          <w:tcPr>
            <w:tcW w:w="1182" w:type="dxa"/>
            <w:vAlign w:val="center"/>
            <w:textDirection w:val="lrTb"/>
            <w:noWrap/>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1</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4748" w:type="dxa"/>
            <w:vAlign w:val="center"/>
            <w:textDirection w:val="lrTb"/>
            <w:noWrap w:val="false"/>
          </w:tcPr>
          <w:p>
            <w:pPr>
              <w:pStyle w:val="1012"/>
              <w:ind w:left="0" w:right="0" w:firstLine="0"/>
              <w:jc w:val="left"/>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顶面防尘漆</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182" w:type="dxa"/>
            <w:vAlign w:val="center"/>
            <w:textDirection w:val="lrTb"/>
            <w:noWrap w:val="false"/>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979" w:type="dxa"/>
            <w:vAlign w:val="center"/>
            <w:textDirection w:val="lrTb"/>
            <w:noWrap w:val="false"/>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86</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r>
      <w:tr>
        <w:trPr/>
        <w:tc>
          <w:tcPr>
            <w:tcW w:w="1182" w:type="dxa"/>
            <w:vAlign w:val="center"/>
            <w:textDirection w:val="lrTb"/>
            <w:noWrap/>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2</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4748" w:type="dxa"/>
            <w:vAlign w:val="center"/>
            <w:textDirection w:val="lrTb"/>
            <w:noWrap w:val="false"/>
          </w:tcPr>
          <w:p>
            <w:pPr>
              <w:pStyle w:val="1012"/>
              <w:ind w:left="0" w:right="0" w:firstLine="0"/>
              <w:jc w:val="left"/>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橡塑保温棉</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182" w:type="dxa"/>
            <w:vAlign w:val="center"/>
            <w:textDirection w:val="lrTb"/>
            <w:noWrap w:val="false"/>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979" w:type="dxa"/>
            <w:vAlign w:val="center"/>
            <w:textDirection w:val="lrTb"/>
            <w:noWrap w:val="false"/>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86</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r>
      <w:tr>
        <w:trPr/>
        <w:tc>
          <w:tcPr>
            <w:tcW w:w="1182" w:type="dxa"/>
            <w:vAlign w:val="center"/>
            <w:textDirection w:val="lrTb"/>
            <w:noWrap/>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3</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4748" w:type="dxa"/>
            <w:vAlign w:val="center"/>
            <w:textDirection w:val="lrTb"/>
            <w:noWrap w:val="false"/>
          </w:tcPr>
          <w:p>
            <w:pPr>
              <w:pStyle w:val="1012"/>
              <w:ind w:left="0" w:right="0" w:firstLine="0"/>
              <w:jc w:val="left"/>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铝合金吊顶龙骨</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182" w:type="dxa"/>
            <w:vAlign w:val="center"/>
            <w:textDirection w:val="lrTb"/>
            <w:noWrap w:val="false"/>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979" w:type="dxa"/>
            <w:vAlign w:val="center"/>
            <w:textDirection w:val="lrTb"/>
            <w:noWrap w:val="false"/>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86</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r>
      <w:tr>
        <w:trPr/>
        <w:tc>
          <w:tcPr>
            <w:tcW w:w="1182" w:type="dxa"/>
            <w:vAlign w:val="center"/>
            <w:textDirection w:val="lrTb"/>
            <w:noWrap/>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4</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4748" w:type="dxa"/>
            <w:vAlign w:val="center"/>
            <w:textDirection w:val="lrTb"/>
            <w:noWrap w:val="false"/>
          </w:tcPr>
          <w:p>
            <w:pPr>
              <w:pStyle w:val="1012"/>
              <w:ind w:left="0" w:right="0" w:firstLine="0"/>
              <w:jc w:val="left"/>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铝合金微孔吊顶板</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182" w:type="dxa"/>
            <w:vAlign w:val="center"/>
            <w:textDirection w:val="lrTb"/>
            <w:noWrap w:val="false"/>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979" w:type="dxa"/>
            <w:vAlign w:val="center"/>
            <w:textDirection w:val="lrTb"/>
            <w:noWrap w:val="false"/>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86</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r>
      <w:tr>
        <w:trPr/>
        <w:tc>
          <w:tcPr>
            <w:tcW w:w="1182" w:type="dxa"/>
            <w:vAlign w:val="center"/>
            <w:textDirection w:val="lrTb"/>
            <w:noWrap/>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5</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4748" w:type="dxa"/>
            <w:vAlign w:val="center"/>
            <w:textDirection w:val="lrTb"/>
            <w:noWrap w:val="false"/>
          </w:tcPr>
          <w:p>
            <w:pPr>
              <w:pStyle w:val="1012"/>
              <w:ind w:left="0" w:right="0" w:firstLine="0"/>
              <w:jc w:val="left"/>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铝合金收边条</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182" w:type="dxa"/>
            <w:vAlign w:val="center"/>
            <w:textDirection w:val="lrTb"/>
            <w:noWrap w:val="false"/>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m</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979" w:type="dxa"/>
            <w:vAlign w:val="center"/>
            <w:textDirection w:val="lrTb"/>
            <w:noWrap w:val="false"/>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68</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r>
      <w:tr>
        <w:trPr/>
        <w:tc>
          <w:tcPr>
            <w:tcW w:w="1182" w:type="dxa"/>
            <w:vAlign w:val="center"/>
            <w:textDirection w:val="lrTb"/>
            <w:noWrap/>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6</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4748" w:type="dxa"/>
            <w:vAlign w:val="center"/>
            <w:textDirection w:val="lrTb"/>
            <w:noWrap w:val="false"/>
          </w:tcPr>
          <w:p>
            <w:pPr>
              <w:pStyle w:val="1012"/>
              <w:ind w:left="0" w:right="0" w:firstLine="0"/>
              <w:jc w:val="left"/>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顶面吊筋及辅材</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182" w:type="dxa"/>
            <w:vAlign w:val="center"/>
            <w:textDirection w:val="lrTb"/>
            <w:noWrap w:val="false"/>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m²</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979" w:type="dxa"/>
            <w:vAlign w:val="center"/>
            <w:textDirection w:val="lrTb"/>
            <w:noWrap w:val="false"/>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68</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r>
      <w:tr>
        <w:trPr/>
        <w:tc>
          <w:tcPr>
            <w:gridSpan w:val="2"/>
            <w:tcW w:w="5930" w:type="dxa"/>
            <w:vAlign w:val="center"/>
            <w:textDirection w:val="lrTb"/>
            <w:noWrap w:val="false"/>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4）墙面及隔断工程</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182" w:type="dxa"/>
            <w:vAlign w:val="center"/>
            <w:textDirection w:val="lrTb"/>
            <w:noWrap w:val="false"/>
          </w:tcPr>
          <w:p>
            <w:pPr>
              <w:pStyle w:val="1012"/>
              <w:ind w:left="0" w:right="0" w:firstLine="0"/>
              <w:jc w:val="center"/>
              <w:spacing w:line="240" w:lineRule="auto"/>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979" w:type="dxa"/>
            <w:vAlign w:val="center"/>
            <w:textDirection w:val="lrTb"/>
            <w:noWrap w:val="false"/>
          </w:tcPr>
          <w:p>
            <w:pPr>
              <w:pStyle w:val="1012"/>
              <w:ind w:left="0" w:right="0" w:firstLine="0"/>
              <w:jc w:val="center"/>
              <w:spacing w:line="240" w:lineRule="auto"/>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r>
      <w:tr>
        <w:trPr/>
        <w:tc>
          <w:tcPr>
            <w:tcW w:w="1182" w:type="dxa"/>
            <w:vAlign w:val="center"/>
            <w:textDirection w:val="lrTb"/>
            <w:noWrap/>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1</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4748" w:type="dxa"/>
            <w:vAlign w:val="center"/>
            <w:textDirection w:val="lrTb"/>
            <w:noWrap w:val="false"/>
          </w:tcPr>
          <w:p>
            <w:pPr>
              <w:pStyle w:val="1012"/>
              <w:ind w:left="0" w:right="0" w:firstLine="0"/>
              <w:jc w:val="left"/>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墙面轻钢龙骨</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182" w:type="dxa"/>
            <w:vAlign w:val="center"/>
            <w:textDirection w:val="lrTb"/>
            <w:noWrap w:val="false"/>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979" w:type="dxa"/>
            <w:vAlign w:val="center"/>
            <w:textDirection w:val="lrTb"/>
            <w:noWrap w:val="false"/>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88</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r>
      <w:tr>
        <w:trPr/>
        <w:tc>
          <w:tcPr>
            <w:tcW w:w="1182" w:type="dxa"/>
            <w:vAlign w:val="center"/>
            <w:textDirection w:val="lrTb"/>
            <w:noWrap/>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2</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4748" w:type="dxa"/>
            <w:vAlign w:val="center"/>
            <w:textDirection w:val="lrTb"/>
            <w:noWrap w:val="false"/>
          </w:tcPr>
          <w:p>
            <w:pPr>
              <w:pStyle w:val="1012"/>
              <w:ind w:left="0" w:right="0" w:firstLine="0"/>
              <w:jc w:val="left"/>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墙面彩钢板</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182" w:type="dxa"/>
            <w:vAlign w:val="center"/>
            <w:textDirection w:val="lrTb"/>
            <w:noWrap w:val="false"/>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979" w:type="dxa"/>
            <w:vAlign w:val="center"/>
            <w:textDirection w:val="lrTb"/>
            <w:noWrap w:val="false"/>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88</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r>
      <w:tr>
        <w:trPr/>
        <w:tc>
          <w:tcPr>
            <w:tcW w:w="1182" w:type="dxa"/>
            <w:vAlign w:val="center"/>
            <w:textDirection w:val="lrTb"/>
            <w:noWrap/>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3</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4748" w:type="dxa"/>
            <w:vAlign w:val="center"/>
            <w:textDirection w:val="lrTb"/>
            <w:noWrap w:val="false"/>
          </w:tcPr>
          <w:p>
            <w:pPr>
              <w:pStyle w:val="1012"/>
              <w:ind w:left="0" w:right="0" w:firstLine="0"/>
              <w:jc w:val="left"/>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墙面保温岩棉</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182" w:type="dxa"/>
            <w:vAlign w:val="center"/>
            <w:textDirection w:val="lrTb"/>
            <w:noWrap w:val="false"/>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979" w:type="dxa"/>
            <w:vAlign w:val="center"/>
            <w:textDirection w:val="lrTb"/>
            <w:noWrap w:val="false"/>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88</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r>
      <w:tr>
        <w:trPr/>
        <w:tc>
          <w:tcPr>
            <w:tcW w:w="1182" w:type="dxa"/>
            <w:vAlign w:val="center"/>
            <w:textDirection w:val="lrTb"/>
            <w:noWrap/>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4</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4748" w:type="dxa"/>
            <w:vAlign w:val="center"/>
            <w:textDirection w:val="lrTb"/>
            <w:noWrap w:val="false"/>
          </w:tcPr>
          <w:p>
            <w:pPr>
              <w:pStyle w:val="1012"/>
              <w:ind w:left="0" w:right="0" w:firstLine="0"/>
              <w:jc w:val="left"/>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防火玻璃隔断</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182" w:type="dxa"/>
            <w:vAlign w:val="center"/>
            <w:textDirection w:val="lrTb"/>
            <w:noWrap w:val="false"/>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m²</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979" w:type="dxa"/>
            <w:vAlign w:val="center"/>
            <w:textDirection w:val="lrTb"/>
            <w:noWrap w:val="false"/>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48</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r>
      <w:tr>
        <w:trPr/>
        <w:tc>
          <w:tcPr>
            <w:tcW w:w="1182" w:type="dxa"/>
            <w:vAlign w:val="center"/>
            <w:textDirection w:val="lrTb"/>
            <w:noWrap/>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5</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4748" w:type="dxa"/>
            <w:vAlign w:val="center"/>
            <w:textDirection w:val="lrTb"/>
            <w:noWrap w:val="false"/>
          </w:tcPr>
          <w:p>
            <w:pPr>
              <w:pStyle w:val="1012"/>
              <w:ind w:left="0" w:right="0" w:firstLine="0"/>
              <w:jc w:val="left"/>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玻璃隔断基础</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182" w:type="dxa"/>
            <w:vAlign w:val="center"/>
            <w:textDirection w:val="lrTb"/>
            <w:noWrap w:val="false"/>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m</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979" w:type="dxa"/>
            <w:vAlign w:val="center"/>
            <w:textDirection w:val="lrTb"/>
            <w:noWrap w:val="false"/>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18</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r>
      <w:tr>
        <w:trPr/>
        <w:tc>
          <w:tcPr>
            <w:tcW w:w="1182" w:type="dxa"/>
            <w:vAlign w:val="center"/>
            <w:textDirection w:val="lrTb"/>
            <w:noWrap/>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6</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4748" w:type="dxa"/>
            <w:vAlign w:val="center"/>
            <w:textDirection w:val="lrTb"/>
            <w:noWrap w:val="false"/>
          </w:tcPr>
          <w:p>
            <w:pPr>
              <w:pStyle w:val="1012"/>
              <w:ind w:left="0" w:right="0" w:firstLine="0"/>
              <w:jc w:val="left"/>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不锈钢包边</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182" w:type="dxa"/>
            <w:vAlign w:val="center"/>
            <w:textDirection w:val="lrTb"/>
            <w:noWrap w:val="false"/>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m</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979" w:type="dxa"/>
            <w:vAlign w:val="center"/>
            <w:textDirection w:val="lrTb"/>
            <w:noWrap w:val="false"/>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18</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r>
      <w:tr>
        <w:trPr/>
        <w:tc>
          <w:tcPr>
            <w:tcW w:w="1182" w:type="dxa"/>
            <w:vAlign w:val="center"/>
            <w:textDirection w:val="lrTb"/>
            <w:noWrap/>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7</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4748" w:type="dxa"/>
            <w:vAlign w:val="center"/>
            <w:textDirection w:val="lrTb"/>
            <w:noWrap w:val="false"/>
          </w:tcPr>
          <w:p>
            <w:pPr>
              <w:pStyle w:val="1012"/>
              <w:ind w:left="0" w:right="0" w:firstLine="0"/>
              <w:jc w:val="left"/>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门套</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182" w:type="dxa"/>
            <w:vAlign w:val="center"/>
            <w:textDirection w:val="lrTb"/>
            <w:noWrap w:val="false"/>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套</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979" w:type="dxa"/>
            <w:vAlign w:val="center"/>
            <w:textDirection w:val="lrTb"/>
            <w:noWrap w:val="false"/>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3</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r>
      <w:tr>
        <w:trPr/>
        <w:tc>
          <w:tcPr>
            <w:tcW w:w="1182" w:type="dxa"/>
            <w:vAlign w:val="center"/>
            <w:textDirection w:val="lrTb"/>
            <w:noWrap/>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8</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4748" w:type="dxa"/>
            <w:vAlign w:val="center"/>
            <w:textDirection w:val="lrTb"/>
            <w:noWrap w:val="false"/>
          </w:tcPr>
          <w:p>
            <w:pPr>
              <w:pStyle w:val="1012"/>
              <w:ind w:left="0" w:right="0" w:firstLine="0"/>
              <w:jc w:val="left"/>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不锈钢踢脚板</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182" w:type="dxa"/>
            <w:vAlign w:val="center"/>
            <w:textDirection w:val="lrTb"/>
            <w:noWrap w:val="false"/>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m</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979" w:type="dxa"/>
            <w:vAlign w:val="center"/>
            <w:textDirection w:val="lrTb"/>
            <w:noWrap w:val="false"/>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18</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r>
      <w:tr>
        <w:trPr/>
        <w:tc>
          <w:tcPr>
            <w:gridSpan w:val="2"/>
            <w:tcW w:w="5930" w:type="dxa"/>
            <w:vAlign w:val="center"/>
            <w:textDirection w:val="lrTb"/>
            <w:noWrap/>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5）门窗、踏步</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182" w:type="dxa"/>
            <w:vAlign w:val="center"/>
            <w:textDirection w:val="lrTb"/>
            <w:noWrap/>
          </w:tcPr>
          <w:p>
            <w:pPr>
              <w:pStyle w:val="1012"/>
              <w:ind w:left="0" w:right="0" w:firstLine="0"/>
              <w:jc w:val="left"/>
              <w:spacing w:line="240" w:lineRule="auto"/>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979" w:type="dxa"/>
            <w:vAlign w:val="center"/>
            <w:textDirection w:val="lrTb"/>
            <w:noWrap/>
          </w:tcPr>
          <w:p>
            <w:pPr>
              <w:pStyle w:val="1012"/>
              <w:ind w:left="0" w:right="0" w:firstLine="0"/>
              <w:jc w:val="center"/>
              <w:spacing w:line="240" w:lineRule="auto"/>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r>
      <w:tr>
        <w:trPr/>
        <w:tc>
          <w:tcPr>
            <w:tcW w:w="1182" w:type="dxa"/>
            <w:vAlign w:val="center"/>
            <w:textDirection w:val="lrTb"/>
            <w:noWrap/>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1</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4748" w:type="dxa"/>
            <w:vAlign w:val="center"/>
            <w:textDirection w:val="lrTb"/>
            <w:noWrap w:val="false"/>
          </w:tcPr>
          <w:p>
            <w:pPr>
              <w:pStyle w:val="1012"/>
              <w:ind w:left="0" w:right="0" w:firstLine="0"/>
              <w:jc w:val="left"/>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双开钢制防火门</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182" w:type="dxa"/>
            <w:vAlign w:val="center"/>
            <w:textDirection w:val="lrTb"/>
            <w:noWrap w:val="false"/>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樘</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979" w:type="dxa"/>
            <w:vAlign w:val="center"/>
            <w:textDirection w:val="lrTb"/>
            <w:noWrap w:val="false"/>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2</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r>
      <w:tr>
        <w:trPr/>
        <w:tc>
          <w:tcPr>
            <w:tcW w:w="1182" w:type="dxa"/>
            <w:vAlign w:val="center"/>
            <w:textDirection w:val="lrTb"/>
            <w:noWrap/>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2</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4748" w:type="dxa"/>
            <w:vAlign w:val="center"/>
            <w:textDirection w:val="lrTb"/>
            <w:noWrap w:val="false"/>
          </w:tcPr>
          <w:p>
            <w:pPr>
              <w:pStyle w:val="1012"/>
              <w:ind w:left="0" w:right="0" w:firstLine="0"/>
              <w:jc w:val="left"/>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防火玻璃门</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182" w:type="dxa"/>
            <w:vAlign w:val="center"/>
            <w:textDirection w:val="lrTb"/>
            <w:noWrap w:val="false"/>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樘</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979" w:type="dxa"/>
            <w:vAlign w:val="center"/>
            <w:textDirection w:val="lrTb"/>
            <w:noWrap w:val="false"/>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3</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r>
      <w:tr>
        <w:trPr/>
        <w:tc>
          <w:tcPr>
            <w:tcW w:w="1182" w:type="dxa"/>
            <w:vAlign w:val="center"/>
            <w:textDirection w:val="lrTb"/>
            <w:noWrap/>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3</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4748" w:type="dxa"/>
            <w:vAlign w:val="center"/>
            <w:textDirection w:val="lrTb"/>
            <w:noWrap w:val="false"/>
          </w:tcPr>
          <w:p>
            <w:pPr>
              <w:pStyle w:val="1012"/>
              <w:ind w:left="0" w:right="0" w:firstLine="0"/>
              <w:jc w:val="left"/>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防火门顺位器</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182" w:type="dxa"/>
            <w:vAlign w:val="center"/>
            <w:textDirection w:val="lrTb"/>
            <w:noWrap w:val="false"/>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套</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979" w:type="dxa"/>
            <w:vAlign w:val="center"/>
            <w:textDirection w:val="lrTb"/>
            <w:noWrap w:val="false"/>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2</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r>
      <w:tr>
        <w:trPr/>
        <w:tc>
          <w:tcPr>
            <w:tcW w:w="1182" w:type="dxa"/>
            <w:vAlign w:val="center"/>
            <w:textDirection w:val="lrTb"/>
            <w:noWrap/>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4</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4748" w:type="dxa"/>
            <w:vAlign w:val="center"/>
            <w:textDirection w:val="lrTb"/>
            <w:noWrap w:val="false"/>
          </w:tcPr>
          <w:p>
            <w:pPr>
              <w:pStyle w:val="1012"/>
              <w:ind w:left="0" w:right="0" w:firstLine="0"/>
              <w:jc w:val="left"/>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入口踏步</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182" w:type="dxa"/>
            <w:vAlign w:val="center"/>
            <w:textDirection w:val="lrTb"/>
            <w:noWrap w:val="false"/>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项</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979" w:type="dxa"/>
            <w:vAlign w:val="center"/>
            <w:textDirection w:val="lrTb"/>
            <w:noWrap w:val="false"/>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1</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r>
      <w:tr>
        <w:trPr/>
        <w:tc>
          <w:tcPr>
            <w:gridSpan w:val="2"/>
            <w:tcW w:w="5930" w:type="dxa"/>
            <w:vAlign w:val="center"/>
            <w:textDirection w:val="lrTb"/>
            <w:noWrap/>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5）户外工程</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182" w:type="dxa"/>
            <w:vAlign w:val="center"/>
            <w:textDirection w:val="lrTb"/>
            <w:noWrap/>
          </w:tcPr>
          <w:p>
            <w:pPr>
              <w:pStyle w:val="1012"/>
              <w:ind w:left="0" w:right="0" w:firstLine="0"/>
              <w:jc w:val="center"/>
              <w:spacing w:line="240" w:lineRule="auto"/>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979" w:type="dxa"/>
            <w:vAlign w:val="center"/>
            <w:textDirection w:val="lrTb"/>
            <w:noWrap/>
          </w:tcPr>
          <w:p>
            <w:pPr>
              <w:pStyle w:val="1012"/>
              <w:ind w:left="0" w:right="0" w:firstLine="0"/>
              <w:jc w:val="center"/>
              <w:spacing w:line="240" w:lineRule="auto"/>
              <w:widowControl w:val="off"/>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r>
      <w:tr>
        <w:trPr/>
        <w:tc>
          <w:tcPr>
            <w:tcW w:w="1182" w:type="dxa"/>
            <w:vAlign w:val="center"/>
            <w:textDirection w:val="lrTb"/>
            <w:noWrap/>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1</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4748" w:type="dxa"/>
            <w:vAlign w:val="center"/>
            <w:textDirection w:val="lrTb"/>
            <w:noWrap w:val="false"/>
          </w:tcPr>
          <w:p>
            <w:pPr>
              <w:pStyle w:val="1012"/>
              <w:ind w:left="0" w:right="0" w:firstLine="0"/>
              <w:jc w:val="left"/>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精密空调室外机摆放基础</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182" w:type="dxa"/>
            <w:vAlign w:val="center"/>
            <w:textDirection w:val="lrTb"/>
            <w:noWrap w:val="false"/>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个</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979" w:type="dxa"/>
            <w:vAlign w:val="center"/>
            <w:textDirection w:val="lrTb"/>
            <w:noWrap w:val="false"/>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16</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r>
      <w:tr>
        <w:trPr/>
        <w:tc>
          <w:tcPr>
            <w:tcW w:w="1182" w:type="dxa"/>
            <w:vAlign w:val="center"/>
            <w:textDirection w:val="lrTb"/>
            <w:noWrap/>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2</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4748" w:type="dxa"/>
            <w:vAlign w:val="center"/>
            <w:textDirection w:val="lrTb"/>
            <w:noWrap w:val="false"/>
          </w:tcPr>
          <w:p>
            <w:pPr>
              <w:pStyle w:val="1012"/>
              <w:ind w:left="0" w:right="0" w:firstLine="0"/>
              <w:jc w:val="left"/>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精密空调室外机抗震垫</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182" w:type="dxa"/>
            <w:vAlign w:val="center"/>
            <w:textDirection w:val="lrTb"/>
            <w:noWrap w:val="false"/>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套</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c>
          <w:tcPr>
            <w:tcW w:w="1979" w:type="dxa"/>
            <w:vAlign w:val="center"/>
            <w:textDirection w:val="lrTb"/>
            <w:noWrap w:val="false"/>
          </w:tcPr>
          <w:p>
            <w:pPr>
              <w:pStyle w:val="1012"/>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16</w:t>
            </w:r>
            <w:r>
              <w:rPr>
                <w:rFonts w:hint="eastAsia" w:ascii="宋体" w:hAnsi="宋体" w:eastAsia="宋体" w:cs="宋体"/>
                <w:i w:val="0"/>
                <w:iCs w:val="0"/>
                <w:color w:val="000000" w:themeColor="text1"/>
                <w:sz w:val="22"/>
                <w:szCs w:val="22"/>
                <w:highlight w:val="none"/>
                <w:u w:val="none"/>
                <w:lang w:val="en-US" w:eastAsia="zh-CN" w:bidi="ar-SA"/>
              </w:rPr>
            </w:r>
            <w:r>
              <w:rPr>
                <w:color w:val="000000" w:themeColor="text1"/>
              </w:rPr>
            </w:r>
          </w:p>
        </w:tc>
      </w:tr>
    </w:tbl>
    <w:p>
      <w:pPr>
        <w:pStyle w:val="1012"/>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r>
      <w:r>
        <w:rPr>
          <w:color w:val="000000" w:themeColor="text1"/>
        </w:rPr>
      </w:r>
    </w:p>
    <w:p>
      <w:pPr>
        <w:pStyle w:val="1049"/>
        <w:numPr>
          <w:ilvl w:val="0"/>
          <w:numId w:val="12"/>
        </w:numPr>
        <w:ind w:left="-200"/>
        <w:keepLines w:val="0"/>
        <w:keepNext w:val="0"/>
        <w:pageBreakBefore/>
        <w:spacing w:line="240" w:lineRule="auto"/>
        <w:widowControl/>
        <w:rPr>
          <w:rFonts w:hint="eastAsia" w:ascii="宋体" w:hAnsi="宋体" w:eastAsia="宋体" w:cs="宋体"/>
          <w:b/>
          <w:bCs/>
          <w:color w:val="000000" w:themeColor="text1"/>
          <w:highlight w:val="none"/>
        </w:rPr>
      </w:pPr>
      <w:r>
        <w:rPr>
          <w:color w:val="000000" w:themeColor="text1"/>
        </w:rPr>
      </w:r>
      <w:bookmarkStart w:id="20" w:name="_Toc11828"/>
      <w:r>
        <w:rPr>
          <w:rFonts w:hint="eastAsia" w:ascii="宋体" w:hAnsi="宋体" w:eastAsia="宋体" w:cs="宋体"/>
          <w:b/>
          <w:bCs/>
          <w:color w:val="000000" w:themeColor="text1"/>
          <w:highlight w:val="none"/>
          <w:lang w:val="en-US" w:eastAsia="zh-CN"/>
        </w:rPr>
        <w:t xml:space="preserve">产品配置技术要求</w:t>
      </w:r>
      <w:bookmarkEnd w:id="20"/>
      <w:r>
        <w:rPr>
          <w:rFonts w:hint="eastAsia" w:ascii="宋体" w:hAnsi="宋体" w:eastAsia="宋体" w:cs="宋体"/>
          <w:b/>
          <w:bCs/>
          <w:color w:val="000000" w:themeColor="text1"/>
          <w:highlight w:val="none"/>
        </w:rPr>
      </w:r>
      <w:r>
        <w:rPr>
          <w:color w:val="000000" w:themeColor="text1"/>
        </w:rPr>
      </w:r>
    </w:p>
    <w:p>
      <w:pPr>
        <w:pStyle w:val="1051"/>
        <w:keepLines w:val="0"/>
        <w:keepNext w:val="0"/>
        <w:pageBreakBefore w:val="0"/>
        <w:spacing w:line="240" w:lineRule="auto"/>
        <w:rPr>
          <w:rFonts w:hint="eastAsia" w:ascii="宋体" w:hAnsi="宋体" w:eastAsia="宋体" w:cs="宋体"/>
          <w:b/>
          <w:bCs/>
          <w:color w:val="000000" w:themeColor="text1"/>
          <w:sz w:val="28"/>
          <w:szCs w:val="28"/>
          <w:highlight w:val="none"/>
        </w:rPr>
      </w:pPr>
      <w:r>
        <w:rPr>
          <w:color w:val="000000" w:themeColor="text1"/>
        </w:rPr>
      </w:r>
      <w:bookmarkStart w:id="21" w:name="_Toc7727"/>
      <w:r>
        <w:rPr>
          <w:rFonts w:hint="eastAsia" w:ascii="宋体" w:hAnsi="宋体" w:eastAsia="宋体" w:cs="宋体"/>
          <w:b/>
          <w:bCs/>
          <w:color w:val="000000" w:themeColor="text1"/>
          <w:sz w:val="28"/>
          <w:szCs w:val="28"/>
          <w:highlight w:val="none"/>
          <w:lang w:val="en-US" w:eastAsia="zh-CN"/>
        </w:rPr>
        <w:t xml:space="preserve">2.1网络及安全设备部分</w:t>
      </w:r>
      <w:bookmarkEnd w:id="21"/>
      <w:r>
        <w:rPr>
          <w:rFonts w:hint="eastAsia" w:ascii="宋体" w:hAnsi="宋体" w:eastAsia="宋体" w:cs="宋体"/>
          <w:b/>
          <w:bCs/>
          <w:color w:val="000000" w:themeColor="text1"/>
          <w:sz w:val="28"/>
          <w:szCs w:val="28"/>
          <w:highlight w:val="none"/>
        </w:rPr>
      </w:r>
      <w:r>
        <w:rPr>
          <w:color w:val="000000" w:themeColor="text1"/>
        </w:rPr>
      </w:r>
    </w:p>
    <w:p>
      <w:pPr>
        <w:pStyle w:val="1053"/>
        <w:keepLines w:val="0"/>
        <w:keepNext w:val="0"/>
        <w:pageBreakBefore w:val="0"/>
        <w:spacing w:line="240" w:lineRule="auto"/>
        <w:rPr>
          <w:rFonts w:hint="eastAsia" w:ascii="宋体" w:hAnsi="宋体" w:eastAsia="宋体" w:cs="宋体"/>
          <w:b/>
          <w:bCs/>
          <w:color w:val="000000" w:themeColor="text1"/>
          <w:highlight w:val="none"/>
        </w:rPr>
      </w:pPr>
      <w:r>
        <w:rPr>
          <w:color w:val="000000" w:themeColor="text1"/>
        </w:rPr>
      </w:r>
      <w:bookmarkStart w:id="22" w:name="_Toc3695"/>
      <w:r>
        <w:rPr>
          <w:rFonts w:hint="eastAsia" w:ascii="宋体" w:hAnsi="宋体" w:eastAsia="宋体" w:cs="宋体"/>
          <w:b/>
          <w:bCs/>
          <w:color w:val="000000" w:themeColor="text1"/>
          <w:highlight w:val="none"/>
          <w:lang w:val="en-US" w:eastAsia="zh-CN"/>
        </w:rPr>
        <w:t xml:space="preserve">2.1.1</w:t>
      </w:r>
      <w:r>
        <w:rPr>
          <w:rFonts w:hint="eastAsia" w:ascii="宋体" w:hAnsi="宋体" w:eastAsia="宋体" w:cs="宋体"/>
          <w:b/>
          <w:bCs/>
          <w:color w:val="000000" w:themeColor="text1"/>
          <w:highlight w:val="none"/>
        </w:rPr>
        <w:t xml:space="preserve">、更换设备部分</w:t>
      </w:r>
      <w:bookmarkEnd w:id="22"/>
      <w:r>
        <w:rPr>
          <w:rFonts w:hint="eastAsia" w:ascii="宋体" w:hAnsi="宋体" w:eastAsia="宋体" w:cs="宋体"/>
          <w:b/>
          <w:bCs/>
          <w:color w:val="000000" w:themeColor="text1"/>
          <w:highlight w:val="none"/>
        </w:rPr>
      </w:r>
      <w:r>
        <w:rPr>
          <w:color w:val="000000" w:themeColor="text1"/>
        </w:rPr>
      </w:r>
    </w:p>
    <w:p>
      <w:pPr>
        <w:pStyle w:val="1053"/>
        <w:numPr>
          <w:ilvl w:val="0"/>
          <w:numId w:val="0"/>
        </w:numPr>
        <w:rPr>
          <w:rFonts w:hint="eastAsia" w:ascii="宋体" w:hAnsi="宋体" w:eastAsia="宋体" w:cs="宋体"/>
          <w:b/>
          <w:bCs/>
          <w:color w:val="000000" w:themeColor="text1"/>
          <w:sz w:val="28"/>
          <w:szCs w:val="28"/>
          <w:highlight w:val="none"/>
        </w:rPr>
      </w:pPr>
      <w:r>
        <w:rPr>
          <w:color w:val="000000" w:themeColor="text1"/>
        </w:rPr>
      </w:r>
      <w:bookmarkStart w:id="23" w:name="_Toc5641"/>
      <w:r>
        <w:rPr>
          <w:rFonts w:hint="eastAsia" w:ascii="宋体" w:hAnsi="宋体" w:eastAsia="宋体" w:cs="宋体"/>
          <w:b/>
          <w:bCs/>
          <w:color w:val="000000" w:themeColor="text1"/>
          <w:sz w:val="28"/>
          <w:szCs w:val="28"/>
          <w:highlight w:val="none"/>
          <w:lang w:val="en-US" w:eastAsia="zh-CN"/>
        </w:rPr>
        <w:t xml:space="preserve">1.</w:t>
      </w:r>
      <w:r>
        <w:rPr>
          <w:rFonts w:hint="eastAsia" w:ascii="宋体" w:hAnsi="宋体" w:eastAsia="宋体" w:cs="宋体"/>
          <w:b/>
          <w:bCs/>
          <w:color w:val="000000" w:themeColor="text1"/>
          <w:sz w:val="28"/>
          <w:szCs w:val="28"/>
          <w:highlight w:val="none"/>
        </w:rPr>
        <w:t xml:space="preserve">数据库审计</w:t>
      </w:r>
      <w:bookmarkEnd w:id="23"/>
      <w:r>
        <w:rPr>
          <w:rFonts w:hint="eastAsia" w:ascii="宋体" w:hAnsi="宋体" w:eastAsia="宋体" w:cs="宋体"/>
          <w:b/>
          <w:bCs/>
          <w:color w:val="000000" w:themeColor="text1"/>
          <w:sz w:val="28"/>
          <w:szCs w:val="28"/>
          <w:highlight w:val="none"/>
        </w:rPr>
      </w:r>
      <w:r>
        <w:rPr>
          <w:color w:val="000000" w:themeColor="text1"/>
        </w:rPr>
      </w:r>
    </w:p>
    <w:tbl>
      <w:tblPr>
        <w:tblW w:w="9036" w:type="dxa"/>
        <w:jc w:val="center"/>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 w:type="dxa"/>
          <w:top w:w="-1" w:type="dxa"/>
          <w:right w:w="-1" w:type="dxa"/>
          <w:bottom w:w="-1" w:type="dxa"/>
        </w:tblCellMar>
        <w:tblLook w:val="04A0" w:firstRow="1" w:lastRow="0" w:firstColumn="1" w:lastColumn="0" w:noHBand="0" w:noVBand="1"/>
      </w:tblPr>
      <w:tblGrid>
        <w:gridCol w:w="1633"/>
        <w:gridCol w:w="7403"/>
      </w:tblGrid>
      <w:tr>
        <w:trPr>
          <w:trHeight w:val="509"/>
          <w:tblHeader/>
        </w:trPr>
        <w:tc>
          <w:tcPr>
            <w:tcMar>
              <w:left w:w="-1" w:type="dxa"/>
              <w:top w:w="-1" w:type="dxa"/>
              <w:right w:w="-1" w:type="dxa"/>
              <w:bottom w:w="-1" w:type="dxa"/>
            </w:tcMar>
            <w:tcW w:w="1633" w:type="dxa"/>
            <w:vAlign w:val="center"/>
            <w:textDirection w:val="lrTb"/>
            <w:noWrap w:val="false"/>
          </w:tcPr>
          <w:p>
            <w:pPr>
              <w:pStyle w:val="1012"/>
              <w:ind w:left="0" w:right="0" w:firstLine="0"/>
              <w:jc w:val="center"/>
              <w:spacing w:line="274"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功能项</w:t>
            </w:r>
            <w:r>
              <w:rPr>
                <w:rFonts w:hint="eastAsia" w:ascii="宋体" w:hAnsi="宋体" w:eastAsia="宋体" w:cs="宋体"/>
                <w:b/>
                <w:bCs/>
                <w:color w:val="000000" w:themeColor="text1"/>
                <w:sz w:val="24"/>
                <w:szCs w:val="24"/>
                <w:highlight w:val="none"/>
                <w:lang w:val="en-US" w:eastAsia="zh-CN" w:bidi="ar-SA"/>
              </w:rPr>
            </w:r>
            <w:r>
              <w:rPr>
                <w:color w:val="000000" w:themeColor="text1"/>
              </w:rPr>
            </w:r>
          </w:p>
        </w:tc>
        <w:tc>
          <w:tcPr>
            <w:tcMar>
              <w:left w:w="-1" w:type="dxa"/>
              <w:top w:w="-1" w:type="dxa"/>
              <w:right w:w="-1" w:type="dxa"/>
              <w:bottom w:w="-1" w:type="dxa"/>
            </w:tcMar>
            <w:tcW w:w="7403" w:type="dxa"/>
            <w:vAlign w:val="center"/>
            <w:textDirection w:val="lrTb"/>
            <w:noWrap w:val="false"/>
          </w:tcPr>
          <w:p>
            <w:pPr>
              <w:pStyle w:val="1012"/>
              <w:ind w:left="0" w:right="0" w:firstLine="0"/>
              <w:jc w:val="center"/>
              <w:spacing w:line="274"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功能要求</w:t>
            </w:r>
            <w:r>
              <w:rPr>
                <w:rFonts w:hint="eastAsia" w:ascii="宋体" w:hAnsi="宋体" w:eastAsia="宋体" w:cs="宋体"/>
                <w:b/>
                <w:bCs/>
                <w:color w:val="000000" w:themeColor="text1"/>
                <w:sz w:val="24"/>
                <w:szCs w:val="24"/>
                <w:highlight w:val="none"/>
                <w:lang w:val="en-US" w:eastAsia="zh-CN" w:bidi="ar-SA"/>
              </w:rPr>
            </w:r>
            <w:r>
              <w:rPr>
                <w:color w:val="000000" w:themeColor="text1"/>
              </w:rPr>
            </w:r>
          </w:p>
        </w:tc>
      </w:tr>
      <w:tr>
        <w:trPr/>
        <w:tc>
          <w:tcPr>
            <w:tcMar>
              <w:left w:w="-1" w:type="dxa"/>
              <w:top w:w="-1" w:type="dxa"/>
              <w:right w:w="-1" w:type="dxa"/>
              <w:bottom w:w="-1" w:type="dxa"/>
            </w:tcMar>
            <w:tcW w:w="1633" w:type="dxa"/>
            <w:vAlign w:val="center"/>
            <w:textDirection w:val="lrTb"/>
            <w:noWrap w:val="false"/>
          </w:tcPr>
          <w:p>
            <w:pPr>
              <w:pStyle w:val="1012"/>
              <w:ind w:left="0" w:right="0" w:firstLine="0"/>
              <w:jc w:val="center"/>
              <w:spacing w:line="274"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硬件配置</w:t>
            </w:r>
            <w:r>
              <w:rPr>
                <w:rFonts w:hint="eastAsia" w:ascii="宋体" w:hAnsi="宋体" w:eastAsia="宋体" w:cs="宋体"/>
                <w:b/>
                <w:bCs/>
                <w:color w:val="000000" w:themeColor="text1"/>
                <w:sz w:val="24"/>
                <w:szCs w:val="24"/>
                <w:highlight w:val="none"/>
                <w:lang w:val="en-US" w:eastAsia="zh-CN" w:bidi="ar-SA"/>
              </w:rPr>
            </w:r>
            <w:r>
              <w:rPr>
                <w:color w:val="000000" w:themeColor="text1"/>
              </w:rPr>
            </w:r>
          </w:p>
        </w:tc>
        <w:tc>
          <w:tcPr>
            <w:tcMar>
              <w:left w:w="-1" w:type="dxa"/>
              <w:top w:w="-1" w:type="dxa"/>
              <w:right w:w="-1" w:type="dxa"/>
              <w:bottom w:w="-1" w:type="dxa"/>
            </w:tcMar>
            <w:tcW w:w="7403" w:type="dxa"/>
            <w:vAlign w:val="center"/>
            <w:textDirection w:val="lrTb"/>
            <w:noWrap w:val="false"/>
          </w:tcPr>
          <w:p>
            <w:pPr>
              <w:pStyle w:val="1012"/>
              <w:ind w:left="0" w:right="0" w:firstLine="0"/>
              <w:jc w:val="left"/>
              <w:spacing w:line="274" w:lineRule="auto"/>
              <w:widowControl w:val="off"/>
              <w:rPr>
                <w:rFonts w:hint="eastAsia" w:ascii="宋体" w:hAnsi="宋体" w:eastAsia="宋体" w:cs="宋体"/>
                <w:color w:val="000000" w:themeColor="text1"/>
                <w:sz w:val="24"/>
                <w:szCs w:val="24"/>
                <w:highlight w:val="none"/>
              </w:rPr>
            </w:pPr>
            <w:r>
              <w:rPr>
                <w:color w:val="000000" w:themeColor="text1"/>
              </w:rPr>
            </w:r>
            <w:bookmarkStart w:id="24" w:name="OLE_LINK10"/>
            <w:r>
              <w:rPr>
                <w:rFonts w:hint="eastAsia" w:ascii="宋体" w:hAnsi="宋体" w:eastAsia="宋体" w:cs="宋体"/>
                <w:color w:val="000000" w:themeColor="text1"/>
                <w:sz w:val="24"/>
                <w:szCs w:val="24"/>
                <w:highlight w:val="none"/>
                <w:lang w:val="en-US" w:eastAsia="zh-CN" w:bidi="ar-SA"/>
              </w:rPr>
              <w:t xml:space="preserve">满足国产化要求，冗余电源，配置≥6个千兆电业务口，≥2个万兆SFP口，≥64G内存，≥4TB SATA硬盘，网络层吞吐量≥1000Mbit/秒，SQL语句处理能力≥40000条/秒，数据库实例≥200个，日志存储量≥40亿，含三年软件升级和硬件维保服务。</w:t>
            </w:r>
            <w:bookmarkEnd w:id="24"/>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496"/>
        </w:trPr>
        <w:tc>
          <w:tcPr>
            <w:tcMar>
              <w:left w:w="-1" w:type="dxa"/>
              <w:top w:w="-1" w:type="dxa"/>
              <w:right w:w="-1" w:type="dxa"/>
              <w:bottom w:w="-1" w:type="dxa"/>
            </w:tcMar>
            <w:tcW w:w="1633" w:type="dxa"/>
            <w:vAlign w:val="center"/>
            <w:textDirection w:val="lrTb"/>
            <w:noWrap w:val="false"/>
          </w:tcPr>
          <w:p>
            <w:pPr>
              <w:pStyle w:val="1012"/>
              <w:ind w:left="0" w:right="0" w:firstLine="0"/>
              <w:jc w:val="center"/>
              <w:spacing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产品授权</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Mar>
              <w:left w:w="-1" w:type="dxa"/>
              <w:top w:w="-1" w:type="dxa"/>
              <w:right w:w="-1" w:type="dxa"/>
              <w:bottom w:w="-1" w:type="dxa"/>
            </w:tcMar>
            <w:tcW w:w="7403" w:type="dxa"/>
            <w:vAlign w:val="center"/>
            <w:textDirection w:val="lrTb"/>
            <w:noWrap w:val="false"/>
          </w:tcPr>
          <w:p>
            <w:pPr>
              <w:pStyle w:val="1012"/>
              <w:ind w:left="0" w:right="0" w:firstLine="0"/>
              <w:jc w:val="left"/>
              <w:spacing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≥200个资产授权，不低于1000M网络层吞吐量授权激活。</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Mar>
              <w:left w:w="-1" w:type="dxa"/>
              <w:top w:w="-1" w:type="dxa"/>
              <w:right w:w="-1" w:type="dxa"/>
              <w:bottom w:w="-1" w:type="dxa"/>
            </w:tcMar>
            <w:tcW w:w="1633" w:type="dxa"/>
            <w:vAlign w:val="center"/>
            <w:vMerge w:val="restart"/>
            <w:textDirection w:val="lrTb"/>
            <w:noWrap w:val="false"/>
          </w:tcPr>
          <w:p>
            <w:pPr>
              <w:pStyle w:val="1012"/>
              <w:ind w:left="0" w:right="0" w:firstLine="0"/>
              <w:jc w:val="center"/>
              <w:spacing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数据库资产</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Mar>
              <w:left w:w="-1" w:type="dxa"/>
              <w:top w:w="-1" w:type="dxa"/>
              <w:right w:w="-1" w:type="dxa"/>
              <w:bottom w:w="-1" w:type="dxa"/>
            </w:tcMar>
            <w:tcW w:w="7403" w:type="dxa"/>
            <w:vAlign w:val="center"/>
            <w:textDirection w:val="lrTb"/>
            <w:noWrap w:val="false"/>
          </w:tcPr>
          <w:p>
            <w:pPr>
              <w:pStyle w:val="1447"/>
              <w:contextualSpacing/>
              <w:ind w:left="0" w:right="0" w:firstLine="0"/>
              <w:jc w:val="left"/>
              <w:spacing w:before="40" w:after="4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支持MySQL、Oracle、PostgreSQL、SQL Server、DB2、Informix、MariaDB、Sybase、Greenplum、QianBase、Elasticsearch、达梦、电科金仓支持根据组织架构或权限组，进行数据库分组。</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Mar>
              <w:left w:w="-1" w:type="dxa"/>
              <w:top w:w="-1" w:type="dxa"/>
              <w:right w:w="-1" w:type="dxa"/>
              <w:bottom w:w="-1" w:type="dxa"/>
            </w:tcMar>
            <w:tcW w:w="1633" w:type="dxa"/>
            <w:vAlign w:val="center"/>
            <w:vMerge w:val="continue"/>
            <w:textDirection w:val="lrTb"/>
            <w:noWrap w:val="false"/>
          </w:tcPr>
          <w:p>
            <w:pPr>
              <w:pStyle w:val="1012"/>
              <w:ind w:left="0" w:right="0" w:firstLine="0"/>
              <w:jc w:val="center"/>
              <w:spacing w:line="27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Mar>
              <w:left w:w="-1" w:type="dxa"/>
              <w:top w:w="-1" w:type="dxa"/>
              <w:right w:w="-1" w:type="dxa"/>
              <w:bottom w:w="-1" w:type="dxa"/>
            </w:tcMar>
            <w:tcW w:w="7403" w:type="dxa"/>
            <w:vAlign w:val="center"/>
            <w:textDirection w:val="lrTb"/>
            <w:noWrap w:val="false"/>
          </w:tcPr>
          <w:p>
            <w:pPr>
              <w:pStyle w:val="1447"/>
              <w:contextualSpacing/>
              <w:ind w:left="0" w:right="0" w:firstLine="0"/>
              <w:jc w:val="left"/>
              <w:spacing w:before="40" w:after="40" w:line="240" w:lineRule="auto"/>
              <w:widowControl w:val="off"/>
              <w:rPr>
                <w:rFonts w:hint="eastAsia" w:ascii="宋体" w:hAnsi="宋体" w:eastAsia="宋体" w:cs="宋体"/>
                <w:color w:val="000000" w:themeColor="text1"/>
                <w:sz w:val="24"/>
                <w:szCs w:val="24"/>
                <w:highlight w:val="none"/>
              </w:rPr>
            </w:pPr>
            <w:r>
              <w:rPr>
                <w:color w:val="000000" w:themeColor="text1"/>
              </w:rPr>
            </w:r>
            <w:bookmarkStart w:id="25" w:name="OLE_LINK23"/>
            <w:r>
              <w:rPr>
                <w:rFonts w:hint="eastAsia" w:ascii="宋体" w:hAnsi="宋体" w:eastAsia="宋体" w:cs="宋体"/>
                <w:color w:val="000000" w:themeColor="text1"/>
                <w:sz w:val="24"/>
                <w:szCs w:val="24"/>
                <w:highlight w:val="none"/>
                <w:lang w:val="en-US" w:eastAsia="zh-CN" w:bidi="ar-SA"/>
              </w:rPr>
              <w:t xml:space="preserve">具备敏感数据分类分级的能力，可根据不同业务类型对数据进行自动对业务类型进行分类，不限于个人信息、地理信息、组织机构信息、信息行业相关信息、基础信息、通用类型等</w:t>
            </w:r>
            <w:bookmarkEnd w:id="25"/>
            <w:r>
              <w:rPr>
                <w:rFonts w:hint="eastAsia" w:ascii="宋体" w:hAnsi="宋体" w:eastAsia="宋体" w:cs="宋体"/>
                <w:color w:val="000000" w:themeColor="text1"/>
                <w:sz w:val="24"/>
                <w:szCs w:val="24"/>
                <w:highlight w:val="none"/>
                <w:lang w:val="en-US" w:eastAsia="zh-CN" w:bidi="ar-SA"/>
              </w:rPr>
              <w:t xml:space="preserve">。</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Mar>
              <w:left w:w="-1" w:type="dxa"/>
              <w:top w:w="-1" w:type="dxa"/>
              <w:right w:w="-1" w:type="dxa"/>
              <w:bottom w:w="-1" w:type="dxa"/>
            </w:tcMar>
            <w:tcW w:w="1633" w:type="dxa"/>
            <w:vAlign w:val="center"/>
            <w:vMerge w:val="continue"/>
            <w:textDirection w:val="lrTb"/>
            <w:noWrap w:val="false"/>
          </w:tcPr>
          <w:p>
            <w:pPr>
              <w:pStyle w:val="1012"/>
              <w:ind w:left="0" w:right="0" w:firstLine="0"/>
              <w:jc w:val="center"/>
              <w:spacing w:line="27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Mar>
              <w:left w:w="-1" w:type="dxa"/>
              <w:top w:w="-1" w:type="dxa"/>
              <w:right w:w="-1" w:type="dxa"/>
              <w:bottom w:w="-1" w:type="dxa"/>
            </w:tcMar>
            <w:tcW w:w="7403" w:type="dxa"/>
            <w:vAlign w:val="center"/>
            <w:textDirection w:val="lrTb"/>
            <w:noWrap w:val="false"/>
          </w:tcPr>
          <w:p>
            <w:pPr>
              <w:pStyle w:val="1447"/>
              <w:contextualSpacing/>
              <w:ind w:left="0" w:right="0" w:firstLine="0"/>
              <w:jc w:val="left"/>
              <w:spacing w:before="40" w:after="4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支持通过敏感类型以及资产选择，进行敏感数据发现。</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Mar>
              <w:left w:w="-1" w:type="dxa"/>
              <w:top w:w="-1" w:type="dxa"/>
              <w:right w:w="-1" w:type="dxa"/>
              <w:bottom w:w="-1" w:type="dxa"/>
            </w:tcMar>
            <w:tcW w:w="1633" w:type="dxa"/>
            <w:vAlign w:val="center"/>
            <w:textDirection w:val="lrTb"/>
            <w:noWrap w:val="false"/>
          </w:tcPr>
          <w:p>
            <w:pPr>
              <w:pStyle w:val="1012"/>
              <w:ind w:left="0" w:right="0" w:firstLine="0"/>
              <w:jc w:val="center"/>
              <w:spacing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身份管理</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Mar>
              <w:left w:w="-1" w:type="dxa"/>
              <w:top w:w="-1" w:type="dxa"/>
              <w:right w:w="-1" w:type="dxa"/>
              <w:bottom w:w="-1" w:type="dxa"/>
            </w:tcMar>
            <w:tcW w:w="7403" w:type="dxa"/>
            <w:vAlign w:val="center"/>
            <w:textDirection w:val="lrTb"/>
            <w:noWrap w:val="false"/>
          </w:tcPr>
          <w:p>
            <w:pPr>
              <w:pStyle w:val="1447"/>
              <w:contextualSpacing/>
              <w:ind w:left="0" w:right="0" w:firstLine="0"/>
              <w:jc w:val="left"/>
              <w:spacing w:before="40" w:after="4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支持以“人、终端、应用、账号”四个维度精确定义唯一的资产访问身份。支持通过终端设备IP、MAC地址、应用名称、数据库账号、业务账号名称等因素的组合，构建多维的身份鉴别策略。</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Mar>
              <w:left w:w="-1" w:type="dxa"/>
              <w:top w:w="-1" w:type="dxa"/>
              <w:right w:w="-1" w:type="dxa"/>
              <w:bottom w:w="-1" w:type="dxa"/>
            </w:tcMar>
            <w:tcW w:w="1633" w:type="dxa"/>
            <w:vAlign w:val="center"/>
            <w:textDirection w:val="lrTb"/>
            <w:noWrap w:val="false"/>
          </w:tcPr>
          <w:p>
            <w:pPr>
              <w:pStyle w:val="1012"/>
              <w:ind w:left="0" w:right="0" w:firstLine="0"/>
              <w:jc w:val="center"/>
              <w:spacing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法规解读</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Mar>
              <w:left w:w="-1" w:type="dxa"/>
              <w:top w:w="-1" w:type="dxa"/>
              <w:right w:w="-1" w:type="dxa"/>
              <w:bottom w:w="-1" w:type="dxa"/>
            </w:tcMar>
            <w:tcW w:w="7403" w:type="dxa"/>
            <w:vAlign w:val="center"/>
            <w:textDirection w:val="lrTb"/>
            <w:noWrap w:val="false"/>
          </w:tcPr>
          <w:p>
            <w:pPr>
              <w:pStyle w:val="1012"/>
              <w:ind w:left="0" w:right="0" w:firstLine="0"/>
              <w:jc w:val="left"/>
              <w:spacing w:line="274" w:lineRule="auto"/>
              <w:widowControl w:val="off"/>
              <w:tabs>
                <w:tab w:val="left" w:pos="1962"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数据安全法律法规的条文解读，至少包括《中华人民共和国数据安全法》《中华人民共和国个人信息保护法》和《数据出境安全评估办法》等。总结、展示合规文件中所有的数据安全核查项，并提供简单易读的安全指导标签，辅助快速理解落地。</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Mar>
              <w:left w:w="-1" w:type="dxa"/>
              <w:top w:w="-1" w:type="dxa"/>
              <w:right w:w="-1" w:type="dxa"/>
              <w:bottom w:w="-1" w:type="dxa"/>
            </w:tcMar>
            <w:tcW w:w="1633" w:type="dxa"/>
            <w:vAlign w:val="center"/>
            <w:textDirection w:val="lrTb"/>
            <w:noWrap w:val="false"/>
          </w:tcPr>
          <w:p>
            <w:pPr>
              <w:pStyle w:val="1012"/>
              <w:ind w:left="0" w:right="0" w:firstLine="0"/>
              <w:jc w:val="center"/>
              <w:spacing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资产风险</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Mar>
              <w:left w:w="-1" w:type="dxa"/>
              <w:top w:w="-1" w:type="dxa"/>
              <w:right w:w="-1" w:type="dxa"/>
              <w:bottom w:w="-1" w:type="dxa"/>
            </w:tcMar>
            <w:tcW w:w="7403" w:type="dxa"/>
            <w:vAlign w:val="center"/>
            <w:textDirection w:val="lrTb"/>
            <w:noWrap w:val="false"/>
          </w:tcPr>
          <w:p>
            <w:pPr>
              <w:pStyle w:val="1012"/>
              <w:ind w:left="0" w:right="0" w:firstLine="0"/>
              <w:jc w:val="left"/>
              <w:spacing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通过多个维度计算资产风险分析结合实时行为分析，可实现动态授权。其中资产基础认证分包括资产的敏感等级、审计级别、是否脱敏、加密以及资产脆弱性等多维度综合考量，通过风险评分的变化风险趋势，可分析资产的安全态势。</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Mar>
              <w:left w:w="-1" w:type="dxa"/>
              <w:top w:w="-1" w:type="dxa"/>
              <w:right w:w="-1" w:type="dxa"/>
              <w:bottom w:w="-1" w:type="dxa"/>
            </w:tcMar>
            <w:tcW w:w="1633" w:type="dxa"/>
            <w:vAlign w:val="center"/>
            <w:textDirection w:val="lrTb"/>
            <w:noWrap w:val="false"/>
          </w:tcPr>
          <w:p>
            <w:pPr>
              <w:pStyle w:val="1012"/>
              <w:ind w:left="0" w:right="0" w:firstLine="0"/>
              <w:jc w:val="center"/>
              <w:spacing w:line="274" w:lineRule="auto"/>
              <w:widowControl w:val="off"/>
              <w:rPr>
                <w:rFonts w:hint="eastAsia" w:ascii="宋体" w:hAnsi="宋体" w:eastAsia="宋体" w:cs="宋体"/>
                <w:color w:val="000000" w:themeColor="text1"/>
                <w:sz w:val="24"/>
                <w:szCs w:val="24"/>
                <w:highlight w:val="none"/>
              </w:rPr>
            </w:pPr>
            <w:r>
              <w:rPr>
                <w:color w:val="000000" w:themeColor="text1"/>
              </w:rPr>
            </w:r>
            <w:bookmarkStart w:id="26" w:name="_Hlk218084090"/>
            <w:r>
              <w:rPr>
                <w:rFonts w:hint="eastAsia" w:ascii="宋体" w:hAnsi="宋体" w:eastAsia="宋体" w:cs="宋体"/>
                <w:color w:val="000000" w:themeColor="text1"/>
                <w:sz w:val="24"/>
                <w:szCs w:val="24"/>
                <w:highlight w:val="none"/>
                <w:lang w:val="en-US" w:eastAsia="zh-CN" w:bidi="ar-SA"/>
              </w:rPr>
              <w:t xml:space="preserve">第三方管理</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Mar>
              <w:left w:w="-1" w:type="dxa"/>
              <w:top w:w="-1" w:type="dxa"/>
              <w:right w:w="-1" w:type="dxa"/>
              <w:bottom w:w="-1" w:type="dxa"/>
            </w:tcMar>
            <w:tcW w:w="7403" w:type="dxa"/>
            <w:vAlign w:val="center"/>
            <w:textDirection w:val="lrTb"/>
            <w:noWrap w:val="false"/>
          </w:tcPr>
          <w:p>
            <w:pPr>
              <w:pStyle w:val="1012"/>
              <w:ind w:left="0" w:right="0" w:firstLine="0"/>
              <w:jc w:val="left"/>
              <w:spacing w:line="274" w:lineRule="auto"/>
              <w:widowControl w:val="off"/>
              <w:tabs>
                <w:tab w:val="left" w:pos="1962"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可通过产品界面，采集并展示第三方设备的告警数据、设备运行数据设备联动：支持对接第三方安全设备，实现数据收集、数据外发、任务联动；支持监控数据安全子设备运行状态，可直观呈现子设备的CPU、内存、磁盘使用率、网络接发情况及其趋势。</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left="0" w:right="0" w:firstLine="0"/>
              <w:jc w:val="left"/>
              <w:spacing w:line="274" w:lineRule="auto"/>
              <w:widowControl w:val="off"/>
              <w:tabs>
                <w:tab w:val="left" w:pos="1962"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投标时投标人提供操作界面功能截图并加盖投标人公章。</w:t>
            </w:r>
            <w:bookmarkEnd w:id="26"/>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Mar>
              <w:left w:w="-1" w:type="dxa"/>
              <w:top w:w="-1" w:type="dxa"/>
              <w:right w:w="-1" w:type="dxa"/>
              <w:bottom w:w="-1" w:type="dxa"/>
            </w:tcMar>
            <w:tcW w:w="1633" w:type="dxa"/>
            <w:vAlign w:val="center"/>
            <w:vMerge w:val="restart"/>
            <w:textDirection w:val="lrTb"/>
            <w:noWrap w:val="false"/>
          </w:tcPr>
          <w:p>
            <w:pPr>
              <w:pStyle w:val="1012"/>
              <w:ind w:left="0" w:right="0" w:firstLine="0"/>
              <w:jc w:val="center"/>
              <w:spacing w:line="274" w:lineRule="auto"/>
              <w:widowControl w:val="off"/>
              <w:tabs>
                <w:tab w:val="left" w:pos="1962" w:leader="none"/>
              </w:tabs>
              <w:rPr>
                <w:rFonts w:hint="eastAsia" w:ascii="宋体" w:hAnsi="宋体" w:eastAsia="宋体" w:cs="宋体"/>
                <w:color w:val="000000" w:themeColor="text1"/>
                <w:sz w:val="24"/>
                <w:szCs w:val="24"/>
                <w:highlight w:val="none"/>
              </w:rPr>
            </w:pPr>
            <w:r>
              <w:rPr>
                <w:color w:val="000000" w:themeColor="text1"/>
              </w:rPr>
            </w:r>
            <w:bookmarkStart w:id="27" w:name="OLE_LINK17"/>
            <w:r>
              <w:rPr>
                <w:color w:val="000000" w:themeColor="text1"/>
              </w:rPr>
            </w:r>
            <w:bookmarkStart w:id="28" w:name="_Hlk218084748"/>
            <w:r>
              <w:rPr>
                <w:rFonts w:hint="eastAsia" w:ascii="宋体" w:hAnsi="宋体" w:eastAsia="宋体" w:cs="宋体"/>
                <w:color w:val="000000" w:themeColor="text1"/>
                <w:sz w:val="24"/>
                <w:szCs w:val="24"/>
                <w:highlight w:val="none"/>
                <w:lang w:val="en-US" w:eastAsia="zh-CN" w:bidi="ar-SA"/>
              </w:rPr>
              <w:t xml:space="preserve">全面审计</w:t>
            </w:r>
            <w:bookmarkEnd w:id="27"/>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Mar>
              <w:left w:w="-1" w:type="dxa"/>
              <w:top w:w="-1" w:type="dxa"/>
              <w:right w:w="-1" w:type="dxa"/>
              <w:bottom w:w="-1" w:type="dxa"/>
            </w:tcMar>
            <w:tcW w:w="7403" w:type="dxa"/>
            <w:vAlign w:val="center"/>
            <w:textDirection w:val="lrTb"/>
            <w:noWrap w:val="false"/>
          </w:tcPr>
          <w:p>
            <w:pPr>
              <w:pStyle w:val="1012"/>
              <w:ind w:left="0" w:right="0" w:firstLine="0"/>
              <w:jc w:val="left"/>
              <w:spacing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支持对数据库访问行为建模，维度至少应包含：数据资产、数据库用户、客户端IP，以及工具名等内容。</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Mar>
              <w:left w:w="-1" w:type="dxa"/>
              <w:top w:w="-1" w:type="dxa"/>
              <w:right w:w="-1" w:type="dxa"/>
              <w:bottom w:w="-1" w:type="dxa"/>
            </w:tcMar>
            <w:tcW w:w="1633" w:type="dxa"/>
            <w:vAlign w:val="center"/>
            <w:vMerge w:val="continue"/>
            <w:textDirection w:val="lrTb"/>
            <w:noWrap w:val="false"/>
          </w:tcPr>
          <w:p>
            <w:pPr>
              <w:pStyle w:val="1012"/>
              <w:ind w:left="0" w:right="0" w:firstLine="0"/>
              <w:jc w:val="center"/>
              <w:spacing w:line="274" w:lineRule="auto"/>
              <w:widowControl w:val="off"/>
              <w:tabs>
                <w:tab w:val="left" w:pos="1962"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Mar>
              <w:left w:w="-1" w:type="dxa"/>
              <w:top w:w="-1" w:type="dxa"/>
              <w:right w:w="-1" w:type="dxa"/>
              <w:bottom w:w="-1" w:type="dxa"/>
            </w:tcMar>
            <w:tcW w:w="7403" w:type="dxa"/>
            <w:vAlign w:val="center"/>
            <w:textDirection w:val="lrTb"/>
            <w:noWrap w:val="false"/>
          </w:tcPr>
          <w:p>
            <w:pPr>
              <w:pStyle w:val="1012"/>
              <w:ind w:left="0" w:right="0" w:firstLine="0"/>
              <w:jc w:val="left"/>
              <w:spacing w:line="274" w:lineRule="auto"/>
              <w:widowControl w:val="off"/>
              <w:rPr>
                <w:rFonts w:hint="eastAsia" w:ascii="宋体" w:hAnsi="宋体" w:eastAsia="宋体" w:cs="宋体"/>
                <w:color w:val="000000" w:themeColor="text1"/>
                <w:sz w:val="24"/>
                <w:szCs w:val="24"/>
                <w:highlight w:val="none"/>
              </w:rPr>
            </w:pPr>
            <w:r>
              <w:rPr>
                <w:color w:val="000000" w:themeColor="text1"/>
              </w:rPr>
            </w:r>
            <w:bookmarkStart w:id="29" w:name="OLE_LINK24"/>
            <w:r>
              <w:rPr>
                <w:rFonts w:hint="eastAsia" w:ascii="宋体" w:hAnsi="宋体" w:eastAsia="宋体" w:cs="宋体"/>
                <w:color w:val="000000" w:themeColor="text1"/>
                <w:sz w:val="24"/>
                <w:szCs w:val="24"/>
                <w:highlight w:val="none"/>
                <w:lang w:val="en-US" w:eastAsia="zh-CN" w:bidi="ar-SA"/>
              </w:rPr>
              <w:t xml:space="preserve">支持按数据库、schema、表单独配置双向审计策略，并支持配置返回内容保存行数</w:t>
            </w:r>
            <w:bookmarkStart w:id="30" w:name="_Hlk186042062"/>
            <w:r>
              <w:rPr>
                <w:rFonts w:hint="eastAsia" w:ascii="宋体" w:hAnsi="宋体" w:eastAsia="宋体" w:cs="宋体"/>
                <w:color w:val="000000" w:themeColor="text1"/>
                <w:sz w:val="24"/>
                <w:szCs w:val="24"/>
                <w:highlight w:val="none"/>
                <w:lang w:val="en-US" w:eastAsia="zh-CN" w:bidi="ar-SA"/>
              </w:rPr>
              <w:t xml:space="preserve">及保存长度</w:t>
            </w:r>
            <w:bookmarkEnd w:id="29"/>
            <w:r>
              <w:rPr>
                <w:color w:val="000000" w:themeColor="text1"/>
              </w:rPr>
            </w:r>
            <w:bookmarkEnd w:id="30"/>
            <w:r>
              <w:rPr>
                <w:rFonts w:hint="eastAsia" w:ascii="宋体" w:hAnsi="宋体" w:eastAsia="宋体" w:cs="宋体"/>
                <w:color w:val="000000" w:themeColor="text1"/>
                <w:sz w:val="24"/>
                <w:szCs w:val="24"/>
                <w:highlight w:val="none"/>
                <w:lang w:val="en-US" w:eastAsia="zh-CN" w:bidi="ar-SA"/>
              </w:rPr>
              <w:t xml:space="preserve">。 </w:t>
            </w:r>
            <w:bookmarkEnd w:id="28"/>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Mar>
              <w:left w:w="-1" w:type="dxa"/>
              <w:top w:w="-1" w:type="dxa"/>
              <w:right w:w="-1" w:type="dxa"/>
              <w:bottom w:w="-1" w:type="dxa"/>
            </w:tcMar>
            <w:tcW w:w="1633" w:type="dxa"/>
            <w:vAlign w:val="center"/>
            <w:vMerge w:val="restart"/>
            <w:textDirection w:val="lrTb"/>
            <w:noWrap w:val="false"/>
          </w:tcPr>
          <w:p>
            <w:pPr>
              <w:pStyle w:val="1012"/>
              <w:ind w:left="0" w:right="0" w:firstLine="0"/>
              <w:jc w:val="center"/>
              <w:spacing w:line="274" w:lineRule="auto"/>
              <w:widowControl w:val="off"/>
              <w:tabs>
                <w:tab w:val="left" w:pos="1962"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审计规则</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Mar>
              <w:left w:w="-1" w:type="dxa"/>
              <w:top w:w="-1" w:type="dxa"/>
              <w:right w:w="-1" w:type="dxa"/>
              <w:bottom w:w="-1" w:type="dxa"/>
            </w:tcMar>
            <w:tcW w:w="7403" w:type="dxa"/>
            <w:vAlign w:val="center"/>
            <w:textDirection w:val="lrTb"/>
            <w:noWrap w:val="false"/>
          </w:tcPr>
          <w:p>
            <w:pPr>
              <w:pStyle w:val="1012"/>
              <w:ind w:left="0" w:right="0" w:firstLine="0"/>
              <w:jc w:val="left"/>
              <w:spacing w:line="274" w:lineRule="auto"/>
              <w:widowControl w:val="off"/>
              <w:tabs>
                <w:tab w:val="left" w:pos="1962"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内置不少于800个SQL注入风险检测规则，支持对SQL注入风险进行分级管理。支持关联数据库资产。支持通过系统一键批量启用、禁用SQL风险检测策略。内置不少于400个数据库漏洞风险检测规则，页面标注漏洞的CVE标识、CNNVD编码、策略类型、风险等级。支持检测规则的一键下发。</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Mar>
              <w:left w:w="-1" w:type="dxa"/>
              <w:top w:w="-1" w:type="dxa"/>
              <w:right w:w="-1" w:type="dxa"/>
              <w:bottom w:w="-1" w:type="dxa"/>
            </w:tcMar>
            <w:tcW w:w="1633" w:type="dxa"/>
            <w:vAlign w:val="center"/>
            <w:vMerge w:val="continue"/>
            <w:textDirection w:val="lrTb"/>
            <w:noWrap w:val="false"/>
          </w:tcPr>
          <w:p>
            <w:pPr>
              <w:pStyle w:val="1012"/>
              <w:ind w:left="0" w:right="0" w:firstLine="0"/>
              <w:jc w:val="center"/>
              <w:spacing w:line="274" w:lineRule="auto"/>
              <w:widowControl w:val="off"/>
              <w:tabs>
                <w:tab w:val="left" w:pos="1962"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Mar>
              <w:left w:w="-1" w:type="dxa"/>
              <w:top w:w="-1" w:type="dxa"/>
              <w:right w:w="-1" w:type="dxa"/>
              <w:bottom w:w="-1" w:type="dxa"/>
            </w:tcMar>
            <w:tcW w:w="7403" w:type="dxa"/>
            <w:vAlign w:val="center"/>
            <w:textDirection w:val="lrTb"/>
            <w:noWrap w:val="false"/>
          </w:tcPr>
          <w:p>
            <w:pPr>
              <w:pStyle w:val="1012"/>
              <w:ind w:left="0" w:right="0" w:firstLine="0"/>
              <w:jc w:val="left"/>
              <w:spacing w:line="274" w:lineRule="auto"/>
              <w:widowControl w:val="off"/>
              <w:rPr>
                <w:rFonts w:hint="eastAsia" w:ascii="宋体" w:hAnsi="宋体" w:eastAsia="宋体" w:cs="宋体"/>
                <w:color w:val="000000" w:themeColor="text1"/>
                <w:sz w:val="24"/>
                <w:szCs w:val="24"/>
                <w:highlight w:val="none"/>
              </w:rPr>
            </w:pPr>
            <w:r>
              <w:rPr>
                <w:color w:val="000000" w:themeColor="text1"/>
              </w:rPr>
            </w:r>
            <w:bookmarkStart w:id="31" w:name="_Hlk188446439"/>
            <w:r>
              <w:rPr>
                <w:rFonts w:hint="eastAsia" w:ascii="宋体" w:hAnsi="宋体" w:eastAsia="宋体" w:cs="宋体"/>
                <w:color w:val="000000" w:themeColor="text1"/>
                <w:sz w:val="24"/>
                <w:szCs w:val="24"/>
                <w:highlight w:val="none"/>
                <w:lang w:val="en-US" w:eastAsia="zh-CN" w:bidi="ar-SA"/>
              </w:rPr>
              <w:t xml:space="preserve">支持全量审计和部分审计两种审计模式。在全量审计模式下配置过滤策略，在部分审计模式下配置审计策略</w:t>
            </w:r>
            <w:bookmarkEnd w:id="31"/>
            <w:r>
              <w:rPr>
                <w:rFonts w:hint="eastAsia" w:ascii="宋体" w:hAnsi="宋体" w:eastAsia="宋体" w:cs="宋体"/>
                <w:color w:val="000000" w:themeColor="text1"/>
                <w:sz w:val="24"/>
                <w:szCs w:val="24"/>
                <w:highlight w:val="none"/>
                <w:lang w:val="en-US" w:eastAsia="zh-CN" w:bidi="ar-SA"/>
              </w:rPr>
              <w:t xml:space="preserve">。部分审计对象粒度精确到表级别。</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Mar>
              <w:left w:w="-1" w:type="dxa"/>
              <w:top w:w="-1" w:type="dxa"/>
              <w:right w:w="-1" w:type="dxa"/>
              <w:bottom w:w="-1" w:type="dxa"/>
            </w:tcMar>
            <w:tcW w:w="1633" w:type="dxa"/>
            <w:vAlign w:val="center"/>
            <w:vMerge w:val="continue"/>
            <w:textDirection w:val="lrTb"/>
            <w:noWrap w:val="false"/>
          </w:tcPr>
          <w:p>
            <w:pPr>
              <w:pStyle w:val="1012"/>
              <w:ind w:left="0" w:right="0" w:firstLine="0"/>
              <w:jc w:val="center"/>
              <w:spacing w:line="274" w:lineRule="auto"/>
              <w:widowControl w:val="off"/>
              <w:tabs>
                <w:tab w:val="left" w:pos="1962"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Mar>
              <w:left w:w="-1" w:type="dxa"/>
              <w:top w:w="-1" w:type="dxa"/>
              <w:right w:w="-1" w:type="dxa"/>
              <w:bottom w:w="-1" w:type="dxa"/>
            </w:tcMar>
            <w:tcW w:w="7403" w:type="dxa"/>
            <w:vAlign w:val="center"/>
            <w:textDirection w:val="lrTb"/>
            <w:noWrap w:val="false"/>
          </w:tcPr>
          <w:p>
            <w:pPr>
              <w:pStyle w:val="1012"/>
              <w:ind w:left="0" w:right="0" w:firstLine="0"/>
              <w:jc w:val="left"/>
              <w:spacing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支持面向已分类分级资产配置审计策略、风险规则，支持在审计结果、安全事件中展示资产分类分级相关信息。</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Mar>
              <w:left w:w="-1" w:type="dxa"/>
              <w:top w:w="-1" w:type="dxa"/>
              <w:right w:w="-1" w:type="dxa"/>
              <w:bottom w:w="-1" w:type="dxa"/>
            </w:tcMar>
            <w:tcW w:w="1633" w:type="dxa"/>
            <w:vAlign w:val="center"/>
            <w:vMerge w:val="restart"/>
            <w:textDirection w:val="lrTb"/>
            <w:noWrap w:val="false"/>
          </w:tcPr>
          <w:p>
            <w:pPr>
              <w:pStyle w:val="1012"/>
              <w:ind w:left="0" w:right="0" w:firstLine="0"/>
              <w:jc w:val="center"/>
              <w:spacing w:line="274" w:lineRule="auto"/>
              <w:widowControl w:val="off"/>
              <w:tabs>
                <w:tab w:val="left" w:pos="1962" w:leader="none"/>
              </w:tabs>
              <w:rPr>
                <w:rFonts w:hint="eastAsia" w:ascii="宋体" w:hAnsi="宋体" w:eastAsia="宋体" w:cs="宋体"/>
                <w:color w:val="000000" w:themeColor="text1"/>
                <w:sz w:val="24"/>
                <w:szCs w:val="24"/>
                <w:highlight w:val="none"/>
              </w:rPr>
            </w:pPr>
            <w:r>
              <w:rPr>
                <w:color w:val="000000" w:themeColor="text1"/>
              </w:rPr>
            </w:r>
            <w:bookmarkStart w:id="32" w:name="_Hlk208776290"/>
            <w:r>
              <w:rPr>
                <w:rFonts w:hint="eastAsia" w:ascii="宋体" w:hAnsi="宋体" w:eastAsia="宋体" w:cs="宋体"/>
                <w:color w:val="000000" w:themeColor="text1"/>
                <w:sz w:val="24"/>
                <w:szCs w:val="24"/>
                <w:highlight w:val="none"/>
                <w:lang w:val="en-US" w:eastAsia="zh-CN" w:bidi="ar-SA"/>
              </w:rPr>
              <w:t xml:space="preserve">审计日志</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Mar>
              <w:left w:w="-1" w:type="dxa"/>
              <w:top w:w="-1" w:type="dxa"/>
              <w:right w:w="-1" w:type="dxa"/>
              <w:bottom w:w="-1" w:type="dxa"/>
            </w:tcMar>
            <w:tcW w:w="7403" w:type="dxa"/>
            <w:vAlign w:val="center"/>
            <w:textDirection w:val="lrTb"/>
            <w:noWrap w:val="false"/>
          </w:tcPr>
          <w:p>
            <w:pPr>
              <w:pStyle w:val="1012"/>
              <w:ind w:left="0" w:right="0" w:firstLine="0"/>
              <w:jc w:val="left"/>
              <w:spacing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支持对审计操作事件的回溯分析，支持登录事件或访问事件的会话追踪溯源回放。</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Mar>
              <w:left w:w="-1" w:type="dxa"/>
              <w:top w:w="-1" w:type="dxa"/>
              <w:right w:w="-1" w:type="dxa"/>
              <w:bottom w:w="-1" w:type="dxa"/>
            </w:tcMar>
            <w:tcW w:w="1633" w:type="dxa"/>
            <w:vAlign w:val="center"/>
            <w:vMerge w:val="continue"/>
            <w:textDirection w:val="lrTb"/>
            <w:noWrap w:val="false"/>
          </w:tcPr>
          <w:p>
            <w:pPr>
              <w:pStyle w:val="1012"/>
              <w:ind w:left="0" w:right="0" w:firstLine="0"/>
              <w:jc w:val="center"/>
              <w:spacing w:line="274" w:lineRule="auto"/>
              <w:widowControl w:val="off"/>
              <w:tabs>
                <w:tab w:val="left" w:pos="1962"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Mar>
              <w:left w:w="-1" w:type="dxa"/>
              <w:top w:w="-1" w:type="dxa"/>
              <w:right w:w="-1" w:type="dxa"/>
              <w:bottom w:w="-1" w:type="dxa"/>
            </w:tcMar>
            <w:tcW w:w="7403" w:type="dxa"/>
            <w:vAlign w:val="center"/>
            <w:textDirection w:val="lrTb"/>
            <w:noWrap w:val="false"/>
          </w:tcPr>
          <w:p>
            <w:pPr>
              <w:pStyle w:val="1012"/>
              <w:ind w:left="0" w:right="0" w:firstLine="0"/>
              <w:jc w:val="left"/>
              <w:spacing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▲支持对审计操作事件的回溯分析，支持登录事件或访问事件的会话追踪溯源回放，投标时投标人提供该设备操作界面功能截图并加盖投标人公章。</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Mar>
              <w:left w:w="-1" w:type="dxa"/>
              <w:top w:w="-1" w:type="dxa"/>
              <w:right w:w="-1" w:type="dxa"/>
              <w:bottom w:w="-1" w:type="dxa"/>
            </w:tcMar>
            <w:tcW w:w="1633" w:type="dxa"/>
            <w:vAlign w:val="center"/>
            <w:vMerge w:val="continue"/>
            <w:textDirection w:val="lrTb"/>
            <w:noWrap w:val="false"/>
          </w:tcPr>
          <w:p>
            <w:pPr>
              <w:pStyle w:val="1012"/>
              <w:ind w:left="0" w:right="0" w:firstLine="0"/>
              <w:jc w:val="center"/>
              <w:spacing w:line="274" w:lineRule="auto"/>
              <w:widowControl w:val="off"/>
              <w:tabs>
                <w:tab w:val="left" w:pos="1962"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Mar>
              <w:left w:w="-1" w:type="dxa"/>
              <w:top w:w="-1" w:type="dxa"/>
              <w:right w:w="-1" w:type="dxa"/>
              <w:bottom w:w="-1" w:type="dxa"/>
            </w:tcMar>
            <w:tcW w:w="7403" w:type="dxa"/>
            <w:vAlign w:val="center"/>
            <w:textDirection w:val="lrTb"/>
            <w:noWrap w:val="false"/>
          </w:tcPr>
          <w:p>
            <w:pPr>
              <w:pStyle w:val="1012"/>
              <w:ind w:left="0" w:right="0" w:firstLine="0"/>
              <w:jc w:val="left"/>
              <w:spacing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支持将审计日志查询条件通过且或逻辑组合对日志进行精确查询，支持等于、不等于、包含、不包含、为空、不为空等运算条件。 </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Mar>
              <w:left w:w="-1" w:type="dxa"/>
              <w:top w:w="-1" w:type="dxa"/>
              <w:right w:w="-1" w:type="dxa"/>
              <w:bottom w:w="-1" w:type="dxa"/>
            </w:tcMar>
            <w:tcW w:w="1633" w:type="dxa"/>
            <w:vAlign w:val="center"/>
            <w:textDirection w:val="lrTb"/>
            <w:noWrap w:val="false"/>
          </w:tcPr>
          <w:p>
            <w:pPr>
              <w:pStyle w:val="1012"/>
              <w:ind w:left="0" w:right="0" w:firstLine="0"/>
              <w:jc w:val="left"/>
              <w:spacing w:line="274" w:lineRule="auto"/>
              <w:widowControl w:val="off"/>
              <w:rPr>
                <w:rFonts w:hint="eastAsia" w:ascii="宋体" w:hAnsi="宋体" w:eastAsia="宋体" w:cs="宋体"/>
                <w:color w:val="000000" w:themeColor="text1"/>
                <w:sz w:val="24"/>
                <w:szCs w:val="24"/>
                <w:highlight w:val="none"/>
              </w:rPr>
            </w:pPr>
            <w:r>
              <w:rPr>
                <w:color w:val="000000" w:themeColor="text1"/>
              </w:rPr>
            </w:r>
            <w:bookmarkStart w:id="33" w:name="OLE_LINK21"/>
            <w:r>
              <w:rPr>
                <w:rFonts w:hint="eastAsia" w:ascii="宋体" w:hAnsi="宋体" w:eastAsia="宋体" w:cs="宋体"/>
                <w:color w:val="000000" w:themeColor="text1"/>
                <w:sz w:val="24"/>
                <w:szCs w:val="24"/>
                <w:highlight w:val="none"/>
                <w:lang w:val="en-US" w:eastAsia="zh-CN" w:bidi="ar-SA"/>
              </w:rPr>
              <w:t xml:space="preserve">防统方功能</w:t>
            </w:r>
            <w:bookmarkEnd w:id="33"/>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Mar>
              <w:left w:w="-1" w:type="dxa"/>
              <w:top w:w="-1" w:type="dxa"/>
              <w:right w:w="-1" w:type="dxa"/>
              <w:bottom w:w="-1" w:type="dxa"/>
            </w:tcMar>
            <w:tcW w:w="7403" w:type="dxa"/>
            <w:vAlign w:val="center"/>
            <w:textDirection w:val="lrTb"/>
            <w:noWrap w:val="false"/>
          </w:tcPr>
          <w:p>
            <w:pPr>
              <w:pStyle w:val="1012"/>
              <w:ind w:left="0" w:right="0" w:firstLine="0"/>
              <w:jc w:val="left"/>
              <w:spacing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▲配置基于医疗场景下以统方为目的访问数据库或表的行为识别及告警（投标时提供功能截图并加盖供应商公章）</w:t>
            </w:r>
            <w:bookmarkEnd w:id="32"/>
            <w:r>
              <w:rPr>
                <w:rFonts w:hint="eastAsia" w:ascii="宋体" w:hAnsi="宋体" w:eastAsia="宋体" w:cs="宋体"/>
                <w:color w:val="000000" w:themeColor="text1"/>
                <w:sz w:val="24"/>
                <w:szCs w:val="24"/>
                <w:highlight w:val="none"/>
                <w:lang w:val="en-US" w:eastAsia="zh-CN" w:bidi="ar-SA"/>
              </w:rPr>
            </w:r>
            <w:r>
              <w:rPr>
                <w:color w:val="000000" w:themeColor="text1"/>
              </w:rPr>
            </w:r>
          </w:p>
        </w:tc>
      </w:tr>
    </w:tbl>
    <w:p>
      <w:pPr>
        <w:pStyle w:val="1012"/>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1012"/>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p>
    <w:p>
      <w:pPr>
        <w:pStyle w:val="1012"/>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p>
    <w:p>
      <w:pPr>
        <w:pStyle w:val="1012"/>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p>
    <w:p>
      <w:pPr>
        <w:pStyle w:val="1012"/>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p>
    <w:p>
      <w:pPr>
        <w:pStyle w:val="1012"/>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p>
    <w:p>
      <w:pPr>
        <w:pStyle w:val="1012"/>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p>
    <w:p>
      <w:pPr>
        <w:pStyle w:val="1012"/>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p>
    <w:p>
      <w:pPr>
        <w:pStyle w:val="1012"/>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p>
    <w:p>
      <w:pPr>
        <w:pStyle w:val="1012"/>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p>
    <w:p>
      <w:pPr>
        <w:pStyle w:val="1012"/>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p>
    <w:p>
      <w:pPr>
        <w:pStyle w:val="1012"/>
        <w:ind w:left="0" w:firstLine="0"/>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p>
    <w:p>
      <w:pPr>
        <w:pStyle w:val="1053"/>
        <w:numPr>
          <w:ilvl w:val="0"/>
          <w:numId w:val="0"/>
        </w:numPr>
        <w:ind w:left="420"/>
        <w:rPr>
          <w:rFonts w:hint="eastAsia" w:ascii="宋体" w:hAnsi="宋体" w:eastAsia="宋体" w:cs="宋体"/>
          <w:b/>
          <w:bCs/>
          <w:color w:val="000000" w:themeColor="text1"/>
          <w:sz w:val="28"/>
          <w:szCs w:val="28"/>
          <w:highlight w:val="none"/>
        </w:rPr>
      </w:pPr>
      <w:r>
        <w:rPr>
          <w:color w:val="000000" w:themeColor="text1"/>
        </w:rPr>
      </w:r>
      <w:bookmarkStart w:id="34" w:name="_Toc27480"/>
      <w:r>
        <w:rPr>
          <w:rFonts w:hint="eastAsia" w:ascii="宋体" w:hAnsi="宋体" w:eastAsia="宋体" w:cs="宋体"/>
          <w:b/>
          <w:bCs/>
          <w:color w:val="000000" w:themeColor="text1"/>
          <w:sz w:val="28"/>
          <w:szCs w:val="28"/>
          <w:highlight w:val="none"/>
          <w:lang w:val="en-US" w:eastAsia="zh-CN"/>
        </w:rPr>
        <w:t xml:space="preserve">2.</w:t>
      </w:r>
      <w:r>
        <w:rPr>
          <w:rFonts w:hint="eastAsia" w:ascii="宋体" w:hAnsi="宋体" w:eastAsia="宋体" w:cs="宋体"/>
          <w:b/>
          <w:bCs/>
          <w:color w:val="000000" w:themeColor="text1"/>
          <w:sz w:val="28"/>
          <w:szCs w:val="28"/>
          <w:highlight w:val="none"/>
        </w:rPr>
        <w:t xml:space="preserve">日志审计</w:t>
      </w:r>
      <w:bookmarkEnd w:id="34"/>
      <w:r>
        <w:rPr>
          <w:rFonts w:hint="eastAsia" w:ascii="宋体" w:hAnsi="宋体" w:eastAsia="宋体" w:cs="宋体"/>
          <w:b/>
          <w:bCs/>
          <w:color w:val="000000" w:themeColor="text1"/>
          <w:sz w:val="28"/>
          <w:szCs w:val="28"/>
          <w:highlight w:val="none"/>
        </w:rPr>
      </w:r>
      <w:r>
        <w:rPr>
          <w:color w:val="000000" w:themeColor="text1"/>
        </w:rPr>
      </w:r>
    </w:p>
    <w:tbl>
      <w:tblPr>
        <w:tblW w:w="903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32"/>
        <w:gridCol w:w="7407"/>
      </w:tblGrid>
      <w:tr>
        <w:trPr>
          <w:trHeight w:val="451"/>
          <w:tblHeader/>
        </w:trPr>
        <w:tc>
          <w:tcPr>
            <w:tcW w:w="1632" w:type="dxa"/>
            <w:vAlign w:val="center"/>
            <w:textDirection w:val="lrTb"/>
            <w:noWrap w:val="false"/>
          </w:tcPr>
          <w:p>
            <w:pPr>
              <w:pStyle w:val="1012"/>
              <w:ind w:left="0" w:right="0" w:firstLine="0"/>
              <w:jc w:val="center"/>
              <w:spacing w:line="274" w:lineRule="auto"/>
              <w:widowControl w:val="off"/>
              <w:rPr>
                <w:rFonts w:hint="eastAsia"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lang w:val="en-US" w:eastAsia="zh-CN" w:bidi="ar-SA"/>
              </w:rPr>
              <w:t xml:space="preserve">指标项</w:t>
            </w:r>
            <w:r>
              <w:rPr>
                <w:rFonts w:hint="eastAsia" w:ascii="宋体" w:hAnsi="宋体" w:eastAsia="宋体" w:cs="宋体"/>
                <w:b/>
                <w:color w:val="000000" w:themeColor="text1"/>
                <w:sz w:val="28"/>
                <w:szCs w:val="28"/>
                <w:highlight w:val="none"/>
                <w:lang w:val="en-US" w:eastAsia="zh-CN" w:bidi="ar-SA"/>
              </w:rPr>
            </w:r>
            <w:r>
              <w:rPr>
                <w:color w:val="000000" w:themeColor="text1"/>
              </w:rPr>
            </w:r>
          </w:p>
        </w:tc>
        <w:tc>
          <w:tcPr>
            <w:tcW w:w="7407" w:type="dxa"/>
            <w:vAlign w:val="center"/>
            <w:textDirection w:val="lrTb"/>
            <w:noWrap w:val="false"/>
          </w:tcPr>
          <w:p>
            <w:pPr>
              <w:pStyle w:val="1012"/>
              <w:ind w:left="0" w:right="0" w:firstLine="0"/>
              <w:jc w:val="center"/>
              <w:spacing w:line="274" w:lineRule="auto"/>
              <w:widowControl/>
              <w:rPr>
                <w:rFonts w:hint="eastAsia"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lang w:val="en-US" w:eastAsia="zh-CN" w:bidi="ar-SA"/>
              </w:rPr>
              <w:t xml:space="preserve">功能要求</w:t>
            </w:r>
            <w:r>
              <w:rPr>
                <w:rFonts w:hint="eastAsia" w:ascii="宋体" w:hAnsi="宋体" w:eastAsia="宋体" w:cs="宋体"/>
                <w:b/>
                <w:color w:val="000000" w:themeColor="text1"/>
                <w:sz w:val="28"/>
                <w:szCs w:val="28"/>
                <w:highlight w:val="none"/>
                <w:lang w:val="en-US" w:eastAsia="zh-CN" w:bidi="ar-SA"/>
              </w:rPr>
            </w:r>
            <w:r>
              <w:rPr>
                <w:color w:val="000000" w:themeColor="text1"/>
              </w:rPr>
            </w:r>
          </w:p>
        </w:tc>
      </w:tr>
      <w:tr>
        <w:trPr>
          <w:trHeight w:val="2194"/>
        </w:trPr>
        <w:tc>
          <w:tcPr>
            <w:tcW w:w="1632" w:type="dxa"/>
            <w:vAlign w:val="center"/>
            <w:textDirection w:val="lrTb"/>
            <w:noWrap w:val="false"/>
          </w:tcPr>
          <w:p>
            <w:pPr>
              <w:pStyle w:val="1012"/>
              <w:ind w:left="0" w:right="0" w:firstLine="0"/>
              <w:jc w:val="left"/>
              <w:spacing w:line="27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硬件和性能规格</w:t>
            </w:r>
            <w:r>
              <w:rPr>
                <w:rFonts w:hint="eastAsia" w:ascii="宋体" w:hAnsi="宋体" w:eastAsia="宋体" w:cs="宋体"/>
                <w:bCs/>
                <w:color w:val="000000" w:themeColor="text1"/>
                <w:sz w:val="24"/>
                <w:szCs w:val="24"/>
                <w:highlight w:val="none"/>
                <w:lang w:val="en-US" w:eastAsia="zh-CN" w:bidi="ar-SA"/>
              </w:rPr>
            </w:r>
            <w:r>
              <w:rPr>
                <w:color w:val="000000" w:themeColor="text1"/>
              </w:rPr>
            </w:r>
          </w:p>
        </w:tc>
        <w:tc>
          <w:tcPr>
            <w:tcW w:w="7407" w:type="dxa"/>
            <w:vAlign w:val="center"/>
            <w:textDirection w:val="lrTb"/>
            <w:noWrap w:val="false"/>
          </w:tcPr>
          <w:p>
            <w:pPr>
              <w:pStyle w:val="1012"/>
              <w:ind w:left="0" w:right="0" w:firstLine="0"/>
              <w:jc w:val="left"/>
              <w:spacing w:line="274" w:lineRule="auto"/>
              <w:widowControl/>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4"/>
                <w:highlight w:val="none"/>
                <w:lang w:val="en-US" w:eastAsia="zh-CN" w:bidi="ar-SA"/>
              </w:rPr>
              <w:t xml:space="preserve">满足国产化要求，冗余电源，配置≥6个千兆电业务口，≥8个千兆光口，≥4个万兆光口，≥1个接口扩展槽位，≥32G内存，≥256G SSD盘，≥4TB SATA硬盘，</w:t>
            </w:r>
            <w:r>
              <w:rPr>
                <w:rFonts w:hint="eastAsia" w:ascii="宋体" w:hAnsi="宋体" w:eastAsia="宋体" w:cs="宋体"/>
                <w:color w:val="000000" w:themeColor="text1"/>
                <w:sz w:val="24"/>
                <w:szCs w:val="22"/>
                <w:highlight w:val="none"/>
                <w:lang w:val="en-US" w:eastAsia="zh-CN" w:bidi="ar-SA"/>
              </w:rPr>
              <w:t xml:space="preserve">投标人提供产品彩页扫描件加盖投标人公章。</w:t>
            </w:r>
            <w:r>
              <w:rPr>
                <w:rFonts w:hint="eastAsia" w:ascii="宋体" w:hAnsi="宋体" w:eastAsia="宋体" w:cs="宋体"/>
                <w:color w:val="000000" w:themeColor="text1"/>
                <w:sz w:val="24"/>
                <w:szCs w:val="22"/>
                <w:highlight w:val="none"/>
                <w:lang w:val="en-US" w:eastAsia="zh-CN" w:bidi="ar-SA"/>
              </w:rPr>
            </w:r>
            <w:r>
              <w:rPr>
                <w:color w:val="000000" w:themeColor="text1"/>
              </w:rPr>
            </w:r>
          </w:p>
          <w:p>
            <w:pPr>
              <w:pStyle w:val="1012"/>
              <w:ind w:left="0" w:right="0" w:firstLine="0"/>
              <w:jc w:val="left"/>
              <w:spacing w:line="274"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≥150个资产授权，≥5000 EPS，含三年软件升级和硬件维保服务</w:t>
            </w:r>
            <w:r>
              <w:rPr>
                <w:rFonts w:hint="eastAsia" w:ascii="宋体" w:hAnsi="宋体" w:eastAsia="宋体" w:cs="宋体"/>
                <w:color w:val="000000" w:themeColor="text1"/>
                <w:sz w:val="24"/>
                <w:szCs w:val="22"/>
                <w:highlight w:val="none"/>
                <w:lang w:val="en-US" w:eastAsia="zh-CN" w:bidi="ar-SA"/>
              </w:rPr>
              <w:t xml:space="preserve">（提供原厂三年服务承诺函）。</w:t>
            </w:r>
            <w:r>
              <w:rPr>
                <w:rFonts w:hint="eastAsia" w:ascii="宋体" w:hAnsi="宋体" w:eastAsia="宋体" w:cs="宋体"/>
                <w:bCs/>
                <w:color w:val="000000" w:themeColor="text1"/>
                <w:sz w:val="24"/>
                <w:szCs w:val="24"/>
                <w:highlight w:val="none"/>
                <w:lang w:val="en-US" w:eastAsia="zh-CN" w:bidi="ar-SA"/>
              </w:rPr>
            </w:r>
            <w:r>
              <w:rPr>
                <w:color w:val="000000" w:themeColor="text1"/>
              </w:rPr>
            </w:r>
          </w:p>
        </w:tc>
      </w:tr>
      <w:tr>
        <w:trPr>
          <w:trHeight w:val="1473"/>
        </w:trPr>
        <w:tc>
          <w:tcPr>
            <w:tcW w:w="1632" w:type="dxa"/>
            <w:vAlign w:val="center"/>
            <w:textDirection w:val="lrTb"/>
            <w:noWrap w:val="false"/>
          </w:tcPr>
          <w:p>
            <w:pPr>
              <w:pStyle w:val="1012"/>
              <w:ind w:left="0" w:right="0" w:firstLine="0"/>
              <w:jc w:val="left"/>
              <w:spacing w:line="27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审计对象</w:t>
            </w:r>
            <w:r>
              <w:rPr>
                <w:rFonts w:hint="eastAsia" w:ascii="宋体" w:hAnsi="宋体" w:eastAsia="宋体" w:cs="宋体"/>
                <w:bCs/>
                <w:color w:val="000000" w:themeColor="text1"/>
                <w:sz w:val="24"/>
                <w:szCs w:val="24"/>
                <w:highlight w:val="none"/>
                <w:lang w:val="en-US" w:eastAsia="zh-CN" w:bidi="ar-SA"/>
              </w:rPr>
            </w:r>
            <w:r>
              <w:rPr>
                <w:color w:val="000000" w:themeColor="text1"/>
              </w:rPr>
            </w:r>
          </w:p>
        </w:tc>
        <w:tc>
          <w:tcPr>
            <w:tcW w:w="7407" w:type="dxa"/>
            <w:vAlign w:val="center"/>
            <w:textDirection w:val="lrTb"/>
            <w:noWrap w:val="false"/>
          </w:tcPr>
          <w:p>
            <w:pPr>
              <w:pStyle w:val="1012"/>
              <w:ind w:left="0" w:right="0" w:firstLine="0"/>
              <w:jc w:val="left"/>
              <w:spacing w:line="27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能够对企业和组织的IT资源中构成业务信息系统的各种网络设备、安全设备、安全系统、主机操作系统、虚拟化、云计算、数据库、中间件以及各种应用系统的日志、事件、告警等安全信息进行全面的审计。</w:t>
            </w:r>
            <w:r>
              <w:rPr>
                <w:rFonts w:hint="eastAsia" w:ascii="宋体" w:hAnsi="宋体" w:eastAsia="宋体" w:cs="宋体"/>
                <w:bCs/>
                <w:color w:val="000000" w:themeColor="text1"/>
                <w:sz w:val="24"/>
                <w:szCs w:val="24"/>
                <w:highlight w:val="none"/>
                <w:lang w:val="en-US" w:eastAsia="zh-CN" w:bidi="ar-SA"/>
              </w:rPr>
            </w:r>
            <w:r>
              <w:rPr>
                <w:color w:val="000000" w:themeColor="text1"/>
              </w:rPr>
            </w:r>
          </w:p>
        </w:tc>
      </w:tr>
      <w:tr>
        <w:trPr>
          <w:trHeight w:val="1473"/>
        </w:trPr>
        <w:tc>
          <w:tcPr>
            <w:tcW w:w="1632" w:type="dxa"/>
            <w:vAlign w:val="center"/>
            <w:vMerge w:val="restart"/>
            <w:textDirection w:val="lrTb"/>
            <w:noWrap w:val="false"/>
          </w:tcPr>
          <w:p>
            <w:pPr>
              <w:pStyle w:val="1012"/>
              <w:ind w:left="0" w:right="0" w:firstLine="0"/>
              <w:jc w:val="left"/>
              <w:spacing w:line="27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日志采集与转发</w:t>
            </w:r>
            <w:r>
              <w:rPr>
                <w:rFonts w:hint="eastAsia" w:ascii="宋体" w:hAnsi="宋体" w:eastAsia="宋体" w:cs="宋体"/>
                <w:bCs/>
                <w:color w:val="000000" w:themeColor="text1"/>
                <w:sz w:val="24"/>
                <w:szCs w:val="24"/>
                <w:highlight w:val="none"/>
                <w:lang w:val="en-US" w:eastAsia="zh-CN" w:bidi="ar-SA"/>
              </w:rPr>
            </w:r>
            <w:r>
              <w:rPr>
                <w:color w:val="000000" w:themeColor="text1"/>
              </w:rPr>
            </w:r>
          </w:p>
        </w:tc>
        <w:tc>
          <w:tcPr>
            <w:tcW w:w="7407" w:type="dxa"/>
            <w:vAlign w:val="center"/>
            <w:textDirection w:val="lrTb"/>
            <w:noWrap w:val="false"/>
          </w:tcPr>
          <w:p>
            <w:pPr>
              <w:pStyle w:val="1012"/>
              <w:ind w:left="0" w:right="0" w:firstLine="0"/>
              <w:jc w:val="left"/>
              <w:spacing w:line="27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支持通过Syslog、Syslog-NG、SNMP Trap、Netflow V5、JDBC、Agent代理、WMI、(S)FTP、NetBIOS、文件\文件夹读取、Kafka等多种方式完成各种日志的收集功能，支持多行日志采集合并为一行。</w:t>
            </w:r>
            <w:r>
              <w:rPr>
                <w:rFonts w:hint="eastAsia" w:ascii="宋体" w:hAnsi="宋体" w:eastAsia="宋体" w:cs="宋体"/>
                <w:bCs/>
                <w:color w:val="000000" w:themeColor="text1"/>
                <w:sz w:val="24"/>
                <w:szCs w:val="24"/>
                <w:highlight w:val="none"/>
                <w:lang w:val="en-US" w:eastAsia="zh-CN" w:bidi="ar-SA"/>
              </w:rPr>
            </w:r>
            <w:r>
              <w:rPr>
                <w:color w:val="000000" w:themeColor="text1"/>
              </w:rPr>
            </w:r>
          </w:p>
        </w:tc>
      </w:tr>
      <w:tr>
        <w:trPr>
          <w:trHeight w:val="751"/>
        </w:trPr>
        <w:tc>
          <w:tcPr>
            <w:tcW w:w="1632" w:type="dxa"/>
            <w:vAlign w:val="center"/>
            <w:vMerge w:val="continue"/>
            <w:textDirection w:val="lrTb"/>
            <w:noWrap w:val="false"/>
          </w:tcPr>
          <w:p>
            <w:pPr>
              <w:pStyle w:val="1012"/>
              <w:ind w:left="0" w:right="0" w:firstLine="0"/>
              <w:jc w:val="left"/>
              <w:spacing w:line="27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c>
          <w:tcPr>
            <w:tcW w:w="7407" w:type="dxa"/>
            <w:vAlign w:val="center"/>
            <w:textDirection w:val="lrTb"/>
            <w:noWrap w:val="false"/>
          </w:tcPr>
          <w:p>
            <w:pPr>
              <w:pStyle w:val="1012"/>
              <w:ind w:left="0" w:right="0" w:firstLine="0"/>
              <w:jc w:val="left"/>
              <w:spacing w:line="27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支持按照Syslog-NG标准及自有格式进行转发，转发时包含原始日志源IP地址。</w:t>
            </w:r>
            <w:r>
              <w:rPr>
                <w:rFonts w:hint="eastAsia" w:ascii="宋体" w:hAnsi="宋体" w:eastAsia="宋体" w:cs="宋体"/>
                <w:bCs/>
                <w:color w:val="000000" w:themeColor="text1"/>
                <w:sz w:val="24"/>
                <w:szCs w:val="24"/>
                <w:highlight w:val="none"/>
                <w:lang w:val="en-US" w:eastAsia="zh-CN" w:bidi="ar-SA"/>
              </w:rPr>
            </w:r>
            <w:r>
              <w:rPr>
                <w:color w:val="000000" w:themeColor="text1"/>
              </w:rPr>
            </w:r>
          </w:p>
        </w:tc>
      </w:tr>
      <w:tr>
        <w:trPr>
          <w:trHeight w:val="391"/>
        </w:trPr>
        <w:tc>
          <w:tcPr>
            <w:tcW w:w="1632" w:type="dxa"/>
            <w:vAlign w:val="center"/>
            <w:vMerge w:val="continue"/>
            <w:textDirection w:val="lrTb"/>
            <w:noWrap w:val="false"/>
          </w:tcPr>
          <w:p>
            <w:pPr>
              <w:pStyle w:val="1012"/>
              <w:ind w:left="0" w:right="0" w:firstLine="0"/>
              <w:jc w:val="left"/>
              <w:spacing w:line="27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c>
          <w:tcPr>
            <w:tcW w:w="7407" w:type="dxa"/>
            <w:vAlign w:val="center"/>
            <w:textDirection w:val="lrTb"/>
            <w:noWrap w:val="false"/>
          </w:tcPr>
          <w:p>
            <w:pPr>
              <w:pStyle w:val="1012"/>
              <w:ind w:left="0" w:right="0" w:firstLine="0"/>
              <w:jc w:val="left"/>
              <w:spacing w:line="27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日志审计采集长日志时，日志无截断现象，原始日志内容完整。</w:t>
            </w:r>
            <w:r>
              <w:rPr>
                <w:rFonts w:hint="eastAsia" w:ascii="宋体" w:hAnsi="宋体" w:eastAsia="宋体" w:cs="宋体"/>
                <w:bCs/>
                <w:color w:val="000000" w:themeColor="text1"/>
                <w:sz w:val="24"/>
                <w:szCs w:val="24"/>
                <w:highlight w:val="none"/>
                <w:lang w:val="en-US" w:eastAsia="zh-CN" w:bidi="ar-SA"/>
              </w:rPr>
            </w:r>
            <w:r>
              <w:rPr>
                <w:color w:val="000000" w:themeColor="text1"/>
              </w:rPr>
            </w:r>
          </w:p>
        </w:tc>
      </w:tr>
      <w:tr>
        <w:trPr>
          <w:trHeight w:val="1111"/>
        </w:trPr>
        <w:tc>
          <w:tcPr>
            <w:tcW w:w="1632" w:type="dxa"/>
            <w:vAlign w:val="center"/>
            <w:vMerge w:val="continue"/>
            <w:textDirection w:val="lrTb"/>
            <w:noWrap w:val="false"/>
          </w:tcPr>
          <w:p>
            <w:pPr>
              <w:pStyle w:val="1012"/>
              <w:ind w:left="0" w:right="0" w:firstLine="0"/>
              <w:jc w:val="left"/>
              <w:spacing w:line="27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c>
          <w:tcPr>
            <w:tcW w:w="7407" w:type="dxa"/>
            <w:vAlign w:val="center"/>
            <w:textDirection w:val="lrTb"/>
            <w:noWrap w:val="false"/>
          </w:tcPr>
          <w:p>
            <w:pPr>
              <w:pStyle w:val="1012"/>
              <w:ind w:left="0" w:right="0" w:firstLine="0"/>
              <w:jc w:val="left"/>
              <w:spacing w:line="27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测试日志审计平台对于持续采集时的程序稳定性，日志审计平台能在日志持续不间断采集日志7天后，平台所有功能、所属服务进程工作均正常。</w:t>
            </w:r>
            <w:r>
              <w:rPr>
                <w:rFonts w:hint="eastAsia" w:ascii="宋体" w:hAnsi="宋体" w:eastAsia="宋体" w:cs="宋体"/>
                <w:bCs/>
                <w:color w:val="000000" w:themeColor="text1"/>
                <w:sz w:val="24"/>
                <w:szCs w:val="24"/>
                <w:highlight w:val="none"/>
                <w:lang w:val="en-US" w:eastAsia="zh-CN" w:bidi="ar-SA"/>
              </w:rPr>
            </w:r>
            <w:r>
              <w:rPr>
                <w:color w:val="000000" w:themeColor="text1"/>
              </w:rPr>
            </w:r>
          </w:p>
        </w:tc>
      </w:tr>
      <w:tr>
        <w:trPr>
          <w:trHeight w:val="1111"/>
        </w:trPr>
        <w:tc>
          <w:tcPr>
            <w:tcW w:w="1632" w:type="dxa"/>
            <w:vAlign w:val="center"/>
            <w:vMerge w:val="continue"/>
            <w:textDirection w:val="lrTb"/>
            <w:noWrap w:val="false"/>
          </w:tcPr>
          <w:p>
            <w:pPr>
              <w:pStyle w:val="1012"/>
              <w:ind w:left="0" w:right="0" w:firstLine="0"/>
              <w:jc w:val="left"/>
              <w:spacing w:line="27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c>
          <w:tcPr>
            <w:tcW w:w="7407" w:type="dxa"/>
            <w:vAlign w:val="center"/>
            <w:textDirection w:val="lrTb"/>
            <w:noWrap w:val="false"/>
          </w:tcPr>
          <w:p>
            <w:pPr>
              <w:pStyle w:val="1012"/>
              <w:ind w:left="0" w:right="0" w:firstLine="0"/>
              <w:jc w:val="left"/>
              <w:spacing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▲支持正则表达式、Key-Value、JSON日志解析，支持日志自动化辅助范化，投标文件需要提供能够体现上述功能及配置选项的截图并加盖投标人公章。</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2553"/>
        </w:trPr>
        <w:tc>
          <w:tcPr>
            <w:tcW w:w="1632" w:type="dxa"/>
            <w:vAlign w:val="center"/>
            <w:vMerge w:val="restart"/>
            <w:textDirection w:val="lrTb"/>
            <w:noWrap w:val="false"/>
          </w:tcPr>
          <w:p>
            <w:pPr>
              <w:pStyle w:val="1012"/>
              <w:ind w:left="0" w:right="0" w:firstLine="0"/>
              <w:jc w:val="left"/>
              <w:spacing w:line="27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资产管理</w:t>
            </w:r>
            <w:r>
              <w:rPr>
                <w:rFonts w:hint="eastAsia" w:ascii="宋体" w:hAnsi="宋体" w:eastAsia="宋体" w:cs="宋体"/>
                <w:bCs/>
                <w:color w:val="000000" w:themeColor="text1"/>
                <w:sz w:val="24"/>
                <w:szCs w:val="24"/>
                <w:highlight w:val="none"/>
                <w:lang w:val="en-US" w:eastAsia="zh-CN" w:bidi="ar-SA"/>
              </w:rPr>
            </w:r>
            <w:r>
              <w:rPr>
                <w:color w:val="000000" w:themeColor="text1"/>
              </w:rPr>
            </w:r>
          </w:p>
        </w:tc>
        <w:tc>
          <w:tcPr>
            <w:tcW w:w="7407" w:type="dxa"/>
            <w:vAlign w:val="center"/>
            <w:textDirection w:val="lrTb"/>
            <w:noWrap w:val="false"/>
          </w:tcPr>
          <w:p>
            <w:pPr>
              <w:pStyle w:val="1012"/>
              <w:ind w:left="0" w:right="0" w:firstLine="0"/>
              <w:jc w:val="left"/>
              <w:spacing w:line="27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能够将资产按照多种维度进行分组、分域管理，如地理位置、组织结构、业务系统等，提供便捷的添加、修改、删除、查询与统计功能，支持资产组可以在页面不同的分组中移动。</w:t>
            </w:r>
            <w:r>
              <w:rPr>
                <w:rFonts w:hint="eastAsia" w:ascii="宋体" w:hAnsi="宋体" w:eastAsia="宋体" w:cs="宋体"/>
                <w:bCs/>
                <w:color w:val="000000" w:themeColor="text1"/>
                <w:sz w:val="24"/>
                <w:szCs w:val="24"/>
                <w:highlight w:val="none"/>
                <w:lang w:val="en-US" w:eastAsia="zh-CN" w:bidi="ar-SA"/>
              </w:rPr>
            </w:r>
            <w:r>
              <w:rPr>
                <w:color w:val="000000" w:themeColor="text1"/>
              </w:rPr>
            </w:r>
          </w:p>
          <w:p>
            <w:pPr>
              <w:pStyle w:val="1012"/>
              <w:ind w:left="0" w:right="0" w:firstLine="0"/>
              <w:jc w:val="left"/>
              <w:spacing w:line="27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支持资产信息的批量导入和导出，便于安全管理和系统管理人员能方便地查找所需设备资产的信息。</w:t>
            </w:r>
            <w:r>
              <w:rPr>
                <w:rFonts w:hint="eastAsia" w:ascii="宋体" w:hAnsi="宋体" w:eastAsia="宋体" w:cs="宋体"/>
                <w:bCs/>
                <w:color w:val="000000" w:themeColor="text1"/>
                <w:sz w:val="24"/>
                <w:szCs w:val="24"/>
                <w:highlight w:val="none"/>
                <w:lang w:val="en-US" w:eastAsia="zh-CN" w:bidi="ar-SA"/>
              </w:rPr>
            </w:r>
            <w:r>
              <w:rPr>
                <w:color w:val="000000" w:themeColor="text1"/>
              </w:rPr>
            </w:r>
          </w:p>
          <w:p>
            <w:pPr>
              <w:pStyle w:val="1012"/>
              <w:ind w:left="0" w:right="0" w:firstLine="0"/>
              <w:jc w:val="left"/>
              <w:spacing w:line="27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支持对资产日志进行过滤，设置允许接收和拒绝接收日志，并可以对资产设置一定时间范围内未收到事件后进行主动告警。</w:t>
            </w:r>
            <w:r>
              <w:rPr>
                <w:rFonts w:hint="eastAsia" w:ascii="宋体" w:hAnsi="宋体" w:eastAsia="宋体" w:cs="宋体"/>
                <w:bCs/>
                <w:color w:val="000000" w:themeColor="text1"/>
                <w:sz w:val="24"/>
                <w:szCs w:val="24"/>
                <w:highlight w:val="none"/>
                <w:lang w:val="en-US" w:eastAsia="zh-CN" w:bidi="ar-SA"/>
              </w:rPr>
            </w:r>
            <w:r>
              <w:rPr>
                <w:color w:val="000000" w:themeColor="text1"/>
              </w:rPr>
            </w:r>
          </w:p>
        </w:tc>
      </w:tr>
      <w:tr>
        <w:trPr>
          <w:trHeight w:val="751"/>
        </w:trPr>
        <w:tc>
          <w:tcPr>
            <w:tcW w:w="1632" w:type="dxa"/>
            <w:vAlign w:val="center"/>
            <w:vMerge w:val="continue"/>
            <w:textDirection w:val="lrTb"/>
            <w:noWrap w:val="false"/>
          </w:tcPr>
          <w:p>
            <w:pPr>
              <w:pStyle w:val="1012"/>
              <w:ind w:left="0" w:right="0" w:firstLine="0"/>
              <w:jc w:val="left"/>
              <w:spacing w:line="27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c>
          <w:tcPr>
            <w:tcW w:w="7407" w:type="dxa"/>
            <w:vAlign w:val="center"/>
            <w:textDirection w:val="lrTb"/>
            <w:noWrap w:val="false"/>
          </w:tcPr>
          <w:p>
            <w:pPr>
              <w:pStyle w:val="1012"/>
              <w:ind w:left="0" w:right="0" w:firstLine="0"/>
              <w:jc w:val="left"/>
              <w:spacing w:line="27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支持自定义资产类型及资产属性。支持对资产自定义标签，支持对标签内容进行查询和管理。</w:t>
            </w:r>
            <w:r>
              <w:rPr>
                <w:rFonts w:hint="eastAsia" w:ascii="宋体" w:hAnsi="宋体" w:eastAsia="宋体" w:cs="宋体"/>
                <w:bCs/>
                <w:color w:val="000000" w:themeColor="text1"/>
                <w:sz w:val="24"/>
                <w:szCs w:val="24"/>
                <w:highlight w:val="none"/>
                <w:lang w:val="en-US" w:eastAsia="zh-CN" w:bidi="ar-SA"/>
              </w:rPr>
            </w:r>
            <w:r>
              <w:rPr>
                <w:color w:val="000000" w:themeColor="text1"/>
              </w:rPr>
            </w:r>
          </w:p>
        </w:tc>
      </w:tr>
      <w:tr>
        <w:trPr>
          <w:trHeight w:val="751"/>
        </w:trPr>
        <w:tc>
          <w:tcPr>
            <w:tcW w:w="1632" w:type="dxa"/>
            <w:vAlign w:val="center"/>
            <w:vMerge w:val="restart"/>
            <w:textDirection w:val="lrTb"/>
            <w:noWrap w:val="false"/>
          </w:tcPr>
          <w:p>
            <w:pPr>
              <w:pStyle w:val="1012"/>
              <w:ind w:left="0" w:right="0" w:firstLine="0"/>
              <w:jc w:val="left"/>
              <w:spacing w:line="27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日志归一化</w:t>
            </w:r>
            <w:r>
              <w:rPr>
                <w:rFonts w:hint="eastAsia" w:ascii="宋体" w:hAnsi="宋体" w:eastAsia="宋体" w:cs="宋体"/>
                <w:bCs/>
                <w:color w:val="000000" w:themeColor="text1"/>
                <w:sz w:val="24"/>
                <w:szCs w:val="24"/>
                <w:highlight w:val="none"/>
                <w:lang w:val="en-US" w:eastAsia="zh-CN" w:bidi="ar-SA"/>
              </w:rPr>
            </w:r>
            <w:r>
              <w:rPr>
                <w:color w:val="000000" w:themeColor="text1"/>
              </w:rPr>
            </w:r>
          </w:p>
        </w:tc>
        <w:tc>
          <w:tcPr>
            <w:tcW w:w="7407" w:type="dxa"/>
            <w:vAlign w:val="center"/>
            <w:textDirection w:val="lrTb"/>
            <w:noWrap w:val="false"/>
          </w:tcPr>
          <w:p>
            <w:pPr>
              <w:pStyle w:val="1012"/>
              <w:ind w:left="0" w:right="0" w:firstLine="0"/>
              <w:jc w:val="left"/>
              <w:spacing w:line="27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支持对日志进行归一化处理并保留原始日志，方便用户对关键日志快速定位和事后取证。</w:t>
            </w:r>
            <w:r>
              <w:rPr>
                <w:rFonts w:hint="eastAsia" w:ascii="宋体" w:hAnsi="宋体" w:eastAsia="宋体" w:cs="宋体"/>
                <w:bCs/>
                <w:color w:val="000000" w:themeColor="text1"/>
                <w:sz w:val="24"/>
                <w:szCs w:val="24"/>
                <w:highlight w:val="none"/>
                <w:lang w:val="en-US" w:eastAsia="zh-CN" w:bidi="ar-SA"/>
              </w:rPr>
            </w:r>
            <w:r>
              <w:rPr>
                <w:color w:val="000000" w:themeColor="text1"/>
              </w:rPr>
            </w:r>
          </w:p>
        </w:tc>
      </w:tr>
      <w:tr>
        <w:trPr>
          <w:trHeight w:val="1111"/>
        </w:trPr>
        <w:tc>
          <w:tcPr>
            <w:tcW w:w="1632" w:type="dxa"/>
            <w:vAlign w:val="center"/>
            <w:vMerge w:val="continue"/>
            <w:textDirection w:val="lrTb"/>
            <w:noWrap w:val="false"/>
          </w:tcPr>
          <w:p>
            <w:pPr>
              <w:pStyle w:val="1012"/>
              <w:ind w:left="0" w:right="0" w:firstLine="0"/>
              <w:jc w:val="left"/>
              <w:spacing w:line="27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c>
          <w:tcPr>
            <w:tcW w:w="7407" w:type="dxa"/>
            <w:vAlign w:val="center"/>
            <w:textDirection w:val="lrTb"/>
            <w:noWrap w:val="false"/>
          </w:tcPr>
          <w:p>
            <w:pPr>
              <w:pStyle w:val="1012"/>
              <w:ind w:left="0" w:right="0" w:firstLine="0"/>
              <w:jc w:val="left"/>
              <w:spacing w:line="27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系统提供页面可视化编辑归一化策略，对页面查看的日志编辑归一化策略，所见即所得，也支持通过归一化文件的导入来支持归一化，不需修改系统程序。</w:t>
            </w:r>
            <w:r>
              <w:rPr>
                <w:rFonts w:hint="eastAsia" w:ascii="宋体" w:hAnsi="宋体" w:eastAsia="宋体" w:cs="宋体"/>
                <w:bCs/>
                <w:color w:val="000000" w:themeColor="text1"/>
                <w:sz w:val="24"/>
                <w:szCs w:val="24"/>
                <w:highlight w:val="none"/>
                <w:lang w:val="en-US" w:eastAsia="zh-CN" w:bidi="ar-SA"/>
              </w:rPr>
            </w:r>
            <w:r>
              <w:rPr>
                <w:color w:val="000000" w:themeColor="text1"/>
              </w:rPr>
            </w:r>
          </w:p>
        </w:tc>
      </w:tr>
      <w:tr>
        <w:trPr>
          <w:trHeight w:val="751"/>
        </w:trPr>
        <w:tc>
          <w:tcPr>
            <w:tcW w:w="1632" w:type="dxa"/>
            <w:vAlign w:val="center"/>
            <w:vMerge w:val="continue"/>
            <w:textDirection w:val="lrTb"/>
            <w:noWrap w:val="false"/>
          </w:tcPr>
          <w:p>
            <w:pPr>
              <w:pStyle w:val="1012"/>
              <w:ind w:left="0" w:right="0" w:firstLine="0"/>
              <w:jc w:val="left"/>
              <w:spacing w:line="27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c>
          <w:tcPr>
            <w:tcW w:w="7407" w:type="dxa"/>
            <w:vAlign w:val="center"/>
            <w:textDirection w:val="lrTb"/>
            <w:noWrap w:val="false"/>
          </w:tcPr>
          <w:p>
            <w:pPr>
              <w:pStyle w:val="1012"/>
              <w:ind w:left="0" w:right="0" w:firstLine="0"/>
              <w:jc w:val="left"/>
              <w:spacing w:line="27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系统可自动识别收集的日志并自动选择范化策略，也可由人工设置设备的范化策略。</w:t>
            </w:r>
            <w:r>
              <w:rPr>
                <w:rFonts w:hint="eastAsia" w:ascii="宋体" w:hAnsi="宋体" w:eastAsia="宋体" w:cs="宋体"/>
                <w:bCs/>
                <w:color w:val="000000" w:themeColor="text1"/>
                <w:sz w:val="24"/>
                <w:szCs w:val="24"/>
                <w:highlight w:val="none"/>
                <w:lang w:val="en-US" w:eastAsia="zh-CN" w:bidi="ar-SA"/>
              </w:rPr>
            </w:r>
            <w:r>
              <w:rPr>
                <w:color w:val="000000" w:themeColor="text1"/>
              </w:rPr>
            </w:r>
          </w:p>
        </w:tc>
      </w:tr>
      <w:tr>
        <w:trPr>
          <w:trHeight w:val="1345"/>
        </w:trPr>
        <w:tc>
          <w:tcPr>
            <w:tcW w:w="1632" w:type="dxa"/>
            <w:vAlign w:val="center"/>
            <w:vMerge w:val="continue"/>
            <w:textDirection w:val="lrTb"/>
            <w:noWrap w:val="false"/>
          </w:tcPr>
          <w:p>
            <w:pPr>
              <w:pStyle w:val="1012"/>
              <w:ind w:left="0" w:right="0" w:firstLine="0"/>
              <w:jc w:val="left"/>
              <w:spacing w:line="27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c>
          <w:tcPr>
            <w:tcW w:w="7407" w:type="dxa"/>
            <w:vAlign w:val="center"/>
            <w:textDirection w:val="lrTb"/>
            <w:noWrap w:val="false"/>
          </w:tcPr>
          <w:p>
            <w:pPr>
              <w:pStyle w:val="1012"/>
              <w:ind w:left="0" w:right="0" w:firstLine="0"/>
              <w:jc w:val="left"/>
              <w:spacing w:line="27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解析时间格式字段时能够自动匹配推荐格式。范化绑定支持添加多IP。范化策略可以进行复制操作，下面的二级策略也可以一同复制。新建策略时进行自动编号。字段查询，支持使用汉语拼音首字母查询。</w:t>
            </w:r>
            <w:r>
              <w:rPr>
                <w:rFonts w:hint="eastAsia" w:ascii="宋体" w:hAnsi="宋体" w:eastAsia="宋体" w:cs="宋体"/>
                <w:bCs/>
                <w:color w:val="000000" w:themeColor="text1"/>
                <w:sz w:val="24"/>
                <w:szCs w:val="24"/>
                <w:highlight w:val="none"/>
                <w:lang w:val="en-US" w:eastAsia="zh-CN" w:bidi="ar-SA"/>
              </w:rPr>
            </w:r>
            <w:r>
              <w:rPr>
                <w:color w:val="000000" w:themeColor="text1"/>
              </w:rPr>
            </w:r>
          </w:p>
        </w:tc>
      </w:tr>
      <w:tr>
        <w:trPr>
          <w:trHeight w:val="2194"/>
        </w:trPr>
        <w:tc>
          <w:tcPr>
            <w:tcW w:w="1632" w:type="dxa"/>
            <w:vAlign w:val="center"/>
            <w:vMerge w:val="restart"/>
            <w:textDirection w:val="lrTb"/>
            <w:noWrap w:val="false"/>
          </w:tcPr>
          <w:p>
            <w:pPr>
              <w:pStyle w:val="1012"/>
              <w:ind w:left="0" w:right="0" w:firstLine="0"/>
              <w:jc w:val="left"/>
              <w:spacing w:line="27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日志交互式分析</w:t>
            </w:r>
            <w:r>
              <w:rPr>
                <w:rFonts w:hint="eastAsia" w:ascii="宋体" w:hAnsi="宋体" w:eastAsia="宋体" w:cs="宋体"/>
                <w:bCs/>
                <w:color w:val="000000" w:themeColor="text1"/>
                <w:sz w:val="24"/>
                <w:szCs w:val="24"/>
                <w:highlight w:val="none"/>
                <w:lang w:val="en-US" w:eastAsia="zh-CN" w:bidi="ar-SA"/>
              </w:rPr>
            </w:r>
            <w:r>
              <w:rPr>
                <w:color w:val="000000" w:themeColor="text1"/>
              </w:rPr>
            </w:r>
          </w:p>
        </w:tc>
        <w:tc>
          <w:tcPr>
            <w:tcW w:w="7407" w:type="dxa"/>
            <w:vAlign w:val="center"/>
            <w:textDirection w:val="lrTb"/>
            <w:noWrap w:val="false"/>
          </w:tcPr>
          <w:p>
            <w:pPr>
              <w:pStyle w:val="1012"/>
              <w:ind w:left="0" w:right="0" w:firstLine="0"/>
              <w:jc w:val="left"/>
              <w:spacing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系统具备全文检索的大数据处理能力，能够对事件进行非格式化的文本式处理，可将原始信息进行自动索引，快速搜索分析各类安全事件。系统提供即席查询功能，支持归一化字段及关键字搜索，从海量事件原始信息中获取与关键字匹配或部分匹配的所有事件。系统支持基于正则表达式的检索功能，用户可在搜索栏内输入正则表达式，系统可搜索出原始信息中与正则表达式相匹配的所有事件。</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1111"/>
        </w:trPr>
        <w:tc>
          <w:tcPr>
            <w:tcW w:w="1632" w:type="dxa"/>
            <w:vAlign w:val="center"/>
            <w:vMerge w:val="continue"/>
            <w:textDirection w:val="lrTb"/>
            <w:noWrap w:val="false"/>
          </w:tcPr>
          <w:p>
            <w:pPr>
              <w:pStyle w:val="1012"/>
              <w:ind w:left="0" w:right="0" w:firstLine="0"/>
              <w:jc w:val="left"/>
              <w:spacing w:line="27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c>
          <w:tcPr>
            <w:tcW w:w="7407" w:type="dxa"/>
            <w:vAlign w:val="center"/>
            <w:textDirection w:val="lrTb"/>
            <w:noWrap w:val="false"/>
          </w:tcPr>
          <w:p>
            <w:pPr>
              <w:pStyle w:val="1012"/>
              <w:ind w:left="0" w:right="0" w:firstLine="0"/>
              <w:jc w:val="left"/>
              <w:spacing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▲对主机日志展开深度分析，分析场景包括但不限于登录情况、用户核心文件/文件夹监控、敏感操作及异常外联等，投标时投标人提供具有CMA或CNAS标识的检测报告扫描件</w:t>
            </w:r>
            <w:r>
              <w:rPr>
                <w:rFonts w:hint="eastAsia" w:ascii="宋体" w:hAnsi="宋体" w:eastAsia="宋体" w:cs="宋体"/>
                <w:color w:val="000000" w:themeColor="text1"/>
                <w:sz w:val="24"/>
                <w:szCs w:val="24"/>
                <w:highlight w:val="none"/>
                <w:lang w:val="en-US" w:eastAsia="zh-CN" w:bidi="ar"/>
              </w:rPr>
              <w:t xml:space="preserve">并</w:t>
            </w:r>
            <w:r>
              <w:rPr>
                <w:rFonts w:hint="eastAsia" w:ascii="宋体" w:hAnsi="宋体" w:eastAsia="宋体" w:cs="宋体"/>
                <w:color w:val="000000" w:themeColor="text1"/>
                <w:sz w:val="24"/>
                <w:szCs w:val="24"/>
                <w:highlight w:val="none"/>
                <w:lang w:val="en-US" w:eastAsia="zh-CN" w:bidi="ar-SA"/>
              </w:rPr>
              <w:t xml:space="preserve">加盖投标人公章。</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1473"/>
        </w:trPr>
        <w:tc>
          <w:tcPr>
            <w:tcW w:w="1632" w:type="dxa"/>
            <w:vAlign w:val="center"/>
            <w:vMerge w:val="continue"/>
            <w:textDirection w:val="lrTb"/>
            <w:noWrap w:val="false"/>
          </w:tcPr>
          <w:p>
            <w:pPr>
              <w:pStyle w:val="1012"/>
              <w:ind w:left="0" w:right="0" w:firstLine="0"/>
              <w:jc w:val="left"/>
              <w:spacing w:line="27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c>
          <w:tcPr>
            <w:tcW w:w="7407" w:type="dxa"/>
            <w:vAlign w:val="center"/>
            <w:textDirection w:val="lrTb"/>
            <w:noWrap w:val="false"/>
          </w:tcPr>
          <w:p>
            <w:pPr>
              <w:pStyle w:val="1012"/>
              <w:ind w:left="0" w:right="0" w:firstLine="0"/>
              <w:jc w:val="left"/>
              <w:spacing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日志解析字段内置200+个字段，属性字段可扩展，用户可根据审计需要自行创建字段，字段类型包括IP、字符串、整型等6种，可选择映射函数8种可选项等。内置及新增的所有字段均可参与查询、关联分析和报表统计。</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751"/>
        </w:trPr>
        <w:tc>
          <w:tcPr>
            <w:tcW w:w="1632" w:type="dxa"/>
            <w:vAlign w:val="center"/>
            <w:vMerge w:val="continue"/>
            <w:textDirection w:val="lrTb"/>
            <w:noWrap w:val="false"/>
          </w:tcPr>
          <w:p>
            <w:pPr>
              <w:pStyle w:val="1012"/>
              <w:ind w:left="0" w:right="0" w:firstLine="0"/>
              <w:jc w:val="left"/>
              <w:spacing w:line="27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c>
          <w:tcPr>
            <w:tcW w:w="7407" w:type="dxa"/>
            <w:vAlign w:val="center"/>
            <w:textDirection w:val="lrTb"/>
            <w:noWrap w:val="false"/>
          </w:tcPr>
          <w:p>
            <w:pPr>
              <w:pStyle w:val="1012"/>
              <w:ind w:left="0" w:right="0" w:firstLine="0"/>
              <w:jc w:val="left"/>
              <w:spacing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▲支持多源事件关联分析能力，包括单源过滤模式、多源时序模式和多源关联模式，提供该设备操作界面功能截图加盖投标人公章。</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1111"/>
        </w:trPr>
        <w:tc>
          <w:tcPr>
            <w:tcW w:w="1632" w:type="dxa"/>
            <w:vAlign w:val="center"/>
            <w:vMerge w:val="continue"/>
            <w:textDirection w:val="lrTb"/>
            <w:noWrap w:val="false"/>
          </w:tcPr>
          <w:p>
            <w:pPr>
              <w:pStyle w:val="1012"/>
              <w:ind w:left="0" w:right="0" w:firstLine="0"/>
              <w:jc w:val="left"/>
              <w:spacing w:line="27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c>
          <w:tcPr>
            <w:tcW w:w="7407" w:type="dxa"/>
            <w:vAlign w:val="center"/>
            <w:textDirection w:val="lrTb"/>
            <w:noWrap w:val="false"/>
          </w:tcPr>
          <w:p>
            <w:pPr>
              <w:pStyle w:val="1012"/>
              <w:ind w:left="0" w:right="0" w:firstLine="0"/>
              <w:jc w:val="left"/>
              <w:spacing w:line="27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可以以图形化的方式展示日志属性之间的聚合关系，并支持手动选择日志属性，显示多维事件分析图。属性可增加或减少，且支持图片大小调整。</w:t>
            </w:r>
            <w:r>
              <w:rPr>
                <w:rFonts w:hint="eastAsia" w:ascii="宋体" w:hAnsi="宋体" w:eastAsia="宋体" w:cs="宋体"/>
                <w:bCs/>
                <w:color w:val="000000" w:themeColor="text1"/>
                <w:sz w:val="24"/>
                <w:szCs w:val="24"/>
                <w:highlight w:val="none"/>
                <w:lang w:val="en-US" w:eastAsia="zh-CN" w:bidi="ar-SA"/>
              </w:rPr>
            </w:r>
            <w:r>
              <w:rPr>
                <w:color w:val="000000" w:themeColor="text1"/>
              </w:rPr>
            </w:r>
          </w:p>
        </w:tc>
      </w:tr>
      <w:tr>
        <w:trPr>
          <w:trHeight w:val="751"/>
        </w:trPr>
        <w:tc>
          <w:tcPr>
            <w:tcW w:w="1632" w:type="dxa"/>
            <w:vAlign w:val="center"/>
            <w:textDirection w:val="lrTb"/>
            <w:noWrap w:val="false"/>
          </w:tcPr>
          <w:p>
            <w:pPr>
              <w:pStyle w:val="1012"/>
              <w:ind w:left="0" w:right="0" w:firstLine="0"/>
              <w:jc w:val="left"/>
              <w:spacing w:line="27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机器学习</w:t>
            </w:r>
            <w:r>
              <w:rPr>
                <w:rFonts w:hint="eastAsia" w:ascii="宋体" w:hAnsi="宋体" w:eastAsia="宋体" w:cs="宋体"/>
                <w:bCs/>
                <w:color w:val="000000" w:themeColor="text1"/>
                <w:sz w:val="24"/>
                <w:szCs w:val="24"/>
                <w:highlight w:val="none"/>
                <w:lang w:val="en-US" w:eastAsia="zh-CN" w:bidi="ar-SA"/>
              </w:rPr>
            </w:r>
            <w:r>
              <w:rPr>
                <w:color w:val="000000" w:themeColor="text1"/>
              </w:rPr>
            </w:r>
          </w:p>
        </w:tc>
        <w:tc>
          <w:tcPr>
            <w:tcW w:w="7407" w:type="dxa"/>
            <w:vAlign w:val="center"/>
            <w:textDirection w:val="lrTb"/>
            <w:noWrap w:val="false"/>
          </w:tcPr>
          <w:p>
            <w:pPr>
              <w:pStyle w:val="1012"/>
              <w:ind w:left="0" w:right="0" w:firstLine="0"/>
              <w:jc w:val="left"/>
              <w:spacing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系统提供基于机器学习的通用行为分析引擎，可对用户和实体行为进行分析，发现异常行为。</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391"/>
        </w:trPr>
        <w:tc>
          <w:tcPr>
            <w:tcW w:w="1632" w:type="dxa"/>
            <w:vAlign w:val="center"/>
            <w:vMerge w:val="restart"/>
            <w:textDirection w:val="lrTb"/>
            <w:noWrap w:val="false"/>
          </w:tcPr>
          <w:p>
            <w:pPr>
              <w:pStyle w:val="1012"/>
              <w:ind w:left="0" w:right="0" w:firstLine="0"/>
              <w:jc w:val="left"/>
              <w:spacing w:line="27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日志综合展现</w:t>
            </w:r>
            <w:r>
              <w:rPr>
                <w:rFonts w:hint="eastAsia" w:ascii="宋体" w:hAnsi="宋体" w:eastAsia="宋体" w:cs="宋体"/>
                <w:bCs/>
                <w:color w:val="000000" w:themeColor="text1"/>
                <w:sz w:val="24"/>
                <w:szCs w:val="24"/>
                <w:highlight w:val="none"/>
                <w:lang w:val="en-US" w:eastAsia="zh-CN" w:bidi="ar-SA"/>
              </w:rPr>
            </w:r>
            <w:r>
              <w:rPr>
                <w:color w:val="000000" w:themeColor="text1"/>
              </w:rPr>
            </w:r>
          </w:p>
        </w:tc>
        <w:tc>
          <w:tcPr>
            <w:tcW w:w="7407" w:type="dxa"/>
            <w:vAlign w:val="center"/>
            <w:textDirection w:val="lrTb"/>
            <w:noWrap w:val="false"/>
          </w:tcPr>
          <w:p>
            <w:pPr>
              <w:pStyle w:val="1012"/>
              <w:ind w:left="0" w:right="0" w:firstLine="0"/>
              <w:jc w:val="left"/>
              <w:spacing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系统提供可编辑的灵活强大的自定义仪表板。</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1144"/>
        </w:trPr>
        <w:tc>
          <w:tcPr>
            <w:tcW w:w="1632" w:type="dxa"/>
            <w:vAlign w:val="center"/>
            <w:vMerge w:val="continue"/>
            <w:textDirection w:val="lrTb"/>
            <w:noWrap w:val="false"/>
          </w:tcPr>
          <w:p>
            <w:pPr>
              <w:pStyle w:val="1012"/>
              <w:ind w:left="0" w:right="0" w:firstLine="0"/>
              <w:jc w:val="left"/>
              <w:spacing w:line="27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c>
          <w:tcPr>
            <w:tcW w:w="7407" w:type="dxa"/>
            <w:vAlign w:val="center"/>
            <w:textDirection w:val="lrTb"/>
            <w:noWrap w:val="false"/>
          </w:tcPr>
          <w:p>
            <w:pPr>
              <w:pStyle w:val="1012"/>
              <w:ind w:left="0" w:right="0" w:firstLine="0"/>
              <w:jc w:val="left"/>
              <w:spacing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系统内置仪表板至少包括日志源事件分析仪表板，Windows事件分析仪表板，网络设备分析仪表板，防火墙事件总览分析仪表板，WEB事件总览分析仪表板，FTP服务器日志分析等。</w:t>
            </w:r>
            <w:r>
              <w:rPr>
                <w:rFonts w:hint="eastAsia" w:ascii="宋体" w:hAnsi="宋体" w:eastAsia="宋体" w:cs="宋体"/>
                <w:color w:val="000000" w:themeColor="text1"/>
                <w:sz w:val="24"/>
                <w:szCs w:val="24"/>
                <w:highlight w:val="none"/>
                <w:lang w:val="en-US" w:eastAsia="zh-CN" w:bidi="ar-SA"/>
              </w:rPr>
            </w:r>
            <w:r>
              <w:rPr>
                <w:color w:val="000000" w:themeColor="text1"/>
              </w:rPr>
            </w:r>
          </w:p>
        </w:tc>
      </w:tr>
    </w:tbl>
    <w:p>
      <w:pPr>
        <w:pStyle w:val="1053"/>
        <w:numPr>
          <w:ilvl w:val="0"/>
          <w:numId w:val="0"/>
        </w:numPr>
        <w:rPr>
          <w:rFonts w:hint="eastAsia" w:ascii="宋体" w:hAnsi="宋体" w:eastAsia="宋体" w:cs="宋体"/>
          <w:b/>
          <w:bCs/>
          <w:color w:val="000000" w:themeColor="text1"/>
          <w:sz w:val="28"/>
          <w:szCs w:val="28"/>
          <w:highlight w:val="none"/>
        </w:rPr>
      </w:pPr>
      <w:r>
        <w:rPr>
          <w:color w:val="000000" w:themeColor="text1"/>
        </w:rPr>
      </w:r>
      <w:bookmarkStart w:id="35" w:name="_Toc1924"/>
      <w:r>
        <w:rPr>
          <w:rFonts w:hint="eastAsia" w:ascii="宋体" w:hAnsi="宋体" w:eastAsia="宋体" w:cs="宋体"/>
          <w:b/>
          <w:bCs/>
          <w:color w:val="000000" w:themeColor="text1"/>
          <w:sz w:val="28"/>
          <w:szCs w:val="28"/>
          <w:highlight w:val="none"/>
          <w:lang w:val="en-US" w:eastAsia="zh-CN"/>
        </w:rPr>
        <w:t xml:space="preserve">3.</w:t>
      </w:r>
      <w:r>
        <w:rPr>
          <w:rFonts w:hint="eastAsia" w:ascii="宋体" w:hAnsi="宋体" w:eastAsia="宋体" w:cs="宋体"/>
          <w:b/>
          <w:bCs/>
          <w:color w:val="000000" w:themeColor="text1"/>
          <w:sz w:val="28"/>
          <w:szCs w:val="28"/>
          <w:highlight w:val="none"/>
        </w:rPr>
        <w:t xml:space="preserve">内网</w:t>
      </w:r>
      <w:r>
        <w:rPr>
          <w:rFonts w:hint="eastAsia" w:ascii="宋体" w:hAnsi="宋体" w:eastAsia="宋体" w:cs="宋体"/>
          <w:b/>
          <w:bCs/>
          <w:color w:val="000000" w:themeColor="text1"/>
          <w:sz w:val="28"/>
          <w:szCs w:val="28"/>
          <w:highlight w:val="none"/>
          <w:lang w:val="en-US" w:eastAsia="zh-CN"/>
        </w:rPr>
        <w:t xml:space="preserve">边界</w:t>
      </w:r>
      <w:r>
        <w:rPr>
          <w:rFonts w:hint="eastAsia" w:ascii="宋体" w:hAnsi="宋体" w:eastAsia="宋体" w:cs="宋体"/>
          <w:b/>
          <w:bCs/>
          <w:color w:val="000000" w:themeColor="text1"/>
          <w:sz w:val="28"/>
          <w:szCs w:val="28"/>
          <w:highlight w:val="none"/>
        </w:rPr>
        <w:t xml:space="preserve">防火墙（含IPS、AV模块）</w:t>
      </w:r>
      <w:bookmarkEnd w:id="35"/>
      <w:r>
        <w:rPr>
          <w:rFonts w:hint="eastAsia" w:ascii="宋体" w:hAnsi="宋体" w:eastAsia="宋体" w:cs="宋体"/>
          <w:b/>
          <w:bCs/>
          <w:color w:val="000000" w:themeColor="text1"/>
          <w:sz w:val="28"/>
          <w:szCs w:val="28"/>
          <w:highlight w:val="none"/>
        </w:rPr>
      </w:r>
      <w:r>
        <w:rPr>
          <w:color w:val="000000" w:themeColor="text1"/>
        </w:rPr>
      </w:r>
    </w:p>
    <w:tbl>
      <w:tblPr>
        <w:tblpPr w:horzAnchor="page" w:tblpX="1215" w:vertAnchor="text" w:tblpY="253" w:leftFromText="180" w:topFromText="0" w:rightFromText="180" w:bottomFromText="0"/>
        <w:tblW w:w="9819"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664"/>
        <w:gridCol w:w="8155"/>
      </w:tblGrid>
      <w:tr>
        <w:trPr>
          <w:trHeight w:val="696"/>
        </w:trPr>
        <w:tc>
          <w:tcPr>
            <w:tcW w:w="1664" w:type="dxa"/>
            <w:vAlign w:val="center"/>
            <w:textDirection w:val="lrTb"/>
            <w:noWrap w:val="false"/>
          </w:tcPr>
          <w:p>
            <w:pPr>
              <w:pStyle w:val="1012"/>
              <w:ind w:firstLine="200"/>
              <w:jc w:val="center"/>
              <w:spacing w:line="274" w:lineRule="auto"/>
              <w:widowControl w:val="off"/>
              <w:rPr>
                <w:rFonts w:hint="eastAsia" w:ascii="宋体" w:hAnsi="宋体" w:eastAsia="宋体" w:cs="宋体"/>
                <w:b/>
                <w:color w:val="000000" w:themeColor="text1"/>
                <w:sz w:val="28"/>
                <w:szCs w:val="28"/>
                <w:highlight w:val="none"/>
              </w:rPr>
              <w:framePr w:vAnchor="text" w:hAnchor="page" w:x="1215" w:y="253"/>
            </w:pPr>
            <w:r>
              <w:rPr>
                <w:color w:val="000000" w:themeColor="text1"/>
              </w:rPr>
            </w:r>
            <w:bookmarkStart w:id="36" w:name="OLE_LINK3"/>
            <w:r>
              <w:rPr>
                <w:rFonts w:hint="eastAsia" w:ascii="宋体" w:hAnsi="宋体" w:eastAsia="宋体" w:cs="宋体"/>
                <w:b/>
                <w:color w:val="000000" w:themeColor="text1"/>
                <w:sz w:val="28"/>
                <w:szCs w:val="28"/>
                <w:highlight w:val="none"/>
                <w:lang w:val="en-US" w:eastAsia="zh-CN" w:bidi="ar-SA"/>
              </w:rPr>
              <w:t xml:space="preserve">指标项</w:t>
            </w:r>
            <w:r>
              <w:rPr>
                <w:rFonts w:hint="eastAsia" w:ascii="宋体" w:hAnsi="宋体" w:eastAsia="宋体" w:cs="宋体"/>
                <w:b/>
                <w:color w:val="000000" w:themeColor="text1"/>
                <w:sz w:val="28"/>
                <w:szCs w:val="28"/>
                <w:highlight w:val="none"/>
                <w:lang w:val="en-US" w:eastAsia="zh-CN" w:bidi="ar-SA"/>
              </w:rPr>
            </w:r>
            <w:r>
              <w:rPr>
                <w:color w:val="000000" w:themeColor="text1"/>
              </w:rPr>
            </w:r>
          </w:p>
        </w:tc>
        <w:tc>
          <w:tcPr>
            <w:tcW w:w="8155" w:type="dxa"/>
            <w:vAlign w:val="center"/>
            <w:textDirection w:val="lrTb"/>
            <w:noWrap w:val="false"/>
          </w:tcPr>
          <w:p>
            <w:pPr>
              <w:pStyle w:val="1012"/>
              <w:ind w:firstLine="200"/>
              <w:jc w:val="center"/>
              <w:spacing w:line="274" w:lineRule="auto"/>
              <w:widowControl/>
              <w:rPr>
                <w:rFonts w:hint="eastAsia" w:ascii="宋体" w:hAnsi="宋体" w:eastAsia="宋体" w:cs="宋体"/>
                <w:b/>
                <w:color w:val="000000" w:themeColor="text1"/>
                <w:sz w:val="28"/>
                <w:szCs w:val="28"/>
                <w:highlight w:val="none"/>
              </w:rPr>
              <w:framePr w:vAnchor="text" w:hAnchor="page" w:x="1215" w:y="253"/>
            </w:pPr>
            <w:r>
              <w:rPr>
                <w:rFonts w:hint="eastAsia" w:ascii="宋体" w:hAnsi="宋体" w:eastAsia="宋体" w:cs="宋体"/>
                <w:b/>
                <w:color w:val="000000" w:themeColor="text1"/>
                <w:sz w:val="28"/>
                <w:szCs w:val="28"/>
                <w:highlight w:val="none"/>
                <w:lang w:val="en-US" w:eastAsia="zh-CN" w:bidi="ar-SA"/>
              </w:rPr>
              <w:t xml:space="preserve">功能要求</w:t>
            </w:r>
            <w:r>
              <w:rPr>
                <w:rFonts w:hint="eastAsia" w:ascii="宋体" w:hAnsi="宋体" w:eastAsia="宋体" w:cs="宋体"/>
                <w:b/>
                <w:color w:val="000000" w:themeColor="text1"/>
                <w:sz w:val="28"/>
                <w:szCs w:val="28"/>
                <w:highlight w:val="none"/>
                <w:lang w:val="en-US" w:eastAsia="zh-CN" w:bidi="ar-SA"/>
              </w:rPr>
            </w:r>
            <w:r>
              <w:rPr>
                <w:color w:val="000000" w:themeColor="text1"/>
              </w:rPr>
            </w:r>
          </w:p>
        </w:tc>
      </w:tr>
      <w:tr>
        <w:trPr>
          <w:trHeight w:val="1137"/>
        </w:trPr>
        <w:tc>
          <w:tcPr>
            <w:tcW w:w="1664" w:type="dxa"/>
            <w:vAlign w:val="center"/>
            <w:textDirection w:val="lrTb"/>
            <w:noWrap w:val="false"/>
          </w:tcPr>
          <w:p>
            <w:pPr>
              <w:pStyle w:val="1012"/>
              <w:ind w:firstLine="200"/>
              <w:jc w:val="left"/>
              <w:keepLines w:val="0"/>
              <w:keepNext w:val="0"/>
              <w:spacing w:line="274" w:lineRule="auto"/>
              <w:widowControl/>
              <w:rPr>
                <w:rFonts w:hint="eastAsia" w:ascii="宋体" w:hAnsi="宋体" w:eastAsia="宋体" w:cs="宋体"/>
                <w:b w:val="0"/>
                <w:bCs w:val="0"/>
                <w:i w:val="0"/>
                <w:iCs w:val="0"/>
                <w:color w:val="000000" w:themeColor="text1"/>
                <w:sz w:val="24"/>
                <w:szCs w:val="24"/>
                <w:highlight w:val="none"/>
                <w:u w:val="none"/>
              </w:rPr>
              <w:framePr w:vAnchor="text" w:hAnchor="page" w:x="1215" w:y="253"/>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rPr>
              <w:t xml:space="preserve">接口配置</w:t>
            </w:r>
            <w:r>
              <w:rPr>
                <w:rFonts w:hint="eastAsia" w:ascii="宋体" w:hAnsi="宋体" w:eastAsia="宋体" w:cs="宋体"/>
                <w:b w:val="0"/>
                <w:bCs w:val="0"/>
                <w:i w:val="0"/>
                <w:iCs w:val="0"/>
                <w:color w:val="000000" w:themeColor="text1"/>
                <w:sz w:val="24"/>
                <w:szCs w:val="24"/>
                <w:highlight w:val="none"/>
                <w:u w:val="none"/>
                <w:lang w:val="en-US" w:eastAsia="zh-CN" w:bidi="ar-SA"/>
              </w:rPr>
            </w:r>
            <w:r>
              <w:rPr>
                <w:color w:val="000000" w:themeColor="text1"/>
              </w:rPr>
            </w:r>
          </w:p>
        </w:tc>
        <w:tc>
          <w:tcPr>
            <w:tcW w:w="8155" w:type="dxa"/>
            <w:vAlign w:val="center"/>
            <w:textDirection w:val="lrTb"/>
            <w:noWrap w:val="false"/>
          </w:tcPr>
          <w:p>
            <w:pPr>
              <w:pStyle w:val="1012"/>
              <w:ind w:firstLine="20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framePr w:vAnchor="text" w:hAnchor="page" w:x="1215" w:y="253"/>
              <w:suppressLineNumbers w:val="0"/>
            </w:pPr>
            <w:r>
              <w:rPr>
                <w:rFonts w:hint="eastAsia" w:ascii="宋体" w:hAnsi="宋体" w:eastAsia="宋体" w:cs="宋体"/>
                <w:color w:val="000000" w:themeColor="text1"/>
                <w:sz w:val="22"/>
                <w:szCs w:val="22"/>
                <w:highlight w:val="none"/>
                <w:lang w:val="en-US" w:eastAsia="zh-CN" w:bidi="ar-SA"/>
              </w:rPr>
              <w:t xml:space="preserve">满足国产化要求，冗余电源，</w:t>
            </w:r>
            <w:r>
              <w:rPr>
                <w:rFonts w:hint="eastAsia" w:ascii="宋体" w:hAnsi="宋体" w:eastAsia="宋体" w:cs="宋体"/>
                <w:i w:val="0"/>
                <w:iCs w:val="0"/>
                <w:color w:val="000000" w:themeColor="text1"/>
                <w:sz w:val="24"/>
                <w:szCs w:val="24"/>
                <w:highlight w:val="none"/>
                <w:u w:val="none"/>
                <w:lang w:val="en-US" w:eastAsia="zh-CN" w:bidi="ar"/>
              </w:rPr>
              <w:t xml:space="preserve">配置≥</w:t>
            </w:r>
            <w:r>
              <w:rPr>
                <w:rStyle w:val="1294"/>
                <w:rFonts w:hint="eastAsia" w:ascii="宋体" w:hAnsi="宋体" w:eastAsia="宋体" w:cs="宋体"/>
                <w:b/>
                <w:color w:val="000000" w:themeColor="text1"/>
                <w:sz w:val="24"/>
                <w:szCs w:val="24"/>
                <w:highlight w:val="none"/>
                <w:u w:val="none"/>
                <w:lang w:val="en-US" w:eastAsia="zh-CN" w:bidi="ar"/>
              </w:rPr>
              <w:t xml:space="preserve">8</w:t>
            </w:r>
            <w:r>
              <w:rPr>
                <w:rStyle w:val="1246"/>
                <w:rFonts w:hint="eastAsia" w:ascii="宋体" w:hAnsi="宋体" w:eastAsia="宋体" w:cs="宋体"/>
                <w:color w:val="000000" w:themeColor="text1"/>
                <w:sz w:val="24"/>
                <w:szCs w:val="24"/>
                <w:highlight w:val="none"/>
                <w:u w:val="none"/>
                <w:lang w:val="en-US" w:eastAsia="zh-CN" w:bidi="ar"/>
              </w:rPr>
              <w:t xml:space="preserve">个千兆电接口、</w:t>
            </w:r>
            <w:r>
              <w:rPr>
                <w:rFonts w:hint="eastAsia" w:ascii="宋体" w:hAnsi="宋体" w:eastAsia="宋体" w:cs="宋体"/>
                <w:i w:val="0"/>
                <w:iCs w:val="0"/>
                <w:color w:val="000000" w:themeColor="text1"/>
                <w:sz w:val="24"/>
                <w:szCs w:val="24"/>
                <w:highlight w:val="none"/>
                <w:u w:val="none"/>
                <w:lang w:val="en-US" w:eastAsia="zh-CN" w:bidi="ar"/>
              </w:rPr>
              <w:t xml:space="preserve">≥</w:t>
            </w:r>
            <w:r>
              <w:rPr>
                <w:rStyle w:val="1246"/>
                <w:rFonts w:hint="eastAsia" w:ascii="宋体" w:hAnsi="宋体" w:eastAsia="宋体" w:cs="宋体"/>
                <w:color w:val="000000" w:themeColor="text1"/>
                <w:sz w:val="24"/>
                <w:szCs w:val="24"/>
                <w:highlight w:val="none"/>
                <w:u w:val="none"/>
                <w:lang w:val="en-US" w:eastAsia="zh-CN" w:bidi="ar"/>
              </w:rPr>
              <w:t xml:space="preserve">4个千兆光接口、</w:t>
            </w:r>
            <w:r>
              <w:rPr>
                <w:rFonts w:hint="eastAsia" w:ascii="宋体" w:hAnsi="宋体" w:eastAsia="宋体" w:cs="宋体"/>
                <w:i w:val="0"/>
                <w:iCs w:val="0"/>
                <w:color w:val="000000" w:themeColor="text1"/>
                <w:sz w:val="24"/>
                <w:szCs w:val="24"/>
                <w:highlight w:val="none"/>
                <w:u w:val="none"/>
                <w:lang w:val="en-US" w:eastAsia="zh-CN" w:bidi="ar"/>
              </w:rPr>
              <w:t xml:space="preserve">≥</w:t>
            </w:r>
            <w:r>
              <w:rPr>
                <w:rStyle w:val="1294"/>
                <w:rFonts w:hint="eastAsia" w:ascii="宋体" w:hAnsi="宋体" w:eastAsia="宋体" w:cs="宋体"/>
                <w:b/>
                <w:color w:val="000000" w:themeColor="text1"/>
                <w:sz w:val="24"/>
                <w:szCs w:val="24"/>
                <w:highlight w:val="none"/>
                <w:u w:val="none"/>
                <w:lang w:val="en-US" w:eastAsia="zh-CN" w:bidi="ar"/>
              </w:rPr>
              <w:t xml:space="preserve">4</w:t>
            </w:r>
            <w:r>
              <w:rPr>
                <w:rStyle w:val="1246"/>
                <w:rFonts w:hint="eastAsia" w:ascii="宋体" w:hAnsi="宋体" w:eastAsia="宋体" w:cs="宋体"/>
                <w:color w:val="000000" w:themeColor="text1"/>
                <w:sz w:val="24"/>
                <w:szCs w:val="24"/>
                <w:highlight w:val="none"/>
                <w:u w:val="none"/>
                <w:lang w:val="en-US" w:eastAsia="zh-CN" w:bidi="ar"/>
              </w:rPr>
              <w:t xml:space="preserve">个万兆光接口，</w:t>
            </w:r>
            <w:r>
              <w:rPr>
                <w:rFonts w:hint="eastAsia" w:ascii="宋体" w:hAnsi="宋体" w:eastAsia="宋体" w:cs="宋体"/>
                <w:color w:val="000000" w:themeColor="text1"/>
                <w:sz w:val="22"/>
                <w:szCs w:val="22"/>
                <w:highlight w:val="none"/>
                <w:lang w:val="en-US" w:eastAsia="zh-CN" w:bidi="ar-SA"/>
              </w:rPr>
              <w:t xml:space="preserve">≥256G存储空间</w:t>
            </w:r>
            <w:r>
              <w:rPr>
                <w:rStyle w:val="1246"/>
                <w:rFonts w:hint="eastAsia" w:ascii="宋体" w:hAnsi="宋体" w:eastAsia="宋体" w:cs="宋体"/>
                <w:color w:val="000000" w:themeColor="text1"/>
                <w:sz w:val="24"/>
                <w:szCs w:val="24"/>
                <w:highlight w:val="none"/>
                <w:u w:val="none"/>
                <w:lang w:val="en-US" w:eastAsia="zh-CN" w:bidi="ar"/>
              </w:rPr>
              <w:t xml:space="preserve">。</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rHeight w:val="750"/>
        </w:trPr>
        <w:tc>
          <w:tcPr>
            <w:tcW w:w="1664" w:type="dxa"/>
            <w:vAlign w:val="center"/>
            <w:textDirection w:val="lrTb"/>
            <w:noWrap w:val="false"/>
          </w:tcPr>
          <w:p>
            <w:pPr>
              <w:pStyle w:val="1012"/>
              <w:ind w:firstLine="200"/>
              <w:jc w:val="left"/>
              <w:keepLines w:val="0"/>
              <w:keepNext w:val="0"/>
              <w:spacing w:line="274" w:lineRule="auto"/>
              <w:widowControl/>
              <w:rPr>
                <w:rFonts w:hint="eastAsia" w:ascii="宋体" w:hAnsi="宋体" w:eastAsia="宋体" w:cs="宋体"/>
                <w:b w:val="0"/>
                <w:bCs w:val="0"/>
                <w:i w:val="0"/>
                <w:iCs w:val="0"/>
                <w:color w:val="000000" w:themeColor="text1"/>
                <w:sz w:val="24"/>
                <w:szCs w:val="24"/>
                <w:highlight w:val="none"/>
                <w:u w:val="none"/>
              </w:rPr>
              <w:framePr w:vAnchor="text" w:hAnchor="page" w:x="1215" w:y="253"/>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rPr>
              <w:t xml:space="preserve">IPsec VPN智能选路</w:t>
            </w:r>
            <w:r>
              <w:rPr>
                <w:rFonts w:hint="eastAsia" w:ascii="宋体" w:hAnsi="宋体" w:eastAsia="宋体" w:cs="宋体"/>
                <w:b w:val="0"/>
                <w:bCs w:val="0"/>
                <w:i w:val="0"/>
                <w:iCs w:val="0"/>
                <w:color w:val="000000" w:themeColor="text1"/>
                <w:sz w:val="24"/>
                <w:szCs w:val="24"/>
                <w:highlight w:val="none"/>
                <w:u w:val="none"/>
                <w:lang w:val="en-US" w:eastAsia="zh-CN" w:bidi="ar-SA"/>
              </w:rPr>
            </w:r>
            <w:r>
              <w:rPr>
                <w:color w:val="000000" w:themeColor="text1"/>
              </w:rPr>
            </w:r>
          </w:p>
        </w:tc>
        <w:tc>
          <w:tcPr>
            <w:tcW w:w="8155" w:type="dxa"/>
            <w:vAlign w:val="center"/>
            <w:textDirection w:val="lrTb"/>
            <w:noWrap w:val="false"/>
          </w:tcPr>
          <w:p>
            <w:pPr>
              <w:pStyle w:val="1012"/>
              <w:ind w:firstLine="20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framePr w:vAnchor="text" w:hAnchor="page" w:x="1215" w:y="253"/>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支持IPsec VPN智能选路，根据隧道质量调度流量，投标时提供功能截图加盖投标人公章。</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rHeight w:val="1845"/>
        </w:trPr>
        <w:tc>
          <w:tcPr>
            <w:tcW w:w="1664" w:type="dxa"/>
            <w:vAlign w:val="center"/>
            <w:textDirection w:val="lrTb"/>
            <w:noWrap w:val="false"/>
          </w:tcPr>
          <w:p>
            <w:pPr>
              <w:pStyle w:val="1012"/>
              <w:ind w:firstLine="200"/>
              <w:jc w:val="left"/>
              <w:keepLines w:val="0"/>
              <w:keepNext w:val="0"/>
              <w:spacing w:line="274" w:lineRule="auto"/>
              <w:widowControl/>
              <w:rPr>
                <w:rFonts w:hint="eastAsia" w:ascii="宋体" w:hAnsi="宋体" w:eastAsia="宋体" w:cs="宋体"/>
                <w:b w:val="0"/>
                <w:bCs w:val="0"/>
                <w:i w:val="0"/>
                <w:iCs w:val="0"/>
                <w:color w:val="000000" w:themeColor="text1"/>
                <w:sz w:val="24"/>
                <w:szCs w:val="24"/>
                <w:highlight w:val="none"/>
                <w:u w:val="none"/>
              </w:rPr>
              <w:framePr w:vAnchor="text" w:hAnchor="page" w:x="1215" w:y="253"/>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rPr>
              <w:t xml:space="preserve">虚拟防火墙</w:t>
            </w:r>
            <w:r>
              <w:rPr>
                <w:rFonts w:hint="eastAsia" w:ascii="宋体" w:hAnsi="宋体" w:eastAsia="宋体" w:cs="宋体"/>
                <w:b w:val="0"/>
                <w:bCs w:val="0"/>
                <w:i w:val="0"/>
                <w:iCs w:val="0"/>
                <w:color w:val="000000" w:themeColor="text1"/>
                <w:sz w:val="24"/>
                <w:szCs w:val="24"/>
                <w:highlight w:val="none"/>
                <w:u w:val="none"/>
                <w:lang w:val="en-US" w:eastAsia="zh-CN" w:bidi="ar-SA"/>
              </w:rPr>
            </w:r>
            <w:r>
              <w:rPr>
                <w:color w:val="000000" w:themeColor="text1"/>
              </w:rPr>
            </w:r>
          </w:p>
        </w:tc>
        <w:tc>
          <w:tcPr>
            <w:tcW w:w="8155" w:type="dxa"/>
            <w:vAlign w:val="center"/>
            <w:textDirection w:val="lrTb"/>
            <w:noWrap w:val="false"/>
          </w:tcPr>
          <w:p>
            <w:pPr>
              <w:pStyle w:val="1012"/>
              <w:ind w:firstLine="20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framePr w:vAnchor="text" w:hAnchor="page" w:x="1215" w:y="253"/>
              <w:suppressLineNumbers w:val="0"/>
            </w:pPr>
            <w:r>
              <w:rPr>
                <w:color w:val="000000" w:themeColor="text1"/>
              </w:rPr>
            </w:r>
            <w:bookmarkStart w:id="37" w:name="OLE_LINK5"/>
            <w:r>
              <w:rPr>
                <w:rFonts w:hint="eastAsia" w:ascii="宋体" w:hAnsi="宋体" w:eastAsia="宋体" w:cs="宋体"/>
                <w:i w:val="0"/>
                <w:iCs w:val="0"/>
                <w:color w:val="000000" w:themeColor="text1"/>
                <w:sz w:val="24"/>
                <w:szCs w:val="24"/>
                <w:highlight w:val="none"/>
                <w:u w:val="none"/>
                <w:lang w:val="en-US" w:eastAsia="zh-CN" w:bidi="ar"/>
              </w:rPr>
              <w:t xml:space="preserve">▲</w:t>
            </w:r>
            <w:bookmarkEnd w:id="37"/>
            <w:r>
              <w:rPr>
                <w:rFonts w:hint="eastAsia" w:ascii="宋体" w:hAnsi="宋体" w:eastAsia="宋体" w:cs="宋体"/>
                <w:i w:val="0"/>
                <w:iCs w:val="0"/>
                <w:color w:val="000000" w:themeColor="text1"/>
                <w:sz w:val="24"/>
                <w:szCs w:val="24"/>
                <w:highlight w:val="none"/>
                <w:u w:val="none"/>
                <w:lang w:val="en-US" w:eastAsia="zh-CN" w:bidi="ar"/>
              </w:rPr>
              <w:t xml:space="preserve">支持虚拟防火墙功能：支持虚拟防火墙的创建、启动、关闭、删除功能。可独立分配CPU/内存等计算资源。虚拟防火墙可独立管理，独立保存配置。虚拟防火墙具备独立会话管理、NAT、路由等功能，投标人上述功能要求，提供功能截图加盖投标人公章或者第三方机构出具的CMA或CNAS检测报告扫描件并加盖投标人公章。</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rHeight w:val="1481"/>
        </w:trPr>
        <w:tc>
          <w:tcPr>
            <w:tcW w:w="1664" w:type="dxa"/>
            <w:vAlign w:val="center"/>
            <w:textDirection w:val="lrTb"/>
            <w:noWrap w:val="false"/>
          </w:tcPr>
          <w:p>
            <w:pPr>
              <w:pStyle w:val="1012"/>
              <w:ind w:firstLine="200"/>
              <w:jc w:val="left"/>
              <w:keepLines w:val="0"/>
              <w:keepNext w:val="0"/>
              <w:spacing w:line="274" w:lineRule="auto"/>
              <w:widowControl/>
              <w:rPr>
                <w:rFonts w:hint="eastAsia" w:ascii="宋体" w:hAnsi="宋体" w:eastAsia="宋体" w:cs="宋体"/>
                <w:b w:val="0"/>
                <w:bCs w:val="0"/>
                <w:i w:val="0"/>
                <w:iCs w:val="0"/>
                <w:color w:val="000000" w:themeColor="text1"/>
                <w:sz w:val="24"/>
                <w:szCs w:val="24"/>
                <w:highlight w:val="none"/>
                <w:u w:val="none"/>
              </w:rPr>
              <w:framePr w:vAnchor="text" w:hAnchor="page" w:x="1215" w:y="253"/>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rPr>
              <w:t xml:space="preserve">DNS透明代理</w:t>
            </w:r>
            <w:r>
              <w:rPr>
                <w:rFonts w:hint="eastAsia" w:ascii="宋体" w:hAnsi="宋体" w:eastAsia="宋体" w:cs="宋体"/>
                <w:b w:val="0"/>
                <w:bCs w:val="0"/>
                <w:i w:val="0"/>
                <w:iCs w:val="0"/>
                <w:color w:val="000000" w:themeColor="text1"/>
                <w:sz w:val="24"/>
                <w:szCs w:val="24"/>
                <w:highlight w:val="none"/>
                <w:u w:val="none"/>
                <w:lang w:val="en-US" w:eastAsia="zh-CN" w:bidi="ar-SA"/>
              </w:rPr>
            </w:r>
            <w:r>
              <w:rPr>
                <w:color w:val="000000" w:themeColor="text1"/>
              </w:rPr>
            </w:r>
          </w:p>
        </w:tc>
        <w:tc>
          <w:tcPr>
            <w:tcW w:w="8155" w:type="dxa"/>
            <w:vAlign w:val="center"/>
            <w:textDirection w:val="lrTb"/>
            <w:noWrap w:val="false"/>
          </w:tcPr>
          <w:p>
            <w:pPr>
              <w:pStyle w:val="1012"/>
              <w:ind w:firstLine="20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framePr w:vAnchor="text" w:hAnchor="page" w:x="1215" w:y="253"/>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支持DNS透明代理功能，可基于负载均衡算法代理内网用户进行DNS请求转发，避免单运营商DNS解析出现单一链路流量过载，平衡多条运营商线路的带宽利用率，投标方提供功能截图加盖投标人公章或者第三方机构出具的CMA或CNAS检测报告扫描件并加盖投标人公章。</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rHeight w:val="1387"/>
        </w:trPr>
        <w:tc>
          <w:tcPr>
            <w:tcW w:w="1664" w:type="dxa"/>
            <w:vAlign w:val="center"/>
            <w:textDirection w:val="lrTb"/>
            <w:noWrap w:val="false"/>
          </w:tcPr>
          <w:p>
            <w:pPr>
              <w:pStyle w:val="1012"/>
              <w:ind w:firstLine="200"/>
              <w:jc w:val="left"/>
              <w:keepLines w:val="0"/>
              <w:keepNext w:val="0"/>
              <w:spacing w:line="274" w:lineRule="auto"/>
              <w:widowControl/>
              <w:rPr>
                <w:rFonts w:hint="eastAsia" w:ascii="宋体" w:hAnsi="宋体" w:eastAsia="宋体" w:cs="宋体"/>
                <w:b w:val="0"/>
                <w:bCs w:val="0"/>
                <w:i w:val="0"/>
                <w:iCs w:val="0"/>
                <w:color w:val="000000" w:themeColor="text1"/>
                <w:sz w:val="24"/>
                <w:szCs w:val="24"/>
                <w:highlight w:val="none"/>
                <w:u w:val="none"/>
              </w:rPr>
              <w:framePr w:vAnchor="text" w:hAnchor="page" w:x="1215" w:y="253"/>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rPr>
              <w:t xml:space="preserve">策略性能</w:t>
            </w:r>
            <w:r>
              <w:rPr>
                <w:rFonts w:hint="eastAsia" w:ascii="宋体" w:hAnsi="宋体" w:eastAsia="宋体" w:cs="宋体"/>
                <w:b w:val="0"/>
                <w:bCs w:val="0"/>
                <w:i w:val="0"/>
                <w:iCs w:val="0"/>
                <w:color w:val="000000" w:themeColor="text1"/>
                <w:sz w:val="24"/>
                <w:szCs w:val="24"/>
                <w:highlight w:val="none"/>
                <w:u w:val="none"/>
                <w:lang w:val="en-US" w:eastAsia="zh-CN" w:bidi="ar-SA"/>
              </w:rPr>
            </w:r>
            <w:r>
              <w:rPr>
                <w:color w:val="000000" w:themeColor="text1"/>
              </w:rPr>
            </w:r>
          </w:p>
        </w:tc>
        <w:tc>
          <w:tcPr>
            <w:tcW w:w="8155" w:type="dxa"/>
            <w:vAlign w:val="center"/>
            <w:textDirection w:val="lrTb"/>
            <w:noWrap w:val="false"/>
          </w:tcPr>
          <w:p>
            <w:pPr>
              <w:pStyle w:val="1012"/>
              <w:ind w:firstLine="20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framePr w:vAnchor="text" w:hAnchor="page" w:x="1215" w:y="253"/>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支持基于源安全区、目的安全区、源地址、目的地址、源端口、目的端口、协议等，模拟运行直接获得策略的命中信息，并可对命中的策略信息进行编辑</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rHeight w:val="1296"/>
        </w:trPr>
        <w:tc>
          <w:tcPr>
            <w:tcW w:w="1664" w:type="dxa"/>
            <w:vAlign w:val="center"/>
            <w:textDirection w:val="lrTb"/>
            <w:noWrap w:val="false"/>
          </w:tcPr>
          <w:p>
            <w:pPr>
              <w:pStyle w:val="1012"/>
              <w:ind w:firstLine="200"/>
              <w:jc w:val="left"/>
              <w:keepLines w:val="0"/>
              <w:keepNext w:val="0"/>
              <w:spacing w:line="274" w:lineRule="auto"/>
              <w:widowControl/>
              <w:rPr>
                <w:rFonts w:hint="eastAsia" w:ascii="宋体" w:hAnsi="宋体" w:eastAsia="宋体" w:cs="宋体"/>
                <w:b w:val="0"/>
                <w:bCs w:val="0"/>
                <w:i w:val="0"/>
                <w:iCs w:val="0"/>
                <w:color w:val="000000" w:themeColor="text1"/>
                <w:sz w:val="24"/>
                <w:szCs w:val="24"/>
                <w:highlight w:val="none"/>
                <w:u w:val="none"/>
              </w:rPr>
              <w:framePr w:vAnchor="text" w:hAnchor="page" w:x="1215" w:y="253"/>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rPr>
              <w:t xml:space="preserve">性能指标</w:t>
            </w:r>
            <w:r>
              <w:rPr>
                <w:rFonts w:hint="eastAsia" w:ascii="宋体" w:hAnsi="宋体" w:eastAsia="宋体" w:cs="宋体"/>
                <w:b w:val="0"/>
                <w:bCs w:val="0"/>
                <w:i w:val="0"/>
                <w:iCs w:val="0"/>
                <w:color w:val="000000" w:themeColor="text1"/>
                <w:sz w:val="24"/>
                <w:szCs w:val="24"/>
                <w:highlight w:val="none"/>
                <w:u w:val="none"/>
                <w:lang w:val="en-US" w:eastAsia="zh-CN" w:bidi="ar-SA"/>
              </w:rPr>
            </w:r>
            <w:r>
              <w:rPr>
                <w:color w:val="000000" w:themeColor="text1"/>
              </w:rPr>
            </w:r>
          </w:p>
        </w:tc>
        <w:tc>
          <w:tcPr>
            <w:tcW w:w="8155" w:type="dxa"/>
            <w:vAlign w:val="center"/>
            <w:textDirection w:val="lrTb"/>
            <w:noWrap w:val="false"/>
          </w:tcPr>
          <w:p>
            <w:pPr>
              <w:pStyle w:val="1012"/>
              <w:ind w:firstLine="20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framePr w:vAnchor="text" w:hAnchor="page" w:x="1215" w:y="253"/>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网络层吞吐量≥</w:t>
            </w:r>
            <w:r>
              <w:rPr>
                <w:rStyle w:val="1246"/>
                <w:rFonts w:hint="eastAsia" w:ascii="宋体" w:hAnsi="宋体" w:eastAsia="宋体" w:cs="宋体"/>
                <w:color w:val="000000" w:themeColor="text1"/>
                <w:sz w:val="24"/>
                <w:szCs w:val="24"/>
                <w:highlight w:val="none"/>
                <w:u w:val="none"/>
                <w:lang w:val="en-US" w:eastAsia="zh-CN" w:bidi="ar"/>
              </w:rPr>
              <w:t xml:space="preserve">10Gbps，应用层吞吐量</w:t>
            </w:r>
            <w:r>
              <w:rPr>
                <w:rFonts w:hint="eastAsia" w:ascii="宋体" w:hAnsi="宋体" w:eastAsia="宋体" w:cs="宋体"/>
                <w:i w:val="0"/>
                <w:iCs w:val="0"/>
                <w:color w:val="000000" w:themeColor="text1"/>
                <w:sz w:val="24"/>
                <w:szCs w:val="24"/>
                <w:highlight w:val="none"/>
                <w:u w:val="none"/>
                <w:lang w:val="en-US" w:eastAsia="zh-CN" w:bidi="ar"/>
              </w:rPr>
              <w:t xml:space="preserve">≥</w:t>
            </w:r>
            <w:r>
              <w:rPr>
                <w:rStyle w:val="1246"/>
                <w:rFonts w:hint="eastAsia" w:ascii="宋体" w:hAnsi="宋体" w:eastAsia="宋体" w:cs="宋体"/>
                <w:color w:val="000000" w:themeColor="text1"/>
                <w:sz w:val="24"/>
                <w:szCs w:val="24"/>
                <w:highlight w:val="none"/>
                <w:u w:val="none"/>
                <w:lang w:val="en-US" w:eastAsia="zh-CN" w:bidi="ar"/>
              </w:rPr>
              <w:t xml:space="preserve">5Gbps，最大并发数</w:t>
            </w:r>
            <w:r>
              <w:rPr>
                <w:rFonts w:hint="eastAsia" w:ascii="宋体" w:hAnsi="宋体" w:eastAsia="宋体" w:cs="宋体"/>
                <w:i w:val="0"/>
                <w:iCs w:val="0"/>
                <w:color w:val="000000" w:themeColor="text1"/>
                <w:sz w:val="24"/>
                <w:szCs w:val="24"/>
                <w:highlight w:val="none"/>
                <w:u w:val="none"/>
                <w:lang w:val="en-US" w:eastAsia="zh-CN" w:bidi="ar"/>
              </w:rPr>
              <w:t xml:space="preserve">≥</w:t>
            </w:r>
            <w:r>
              <w:rPr>
                <w:rStyle w:val="1246"/>
                <w:rFonts w:hint="eastAsia" w:ascii="宋体" w:hAnsi="宋体" w:eastAsia="宋体" w:cs="宋体"/>
                <w:color w:val="000000" w:themeColor="text1"/>
                <w:sz w:val="24"/>
                <w:szCs w:val="24"/>
                <w:highlight w:val="none"/>
                <w:u w:val="none"/>
                <w:lang w:val="en-US" w:eastAsia="zh-CN" w:bidi="ar"/>
              </w:rPr>
              <w:t xml:space="preserve">500万，每秒并发连接数</w:t>
            </w:r>
            <w:r>
              <w:rPr>
                <w:rFonts w:hint="eastAsia" w:ascii="宋体" w:hAnsi="宋体" w:eastAsia="宋体" w:cs="宋体"/>
                <w:i w:val="0"/>
                <w:iCs w:val="0"/>
                <w:color w:val="000000" w:themeColor="text1"/>
                <w:sz w:val="24"/>
                <w:szCs w:val="24"/>
                <w:highlight w:val="none"/>
                <w:u w:val="none"/>
                <w:lang w:val="en-US" w:eastAsia="zh-CN" w:bidi="ar"/>
              </w:rPr>
              <w:t xml:space="preserve">≥</w:t>
            </w:r>
            <w:r>
              <w:rPr>
                <w:rStyle w:val="1246"/>
                <w:rFonts w:hint="eastAsia" w:ascii="宋体" w:hAnsi="宋体" w:eastAsia="宋体" w:cs="宋体"/>
                <w:color w:val="000000" w:themeColor="text1"/>
                <w:sz w:val="24"/>
                <w:szCs w:val="24"/>
                <w:highlight w:val="none"/>
                <w:u w:val="none"/>
                <w:lang w:val="en-US" w:eastAsia="zh-CN" w:bidi="ar"/>
              </w:rPr>
              <w:t xml:space="preserve">10万。</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rHeight w:val="959"/>
        </w:trPr>
        <w:tc>
          <w:tcPr>
            <w:tcW w:w="1664" w:type="dxa"/>
            <w:vAlign w:val="center"/>
            <w:textDirection w:val="lrTb"/>
            <w:noWrap w:val="false"/>
          </w:tcPr>
          <w:p>
            <w:pPr>
              <w:pStyle w:val="1012"/>
              <w:ind w:firstLine="200"/>
              <w:jc w:val="left"/>
              <w:keepLines w:val="0"/>
              <w:keepNext w:val="0"/>
              <w:spacing w:line="274" w:lineRule="auto"/>
              <w:widowControl/>
              <w:rPr>
                <w:rFonts w:hint="eastAsia" w:ascii="宋体" w:hAnsi="宋体" w:eastAsia="宋体" w:cs="宋体"/>
                <w:b w:val="0"/>
                <w:bCs w:val="0"/>
                <w:i w:val="0"/>
                <w:iCs w:val="0"/>
                <w:color w:val="000000" w:themeColor="text1"/>
                <w:sz w:val="24"/>
                <w:szCs w:val="24"/>
                <w:highlight w:val="none"/>
                <w:u w:val="none"/>
              </w:rPr>
              <w:framePr w:vAnchor="text" w:hAnchor="page" w:x="1215" w:y="253"/>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rPr>
              <w:t xml:space="preserve">IPS和AV功能</w:t>
            </w:r>
            <w:r>
              <w:rPr>
                <w:rFonts w:hint="eastAsia" w:ascii="宋体" w:hAnsi="宋体" w:eastAsia="宋体" w:cs="宋体"/>
                <w:b w:val="0"/>
                <w:bCs w:val="0"/>
                <w:i w:val="0"/>
                <w:iCs w:val="0"/>
                <w:color w:val="000000" w:themeColor="text1"/>
                <w:sz w:val="24"/>
                <w:szCs w:val="24"/>
                <w:highlight w:val="none"/>
                <w:u w:val="none"/>
                <w:lang w:val="en-US" w:eastAsia="zh-CN" w:bidi="ar-SA"/>
              </w:rPr>
            </w:r>
            <w:r>
              <w:rPr>
                <w:color w:val="000000" w:themeColor="text1"/>
              </w:rPr>
            </w:r>
          </w:p>
        </w:tc>
        <w:tc>
          <w:tcPr>
            <w:tcW w:w="8155" w:type="dxa"/>
            <w:vAlign w:val="center"/>
            <w:textDirection w:val="lrTb"/>
            <w:noWrap w:val="false"/>
          </w:tcPr>
          <w:p>
            <w:pPr>
              <w:pStyle w:val="1012"/>
              <w:ind w:firstLine="20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framePr w:vAnchor="text" w:hAnchor="page" w:x="1215" w:y="253"/>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开启IPS和AV和URL过滤功能，3年规则库升级服务。</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rHeight w:val="1046"/>
        </w:trPr>
        <w:tc>
          <w:tcPr>
            <w:tcW w:w="1664" w:type="dxa"/>
            <w:vAlign w:val="center"/>
            <w:textDirection w:val="lrTb"/>
            <w:noWrap w:val="false"/>
          </w:tcPr>
          <w:p>
            <w:pPr>
              <w:pStyle w:val="1012"/>
              <w:ind w:firstLine="200"/>
              <w:jc w:val="left"/>
              <w:keepLines w:val="0"/>
              <w:keepNext w:val="0"/>
              <w:spacing w:line="274" w:lineRule="auto"/>
              <w:widowControl/>
              <w:rPr>
                <w:rFonts w:hint="eastAsia" w:ascii="宋体" w:hAnsi="宋体" w:eastAsia="宋体" w:cs="宋体"/>
                <w:b w:val="0"/>
                <w:bCs w:val="0"/>
                <w:i w:val="0"/>
                <w:iCs w:val="0"/>
                <w:color w:val="000000" w:themeColor="text1"/>
                <w:sz w:val="24"/>
                <w:szCs w:val="24"/>
                <w:highlight w:val="none"/>
                <w:u w:val="none"/>
              </w:rPr>
              <w:framePr w:vAnchor="text" w:hAnchor="page" w:x="1215" w:y="253"/>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rPr>
              <w:t xml:space="preserve">病毒防护</w:t>
            </w:r>
            <w:r>
              <w:rPr>
                <w:rFonts w:hint="eastAsia" w:ascii="宋体" w:hAnsi="宋体" w:eastAsia="宋体" w:cs="宋体"/>
                <w:b w:val="0"/>
                <w:bCs w:val="0"/>
                <w:i w:val="0"/>
                <w:iCs w:val="0"/>
                <w:color w:val="000000" w:themeColor="text1"/>
                <w:sz w:val="24"/>
                <w:szCs w:val="24"/>
                <w:highlight w:val="none"/>
                <w:u w:val="none"/>
                <w:lang w:val="en-US" w:eastAsia="zh-CN" w:bidi="ar-SA"/>
              </w:rPr>
            </w:r>
            <w:r>
              <w:rPr>
                <w:color w:val="000000" w:themeColor="text1"/>
              </w:rPr>
            </w:r>
          </w:p>
        </w:tc>
        <w:tc>
          <w:tcPr>
            <w:tcW w:w="8155" w:type="dxa"/>
            <w:vAlign w:val="center"/>
            <w:textDirection w:val="lrTb"/>
            <w:noWrap w:val="false"/>
          </w:tcPr>
          <w:p>
            <w:pPr>
              <w:pStyle w:val="1012"/>
              <w:ind w:firstLine="20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framePr w:vAnchor="text" w:hAnchor="page" w:x="1215" w:y="253"/>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支持基于HTTP等协议进行多线程下载的限制。</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rHeight w:val="943"/>
        </w:trPr>
        <w:tc>
          <w:tcPr>
            <w:tcW w:w="1664" w:type="dxa"/>
            <w:vAlign w:val="center"/>
            <w:textDirection w:val="lrTb"/>
            <w:noWrap w:val="false"/>
          </w:tcPr>
          <w:p>
            <w:pPr>
              <w:pStyle w:val="1012"/>
              <w:ind w:firstLine="200"/>
              <w:jc w:val="left"/>
              <w:keepLines w:val="0"/>
              <w:keepNext w:val="0"/>
              <w:spacing w:line="274" w:lineRule="auto"/>
              <w:widowControl/>
              <w:rPr>
                <w:rFonts w:hint="eastAsia" w:ascii="宋体" w:hAnsi="宋体" w:eastAsia="宋体" w:cs="宋体"/>
                <w:b w:val="0"/>
                <w:bCs w:val="0"/>
                <w:i w:val="0"/>
                <w:iCs w:val="0"/>
                <w:color w:val="000000" w:themeColor="text1"/>
                <w:sz w:val="24"/>
                <w:szCs w:val="24"/>
                <w:highlight w:val="none"/>
                <w:u w:val="none"/>
              </w:rPr>
              <w:framePr w:vAnchor="text" w:hAnchor="page" w:x="1215" w:y="253"/>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rPr>
              <w:t xml:space="preserve">配件与维保</w:t>
            </w:r>
            <w:r>
              <w:rPr>
                <w:rFonts w:hint="eastAsia" w:ascii="宋体" w:hAnsi="宋体" w:eastAsia="宋体" w:cs="宋体"/>
                <w:b w:val="0"/>
                <w:bCs w:val="0"/>
                <w:i w:val="0"/>
                <w:iCs w:val="0"/>
                <w:color w:val="000000" w:themeColor="text1"/>
                <w:sz w:val="24"/>
                <w:szCs w:val="24"/>
                <w:highlight w:val="none"/>
                <w:u w:val="none"/>
                <w:lang w:val="en-US" w:eastAsia="zh-CN" w:bidi="ar-SA"/>
              </w:rPr>
            </w:r>
            <w:r>
              <w:rPr>
                <w:color w:val="000000" w:themeColor="text1"/>
              </w:rPr>
            </w:r>
          </w:p>
        </w:tc>
        <w:tc>
          <w:tcPr>
            <w:tcW w:w="8155" w:type="dxa"/>
            <w:vAlign w:val="center"/>
            <w:textDirection w:val="lrTb"/>
            <w:noWrap w:val="false"/>
          </w:tcPr>
          <w:p>
            <w:pPr>
              <w:pStyle w:val="1012"/>
              <w:ind w:firstLine="20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framePr w:vAnchor="text" w:hAnchor="page" w:x="1215" w:y="253"/>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单台配置</w:t>
            </w:r>
            <w:r>
              <w:rPr>
                <w:rStyle w:val="1246"/>
                <w:rFonts w:hint="eastAsia" w:ascii="宋体" w:hAnsi="宋体" w:eastAsia="宋体" w:cs="宋体"/>
                <w:color w:val="000000" w:themeColor="text1"/>
                <w:sz w:val="24"/>
                <w:szCs w:val="24"/>
                <w:highlight w:val="none"/>
                <w:u w:val="none"/>
                <w:lang w:val="en-US" w:eastAsia="zh-CN" w:bidi="ar"/>
              </w:rPr>
              <w:t xml:space="preserve">4个万兆多模光模块，原厂三年维保。</w:t>
            </w:r>
            <w:bookmarkEnd w:id="36"/>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bl>
    <w:p>
      <w:pPr>
        <w:pStyle w:val="1012"/>
        <w:numPr>
          <w:ilvl w:val="0"/>
          <w:numId w:val="0"/>
        </w:numPr>
        <w:jc w:val="both"/>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102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1021"/>
        <w:ind w:left="0" w:firstLine="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1053"/>
        <w:numPr>
          <w:ilvl w:val="0"/>
          <w:numId w:val="0"/>
        </w:numPr>
        <w:rPr>
          <w:rFonts w:hint="eastAsia" w:ascii="宋体" w:hAnsi="宋体" w:eastAsia="宋体" w:cs="宋体"/>
          <w:b/>
          <w:bCs/>
          <w:color w:val="000000" w:themeColor="text1"/>
          <w:sz w:val="28"/>
          <w:szCs w:val="28"/>
          <w:highlight w:val="none"/>
        </w:rPr>
      </w:pPr>
      <w:r>
        <w:rPr>
          <w:color w:val="000000" w:themeColor="text1"/>
        </w:rPr>
      </w:r>
      <w:bookmarkStart w:id="38" w:name="_Toc32103"/>
      <w:r>
        <w:rPr>
          <w:rFonts w:hint="eastAsia" w:ascii="宋体" w:hAnsi="宋体" w:eastAsia="宋体" w:cs="宋体"/>
          <w:b/>
          <w:bCs/>
          <w:color w:val="000000" w:themeColor="text1"/>
          <w:sz w:val="28"/>
          <w:szCs w:val="28"/>
          <w:highlight w:val="none"/>
          <w:lang w:val="en-US" w:eastAsia="zh-CN"/>
        </w:rPr>
        <w:t xml:space="preserve">4.</w:t>
      </w:r>
      <w:r>
        <w:rPr>
          <w:rFonts w:hint="eastAsia" w:ascii="宋体" w:hAnsi="宋体" w:eastAsia="宋体" w:cs="宋体"/>
          <w:b/>
          <w:bCs/>
          <w:color w:val="000000" w:themeColor="text1"/>
          <w:sz w:val="28"/>
          <w:szCs w:val="28"/>
          <w:highlight w:val="none"/>
        </w:rPr>
        <w:t xml:space="preserve">内网态势感知及探针</w:t>
      </w:r>
      <w:bookmarkEnd w:id="38"/>
      <w:r>
        <w:rPr>
          <w:rFonts w:hint="eastAsia" w:ascii="宋体" w:hAnsi="宋体" w:eastAsia="宋体" w:cs="宋体"/>
          <w:b/>
          <w:bCs/>
          <w:color w:val="000000" w:themeColor="text1"/>
          <w:sz w:val="28"/>
          <w:szCs w:val="28"/>
          <w:highlight w:val="none"/>
        </w:rPr>
      </w:r>
      <w:r>
        <w:rPr>
          <w:color w:val="000000" w:themeColor="text1"/>
        </w:rPr>
      </w:r>
    </w:p>
    <w:tbl>
      <w:tblPr>
        <w:tblW w:w="5433" w:type="pct"/>
        <w:tblInd w:w="-322" w:type="dxa"/>
        <w:tblLayout w:type="autofit"/>
        <w:tblCellMar>
          <w:left w:w="108" w:type="dxa"/>
          <w:top w:w="0" w:type="dxa"/>
          <w:right w:w="108" w:type="dxa"/>
          <w:bottom w:w="0" w:type="dxa"/>
        </w:tblCellMar>
        <w:tblLook w:val="04A0" w:firstRow="1" w:lastRow="0" w:firstColumn="1" w:lastColumn="0" w:noHBand="0" w:noVBand="1"/>
      </w:tblPr>
      <w:tblGrid>
        <w:gridCol w:w="1550"/>
        <w:gridCol w:w="8334"/>
      </w:tblGrid>
      <w:tr>
        <w:trPr>
          <w:trHeight w:val="340"/>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1012"/>
              <w:ind w:firstLine="200"/>
              <w:jc w:val="center"/>
              <w:spacing w:line="274" w:lineRule="auto"/>
              <w:widowControl w:val="off"/>
              <w:rPr>
                <w:rFonts w:hint="eastAsia" w:ascii="宋体" w:hAnsi="宋体" w:eastAsia="宋体" w:cs="宋体"/>
                <w:b/>
                <w:color w:val="000000" w:themeColor="text1"/>
                <w:sz w:val="28"/>
                <w:szCs w:val="28"/>
                <w:highlight w:val="none"/>
              </w:rPr>
            </w:pPr>
            <w:r>
              <w:rPr>
                <w:color w:val="000000" w:themeColor="text1"/>
              </w:rPr>
            </w:r>
            <w:bookmarkStart w:id="39" w:name="OLE_LINK4"/>
            <w:r>
              <w:rPr>
                <w:rFonts w:hint="eastAsia" w:ascii="宋体" w:hAnsi="宋体" w:eastAsia="宋体" w:cs="宋体"/>
                <w:b/>
                <w:color w:val="000000" w:themeColor="text1"/>
                <w:sz w:val="28"/>
                <w:szCs w:val="28"/>
                <w:highlight w:val="none"/>
                <w:lang w:val="en-US" w:eastAsia="zh-CN" w:bidi="ar-SA"/>
              </w:rPr>
              <w:t xml:space="preserve">指标项</w:t>
            </w:r>
            <w:r>
              <w:rPr>
                <w:rFonts w:hint="eastAsia" w:ascii="宋体" w:hAnsi="宋体" w:eastAsia="宋体" w:cs="宋体"/>
                <w:b/>
                <w:color w:val="000000" w:themeColor="text1"/>
                <w:sz w:val="28"/>
                <w:szCs w:val="28"/>
                <w:highlight w:val="none"/>
                <w:lang w:val="en-US" w:eastAsia="zh-CN" w:bidi="ar-SA"/>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pStyle w:val="1012"/>
              <w:ind w:firstLine="200"/>
              <w:jc w:val="center"/>
              <w:spacing w:line="274" w:lineRule="auto"/>
              <w:widowControl/>
              <w:rPr>
                <w:rFonts w:hint="eastAsia"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lang w:val="en-US" w:eastAsia="zh-CN" w:bidi="ar-SA"/>
              </w:rPr>
              <w:t xml:space="preserve">功能要求</w:t>
            </w:r>
            <w:bookmarkEnd w:id="39"/>
            <w:r>
              <w:rPr>
                <w:rFonts w:hint="eastAsia" w:ascii="宋体" w:hAnsi="宋体" w:eastAsia="宋体" w:cs="宋体"/>
                <w:b/>
                <w:color w:val="000000" w:themeColor="text1"/>
                <w:sz w:val="28"/>
                <w:szCs w:val="28"/>
                <w:highlight w:val="none"/>
                <w:lang w:val="en-US" w:eastAsia="zh-CN" w:bidi="ar-SA"/>
              </w:rPr>
            </w:r>
            <w:r>
              <w:rPr>
                <w:color w:val="000000" w:themeColor="text1"/>
              </w:rPr>
            </w:r>
          </w:p>
        </w:tc>
      </w:tr>
      <w:tr>
        <w:trPr>
          <w:trHeight w:val="340"/>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1012"/>
              <w:ind w:firstLine="200"/>
              <w:jc w:val="center"/>
              <w:spacing w:line="274"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
              </w:rPr>
              <w:t xml:space="preserve">服务要求</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pStyle w:val="1012"/>
              <w:ind w:firstLine="200"/>
              <w:jc w:val="left"/>
              <w:spacing w:line="274"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
              </w:rPr>
              <w:t xml:space="preserve">本项目3年期安全托管服务，需覆盖医院不少于10套在用核心业务资产，提供常态化持续安全运营保障。（提供承诺函并加盖投标人公章）。</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340"/>
        </w:trPr>
        <w:tc>
          <w:tcPr>
            <w:tcBorders>
              <w:top w:val="single" w:color="000000" w:sz="4" w:space="0"/>
              <w:left w:val="single" w:color="000000" w:sz="4" w:space="0"/>
              <w:bottom w:val="none" w:color="000000" w:sz="0" w:space="0"/>
              <w:right w:val="single" w:color="000000" w:sz="4" w:space="0"/>
            </w:tcBorders>
            <w:tcW w:w="784" w:type="dxa"/>
            <w:vAlign w:val="center"/>
            <w:vMerge w:val="restart"/>
            <w:textDirection w:val="lrTb"/>
            <w:noWrap w:val="false"/>
          </w:tcPr>
          <w:p>
            <w:pPr>
              <w:pStyle w:val="1012"/>
              <w:ind w:firstLine="200"/>
              <w:jc w:val="center"/>
              <w:spacing w:line="274"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
              </w:rPr>
              <w:t xml:space="preserve">服务工具</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pStyle w:val="1012"/>
              <w:ind w:firstLine="200"/>
              <w:jc w:val="left"/>
              <w:spacing w:line="274"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提供流量探针1台：网络层吞吐量：≥1Gbps，应用层吞吐量：≥350Mbps，规格：≥1U，内存大小：≥8G，硬盘容量：≥128G SSD，电源：冗余电源，接口：≥6000兆电口+4个千兆光口，投标人提供产品彩页扫描件加盖投标人公章。</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340"/>
        </w:trPr>
        <w:tc>
          <w:tcPr>
            <w:tcBorders>
              <w:top w:val="none" w:color="000000" w:sz="0" w:space="0"/>
              <w:left w:val="single" w:color="000000" w:sz="4" w:space="0"/>
              <w:bottom w:val="single" w:color="000000" w:sz="4" w:space="0"/>
              <w:right w:val="single" w:color="000000" w:sz="4" w:space="0"/>
            </w:tcBorders>
            <w:tcW w:w="784" w:type="dxa"/>
            <w:vAlign w:val="center"/>
            <w:vMerge w:val="continue"/>
            <w:textDirection w:val="lrTb"/>
            <w:noWrap w:val="false"/>
          </w:tcPr>
          <w:p>
            <w:pPr>
              <w:pStyle w:val="1012"/>
              <w:ind w:firstLine="200"/>
              <w:jc w:val="center"/>
              <w:spacing w:line="274"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pStyle w:val="1012"/>
              <w:ind w:firstLine="200"/>
              <w:jc w:val="left"/>
              <w:spacing w:line="274"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命令注入检测、PHP代码检测、XSS攻击检测、Webshell上传检测、SQL注入检测、XXE攻击检测、JAVA代码检测、SQL非注入型检测、MYSQL解析增强、php反序列化检测等自定义配置启用，针对命令注入检测、SQL注入检测等类型支持自定义高检出、低误报模式。</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firstLine="200"/>
              <w:jc w:val="left"/>
              <w:spacing w:line="274"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敏感信息检测功能，内置身份证、MD5、手机号码、银行卡号、邮箱等敏感信息，可自定义敏感信息检测策略选择组合的敏感信息。支持Application漏洞攻击、File漏洞攻击、Shellcode漏洞攻击、System漏洞利用攻击、Web Activex、Web Browser、IPS云防护等客户端漏洞攻击检测。</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firstLine="200"/>
              <w:jc w:val="left"/>
              <w:spacing w:line="274"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支持基于IP和域名的旁路阻断，能够在实时镜像的流量中发现恶意IP并实现实时阻断，自定义时间阻断威胁。</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firstLine="200"/>
              <w:jc w:val="left"/>
              <w:spacing w:line="274"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firstLine="200"/>
              <w:jc w:val="left"/>
              <w:spacing w:line="274"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内置URL库、IPS漏洞特征识别库、应用识别库、WEB应用防护识别库、僵尸网络识别库、实时漏洞分析识别库、白名单库。</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firstLine="200"/>
              <w:jc w:val="left"/>
              <w:spacing w:line="274"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支持针对SMTP/POP3/IMAP等协议的钓鱼邮件检测，识别邮件内容，结合威胁情报、病毒检测等进行多维度分析，判断是否为可疑钓鱼邮件，投标人提供具有CMA或CNAS标识的检测报告扫描件</w:t>
            </w:r>
            <w:r>
              <w:rPr>
                <w:rFonts w:hint="eastAsia" w:ascii="宋体" w:hAnsi="宋体" w:eastAsia="宋体" w:cs="宋体"/>
                <w:color w:val="000000" w:themeColor="text1"/>
                <w:sz w:val="24"/>
                <w:szCs w:val="24"/>
                <w:highlight w:val="none"/>
                <w:lang w:val="en-US" w:eastAsia="zh-CN" w:bidi="ar"/>
              </w:rPr>
              <w:t xml:space="preserve">并</w:t>
            </w:r>
            <w:r>
              <w:rPr>
                <w:rFonts w:hint="eastAsia" w:ascii="宋体" w:hAnsi="宋体" w:eastAsia="宋体" w:cs="宋体"/>
                <w:color w:val="000000" w:themeColor="text1"/>
                <w:sz w:val="24"/>
                <w:szCs w:val="24"/>
                <w:highlight w:val="none"/>
                <w:lang w:val="en-US" w:eastAsia="zh-CN" w:bidi="ar-SA"/>
              </w:rPr>
              <w:t xml:space="preserve">加盖投标人公章。</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1020"/>
        </w:trPr>
        <w:tc>
          <w:tcPr>
            <w:tcBorders>
              <w:top w:val="single" w:color="000000" w:sz="4" w:space="0"/>
              <w:left w:val="single" w:color="000000" w:sz="4" w:space="0"/>
              <w:bottom w:val="none" w:color="000000" w:sz="0" w:space="0"/>
              <w:right w:val="single" w:color="000000" w:sz="4" w:space="0"/>
            </w:tcBorders>
            <w:tcW w:w="784" w:type="dxa"/>
            <w:vAlign w:val="center"/>
            <w:vMerge w:val="restart"/>
            <w:textDirection w:val="lrTb"/>
            <w:noWrap w:val="false"/>
          </w:tcPr>
          <w:p>
            <w:pPr>
              <w:pStyle w:val="1012"/>
              <w:ind w:firstLine="200"/>
              <w:jc w:val="center"/>
              <w:spacing w:line="274"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
              </w:rPr>
              <w:t xml:space="preserve">服务平台</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pStyle w:val="1012"/>
              <w:ind w:firstLine="200"/>
              <w:jc w:val="left"/>
              <w:spacing w:line="274"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提供安全运营平台≥1台：性能参数：存储容量≥14.4T，在带宽性能≥1Gbps时存储时长≥900天/1Gbps。</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firstLine="200"/>
              <w:jc w:val="left"/>
              <w:spacing w:line="274"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硬件参数：规格：≥1U，内存：≥3*32GB DDR4 3200，系统盘：≥480GB M.2 SSD，数据盘≥4*4TB，电源：白金，冗余电源，接口≥8000兆电口+4000兆光口。</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1020"/>
        </w:trPr>
        <w:tc>
          <w:tcPr>
            <w:tcBorders>
              <w:top w:val="none" w:color="000000" w:sz="0" w:space="0"/>
              <w:left w:val="single" w:color="000000" w:sz="4" w:space="0"/>
              <w:bottom w:val="single" w:color="000000" w:sz="4" w:space="0"/>
              <w:right w:val="single" w:color="000000" w:sz="4" w:space="0"/>
            </w:tcBorders>
            <w:tcW w:w="784" w:type="dxa"/>
            <w:vAlign w:val="center"/>
            <w:vMerge w:val="continue"/>
            <w:textDirection w:val="lrTb"/>
            <w:noWrap w:val="false"/>
          </w:tcPr>
          <w:p>
            <w:pPr>
              <w:pStyle w:val="1012"/>
              <w:ind w:firstLine="200"/>
              <w:jc w:val="center"/>
              <w:spacing w:line="274"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pStyle w:val="1012"/>
              <w:ind w:firstLine="200"/>
              <w:jc w:val="left"/>
              <w:spacing w:line="274"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
              </w:rPr>
              <w:t xml:space="preserve">支持整体展示服务器脆弱性风险分析、热点漏洞情况、脆弱性风险详情（漏洞风险、配置风险、弱密码、web明文传输、可用性风险），支持第三方漏扫报告导入和解析，可按资产组分类上传，支持上传文件。</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firstLine="200"/>
              <w:jc w:val="left"/>
              <w:spacing w:line="274"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
              </w:rPr>
              <w:t xml:space="preserve">支持可视化的形式展示威胁的影响面，通过大数据分析和关联检索技术，可清晰直观地看清失陷主机对其他主机的影响，评估受损情况，方便客户快速处置。支持通过首页搜索框输入IP/域名/URL/端口/通信对进行搜索，支持基于列表模式展示横向攻击、违规访问、风险访问、可疑行为、正常访问等详细信息，建立全方位的持续性的检测能力。支持入口点溯源功能，分析出首次失陷、疑似入口点、首次遭受攻击等信息，帮助管理人员快速找到攻击入口点。投标人需提供截图证明并加盖投标人公章。</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firstLine="200"/>
              <w:jc w:val="left"/>
              <w:spacing w:line="274"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
              </w:rPr>
              <w:t xml:space="preserve">支持勒索专项检测页面，帮助客户更好地应对日益严峻的勒索风险。投标人需提供操作界面截图证明并加盖投标人公章。</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firstLine="200"/>
              <w:jc w:val="left"/>
              <w:spacing w:line="274"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
              </w:rPr>
              <w:t xml:space="preserve">▲支持挖矿专项检测页面，帮助客户更好地应对日益严峻的挖矿风险，避免数据窃取和监管通报，支持基于规则的本地挖矿检测和基于主动探测技术的云端挖矿检测，以实现挖矿病毒的全面检测。投标人需提供操作界面截图证明并加盖投标人公章。</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firstLine="200"/>
              <w:jc w:val="left"/>
              <w:spacing w:line="274"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
              </w:rPr>
              <w:t xml:space="preserve">文件威胁分析支持平台内置的恶意脚本分析引擎、webshellkiller智能引擎、save智能分析引擎以及云端分析引擎组合进行综合研判，协议类型有HTTP、FTP、SMB、SMTP、POP3、IMAP多种类型，支持展示查杀数据统计、受害资产攻击数TOP5，支持以列表的形式展示文件威胁信息，包括最近发生时间、威胁描述、威胁定性、威胁类型、攻击阶段、受害者IP、攻击次数等信息。</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firstLine="200"/>
              <w:jc w:val="left"/>
              <w:spacing w:line="274"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
              </w:rPr>
              <w:t xml:space="preserve">为了便于用户基于各类热点场景进行专题分析，平台内置多维度场景化分析，提供单独的分析模块展示。支持对异常流量分析、挖矿感染主机分析、勒索感染主机分析、C&amp;C外联主机分析、恶意文件感染主机分析、威胁情报分析、互联网流量、互联网行为、内网流量、内网行为等10+场景化分析。</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21"/>
              <w:ind w:left="0" w:firstLine="0"/>
              <w:jc w:val="both"/>
              <w:spacing w:after="120" w:line="274" w:lineRule="auto"/>
              <w:widowControl w:val="off"/>
              <w:rPr>
                <w:rFonts w:hint="eastAsia" w:ascii="宋体" w:hAnsi="宋体" w:eastAsia="宋体" w:cs="宋体"/>
                <w:bCs w:val="0"/>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
              </w:rPr>
              <w:t xml:space="preserve">▲</w:t>
            </w:r>
            <w:r>
              <w:rPr>
                <w:rFonts w:hint="eastAsia" w:ascii="宋体" w:hAnsi="宋体" w:eastAsia="宋体" w:cs="宋体"/>
                <w:bCs w:val="0"/>
                <w:color w:val="000000" w:themeColor="text1"/>
                <w:sz w:val="24"/>
                <w:szCs w:val="24"/>
                <w:highlight w:val="none"/>
                <w:lang w:val="en-US" w:eastAsia="zh-CN" w:bidi="ar"/>
              </w:rPr>
              <w:t xml:space="preserve">支持根据规则圈定场景，形成特定运营场景，支持通过筛选运营场景，从而达到快速过滤特定威胁场景的目的，投标人提供操作界面功能截图</w:t>
            </w:r>
            <w:r>
              <w:rPr>
                <w:rFonts w:hint="eastAsia" w:ascii="宋体" w:hAnsi="宋体" w:eastAsia="宋体" w:cs="宋体"/>
                <w:color w:val="000000" w:themeColor="text1"/>
                <w:sz w:val="24"/>
                <w:szCs w:val="24"/>
                <w:highlight w:val="none"/>
                <w:lang w:val="en-US" w:eastAsia="zh-CN" w:bidi="ar"/>
              </w:rPr>
              <w:t xml:space="preserve">并</w:t>
            </w:r>
            <w:r>
              <w:rPr>
                <w:rFonts w:hint="eastAsia" w:ascii="宋体" w:hAnsi="宋体" w:eastAsia="宋体" w:cs="宋体"/>
                <w:bCs w:val="0"/>
                <w:color w:val="000000" w:themeColor="text1"/>
                <w:sz w:val="24"/>
                <w:szCs w:val="24"/>
                <w:highlight w:val="none"/>
                <w:lang w:val="en-US" w:eastAsia="zh-CN" w:bidi="ar"/>
              </w:rPr>
              <w:t xml:space="preserve">加盖投标人公章。</w:t>
            </w:r>
            <w:r>
              <w:rPr>
                <w:rFonts w:hint="eastAsia" w:ascii="宋体" w:hAnsi="宋体" w:eastAsia="宋体" w:cs="宋体"/>
                <w:bCs w:val="0"/>
                <w:color w:val="000000" w:themeColor="text1"/>
                <w:sz w:val="24"/>
                <w:szCs w:val="24"/>
                <w:highlight w:val="none"/>
                <w:lang w:val="en-US" w:eastAsia="zh-CN" w:bidi="ar-SA"/>
              </w:rPr>
            </w:r>
            <w:r>
              <w:rPr>
                <w:color w:val="000000" w:themeColor="text1"/>
              </w:rPr>
            </w:r>
          </w:p>
          <w:p>
            <w:pPr>
              <w:pStyle w:val="1012"/>
              <w:ind w:left="0" w:firstLine="0"/>
              <w:jc w:val="left"/>
              <w:spacing w:line="274"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
              </w:rPr>
              <w:t xml:space="preserve">为实现安全事件的快速闭环处置，要求支持与本次采购边界安全防护产品进行联动，实现效果包含联动封锁、访问控制等。</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90"/>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1012"/>
              <w:ind w:firstLine="200"/>
              <w:jc w:val="center"/>
              <w:spacing w:line="274"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
              </w:rPr>
              <w:t xml:space="preserve">首次安全</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firstLine="200"/>
              <w:jc w:val="center"/>
              <w:spacing w:line="274"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
              </w:rPr>
              <w:t xml:space="preserve">评估</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pStyle w:val="1012"/>
              <w:ind w:left="0" w:firstLine="0"/>
              <w:jc w:val="left"/>
              <w:spacing w:line="274"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
              </w:rPr>
              <w:t xml:space="preserve">投标方应配合用户进行互联网暴露面梳理的服务。</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964"/>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1012"/>
              <w:ind w:firstLine="200"/>
              <w:jc w:val="center"/>
              <w:spacing w:line="274"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
              </w:rPr>
              <w:t xml:space="preserve">脆弱性管理</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pStyle w:val="1012"/>
              <w:ind w:left="0" w:firstLine="0"/>
              <w:jc w:val="left"/>
              <w:spacing w:line="274"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
              </w:rPr>
              <w:t xml:space="preserve">高危可利用漏洞防护：针对服务范围内资产扫描到的高危可利用漏洞，投标方应当为医院做好每一个高危可利用漏洞的防护工作，包括但不限于为医院提供漏洞修复方案和安全设备防护策略，以及帮助医院配置防护规则，保证医院不因此出现重大事件和损失。提供服务平台具备高危可利用漏洞防护规则的证明扫描件并加盖投标人公章，并且支持对扫描到的高危可利用漏洞能够自动匹配漏洞防护规则。</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1680"/>
        </w:trPr>
        <w:tc>
          <w:tcPr>
            <w:tcBorders>
              <w:top w:val="single" w:color="000000" w:sz="4" w:space="0"/>
              <w:left w:val="single" w:color="000000" w:sz="4" w:space="0"/>
              <w:bottom w:val="single" w:color="000000" w:sz="4" w:space="0"/>
              <w:right w:val="single" w:color="000000" w:sz="4" w:space="0"/>
            </w:tcBorders>
            <w:tcW w:w="784" w:type="dxa"/>
            <w:vAlign w:val="center"/>
            <w:vMerge w:val="restart"/>
            <w:textDirection w:val="lrTb"/>
            <w:noWrap w:val="false"/>
          </w:tcPr>
          <w:p>
            <w:pPr>
              <w:pStyle w:val="1012"/>
              <w:ind w:firstLine="200"/>
              <w:jc w:val="center"/>
              <w:spacing w:line="274"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
              </w:rPr>
              <w:t xml:space="preserve">威胁管理</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pStyle w:val="1012"/>
              <w:ind w:left="0" w:firstLine="0"/>
              <w:jc w:val="left"/>
              <w:spacing w:line="274"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
              </w:rPr>
              <w:t xml:space="preserve">分析研判包括但不限于对脆弱性、异常流量、攻击日志、病毒日志等数据进行采集和实时分析研判，支持将同一资产的多个告警进行聚合分析发现各类安全事件并生成工单，并在告警详情中展示告警的基本信息，涉及的业务信息、攻击趋势、威胁详情、攻击原理、处置建议等内容，并支持根据客户情况提供备注。</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680"/>
        </w:trPr>
        <w:tc>
          <w:tcPr>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pStyle w:val="1012"/>
              <w:ind w:firstLine="200"/>
              <w:jc w:val="center"/>
              <w:spacing w:line="27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pStyle w:val="1012"/>
              <w:ind w:left="0" w:firstLine="0"/>
              <w:jc w:val="left"/>
              <w:spacing w:line="274"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
              </w:rPr>
              <w:t xml:space="preserve">安全策略检查：投标方安全专家应通过策略检查工具对招标方的安全设备的防护策略进行检查，确保安全设备的安全策略处于最优水平，对威胁能起到最好的防护效果。</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680"/>
        </w:trPr>
        <w:tc>
          <w:tcPr>
            <w:tcBorders>
              <w:top w:val="single" w:color="000000" w:sz="4" w:space="0"/>
              <w:left w:val="single" w:color="000000" w:sz="4" w:space="0"/>
              <w:bottom w:val="single" w:color="000000" w:sz="4" w:space="0"/>
              <w:right w:val="single" w:color="000000" w:sz="4" w:space="0"/>
            </w:tcBorders>
            <w:tcW w:w="784" w:type="dxa"/>
            <w:vAlign w:val="center"/>
            <w:vMerge w:val="restart"/>
            <w:textDirection w:val="lrTb"/>
            <w:noWrap w:val="false"/>
          </w:tcPr>
          <w:p>
            <w:pPr>
              <w:pStyle w:val="1012"/>
              <w:ind w:firstLine="200"/>
              <w:jc w:val="center"/>
              <w:spacing w:line="274"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
              </w:rPr>
              <w:t xml:space="preserve">服务团队</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pStyle w:val="1012"/>
              <w:ind w:left="0" w:firstLine="0"/>
              <w:jc w:val="left"/>
              <w:spacing w:line="274"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
              </w:rPr>
              <w:t xml:space="preserve">为了保障服务质量和加强投标方与医院的沟通，投标方应当承诺为医院配置一名经验丰富的安全专家作为专属服务经理，并且实时响应招标方咨询的网络安全相关问题。投标人提供承诺函并加盖投标人公章。</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439"/>
        </w:trPr>
        <w:tc>
          <w:tcPr>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pStyle w:val="1012"/>
              <w:ind w:firstLine="200"/>
              <w:jc w:val="center"/>
              <w:spacing w:line="27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pStyle w:val="1012"/>
              <w:ind w:left="0" w:firstLine="0"/>
              <w:jc w:val="left"/>
              <w:spacing w:line="274"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
              </w:rPr>
              <w:t xml:space="preserve">▲投标方应当为医院提供7*24小时的安全守护，不论是白天、黑夜、节假日投标方都应该能做到7*24H在线服务，并且在节假日期间应当每日为医院提供《节假日值守总结》。投标人提供承诺函并加盖投标人公章。</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988"/>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1012"/>
              <w:ind w:firstLine="200"/>
              <w:jc w:val="center"/>
              <w:spacing w:line="274"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
              </w:rPr>
              <w:t xml:space="preserve">服务指标要求</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pStyle w:val="1012"/>
              <w:ind w:firstLine="200"/>
              <w:jc w:val="left"/>
              <w:spacing w:line="274"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
              </w:rPr>
              <w:t xml:space="preserve">为了降低医院因网络安全事件造成的损失和影响，投标方应当按照以下服务指标和要求为医院提供服务：</w:t>
            </w:r>
            <w:r>
              <w:rPr>
                <w:rFonts w:hint="eastAsia" w:ascii="宋体" w:hAnsi="宋体" w:eastAsia="宋体" w:cs="宋体"/>
                <w:color w:val="000000" w:themeColor="text1"/>
                <w:sz w:val="24"/>
                <w:szCs w:val="24"/>
                <w:highlight w:val="none"/>
                <w:lang w:val="en-US" w:eastAsia="zh-CN" w:bidi="ar"/>
              </w:rPr>
              <w:br w:type="textWrapping" w:clear="all"/>
            </w:r>
            <w:r>
              <w:rPr>
                <w:rFonts w:hint="eastAsia" w:ascii="宋体" w:hAnsi="宋体" w:eastAsia="宋体" w:cs="宋体"/>
                <w:color w:val="000000" w:themeColor="text1"/>
                <w:sz w:val="24"/>
                <w:szCs w:val="24"/>
                <w:highlight w:val="none"/>
                <w:lang w:val="en-US" w:eastAsia="zh-CN" w:bidi="ar"/>
              </w:rPr>
              <w:t xml:space="preserve">（1）从安全日志产生到事件通告给医院的时间方面，按照国家标准对安全事件的分类分级指南，重大安全事件通告时间小于30分钟，一般事件的通告时间少于1小时。</w:t>
            </w:r>
            <w:r>
              <w:rPr>
                <w:rFonts w:hint="eastAsia" w:ascii="宋体" w:hAnsi="宋体" w:eastAsia="宋体" w:cs="宋体"/>
                <w:color w:val="000000" w:themeColor="text1"/>
                <w:sz w:val="24"/>
                <w:szCs w:val="24"/>
                <w:highlight w:val="none"/>
                <w:lang w:val="en-US" w:eastAsia="zh-CN" w:bidi="ar"/>
              </w:rPr>
              <w:br w:type="textWrapping" w:clear="all"/>
            </w:r>
            <w:r>
              <w:rPr>
                <w:rFonts w:hint="eastAsia" w:ascii="宋体" w:hAnsi="宋体" w:eastAsia="宋体" w:cs="宋体"/>
                <w:color w:val="000000" w:themeColor="text1"/>
                <w:sz w:val="24"/>
                <w:szCs w:val="24"/>
                <w:highlight w:val="none"/>
                <w:lang w:val="en-US" w:eastAsia="zh-CN" w:bidi="ar"/>
              </w:rPr>
              <w:t xml:space="preserve">（2）在配备投标方的边界防护服务组件和终端防护服务组件的情况下，高级威胁的处置完成时间少于1小时，一般威胁的处置完成时间少于4小时。</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firstLine="200"/>
              <w:jc w:val="left"/>
              <w:spacing w:line="274"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
              </w:rPr>
              <w:t xml:space="preserve">（3）安全事件经过服务人员的确认后，通告给医院的各类安全事件的准确率不低于99%（即误报不能超过1%）。</w:t>
            </w:r>
            <w:r>
              <w:rPr>
                <w:rFonts w:hint="eastAsia" w:ascii="宋体" w:hAnsi="宋体" w:eastAsia="宋体" w:cs="宋体"/>
                <w:color w:val="000000" w:themeColor="text1"/>
                <w:sz w:val="24"/>
                <w:szCs w:val="24"/>
                <w:highlight w:val="none"/>
                <w:lang w:val="en-US" w:eastAsia="zh-CN" w:bidi="ar"/>
              </w:rPr>
              <w:br w:type="textWrapping" w:clear="all"/>
            </w:r>
            <w:r>
              <w:rPr>
                <w:rFonts w:hint="eastAsia" w:ascii="宋体" w:hAnsi="宋体" w:eastAsia="宋体" w:cs="宋体"/>
                <w:color w:val="000000" w:themeColor="text1"/>
                <w:sz w:val="24"/>
                <w:szCs w:val="24"/>
                <w:highlight w:val="none"/>
                <w:lang w:val="en-US" w:eastAsia="zh-CN" w:bidi="ar"/>
              </w:rPr>
              <w:t xml:space="preserve">（4）投标方应当承诺，服务范围内的所有安全事件的闭环处置比例达到100%。</w:t>
            </w:r>
            <w:r>
              <w:rPr>
                <w:rFonts w:hint="eastAsia" w:ascii="宋体" w:hAnsi="宋体" w:eastAsia="宋体" w:cs="宋体"/>
                <w:color w:val="000000" w:themeColor="text1"/>
                <w:sz w:val="24"/>
                <w:szCs w:val="24"/>
                <w:highlight w:val="none"/>
                <w:lang w:val="en-US" w:eastAsia="zh-CN" w:bidi="ar"/>
              </w:rPr>
              <w:br w:type="textWrapping" w:clear="all"/>
            </w:r>
            <w:r>
              <w:rPr>
                <w:rFonts w:hint="eastAsia" w:ascii="宋体" w:hAnsi="宋体" w:eastAsia="宋体" w:cs="宋体"/>
                <w:color w:val="000000" w:themeColor="text1"/>
                <w:sz w:val="24"/>
                <w:szCs w:val="24"/>
                <w:highlight w:val="none"/>
                <w:lang w:val="en-US" w:eastAsia="zh-CN" w:bidi="ar"/>
              </w:rPr>
              <w:t xml:space="preserve">（5）投标方应当满足重大事故应启动应急响应机制，工作时间15分钟之内云端专家进行响应，非工作时间30分钟之内云端专家进行响应，省会2小时上门处置，省内8小时上门处置。</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2028"/>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1012"/>
              <w:ind w:firstLine="200"/>
              <w:jc w:val="center"/>
              <w:spacing w:line="274"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
              </w:rPr>
              <w:t xml:space="preserve">服务过程与成果可视化</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pStyle w:val="1012"/>
              <w:ind w:firstLine="200"/>
              <w:jc w:val="left"/>
              <w:spacing w:line="274"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
              </w:rPr>
              <w:t xml:space="preserve">服务交付物管理：投标方需为医院提供的服务成果展示门户（或用户Portal），可以直观地管理服务过程中生产的服务报告和交付物，包括但不限于《准备阶段文件》《特殊时期值守报告》《运营月报》《运营季报》《威胁情报》《年度汇报》《事件总结报告》。</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firstLine="200"/>
              <w:jc w:val="left"/>
              <w:spacing w:line="274"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tc>
      </w:tr>
    </w:tbl>
    <w:p>
      <w:pPr>
        <w:pStyle w:val="1012"/>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br w:type="page" w:clear="all"/>
      </w:r>
      <w:r>
        <w:rPr>
          <w:rFonts w:hint="eastAsia" w:ascii="宋体" w:hAnsi="宋体" w:eastAsia="宋体" w:cs="宋体"/>
          <w:b/>
          <w:bCs/>
          <w:color w:val="000000" w:themeColor="text1"/>
          <w:sz w:val="24"/>
          <w:szCs w:val="24"/>
          <w:highlight w:val="none"/>
        </w:rPr>
      </w:r>
      <w:r>
        <w:rPr>
          <w:color w:val="000000" w:themeColor="text1"/>
        </w:rPr>
      </w:r>
    </w:p>
    <w:p>
      <w:pPr>
        <w:pStyle w:val="1053"/>
        <w:numPr>
          <w:ilvl w:val="0"/>
          <w:numId w:val="0"/>
        </w:numPr>
        <w:ind w:left="420"/>
        <w:rPr>
          <w:rFonts w:hint="eastAsia" w:ascii="宋体" w:hAnsi="宋体" w:eastAsia="宋体" w:cs="宋体"/>
          <w:b/>
          <w:bCs/>
          <w:color w:val="000000" w:themeColor="text1"/>
          <w:sz w:val="28"/>
          <w:szCs w:val="28"/>
          <w:highlight w:val="none"/>
        </w:rPr>
      </w:pPr>
      <w:r>
        <w:rPr>
          <w:color w:val="000000" w:themeColor="text1"/>
        </w:rPr>
      </w:r>
      <w:bookmarkStart w:id="40" w:name="_Toc8311"/>
      <w:r>
        <w:rPr>
          <w:rFonts w:hint="eastAsia" w:ascii="宋体" w:hAnsi="宋体" w:eastAsia="宋体" w:cs="宋体"/>
          <w:b/>
          <w:bCs/>
          <w:color w:val="000000" w:themeColor="text1"/>
          <w:sz w:val="28"/>
          <w:szCs w:val="28"/>
          <w:highlight w:val="none"/>
          <w:lang w:val="en-US" w:eastAsia="zh-CN"/>
        </w:rPr>
        <w:t xml:space="preserve">5.</w:t>
      </w:r>
      <w:r>
        <w:rPr>
          <w:rFonts w:hint="eastAsia" w:ascii="宋体" w:hAnsi="宋体" w:eastAsia="宋体" w:cs="宋体"/>
          <w:b/>
          <w:bCs/>
          <w:color w:val="000000" w:themeColor="text1"/>
          <w:sz w:val="28"/>
          <w:szCs w:val="28"/>
          <w:highlight w:val="none"/>
        </w:rPr>
        <w:t xml:space="preserve">容灾备份恢复一体机</w:t>
      </w:r>
      <w:bookmarkEnd w:id="40"/>
      <w:r>
        <w:rPr>
          <w:rFonts w:hint="eastAsia" w:ascii="宋体" w:hAnsi="宋体" w:eastAsia="宋体" w:cs="宋体"/>
          <w:b/>
          <w:bCs/>
          <w:color w:val="000000" w:themeColor="text1"/>
          <w:sz w:val="28"/>
          <w:szCs w:val="28"/>
          <w:highlight w:val="none"/>
        </w:rPr>
      </w:r>
      <w:r>
        <w:rPr>
          <w:color w:val="000000" w:themeColor="text1"/>
        </w:rPr>
      </w:r>
    </w:p>
    <w:tbl>
      <w:tblPr>
        <w:tblStyle w:val="1044"/>
        <w:tblW w:w="9539" w:type="dxa"/>
        <w:jc w:val="center"/>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28" w:type="dxa"/>
          <w:right w:w="108" w:type="dxa"/>
          <w:bottom w:w="28" w:type="dxa"/>
        </w:tblCellMar>
        <w:tblLook w:val="04A0" w:firstRow="1" w:lastRow="0" w:firstColumn="1" w:lastColumn="0" w:noHBand="0" w:noVBand="1"/>
      </w:tblPr>
      <w:tblGrid>
        <w:gridCol w:w="1963"/>
        <w:gridCol w:w="7576"/>
      </w:tblGrid>
      <w:tr>
        <w:trPr>
          <w:trHeight w:val="235"/>
          <w:tblHeader/>
        </w:trPr>
        <w:tc>
          <w:tcPr>
            <w:tcMar>
              <w:top w:w="28" w:type="dxa"/>
              <w:bottom w:w="28" w:type="dxa"/>
            </w:tcMar>
            <w:tcW w:w="1963" w:type="dxa"/>
            <w:vAlign w:val="center"/>
            <w:textDirection w:val="lrTb"/>
            <w:noWrap w:val="false"/>
          </w:tcPr>
          <w:p>
            <w:pPr>
              <w:pStyle w:val="1012"/>
              <w:ind w:left="0" w:right="0" w:firstLine="0"/>
              <w:jc w:val="center"/>
              <w:spacing w:after="0" w:line="240" w:lineRule="auto"/>
              <w:widowControl w:val="off"/>
              <w:rPr>
                <w:rFonts w:hint="eastAsia" w:ascii="宋体" w:hAnsi="宋体" w:eastAsia="宋体" w:cs="宋体"/>
                <w:b/>
                <w:color w:val="000000" w:themeColor="text1"/>
                <w:sz w:val="28"/>
                <w:szCs w:val="28"/>
                <w:highlight w:val="none"/>
              </w:rPr>
            </w:pPr>
            <w:r>
              <w:rPr>
                <w:rFonts w:hint="eastAsia" w:ascii="宋体" w:hAnsi="宋体" w:eastAsia="宋体" w:cs="宋体"/>
                <w:b/>
                <w:bCs/>
                <w:color w:val="000000" w:themeColor="text1"/>
                <w:sz w:val="28"/>
                <w:szCs w:val="24"/>
                <w:highlight w:val="none"/>
                <w:lang w:val="en-US" w:eastAsia="zh-CN" w:bidi="ar-SA"/>
              </w:rPr>
              <w:t xml:space="preserve">技术</w:t>
            </w:r>
            <w:r>
              <w:rPr>
                <w:rFonts w:hint="eastAsia" w:ascii="宋体" w:hAnsi="宋体" w:eastAsia="宋体" w:cs="宋体"/>
                <w:b/>
                <w:bCs/>
                <w:color w:val="000000" w:themeColor="text1"/>
                <w:sz w:val="28"/>
                <w:szCs w:val="24"/>
                <w:highlight w:val="none"/>
                <w:lang w:val="en-US" w:eastAsia="zh-CN" w:bidi="ar-SA"/>
              </w:rPr>
              <w:br w:type="page" w:clear="all"/>
            </w:r>
            <w:r>
              <w:rPr>
                <w:rFonts w:hint="eastAsia" w:ascii="宋体" w:hAnsi="宋体" w:eastAsia="宋体" w:cs="宋体"/>
                <w:b/>
                <w:color w:val="000000" w:themeColor="text1"/>
                <w:sz w:val="28"/>
                <w:szCs w:val="28"/>
                <w:highlight w:val="none"/>
                <w:lang w:val="en-US" w:eastAsia="zh-CN" w:bidi="ar-SA"/>
              </w:rPr>
              <w:t xml:space="preserve">指标</w:t>
            </w:r>
            <w:r>
              <w:rPr>
                <w:rFonts w:hint="eastAsia" w:ascii="宋体" w:hAnsi="宋体" w:eastAsia="宋体" w:cs="宋体"/>
                <w:b/>
                <w:color w:val="000000" w:themeColor="text1"/>
                <w:sz w:val="28"/>
                <w:szCs w:val="28"/>
                <w:highlight w:val="none"/>
                <w:lang w:val="en-US" w:eastAsia="zh-CN" w:bidi="ar-SA"/>
              </w:rPr>
            </w:r>
            <w:r>
              <w:rPr>
                <w:color w:val="000000" w:themeColor="text1"/>
              </w:rPr>
            </w:r>
          </w:p>
        </w:tc>
        <w:tc>
          <w:tcPr>
            <w:tcMar>
              <w:top w:w="28" w:type="dxa"/>
              <w:bottom w:w="28" w:type="dxa"/>
            </w:tcMar>
            <w:tcW w:w="7576" w:type="dxa"/>
            <w:vAlign w:val="center"/>
            <w:textDirection w:val="lrTb"/>
            <w:noWrap w:val="false"/>
          </w:tcPr>
          <w:p>
            <w:pPr>
              <w:pStyle w:val="1012"/>
              <w:ind w:left="0" w:right="0" w:firstLine="0"/>
              <w:jc w:val="center"/>
              <w:spacing w:after="0" w:line="240" w:lineRule="auto"/>
              <w:widowControl/>
              <w:rPr>
                <w:rFonts w:hint="eastAsia"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lang w:val="en-US" w:eastAsia="zh-CN" w:bidi="ar-SA"/>
              </w:rPr>
              <w:t xml:space="preserve">功能要求</w:t>
            </w:r>
            <w:r>
              <w:rPr>
                <w:rFonts w:hint="eastAsia" w:ascii="宋体" w:hAnsi="宋体" w:eastAsia="宋体" w:cs="宋体"/>
                <w:b/>
                <w:color w:val="000000" w:themeColor="text1"/>
                <w:sz w:val="28"/>
                <w:szCs w:val="28"/>
                <w:highlight w:val="none"/>
                <w:lang w:val="en-US" w:eastAsia="zh-CN" w:bidi="ar-SA"/>
              </w:rPr>
            </w:r>
            <w:r>
              <w:rPr>
                <w:color w:val="000000" w:themeColor="text1"/>
              </w:rPr>
            </w:r>
          </w:p>
        </w:tc>
      </w:tr>
      <w:tr>
        <w:trPr>
          <w:trHeight w:val="923"/>
        </w:trPr>
        <w:tc>
          <w:tcPr>
            <w:tcMar>
              <w:top w:w="28" w:type="dxa"/>
              <w:bottom w:w="28" w:type="dxa"/>
            </w:tcMar>
            <w:tcW w:w="1963" w:type="dxa"/>
            <w:vAlign w:val="center"/>
            <w:textDirection w:val="lrTb"/>
            <w:noWrap w:val="false"/>
          </w:tcPr>
          <w:p>
            <w:pPr>
              <w:pStyle w:val="1012"/>
              <w:ind w:left="0" w:right="0" w:firstLine="0"/>
              <w:jc w:val="center"/>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★硬件和授权</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Mar>
              <w:top w:w="28" w:type="dxa"/>
              <w:bottom w:w="28" w:type="dxa"/>
            </w:tcMar>
            <w:tcW w:w="7576" w:type="dxa"/>
            <w:vAlign w:val="center"/>
            <w:textDirection w:val="lrTb"/>
            <w:noWrap w:val="false"/>
          </w:tcPr>
          <w:p>
            <w:pPr>
              <w:pStyle w:val="1012"/>
              <w:ind w:left="0" w:right="0" w:firstLine="0"/>
              <w:jc w:val="left"/>
              <w:spacing w:after="65"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★≥2U机架式存储设备。550W（1+1）冗余电源。</w:t>
            </w:r>
            <w:r>
              <w:rPr>
                <w:rFonts w:hint="eastAsia" w:ascii="宋体" w:hAnsi="宋体" w:eastAsia="宋体" w:cs="宋体"/>
                <w:color w:val="000000" w:themeColor="text1"/>
                <w:sz w:val="24"/>
                <w:szCs w:val="24"/>
                <w:highlight w:val="none"/>
                <w:shd w:val="clear" w:color="auto" w:fill="ffffff"/>
                <w:lang w:val="en-US" w:eastAsia="zh-CN" w:bidi="ar-SA"/>
              </w:rPr>
              <w:t xml:space="preserve">两颗国产C86 CPU处理器</w:t>
            </w:r>
            <w:r>
              <w:rPr>
                <w:rFonts w:hint="eastAsia" w:ascii="宋体" w:hAnsi="宋体" w:eastAsia="宋体" w:cs="宋体"/>
                <w:color w:val="000000" w:themeColor="text1"/>
                <w:sz w:val="24"/>
                <w:szCs w:val="24"/>
                <w:highlight w:val="none"/>
                <w:lang w:val="en-US" w:eastAsia="zh-CN" w:bidi="ar-SA"/>
              </w:rPr>
              <w:t xml:space="preserve">，性能不低于3350(3.0Ghz,8核）。不低于64GB内存。8个热插拔盘位。2个万兆以太网接口。7块8T SATA 7200企业级硬盘含48T容量无限制主机数量的数据实时保护功能授权，不限制Oracle RAC集群节点数量授权。</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405"/>
        </w:trPr>
        <w:tc>
          <w:tcPr>
            <w:tcMar>
              <w:top w:w="28" w:type="dxa"/>
              <w:bottom w:w="28" w:type="dxa"/>
            </w:tcMar>
            <w:tcW w:w="1963" w:type="dxa"/>
            <w:vAlign w:val="center"/>
            <w:vMerge w:val="restart"/>
            <w:textDirection w:val="lrTb"/>
            <w:noWrap w:val="false"/>
          </w:tcPr>
          <w:p>
            <w:pPr>
              <w:pStyle w:val="1448"/>
              <w:ind w:left="0" w:right="0" w:firstLine="0"/>
              <w:jc w:val="center"/>
              <w:spacing w:after="0" w:line="240" w:lineRule="auto"/>
              <w:widowControl w:val="off"/>
              <w:tabs>
                <w:tab w:val="left" w:pos="862"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对象适配</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Mar>
              <w:top w:w="28" w:type="dxa"/>
              <w:bottom w:w="28" w:type="dxa"/>
            </w:tcMar>
            <w:tcW w:w="7576" w:type="dxa"/>
            <w:vAlign w:val="center"/>
            <w:textDirection w:val="lrTb"/>
            <w:noWrap w:val="false"/>
          </w:tcPr>
          <w:p>
            <w:pPr>
              <w:pStyle w:val="1012"/>
              <w:ind w:left="0" w:right="0" w:firstLine="0"/>
              <w:jc w:val="left"/>
              <w:spacing w:after="65"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支持对物理机、虚拟机、超融合主机、私有云主机和公有云主机资产进行整机保护。</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578"/>
        </w:trPr>
        <w:tc>
          <w:tcPr>
            <w:tcMar>
              <w:top w:w="28" w:type="dxa"/>
              <w:bottom w:w="28" w:type="dxa"/>
            </w:tcMar>
            <w:tcW w:w="1963" w:type="dxa"/>
            <w:vAlign w:val="center"/>
            <w:vMerge w:val="continue"/>
            <w:textDirection w:val="lrTb"/>
            <w:noWrap w:val="false"/>
          </w:tcPr>
          <w:p>
            <w:pPr>
              <w:pStyle w:val="1448"/>
              <w:ind w:left="0" w:right="0" w:firstLine="0"/>
              <w:jc w:val="center"/>
              <w:spacing w:after="0" w:line="240" w:lineRule="auto"/>
              <w:widowControl w:val="off"/>
              <w:tabs>
                <w:tab w:val="left" w:pos="862"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Mar>
              <w:top w:w="28" w:type="dxa"/>
              <w:bottom w:w="28" w:type="dxa"/>
            </w:tcMar>
            <w:tcW w:w="7576" w:type="dxa"/>
            <w:vAlign w:val="center"/>
            <w:textDirection w:val="lrTb"/>
            <w:noWrap w:val="false"/>
          </w:tcPr>
          <w:p>
            <w:pPr>
              <w:pStyle w:val="1012"/>
              <w:ind w:left="0" w:right="0" w:firstLine="0"/>
              <w:jc w:val="left"/>
              <w:spacing w:after="65"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支持对Windows、CentOS、Redhat、Ubuntu、Suse、Oracle Linux、麒麟、华为openEuler、统信V20、红旗Linux客户端进行整机保护。</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923"/>
        </w:trPr>
        <w:tc>
          <w:tcPr>
            <w:tcMar>
              <w:top w:w="28" w:type="dxa"/>
              <w:bottom w:w="28" w:type="dxa"/>
            </w:tcMar>
            <w:tcW w:w="1963" w:type="dxa"/>
            <w:vAlign w:val="center"/>
            <w:vMerge w:val="continue"/>
            <w:textDirection w:val="lrTb"/>
            <w:noWrap w:val="false"/>
          </w:tcPr>
          <w:p>
            <w:pPr>
              <w:pStyle w:val="1448"/>
              <w:ind w:left="0" w:right="0" w:firstLine="0"/>
              <w:jc w:val="center"/>
              <w:spacing w:after="0" w:line="240" w:lineRule="auto"/>
              <w:widowControl w:val="off"/>
              <w:tabs>
                <w:tab w:val="left" w:pos="862"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Mar>
              <w:top w:w="28" w:type="dxa"/>
              <w:bottom w:w="28" w:type="dxa"/>
            </w:tcMar>
            <w:tcW w:w="7576" w:type="dxa"/>
            <w:vAlign w:val="center"/>
            <w:textDirection w:val="lrTb"/>
            <w:noWrap w:val="false"/>
          </w:tcPr>
          <w:p>
            <w:pPr>
              <w:pStyle w:val="1012"/>
              <w:ind w:left="0" w:right="0" w:firstLine="0"/>
              <w:jc w:val="left"/>
              <w:spacing w:after="65"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支持Oracle RAC和SQL sever集群备份，只需配置集群内设备关系即可快速为集群内设备创建备份。支持以集群角度可视化集群设备的备份情况。支持Oracle RAC各个设备的验证、接管、恢复。支持自动识别共享盘。不限制Oracle RAC集群节点授权数量。</w:t>
            </w:r>
            <w:r>
              <w:rPr>
                <w:rFonts w:hint="eastAsia" w:ascii="宋体" w:hAnsi="宋体" w:eastAsia="宋体" w:cs="宋体"/>
                <w:color w:val="000000" w:themeColor="text1"/>
                <w:sz w:val="24"/>
                <w:szCs w:val="24"/>
                <w:highlight w:val="none"/>
                <w:lang w:val="en-US" w:eastAsia="zh-CN" w:bidi="ar"/>
              </w:rPr>
              <w:t xml:space="preserve">投标人</w:t>
            </w:r>
            <w:r>
              <w:rPr>
                <w:rFonts w:hint="eastAsia" w:ascii="宋体" w:hAnsi="宋体" w:eastAsia="宋体" w:cs="宋体"/>
                <w:color w:val="000000" w:themeColor="text1"/>
                <w:sz w:val="24"/>
                <w:szCs w:val="24"/>
                <w:highlight w:val="none"/>
                <w:lang w:val="en-US" w:eastAsia="zh-CN" w:bidi="ar-SA"/>
              </w:rPr>
              <w:t xml:space="preserve">提供功能截图并加盖投标人公章。</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405"/>
        </w:trPr>
        <w:tc>
          <w:tcPr>
            <w:tcMar>
              <w:top w:w="28" w:type="dxa"/>
              <w:bottom w:w="28" w:type="dxa"/>
            </w:tcMar>
            <w:tcW w:w="1963" w:type="dxa"/>
            <w:vAlign w:val="center"/>
            <w:vMerge w:val="continue"/>
            <w:textDirection w:val="lrTb"/>
            <w:noWrap w:val="false"/>
          </w:tcPr>
          <w:p>
            <w:pPr>
              <w:pStyle w:val="1448"/>
              <w:ind w:left="0" w:right="0" w:firstLine="0"/>
              <w:jc w:val="center"/>
              <w:spacing w:after="0" w:line="240" w:lineRule="auto"/>
              <w:widowControl w:val="off"/>
              <w:tabs>
                <w:tab w:val="left" w:pos="862"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Mar>
              <w:top w:w="28" w:type="dxa"/>
              <w:bottom w:w="28" w:type="dxa"/>
            </w:tcMar>
            <w:tcW w:w="7576" w:type="dxa"/>
            <w:vAlign w:val="center"/>
            <w:textDirection w:val="lrTb"/>
            <w:noWrap w:val="false"/>
          </w:tcPr>
          <w:p>
            <w:pPr>
              <w:pStyle w:val="1012"/>
              <w:ind w:left="0" w:right="0" w:firstLine="0"/>
              <w:jc w:val="left"/>
              <w:spacing w:after="65"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支持Windows故障转移集群备份，集群切换可以自动识别并继续对共享存储进行增量备份而无需重新全量初始化。</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923"/>
        </w:trPr>
        <w:tc>
          <w:tcPr>
            <w:tcMar>
              <w:top w:w="28" w:type="dxa"/>
              <w:bottom w:w="28" w:type="dxa"/>
            </w:tcMar>
            <w:tcW w:w="1963" w:type="dxa"/>
            <w:vAlign w:val="center"/>
            <w:vMerge w:val="restart"/>
            <w:textDirection w:val="lrTb"/>
            <w:noWrap w:val="false"/>
          </w:tcPr>
          <w:p>
            <w:pPr>
              <w:pStyle w:val="1448"/>
              <w:ind w:left="0" w:right="0" w:firstLine="0"/>
              <w:jc w:val="center"/>
              <w:spacing w:after="0" w:line="240" w:lineRule="auto"/>
              <w:widowControl w:val="off"/>
              <w:tabs>
                <w:tab w:val="left" w:pos="862" w:leader="none"/>
              </w:tabs>
              <w:rPr>
                <w:rFonts w:hint="eastAsia" w:ascii="宋体" w:hAnsi="宋体" w:eastAsia="宋体" w:cs="宋体"/>
                <w:b/>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整机备份</w:t>
            </w:r>
            <w:r>
              <w:rPr>
                <w:rFonts w:hint="eastAsia" w:ascii="宋体" w:hAnsi="宋体" w:eastAsia="宋体" w:cs="宋体"/>
                <w:b/>
                <w:color w:val="000000" w:themeColor="text1"/>
                <w:sz w:val="24"/>
                <w:szCs w:val="24"/>
                <w:highlight w:val="none"/>
                <w:lang w:val="en-US" w:eastAsia="zh-CN" w:bidi="ar-SA"/>
              </w:rPr>
            </w:r>
            <w:r>
              <w:rPr>
                <w:color w:val="000000" w:themeColor="text1"/>
              </w:rPr>
            </w:r>
          </w:p>
        </w:tc>
        <w:tc>
          <w:tcPr>
            <w:tcMar>
              <w:top w:w="28" w:type="dxa"/>
              <w:bottom w:w="28" w:type="dxa"/>
            </w:tcMar>
            <w:tcW w:w="7576" w:type="dxa"/>
            <w:vAlign w:val="center"/>
            <w:textDirection w:val="lrTb"/>
            <w:noWrap w:val="false"/>
          </w:tcPr>
          <w:p>
            <w:pPr>
              <w:pStyle w:val="1012"/>
              <w:ind w:left="0" w:right="0" w:firstLine="0"/>
              <w:jc w:val="left"/>
              <w:spacing w:after="65"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整机块级别的CDP实时数据保护，数据同步可精确到秒级，支持AI数据展示。支持系统内置多个备份策略，无需配置即可开箱即用。可灵活定义数据保护模式、数据保留时间窗口、数据保护时间、数据校验时间、备份性能模式、备份限速等。</w:t>
            </w:r>
            <w:r>
              <w:rPr>
                <w:rFonts w:hint="eastAsia" w:ascii="宋体" w:hAnsi="宋体" w:eastAsia="宋体" w:cs="宋体"/>
                <w:color w:val="000000" w:themeColor="text1"/>
                <w:sz w:val="24"/>
                <w:szCs w:val="24"/>
                <w:highlight w:val="none"/>
                <w:lang w:val="en-US" w:eastAsia="zh-CN" w:bidi="ar"/>
              </w:rPr>
              <w:t xml:space="preserve">投标人</w:t>
            </w:r>
            <w:r>
              <w:rPr>
                <w:rFonts w:hint="eastAsia" w:ascii="宋体" w:hAnsi="宋体" w:eastAsia="宋体" w:cs="宋体"/>
                <w:color w:val="000000" w:themeColor="text1"/>
                <w:sz w:val="24"/>
                <w:szCs w:val="24"/>
                <w:highlight w:val="none"/>
                <w:lang w:val="en-US" w:eastAsia="zh-CN" w:bidi="ar-SA"/>
              </w:rPr>
              <w:t xml:space="preserve">提供功能截图并加盖投标人公章。</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405"/>
        </w:trPr>
        <w:tc>
          <w:tcPr>
            <w:tcMar>
              <w:top w:w="28" w:type="dxa"/>
              <w:bottom w:w="28" w:type="dxa"/>
            </w:tcMar>
            <w:tcW w:w="1963" w:type="dxa"/>
            <w:vAlign w:val="center"/>
            <w:vMerge w:val="continue"/>
            <w:textDirection w:val="lrTb"/>
            <w:noWrap w:val="false"/>
          </w:tcPr>
          <w:p>
            <w:pPr>
              <w:pStyle w:val="1448"/>
              <w:ind w:left="0" w:right="0" w:firstLine="0"/>
              <w:jc w:val="center"/>
              <w:spacing w:after="0" w:line="240" w:lineRule="auto"/>
              <w:widowControl w:val="off"/>
              <w:tabs>
                <w:tab w:val="left" w:pos="862" w:leader="none"/>
              </w:tabs>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tc>
        <w:tc>
          <w:tcPr>
            <w:tcMar>
              <w:top w:w="28" w:type="dxa"/>
              <w:bottom w:w="28" w:type="dxa"/>
            </w:tcMar>
            <w:tcW w:w="7576" w:type="dxa"/>
            <w:vAlign w:val="center"/>
            <w:textDirection w:val="lrTb"/>
            <w:noWrap w:val="false"/>
          </w:tcPr>
          <w:p>
            <w:pPr>
              <w:pStyle w:val="1012"/>
              <w:ind w:left="0" w:right="0" w:firstLine="0"/>
              <w:jc w:val="left"/>
              <w:spacing w:after="65"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支持不需区分业务系统类型、部署方法、业务系统间的数据交互机制、数据结构、逻辑关系和数据库的品牌、版本等实现数据保护。</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405"/>
        </w:trPr>
        <w:tc>
          <w:tcPr>
            <w:tcMar>
              <w:top w:w="28" w:type="dxa"/>
              <w:bottom w:w="28" w:type="dxa"/>
            </w:tcMar>
            <w:tcW w:w="1963" w:type="dxa"/>
            <w:vAlign w:val="center"/>
            <w:vMerge w:val="continue"/>
            <w:textDirection w:val="lrTb"/>
            <w:noWrap w:val="false"/>
          </w:tcPr>
          <w:p>
            <w:pPr>
              <w:pStyle w:val="1448"/>
              <w:ind w:left="0" w:right="0" w:firstLine="0"/>
              <w:jc w:val="center"/>
              <w:spacing w:after="0" w:line="240" w:lineRule="auto"/>
              <w:widowControl w:val="off"/>
              <w:tabs>
                <w:tab w:val="left" w:pos="862" w:leader="none"/>
              </w:tabs>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tc>
        <w:tc>
          <w:tcPr>
            <w:tcMar>
              <w:top w:w="28" w:type="dxa"/>
              <w:bottom w:w="28" w:type="dxa"/>
            </w:tcMar>
            <w:tcW w:w="7576" w:type="dxa"/>
            <w:vAlign w:val="center"/>
            <w:textDirection w:val="lrTb"/>
            <w:noWrap w:val="false"/>
          </w:tcPr>
          <w:p>
            <w:pPr>
              <w:pStyle w:val="1012"/>
              <w:ind w:left="0" w:right="0" w:firstLine="0"/>
              <w:jc w:val="left"/>
              <w:spacing w:after="65"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支持整机、磁盘、分区/卷级别的细粒度备份，且支持磁盘排除备份。</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233"/>
        </w:trPr>
        <w:tc>
          <w:tcPr>
            <w:tcMar>
              <w:top w:w="28" w:type="dxa"/>
              <w:bottom w:w="28" w:type="dxa"/>
            </w:tcMar>
            <w:tcW w:w="1963" w:type="dxa"/>
            <w:vAlign w:val="center"/>
            <w:textDirection w:val="lrTb"/>
            <w:noWrap w:val="false"/>
          </w:tcPr>
          <w:p>
            <w:pPr>
              <w:pStyle w:val="1448"/>
              <w:ind w:left="0" w:right="0" w:firstLine="0"/>
              <w:jc w:val="center"/>
              <w:spacing w:after="0" w:line="24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数据传输</w:t>
            </w:r>
            <w:r>
              <w:rPr>
                <w:rFonts w:hint="eastAsia" w:ascii="宋体" w:hAnsi="宋体" w:eastAsia="宋体" w:cs="宋体"/>
                <w:b/>
                <w:color w:val="000000" w:themeColor="text1"/>
                <w:sz w:val="24"/>
                <w:szCs w:val="24"/>
                <w:highlight w:val="none"/>
                <w:lang w:val="en-US" w:eastAsia="zh-CN" w:bidi="ar-SA"/>
              </w:rPr>
            </w:r>
            <w:r>
              <w:rPr>
                <w:color w:val="000000" w:themeColor="text1"/>
              </w:rPr>
            </w:r>
          </w:p>
        </w:tc>
        <w:tc>
          <w:tcPr>
            <w:tcMar>
              <w:top w:w="28" w:type="dxa"/>
              <w:bottom w:w="28" w:type="dxa"/>
            </w:tcMar>
            <w:tcW w:w="7576" w:type="dxa"/>
            <w:vAlign w:val="center"/>
            <w:textDirection w:val="lrTb"/>
            <w:noWrap w:val="false"/>
          </w:tcPr>
          <w:p>
            <w:pPr>
              <w:pStyle w:val="1012"/>
              <w:ind w:left="0" w:right="0" w:firstLine="0"/>
              <w:jc w:val="left"/>
              <w:spacing w:after="65"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数据传输支持客户端级加密，支持任务级数据重删和断点续传。</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405"/>
        </w:trPr>
        <w:tc>
          <w:tcPr>
            <w:tcMar>
              <w:top w:w="28" w:type="dxa"/>
              <w:bottom w:w="28" w:type="dxa"/>
            </w:tcMar>
            <w:tcW w:w="1963" w:type="dxa"/>
            <w:vAlign w:val="center"/>
            <w:vMerge w:val="restart"/>
            <w:textDirection w:val="lrTb"/>
            <w:noWrap w:val="false"/>
          </w:tcPr>
          <w:p>
            <w:pPr>
              <w:pStyle w:val="1448"/>
              <w:ind w:left="0" w:right="0" w:firstLine="0"/>
              <w:jc w:val="center"/>
              <w:spacing w:after="0" w:line="24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数据恢复</w:t>
            </w:r>
            <w:r>
              <w:rPr>
                <w:rFonts w:hint="eastAsia" w:ascii="宋体" w:hAnsi="宋体" w:eastAsia="宋体" w:cs="宋体"/>
                <w:b/>
                <w:color w:val="000000" w:themeColor="text1"/>
                <w:sz w:val="24"/>
                <w:szCs w:val="24"/>
                <w:highlight w:val="none"/>
                <w:lang w:val="en-US" w:eastAsia="zh-CN" w:bidi="ar-SA"/>
              </w:rPr>
            </w:r>
            <w:r>
              <w:rPr>
                <w:color w:val="000000" w:themeColor="text1"/>
              </w:rPr>
            </w:r>
          </w:p>
        </w:tc>
        <w:tc>
          <w:tcPr>
            <w:tcMar>
              <w:top w:w="28" w:type="dxa"/>
              <w:bottom w:w="28" w:type="dxa"/>
            </w:tcMar>
            <w:tcW w:w="7576" w:type="dxa"/>
            <w:vAlign w:val="center"/>
            <w:textDirection w:val="lrTb"/>
            <w:noWrap w:val="false"/>
          </w:tcPr>
          <w:p>
            <w:pPr>
              <w:pStyle w:val="1012"/>
              <w:ind w:left="0" w:right="0" w:firstLine="0"/>
              <w:jc w:val="left"/>
              <w:spacing w:after="65"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支持生产系统操作系统、应用、数据一体化在线恢复，无需对恢复目标安装操作系统、配置软件、拷贝数据等操作。</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405"/>
        </w:trPr>
        <w:tc>
          <w:tcPr>
            <w:tcMar>
              <w:top w:w="28" w:type="dxa"/>
              <w:bottom w:w="28" w:type="dxa"/>
            </w:tcMar>
            <w:tcW w:w="1963" w:type="dxa"/>
            <w:vAlign w:val="center"/>
            <w:vMerge w:val="continue"/>
            <w:textDirection w:val="lrTb"/>
            <w:noWrap w:val="false"/>
          </w:tcPr>
          <w:p>
            <w:pPr>
              <w:pStyle w:val="1448"/>
              <w:ind w:left="0" w:right="0" w:firstLine="0"/>
              <w:jc w:val="center"/>
              <w:spacing w:after="0" w:line="240" w:lineRule="auto"/>
              <w:widowControl w:val="off"/>
              <w:tabs>
                <w:tab w:val="left" w:pos="862" w:leader="none"/>
              </w:tabs>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tc>
        <w:tc>
          <w:tcPr>
            <w:tcMar>
              <w:top w:w="28" w:type="dxa"/>
              <w:bottom w:w="28" w:type="dxa"/>
            </w:tcMar>
            <w:tcW w:w="7576" w:type="dxa"/>
            <w:vAlign w:val="center"/>
            <w:textDirection w:val="lrTb"/>
            <w:noWrap w:val="false"/>
          </w:tcPr>
          <w:p>
            <w:pPr>
              <w:pStyle w:val="1012"/>
              <w:ind w:left="0" w:right="0" w:firstLine="0"/>
              <w:jc w:val="left"/>
              <w:spacing w:after="65"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支持接管恢复、备份恢复、实时恢复等多种恢复类型。支持整机恢复、磁盘恢复、分区/卷恢复等多种细粒度恢复。</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405"/>
        </w:trPr>
        <w:tc>
          <w:tcPr>
            <w:tcMar>
              <w:top w:w="28" w:type="dxa"/>
              <w:bottom w:w="28" w:type="dxa"/>
            </w:tcMar>
            <w:tcW w:w="1963" w:type="dxa"/>
            <w:vAlign w:val="center"/>
            <w:textDirection w:val="lrTb"/>
            <w:noWrap w:val="false"/>
          </w:tcPr>
          <w:p>
            <w:pPr>
              <w:pStyle w:val="1448"/>
              <w:ind w:left="0" w:right="0" w:firstLine="0"/>
              <w:jc w:val="center"/>
              <w:spacing w:after="0" w:line="240" w:lineRule="auto"/>
              <w:widowControl w:val="off"/>
              <w:tabs>
                <w:tab w:val="left" w:pos="862"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接管恢复</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Mar>
              <w:top w:w="28" w:type="dxa"/>
              <w:bottom w:w="28" w:type="dxa"/>
            </w:tcMar>
            <w:tcW w:w="7576" w:type="dxa"/>
            <w:vAlign w:val="center"/>
            <w:textDirection w:val="lrTb"/>
            <w:noWrap w:val="false"/>
          </w:tcPr>
          <w:p>
            <w:pPr>
              <w:pStyle w:val="1012"/>
              <w:ind w:left="0" w:right="0" w:firstLine="0"/>
              <w:jc w:val="left"/>
              <w:spacing w:after="65"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3个双机热备或容灾接管授权，支持基于接管机的恢复。恢复基于接管主机，无需再次创建备份任务。恢复过程包含接管主机停止时间前的所有数据。 </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405"/>
        </w:trPr>
        <w:tc>
          <w:tcPr>
            <w:tcMar>
              <w:top w:w="28" w:type="dxa"/>
              <w:bottom w:w="28" w:type="dxa"/>
            </w:tcMar>
            <w:tcW w:w="1963" w:type="dxa"/>
            <w:vAlign w:val="center"/>
            <w:textDirection w:val="lrTb"/>
            <w:noWrap w:val="false"/>
          </w:tcPr>
          <w:p>
            <w:pPr>
              <w:pStyle w:val="1448"/>
              <w:ind w:left="0" w:right="0" w:firstLine="0"/>
              <w:jc w:val="center"/>
              <w:spacing w:after="0" w:line="240" w:lineRule="auto"/>
              <w:widowControl w:val="off"/>
              <w:tabs>
                <w:tab w:val="left" w:pos="862"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实时恢复</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Mar>
              <w:top w:w="28" w:type="dxa"/>
              <w:bottom w:w="28" w:type="dxa"/>
            </w:tcMar>
            <w:tcW w:w="7576" w:type="dxa"/>
            <w:vAlign w:val="center"/>
            <w:textDirection w:val="lrTb"/>
            <w:noWrap w:val="false"/>
          </w:tcPr>
          <w:p>
            <w:pPr>
              <w:pStyle w:val="1012"/>
              <w:ind w:left="0" w:right="0" w:firstLine="0"/>
              <w:jc w:val="left"/>
              <w:spacing w:after="65"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▲至少支持接管恢复、实时恢复、备份恢复等恢复任务类型，投标时提供功能截图并加盖投标人公章。</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207"/>
        </w:trPr>
        <w:tc>
          <w:tcPr>
            <w:tcMar>
              <w:top w:w="28" w:type="dxa"/>
              <w:bottom w:w="28" w:type="dxa"/>
            </w:tcMar>
            <w:tcW w:w="1963" w:type="dxa"/>
            <w:vAlign w:val="center"/>
            <w:vMerge w:val="restart"/>
            <w:textDirection w:val="lrTb"/>
            <w:noWrap w:val="false"/>
          </w:tcPr>
          <w:p>
            <w:pPr>
              <w:pStyle w:val="1448"/>
              <w:ind w:left="0" w:right="0" w:firstLine="0"/>
              <w:jc w:val="center"/>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应急接管</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Mar>
              <w:top w:w="28" w:type="dxa"/>
              <w:bottom w:w="28" w:type="dxa"/>
            </w:tcMar>
            <w:tcW w:w="7576" w:type="dxa"/>
            <w:vAlign w:val="center"/>
            <w:textDirection w:val="lrTb"/>
            <w:noWrap w:val="false"/>
          </w:tcPr>
          <w:p>
            <w:pPr>
              <w:pStyle w:val="1012"/>
              <w:ind w:left="0" w:right="0" w:firstLine="0"/>
              <w:jc w:val="left"/>
              <w:spacing w:after="65"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快速应急接管，可根据保护过程中收集源系统负载信息，自动匹配、自动构建接管虚拟网络、智能化自动分配接管资源，无需改变任何IP地址、MAC地址、机器名、服务启动状态等。接管主机环境保持与源主机完全相同，如磁盘分区结构、系统环境、程序配置信息等。</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923"/>
        </w:trPr>
        <w:tc>
          <w:tcPr>
            <w:tcMar>
              <w:top w:w="28" w:type="dxa"/>
              <w:bottom w:w="28" w:type="dxa"/>
            </w:tcMar>
            <w:tcW w:w="1963" w:type="dxa"/>
            <w:vAlign w:val="center"/>
            <w:vMerge w:val="continue"/>
            <w:textDirection w:val="lrTb"/>
            <w:noWrap w:val="false"/>
          </w:tcPr>
          <w:p>
            <w:pPr>
              <w:pStyle w:val="1448"/>
              <w:ind w:left="0" w:right="0" w:firstLine="0"/>
              <w:jc w:val="center"/>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Mar>
              <w:top w:w="28" w:type="dxa"/>
              <w:bottom w:w="28" w:type="dxa"/>
            </w:tcMar>
            <w:tcW w:w="7576" w:type="dxa"/>
            <w:vAlign w:val="center"/>
            <w:textDirection w:val="lrTb"/>
            <w:noWrap w:val="false"/>
          </w:tcPr>
          <w:p>
            <w:pPr>
              <w:pStyle w:val="1012"/>
              <w:ind w:left="0" w:right="0" w:firstLine="0"/>
              <w:jc w:val="left"/>
              <w:spacing w:after="65"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配置切换计划，参数配置支持与源设备一致或者自定义配置。接管时间点提供实时、故障前五分钟、十分钟、半小时、一小时等多种细粒度选择。切换方式支持系统切换、手动切换，系统切换支持配置网络链路检测、网络端口检测等不同切换条件，切换条件支持多次确认机制。</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578"/>
        </w:trPr>
        <w:tc>
          <w:tcPr>
            <w:tcMar>
              <w:top w:w="28" w:type="dxa"/>
              <w:bottom w:w="28" w:type="dxa"/>
            </w:tcMar>
            <w:tcW w:w="1963" w:type="dxa"/>
            <w:vAlign w:val="center"/>
            <w:textDirection w:val="lrTb"/>
            <w:noWrap w:val="false"/>
          </w:tcPr>
          <w:p>
            <w:pPr>
              <w:pStyle w:val="1448"/>
              <w:ind w:left="0" w:right="0" w:firstLine="0"/>
              <w:jc w:val="center"/>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远程复制</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Mar>
              <w:top w:w="28" w:type="dxa"/>
              <w:bottom w:w="28" w:type="dxa"/>
            </w:tcMar>
            <w:tcW w:w="7576" w:type="dxa"/>
            <w:vAlign w:val="center"/>
            <w:textDirection w:val="lrTb"/>
            <w:noWrap w:val="false"/>
          </w:tcPr>
          <w:p>
            <w:pPr>
              <w:pStyle w:val="1012"/>
              <w:ind w:left="0" w:right="0" w:firstLine="0"/>
              <w:jc w:val="left"/>
              <w:spacing w:after="65"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支持远程复制功能，支持持续同步、自定义间隔等数据同步模式，实现将本地产生的备份数据复制到远端。调度策略支持分钟级别/小时级别/自定义日期。支持远程复制速度限制。</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1069"/>
        </w:trPr>
        <w:tc>
          <w:tcPr>
            <w:tcMar>
              <w:top w:w="28" w:type="dxa"/>
              <w:bottom w:w="28" w:type="dxa"/>
            </w:tcMar>
            <w:tcW w:w="1963" w:type="dxa"/>
            <w:vAlign w:val="center"/>
            <w:vMerge w:val="restart"/>
            <w:textDirection w:val="lrTb"/>
            <w:noWrap w:val="false"/>
          </w:tcPr>
          <w:p>
            <w:pPr>
              <w:pStyle w:val="1448"/>
              <w:ind w:left="0" w:right="0" w:firstLine="0"/>
              <w:jc w:val="center"/>
              <w:spacing w:after="0" w:line="240" w:lineRule="auto"/>
              <w:widowControl w:val="off"/>
              <w:tabs>
                <w:tab w:val="left" w:pos="862"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无代理备份</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Mar>
              <w:top w:w="28" w:type="dxa"/>
              <w:bottom w:w="28" w:type="dxa"/>
            </w:tcMar>
            <w:tcW w:w="7576" w:type="dxa"/>
            <w:vAlign w:val="center"/>
            <w:textDirection w:val="lrTb"/>
            <w:noWrap w:val="false"/>
          </w:tcPr>
          <w:p>
            <w:pPr>
              <w:pStyle w:val="1012"/>
              <w:ind w:left="0" w:right="0" w:firstLine="0"/>
              <w:jc w:val="left"/>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支持主流虚拟化平台无代理备份，包括VMware、 Hyper-V、华三（H3C）、深信服（HCI）、Huawei FusionCompute、oVirt）、SmartX、OpenStack、ZStack云平台、QingCloud、云宏CNware、Cloud等虚拟化平台的无代理备份，支持完全、块级增量等备份类型。无需在虚拟主机上安装任何客户端代理，直接通过访问Hypervisor层，实现虚拟主机整机备份。</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551"/>
        </w:trPr>
        <w:tc>
          <w:tcPr>
            <w:tcMar>
              <w:top w:w="28" w:type="dxa"/>
              <w:bottom w:w="28" w:type="dxa"/>
            </w:tcMar>
            <w:tcW w:w="1963" w:type="dxa"/>
            <w:vAlign w:val="center"/>
            <w:vMerge w:val="continue"/>
            <w:textDirection w:val="lrTb"/>
            <w:noWrap w:val="false"/>
          </w:tcPr>
          <w:p>
            <w:pPr>
              <w:pStyle w:val="1448"/>
              <w:ind w:left="0" w:right="0" w:firstLine="0"/>
              <w:jc w:val="center"/>
              <w:spacing w:after="0" w:line="240" w:lineRule="auto"/>
              <w:widowControl w:val="off"/>
              <w:tabs>
                <w:tab w:val="left" w:pos="862"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Mar>
              <w:top w:w="28" w:type="dxa"/>
              <w:bottom w:w="28" w:type="dxa"/>
            </w:tcMar>
            <w:tcW w:w="7576" w:type="dxa"/>
            <w:vAlign w:val="center"/>
            <w:textDirection w:val="lrTb"/>
            <w:noWrap w:val="false"/>
          </w:tcPr>
          <w:p>
            <w:pPr>
              <w:pStyle w:val="1012"/>
              <w:ind w:left="0" w:right="0" w:firstLine="0"/>
              <w:jc w:val="left"/>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支持对CIFS和NFS协议的网络附加存储设备（NAS）提供无代理备份和恢复功能，支持主流的NAS供应商，包括EMC、NetApp、Huawei、IBM、HP、Hitachi、DELL等品牌NAS产品。</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724"/>
        </w:trPr>
        <w:tc>
          <w:tcPr>
            <w:tcMar>
              <w:top w:w="28" w:type="dxa"/>
              <w:bottom w:w="28" w:type="dxa"/>
            </w:tcMar>
            <w:tcW w:w="1963" w:type="dxa"/>
            <w:vAlign w:val="center"/>
            <w:textDirection w:val="lrTb"/>
            <w:noWrap w:val="false"/>
          </w:tcPr>
          <w:p>
            <w:pPr>
              <w:pStyle w:val="1448"/>
              <w:ind w:left="0" w:right="0" w:firstLine="0"/>
              <w:jc w:val="center"/>
              <w:spacing w:after="0" w:line="240" w:lineRule="auto"/>
              <w:widowControl w:val="off"/>
              <w:tabs>
                <w:tab w:val="left" w:pos="862"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文件备份</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Mar>
              <w:top w:w="28" w:type="dxa"/>
              <w:bottom w:w="28" w:type="dxa"/>
            </w:tcMar>
            <w:tcW w:w="7576" w:type="dxa"/>
            <w:vAlign w:val="center"/>
            <w:textDirection w:val="lrTb"/>
            <w:noWrap w:val="false"/>
          </w:tcPr>
          <w:p>
            <w:pPr>
              <w:pStyle w:val="1012"/>
              <w:ind w:left="0" w:right="0" w:firstLine="0"/>
              <w:jc w:val="left"/>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整盘、分区、单文件、目录级别的细粒度备份。支持Windows、Linux等文件系统磁盘、分区备份功能，以整盘或分区为单位进行数据备份，支持备份百万级、千万级，甚至亿万级小文件的文件系统，在文件级备份之外，提供对文件系统进行逻辑卷块级备份。</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551"/>
        </w:trPr>
        <w:tc>
          <w:tcPr>
            <w:tcMar>
              <w:top w:w="28" w:type="dxa"/>
              <w:bottom w:w="28" w:type="dxa"/>
            </w:tcMar>
            <w:tcW w:w="1963" w:type="dxa"/>
            <w:vAlign w:val="center"/>
            <w:textDirection w:val="lrTb"/>
            <w:noWrap w:val="false"/>
          </w:tcPr>
          <w:p>
            <w:pPr>
              <w:pStyle w:val="1448"/>
              <w:ind w:left="0" w:right="0" w:firstLine="0"/>
              <w:jc w:val="center"/>
              <w:spacing w:after="0" w:line="240" w:lineRule="auto"/>
              <w:widowControl w:val="off"/>
              <w:tabs>
                <w:tab w:val="left" w:pos="862"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恢复模式</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Mar>
              <w:top w:w="28" w:type="dxa"/>
              <w:bottom w:w="28" w:type="dxa"/>
            </w:tcMar>
            <w:tcW w:w="7576" w:type="dxa"/>
            <w:vAlign w:val="center"/>
            <w:textDirection w:val="lrTb"/>
            <w:noWrap w:val="false"/>
          </w:tcPr>
          <w:p>
            <w:pPr>
              <w:pStyle w:val="1012"/>
              <w:ind w:left="0" w:right="0" w:firstLine="0"/>
              <w:jc w:val="left"/>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支持操作系统裸机恢复，支持主流Linux/Window及国产平台的操作系统从裸机状态直接恢复操作系统，无需重新安装操作系统、驱动程序和应用软件。</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379"/>
        </w:trPr>
        <w:tc>
          <w:tcPr>
            <w:tcMar>
              <w:top w:w="28" w:type="dxa"/>
              <w:bottom w:w="28" w:type="dxa"/>
            </w:tcMar>
            <w:tcW w:w="1963" w:type="dxa"/>
            <w:vAlign w:val="center"/>
            <w:textDirection w:val="lrTb"/>
            <w:noWrap w:val="false"/>
          </w:tcPr>
          <w:p>
            <w:pPr>
              <w:pStyle w:val="1448"/>
              <w:ind w:left="0" w:right="0" w:firstLine="0"/>
              <w:jc w:val="center"/>
              <w:spacing w:after="0" w:line="240" w:lineRule="auto"/>
              <w:widowControl w:val="off"/>
              <w:tabs>
                <w:tab w:val="left" w:pos="862"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细粒度恢复</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Mar>
              <w:top w:w="28" w:type="dxa"/>
              <w:bottom w:w="28" w:type="dxa"/>
            </w:tcMar>
            <w:tcW w:w="7576" w:type="dxa"/>
            <w:vAlign w:val="center"/>
            <w:textDirection w:val="lrTb"/>
            <w:noWrap w:val="false"/>
          </w:tcPr>
          <w:p>
            <w:pPr>
              <w:pStyle w:val="1012"/>
              <w:ind w:left="0" w:right="0" w:firstLine="0"/>
              <w:jc w:val="left"/>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支持细粒度恢复功能，无需进行整机恢复，即可快速找回主机内某单一文件或文件夹，提升恢复效率。</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551"/>
        </w:trPr>
        <w:tc>
          <w:tcPr>
            <w:tcMar>
              <w:top w:w="28" w:type="dxa"/>
              <w:bottom w:w="28" w:type="dxa"/>
            </w:tcMar>
            <w:tcW w:w="1963" w:type="dxa"/>
            <w:vAlign w:val="center"/>
            <w:textDirection w:val="lrTb"/>
            <w:noWrap w:val="false"/>
          </w:tcPr>
          <w:p>
            <w:pPr>
              <w:pStyle w:val="1448"/>
              <w:ind w:left="0" w:right="0" w:firstLine="0"/>
              <w:jc w:val="center"/>
              <w:spacing w:after="0" w:line="240" w:lineRule="auto"/>
              <w:widowControl w:val="off"/>
              <w:tabs>
                <w:tab w:val="left" w:pos="862"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瞬时恢复</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Mar>
              <w:top w:w="28" w:type="dxa"/>
              <w:bottom w:w="28" w:type="dxa"/>
            </w:tcMar>
            <w:tcW w:w="7576" w:type="dxa"/>
            <w:vAlign w:val="center"/>
            <w:textDirection w:val="lrTb"/>
            <w:noWrap w:val="false"/>
          </w:tcPr>
          <w:p>
            <w:pPr>
              <w:pStyle w:val="1012"/>
              <w:ind w:left="0" w:right="0" w:firstLine="0"/>
              <w:jc w:val="left"/>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支持虚拟机同平台瞬时恢复，可支持同时启动多个时间点数据副本瞬时恢复至同平台或异构平台上。投标人提供功能截图并加盖投标人公章。</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724"/>
        </w:trPr>
        <w:tc>
          <w:tcPr>
            <w:tcMar>
              <w:top w:w="28" w:type="dxa"/>
              <w:bottom w:w="28" w:type="dxa"/>
            </w:tcMar>
            <w:tcW w:w="1963" w:type="dxa"/>
            <w:vAlign w:val="center"/>
            <w:textDirection w:val="lrTb"/>
            <w:noWrap w:val="false"/>
          </w:tcPr>
          <w:p>
            <w:pPr>
              <w:pStyle w:val="1448"/>
              <w:ind w:left="0" w:right="0" w:firstLine="0"/>
              <w:jc w:val="center"/>
              <w:spacing w:after="0" w:line="240" w:lineRule="auto"/>
              <w:widowControl w:val="off"/>
              <w:tabs>
                <w:tab w:val="left" w:pos="862"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数据安全</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Mar>
              <w:top w:w="28" w:type="dxa"/>
              <w:bottom w:w="28" w:type="dxa"/>
            </w:tcMar>
            <w:tcW w:w="7576" w:type="dxa"/>
            <w:vAlign w:val="center"/>
            <w:textDirection w:val="lrTb"/>
            <w:noWrap w:val="false"/>
          </w:tcPr>
          <w:p>
            <w:pPr>
              <w:pStyle w:val="1012"/>
              <w:ind w:left="0" w:right="0" w:firstLine="0"/>
              <w:jc w:val="left"/>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提供自定义，可根据实际业务需求提供多种可选安全模式，将备份数据与生产网络完全隔离，形成不可被攻击的数据副本。可以有效防止备份数据被篡改、加密或恶意删除，投标人提供功能截图并加盖投标人公章。</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551"/>
        </w:trPr>
        <w:tc>
          <w:tcPr>
            <w:tcMar>
              <w:top w:w="28" w:type="dxa"/>
              <w:bottom w:w="28" w:type="dxa"/>
            </w:tcMar>
            <w:tcW w:w="1963" w:type="dxa"/>
            <w:vAlign w:val="center"/>
            <w:textDirection w:val="lrTb"/>
            <w:noWrap w:val="false"/>
          </w:tcPr>
          <w:p>
            <w:pPr>
              <w:pStyle w:val="1448"/>
              <w:ind w:left="0" w:right="0" w:firstLine="0"/>
              <w:jc w:val="center"/>
              <w:spacing w:after="0" w:line="240" w:lineRule="auto"/>
              <w:widowControl w:val="off"/>
              <w:tabs>
                <w:tab w:val="left" w:pos="862"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数据库原生灾备切换</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Mar>
              <w:top w:w="28" w:type="dxa"/>
              <w:bottom w:w="28" w:type="dxa"/>
            </w:tcMar>
            <w:tcW w:w="7576" w:type="dxa"/>
            <w:vAlign w:val="center"/>
            <w:textDirection w:val="lrTb"/>
            <w:noWrap w:val="false"/>
          </w:tcPr>
          <w:p>
            <w:pPr>
              <w:pStyle w:val="1012"/>
              <w:ind w:left="0" w:right="0" w:firstLine="0"/>
              <w:jc w:val="left"/>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支持Oracle DG库、MySQL主从、SQL Server always-on等数据库原生灾备切换的灾备切换。</w:t>
            </w:r>
            <w:r>
              <w:rPr>
                <w:rFonts w:hint="eastAsia" w:ascii="宋体" w:hAnsi="宋体" w:eastAsia="宋体" w:cs="宋体"/>
                <w:color w:val="000000" w:themeColor="text1"/>
                <w:sz w:val="24"/>
                <w:szCs w:val="24"/>
                <w:highlight w:val="none"/>
                <w:lang w:val="en-US" w:eastAsia="zh-CN" w:bidi="ar"/>
              </w:rPr>
              <w:t xml:space="preserve">投标人</w:t>
            </w:r>
            <w:r>
              <w:rPr>
                <w:rFonts w:hint="eastAsia" w:ascii="宋体" w:hAnsi="宋体" w:eastAsia="宋体" w:cs="宋体"/>
                <w:color w:val="000000" w:themeColor="text1"/>
                <w:sz w:val="24"/>
                <w:szCs w:val="24"/>
                <w:highlight w:val="none"/>
                <w:lang w:val="en-US" w:eastAsia="zh-CN" w:bidi="ar-SA"/>
              </w:rPr>
              <w:t xml:space="preserve">提供功能截图并加盖投标人公章。</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382"/>
        </w:trPr>
        <w:tc>
          <w:tcPr>
            <w:tcMar>
              <w:top w:w="28" w:type="dxa"/>
              <w:bottom w:w="28" w:type="dxa"/>
            </w:tcMar>
            <w:tcW w:w="1963" w:type="dxa"/>
            <w:vAlign w:val="center"/>
            <w:textDirection w:val="lrTb"/>
            <w:noWrap w:val="false"/>
          </w:tcPr>
          <w:p>
            <w:pPr>
              <w:pStyle w:val="1448"/>
              <w:ind w:left="0" w:right="0" w:firstLine="0"/>
              <w:jc w:val="center"/>
              <w:spacing w:after="0" w:line="240" w:lineRule="auto"/>
              <w:widowControl w:val="off"/>
              <w:tabs>
                <w:tab w:val="left" w:pos="862"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大屏可视化</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Mar>
              <w:top w:w="28" w:type="dxa"/>
              <w:bottom w:w="28" w:type="dxa"/>
            </w:tcMar>
            <w:tcW w:w="7576" w:type="dxa"/>
            <w:vAlign w:val="center"/>
            <w:textDirection w:val="lrTb"/>
            <w:noWrap w:val="false"/>
          </w:tcPr>
          <w:p>
            <w:pPr>
              <w:pStyle w:val="1012"/>
              <w:ind w:left="0" w:right="0" w:firstLine="0"/>
              <w:jc w:val="left"/>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提供运行监控大屏，支持多种大屏风格切换。</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left="0" w:right="0" w:firstLine="0"/>
              <w:jc w:val="left"/>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tc>
      </w:tr>
    </w:tbl>
    <w:p>
      <w:pPr>
        <w:pStyle w:val="1012"/>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p>
    <w:p>
      <w:pPr>
        <w:pStyle w:val="1012"/>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p>
    <w:p>
      <w:pPr>
        <w:pStyle w:val="1053"/>
        <w:numPr>
          <w:ilvl w:val="0"/>
          <w:numId w:val="0"/>
        </w:numPr>
        <w:rPr>
          <w:rFonts w:hint="eastAsia" w:ascii="宋体" w:hAnsi="宋体" w:eastAsia="宋体" w:cs="宋体"/>
          <w:b/>
          <w:bCs/>
          <w:color w:val="000000" w:themeColor="text1"/>
          <w:sz w:val="28"/>
          <w:szCs w:val="28"/>
          <w:highlight w:val="none"/>
        </w:rPr>
      </w:pPr>
      <w:r>
        <w:rPr>
          <w:color w:val="000000" w:themeColor="text1"/>
        </w:rPr>
      </w:r>
      <w:bookmarkStart w:id="41" w:name="_Toc15696"/>
      <w:r>
        <w:rPr>
          <w:rFonts w:hint="eastAsia" w:ascii="宋体" w:hAnsi="宋体" w:eastAsia="宋体" w:cs="宋体"/>
          <w:b/>
          <w:bCs/>
          <w:color w:val="000000" w:themeColor="text1"/>
          <w:sz w:val="28"/>
          <w:szCs w:val="28"/>
          <w:highlight w:val="none"/>
          <w:lang w:val="en-US" w:eastAsia="zh-CN"/>
        </w:rPr>
        <w:t xml:space="preserve">6.</w:t>
      </w:r>
      <w:r>
        <w:rPr>
          <w:rFonts w:hint="eastAsia" w:ascii="宋体" w:hAnsi="宋体" w:eastAsia="宋体" w:cs="宋体"/>
          <w:b/>
          <w:bCs/>
          <w:color w:val="000000" w:themeColor="text1"/>
          <w:sz w:val="28"/>
          <w:szCs w:val="28"/>
          <w:highlight w:val="none"/>
        </w:rPr>
        <w:t xml:space="preserve">零信任</w:t>
      </w:r>
      <w:r>
        <w:rPr>
          <w:rFonts w:hint="eastAsia" w:ascii="宋体" w:hAnsi="宋体" w:eastAsia="宋体" w:cs="宋体"/>
          <w:b/>
          <w:bCs/>
          <w:color w:val="000000" w:themeColor="text1"/>
          <w:sz w:val="28"/>
          <w:szCs w:val="28"/>
          <w:highlight w:val="none"/>
          <w:lang w:val="en-US" w:eastAsia="zh-CN"/>
        </w:rPr>
        <w:t xml:space="preserve">网关</w:t>
      </w:r>
      <w:bookmarkEnd w:id="41"/>
      <w:r>
        <w:rPr>
          <w:rFonts w:hint="eastAsia" w:ascii="宋体" w:hAnsi="宋体" w:eastAsia="宋体" w:cs="宋体"/>
          <w:b/>
          <w:bCs/>
          <w:color w:val="000000" w:themeColor="text1"/>
          <w:sz w:val="28"/>
          <w:szCs w:val="28"/>
          <w:highlight w:val="none"/>
        </w:rPr>
      </w:r>
      <w:r>
        <w:rPr>
          <w:color w:val="000000" w:themeColor="text1"/>
        </w:rPr>
      </w:r>
    </w:p>
    <w:tbl>
      <w:tblPr>
        <w:tblStyle w:val="1044"/>
        <w:tblW w:w="9036" w:type="dxa"/>
        <w:jc w:val="center"/>
        <w:tblInd w:w="1"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 w:type="dxa"/>
          <w:top w:w="-1" w:type="dxa"/>
          <w:right w:w="-1" w:type="dxa"/>
          <w:bottom w:w="-1" w:type="dxa"/>
        </w:tblCellMar>
        <w:tblLook w:val="04A0" w:firstRow="1" w:lastRow="0" w:firstColumn="1" w:lastColumn="0" w:noHBand="0" w:noVBand="1"/>
      </w:tblPr>
      <w:tblGrid>
        <w:gridCol w:w="1870"/>
        <w:gridCol w:w="7166"/>
      </w:tblGrid>
      <w:tr>
        <w:trPr>
          <w:tblHeader/>
        </w:trPr>
        <w:tc>
          <w:tcPr>
            <w:tcMar>
              <w:left w:w="-1" w:type="dxa"/>
              <w:top w:w="-1" w:type="dxa"/>
              <w:right w:w="-1" w:type="dxa"/>
              <w:bottom w:w="-1" w:type="dxa"/>
            </w:tcMar>
            <w:tcW w:w="1870" w:type="dxa"/>
            <w:vAlign w:val="center"/>
            <w:textDirection w:val="lrTb"/>
            <w:noWrap w:val="false"/>
          </w:tcPr>
          <w:p>
            <w:pPr>
              <w:pStyle w:val="1012"/>
              <w:ind w:left="0" w:right="0" w:firstLine="0"/>
              <w:jc w:val="center"/>
              <w:spacing w:after="0" w:line="274" w:lineRule="auto"/>
              <w:widowControl/>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lang w:val="en-US" w:eastAsia="zh-CN" w:bidi="ar-SA"/>
              </w:rPr>
              <w:t xml:space="preserve">技术指标</w:t>
            </w:r>
            <w:r>
              <w:rPr>
                <w:rFonts w:hint="eastAsia" w:ascii="宋体" w:hAnsi="宋体" w:eastAsia="宋体" w:cs="宋体"/>
                <w:b/>
                <w:bCs/>
                <w:color w:val="000000" w:themeColor="text1"/>
                <w:sz w:val="28"/>
                <w:szCs w:val="28"/>
                <w:highlight w:val="none"/>
                <w:lang w:val="en-US" w:eastAsia="zh-CN" w:bidi="ar-SA"/>
              </w:rPr>
            </w:r>
            <w:r>
              <w:rPr>
                <w:color w:val="000000" w:themeColor="text1"/>
              </w:rPr>
            </w:r>
          </w:p>
        </w:tc>
        <w:tc>
          <w:tcPr>
            <w:tcMar>
              <w:left w:w="-1" w:type="dxa"/>
              <w:top w:w="-1" w:type="dxa"/>
              <w:right w:w="-1" w:type="dxa"/>
              <w:bottom w:w="-1" w:type="dxa"/>
            </w:tcMar>
            <w:tcW w:w="7166" w:type="dxa"/>
            <w:vAlign w:val="center"/>
            <w:textDirection w:val="lrTb"/>
            <w:noWrap w:val="false"/>
          </w:tcPr>
          <w:p>
            <w:pPr>
              <w:pStyle w:val="1012"/>
              <w:ind w:left="0" w:right="0" w:firstLine="0"/>
              <w:jc w:val="center"/>
              <w:spacing w:after="0" w:line="274" w:lineRule="auto"/>
              <w:widowControl/>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lang w:val="en-US" w:eastAsia="zh-CN" w:bidi="ar-SA"/>
              </w:rPr>
              <w:t xml:space="preserve">指标要求</w:t>
            </w:r>
            <w:r>
              <w:rPr>
                <w:rFonts w:hint="eastAsia" w:ascii="宋体" w:hAnsi="宋体" w:eastAsia="宋体" w:cs="宋体"/>
                <w:b/>
                <w:bCs/>
                <w:color w:val="000000" w:themeColor="text1"/>
                <w:sz w:val="28"/>
                <w:szCs w:val="28"/>
                <w:highlight w:val="none"/>
                <w:lang w:val="en-US" w:eastAsia="zh-CN" w:bidi="ar-SA"/>
              </w:rPr>
            </w:r>
            <w:r>
              <w:rPr>
                <w:color w:val="000000" w:themeColor="text1"/>
              </w:rPr>
            </w:r>
          </w:p>
        </w:tc>
      </w:tr>
      <w:tr>
        <w:trPr/>
        <w:tc>
          <w:tcPr>
            <w:tcMar>
              <w:left w:w="-1" w:type="dxa"/>
              <w:top w:w="-1" w:type="dxa"/>
              <w:right w:w="-1" w:type="dxa"/>
              <w:bottom w:w="-1" w:type="dxa"/>
            </w:tcMar>
            <w:tcW w:w="1870" w:type="dxa"/>
            <w:vAlign w:val="center"/>
            <w:textDirection w:val="lrTb"/>
            <w:noWrap w:val="false"/>
          </w:tcPr>
          <w:p>
            <w:pPr>
              <w:pStyle w:val="1012"/>
              <w:ind w:left="0" w:right="0" w:firstLine="0"/>
              <w:jc w:val="left"/>
              <w:spacing w:after="0" w:line="274"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TW" w:eastAsia="zh-TW" w:bidi="ar"/>
              </w:rPr>
              <w:t xml:space="preserve">★配置要求</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Mar>
              <w:left w:w="-1" w:type="dxa"/>
              <w:top w:w="-1" w:type="dxa"/>
              <w:right w:w="-1" w:type="dxa"/>
              <w:bottom w:w="-1" w:type="dxa"/>
            </w:tcMar>
            <w:tcW w:w="7166" w:type="dxa"/>
            <w:vAlign w:val="center"/>
            <w:textDirection w:val="lrTb"/>
            <w:noWrap w:val="false"/>
          </w:tcPr>
          <w:p>
            <w:pPr>
              <w:pStyle w:val="1012"/>
              <w:ind w:left="0" w:right="0" w:firstLine="0"/>
              <w:jc w:val="left"/>
              <w:spacing w:after="0" w:line="274" w:lineRule="auto"/>
              <w:widowControl/>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4"/>
                <w:highlight w:val="none"/>
                <w:lang w:val="zh-TW" w:eastAsia="zh-TW" w:bidi="ar"/>
              </w:rPr>
              <w:t xml:space="preserve">★满足国产化要求，≥2U机型，冗余电源，配置≥6个千兆电业务口，≥4个千兆光口，≥2个扩展槽，≥32G内存，≥256G SSD，≥4T SATA硬盘</w:t>
            </w:r>
            <w:r>
              <w:rPr>
                <w:rFonts w:hint="eastAsia" w:ascii="宋体" w:hAnsi="宋体" w:eastAsia="宋体" w:cs="宋体"/>
                <w:color w:val="000000" w:themeColor="text1"/>
                <w:sz w:val="24"/>
                <w:szCs w:val="24"/>
                <w:highlight w:val="none"/>
                <w:lang w:val="zh-TW" w:eastAsia="zh-CN" w:bidi="ar"/>
              </w:rPr>
              <w:t xml:space="preserve">，</w:t>
            </w:r>
            <w:r>
              <w:rPr>
                <w:rFonts w:hint="eastAsia" w:ascii="宋体" w:hAnsi="宋体" w:eastAsia="宋体" w:cs="宋体"/>
                <w:color w:val="000000" w:themeColor="text1"/>
                <w:sz w:val="24"/>
                <w:szCs w:val="24"/>
                <w:highlight w:val="none"/>
                <w:lang w:val="en-US" w:eastAsia="zh-CN" w:bidi="ar"/>
              </w:rPr>
              <w:t xml:space="preserve">投标人</w:t>
            </w:r>
            <w:r>
              <w:rPr>
                <w:rFonts w:hint="eastAsia" w:ascii="宋体" w:hAnsi="宋体" w:eastAsia="宋体" w:cs="宋体"/>
                <w:color w:val="000000" w:themeColor="text1"/>
                <w:sz w:val="24"/>
                <w:szCs w:val="22"/>
                <w:highlight w:val="none"/>
                <w:lang w:val="en-US" w:eastAsia="zh-CN" w:bidi="ar-SA"/>
              </w:rPr>
              <w:t xml:space="preserve">提供产品彩页扫描件加盖投标人公章。</w:t>
            </w:r>
            <w:r>
              <w:rPr>
                <w:rFonts w:hint="eastAsia" w:ascii="宋体" w:hAnsi="宋体" w:eastAsia="宋体" w:cs="宋体"/>
                <w:color w:val="000000" w:themeColor="text1"/>
                <w:sz w:val="24"/>
                <w:szCs w:val="22"/>
                <w:highlight w:val="none"/>
                <w:lang w:val="en-US" w:eastAsia="zh-CN" w:bidi="ar-SA"/>
              </w:rPr>
            </w:r>
            <w:r>
              <w:rPr>
                <w:color w:val="000000" w:themeColor="text1"/>
              </w:rPr>
            </w:r>
          </w:p>
          <w:p>
            <w:pPr>
              <w:pStyle w:val="1012"/>
              <w:ind w:left="0" w:right="0" w:firstLine="0"/>
              <w:jc w:val="left"/>
              <w:spacing w:after="0" w:line="274"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TW" w:eastAsia="zh-TW" w:bidi="ar"/>
              </w:rPr>
              <w:t xml:space="preserve">最大理论加密流量≥800M，支持≥1000个并发用户数，本次配置≥100个授权，含防病毒、威胁情报等功能，配置三年</w:t>
            </w:r>
            <w:r>
              <w:rPr>
                <w:rFonts w:hint="eastAsia" w:ascii="宋体" w:hAnsi="宋体" w:eastAsia="宋体" w:cs="宋体"/>
                <w:color w:val="000000" w:themeColor="text1"/>
                <w:sz w:val="24"/>
                <w:szCs w:val="24"/>
                <w:highlight w:val="none"/>
                <w:lang w:val="zh-TW" w:eastAsia="zh-CN" w:bidi="ar"/>
              </w:rPr>
              <w:t xml:space="preserve">软件</w:t>
            </w:r>
            <w:r>
              <w:rPr>
                <w:rFonts w:hint="eastAsia" w:ascii="宋体" w:hAnsi="宋体" w:eastAsia="宋体" w:cs="宋体"/>
                <w:color w:val="000000" w:themeColor="text1"/>
                <w:sz w:val="24"/>
                <w:szCs w:val="24"/>
                <w:highlight w:val="none"/>
                <w:lang w:val="zh-TW" w:eastAsia="zh-TW" w:bidi="ar"/>
              </w:rPr>
              <w:t xml:space="preserve">升级和硬件维保服务。</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Mar>
              <w:left w:w="-1" w:type="dxa"/>
              <w:top w:w="-1" w:type="dxa"/>
              <w:right w:w="-1" w:type="dxa"/>
              <w:bottom w:w="-1" w:type="dxa"/>
            </w:tcMar>
            <w:tcW w:w="1870" w:type="dxa"/>
            <w:vAlign w:val="center"/>
            <w:textDirection w:val="lrTb"/>
            <w:noWrap w:val="false"/>
          </w:tcPr>
          <w:p>
            <w:pPr>
              <w:pStyle w:val="1012"/>
              <w:ind w:left="0" w:right="0" w:firstLine="0"/>
              <w:jc w:val="left"/>
              <w:spacing w:after="0" w:line="274"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TW" w:eastAsia="zh-TW" w:bidi="ar"/>
              </w:rPr>
              <w:t xml:space="preserve">部署模式</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Mar>
              <w:left w:w="-1" w:type="dxa"/>
              <w:top w:w="-1" w:type="dxa"/>
              <w:right w:w="-1" w:type="dxa"/>
              <w:bottom w:w="-1" w:type="dxa"/>
            </w:tcMar>
            <w:tcW w:w="7166" w:type="dxa"/>
            <w:vAlign w:val="center"/>
            <w:textDirection w:val="lrTb"/>
            <w:noWrap w:val="false"/>
          </w:tcPr>
          <w:p>
            <w:pPr>
              <w:pStyle w:val="1012"/>
              <w:ind w:left="0" w:right="0" w:firstLine="0"/>
              <w:jc w:val="left"/>
              <w:spacing w:after="0" w:line="274"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TW" w:eastAsia="zh-TW" w:bidi="ar"/>
              </w:rPr>
              <w:t xml:space="preserve">为了满足灵活部署的要求，综合网关应支持单臂模式、路由模式部署，为了满足高可靠性要求，综合网关应支持集群部署，集群功能不需要依赖外置设备，如负载均衡等</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Mar>
              <w:left w:w="-1" w:type="dxa"/>
              <w:top w:w="-1" w:type="dxa"/>
              <w:right w:w="-1" w:type="dxa"/>
              <w:bottom w:w="-1" w:type="dxa"/>
            </w:tcMar>
            <w:tcW w:w="1870" w:type="dxa"/>
            <w:vAlign w:val="center"/>
            <w:vMerge w:val="restart"/>
            <w:textDirection w:val="lrTb"/>
            <w:noWrap w:val="false"/>
          </w:tcPr>
          <w:p>
            <w:pPr>
              <w:pStyle w:val="1012"/>
              <w:ind w:left="0" w:right="0" w:firstLine="0"/>
              <w:jc w:val="left"/>
              <w:spacing w:after="0" w:line="274"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TW" w:eastAsia="zh-TW" w:bidi="ar"/>
              </w:rPr>
              <w:t xml:space="preserve">资源发布能力</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Mar>
              <w:left w:w="-1" w:type="dxa"/>
              <w:top w:w="-1" w:type="dxa"/>
              <w:right w:w="-1" w:type="dxa"/>
              <w:bottom w:w="-1" w:type="dxa"/>
            </w:tcMar>
            <w:tcW w:w="7166" w:type="dxa"/>
            <w:vAlign w:val="center"/>
            <w:textDirection w:val="lrTb"/>
            <w:noWrap w:val="false"/>
          </w:tcPr>
          <w:p>
            <w:pPr>
              <w:pStyle w:val="1012"/>
              <w:ind w:left="0" w:right="0" w:firstLine="0"/>
              <w:jc w:val="left"/>
              <w:spacing w:after="0" w:line="274"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TW" w:eastAsia="zh-TW" w:bidi="ar"/>
              </w:rPr>
              <w:t xml:space="preserve">通过WEB模式，可以支持基于http或https协议代理访问业务资源，支持发布IP或域名形式的后端服务器地址，可配置业务应用的具体访问URL路径。为了保持用户访问应用体验的一致性，后端服务器地址需支持多地址配置</w:t>
            </w:r>
            <w:r>
              <w:rPr>
                <w:rFonts w:hint="eastAsia" w:ascii="宋体" w:hAnsi="宋体" w:eastAsia="宋体" w:cs="宋体"/>
                <w:color w:val="000000" w:themeColor="text1"/>
                <w:sz w:val="24"/>
                <w:szCs w:val="24"/>
                <w:highlight w:val="none"/>
                <w:lang w:val="zh-TW" w:eastAsia="zh-CN" w:bidi="ar"/>
              </w:rPr>
              <w:t xml:space="preserve">。</w:t>
            </w:r>
            <w:r>
              <w:rPr>
                <w:rFonts w:hint="eastAsia" w:ascii="宋体" w:hAnsi="宋体" w:eastAsia="宋体" w:cs="宋体"/>
                <w:color w:val="000000" w:themeColor="text1"/>
                <w:sz w:val="24"/>
                <w:szCs w:val="24"/>
                <w:highlight w:val="none"/>
                <w:lang w:val="zh-TW" w:eastAsia="zh-TW" w:bidi="ar"/>
              </w:rPr>
              <w:t xml:space="preserve">为适应较复杂的内外网访问场景，WEB应用的前端访问地址应支持多地址访问。存在前置代理设备的场景，还应支持从XFF字段获取源IP。</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Mar>
              <w:left w:w="-1" w:type="dxa"/>
              <w:top w:w="-1" w:type="dxa"/>
              <w:right w:w="-1" w:type="dxa"/>
              <w:bottom w:w="-1" w:type="dxa"/>
            </w:tcMar>
            <w:tcW w:w="1870" w:type="dxa"/>
            <w:vAlign w:val="center"/>
            <w:vMerge w:val="continue"/>
            <w:textDirection w:val="lrTb"/>
            <w:noWrap w:val="false"/>
          </w:tcPr>
          <w:p>
            <w:pPr>
              <w:pStyle w:val="1012"/>
              <w:ind w:left="0" w:right="0" w:firstLine="0"/>
              <w:jc w:val="left"/>
              <w:spacing w:after="0" w:line="274" w:lineRule="auto"/>
              <w:widowControl/>
              <w:rPr>
                <w:rFonts w:hint="eastAsia" w:ascii="宋体" w:hAnsi="宋体" w:eastAsia="宋体" w:cs="宋体"/>
                <w:color w:val="000000"/>
                <w:sz w:val="24"/>
                <w:szCs w:val="24"/>
                <w:highlight w:val="none"/>
                <w:lang w:val="zh-TW" w:eastAsia="zh-TW" w:bidi="ar"/>
              </w:rPr>
            </w:pPr>
            <w:r>
              <w:rPr>
                <w:rFonts w:hint="eastAsia" w:ascii="宋体" w:hAnsi="宋体" w:eastAsia="宋体" w:cs="宋体"/>
                <w:color w:val="000000"/>
                <w:sz w:val="24"/>
                <w:szCs w:val="24"/>
                <w:highlight w:val="none"/>
                <w:lang w:val="zh-TW" w:eastAsia="zh-TW" w:bidi="ar"/>
              </w:rPr>
            </w:r>
            <w:r/>
          </w:p>
        </w:tc>
        <w:tc>
          <w:tcPr>
            <w:tcMar>
              <w:left w:w="-1" w:type="dxa"/>
              <w:top w:w="-1" w:type="dxa"/>
              <w:right w:w="-1" w:type="dxa"/>
              <w:bottom w:w="-1" w:type="dxa"/>
            </w:tcMar>
            <w:tcW w:w="7166" w:type="dxa"/>
            <w:vAlign w:val="center"/>
            <w:textDirection w:val="lrTb"/>
            <w:noWrap w:val="false"/>
          </w:tcPr>
          <w:p>
            <w:pPr>
              <w:pStyle w:val="1012"/>
              <w:ind w:left="0" w:right="0" w:firstLine="0"/>
              <w:jc w:val="left"/>
              <w:spacing w:after="0" w:line="274"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TW" w:eastAsia="zh-TW" w:bidi="ar"/>
              </w:rPr>
              <w:t xml:space="preserve">为了保障单位员工认证安全与便捷性的平衡，需支持设置授信终端绑定，支持配置绑定授信终端的可信网络区域、增强认证条件</w:t>
            </w:r>
            <w:r>
              <w:rPr>
                <w:rFonts w:hint="eastAsia" w:ascii="宋体" w:hAnsi="宋体" w:eastAsia="宋体" w:cs="宋体"/>
                <w:color w:val="000000" w:themeColor="text1"/>
                <w:sz w:val="24"/>
                <w:szCs w:val="24"/>
                <w:highlight w:val="none"/>
                <w:lang w:val="zh-TW" w:eastAsia="zh-CN" w:bidi="ar"/>
              </w:rPr>
              <w:t xml:space="preserve">。</w:t>
            </w:r>
            <w:r>
              <w:rPr>
                <w:rFonts w:hint="eastAsia" w:ascii="宋体" w:hAnsi="宋体" w:eastAsia="宋体" w:cs="宋体"/>
                <w:color w:val="000000" w:themeColor="text1"/>
                <w:sz w:val="24"/>
                <w:szCs w:val="24"/>
                <w:highlight w:val="none"/>
                <w:lang w:val="zh-TW" w:eastAsia="zh-TW" w:bidi="ar"/>
              </w:rPr>
              <w:t xml:space="preserve">并可限定用户可绑定的授信终端数量：</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left="0" w:right="0" w:firstLine="0"/>
              <w:jc w:val="left"/>
              <w:spacing w:after="0" w:line="274"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TW" w:eastAsia="zh-CN" w:bidi="ar"/>
              </w:rPr>
              <w:t xml:space="preserve">1.</w:t>
            </w:r>
            <w:r>
              <w:rPr>
                <w:rFonts w:hint="eastAsia" w:ascii="宋体" w:hAnsi="宋体" w:eastAsia="宋体" w:cs="宋体"/>
                <w:color w:val="000000" w:themeColor="text1"/>
                <w:sz w:val="24"/>
                <w:szCs w:val="24"/>
                <w:highlight w:val="none"/>
                <w:lang w:val="zh-TW" w:eastAsia="zh-TW" w:bidi="ar"/>
              </w:rPr>
              <w:t xml:space="preserve">支持查看/添加/移除授信终端，及历史登录情况（包括但不限于终端版本、网络位置区域、历史登录用户、录入时间及上次登录时间等）</w:t>
            </w:r>
            <w:r>
              <w:rPr>
                <w:rFonts w:hint="eastAsia" w:ascii="宋体" w:hAnsi="宋体" w:eastAsia="宋体" w:cs="宋体"/>
                <w:color w:val="000000" w:themeColor="text1"/>
                <w:sz w:val="24"/>
                <w:szCs w:val="24"/>
                <w:highlight w:val="none"/>
                <w:lang w:val="zh-TW" w:eastAsia="zh-CN" w:bidi="ar"/>
              </w:rPr>
              <w:t xml:space="preserve">。</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left="0" w:right="0" w:firstLine="0"/>
              <w:jc w:val="left"/>
              <w:spacing w:after="0" w:line="274"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TW" w:eastAsia="zh-CN" w:bidi="ar"/>
              </w:rPr>
              <w:t xml:space="preserve">2.</w:t>
            </w:r>
            <w:r>
              <w:rPr>
                <w:rFonts w:hint="eastAsia" w:ascii="宋体" w:hAnsi="宋体" w:eastAsia="宋体" w:cs="宋体"/>
                <w:color w:val="000000" w:themeColor="text1"/>
                <w:sz w:val="24"/>
                <w:szCs w:val="24"/>
                <w:highlight w:val="none"/>
                <w:lang w:val="zh-TW" w:eastAsia="zh-TW" w:bidi="ar"/>
              </w:rPr>
              <w:t xml:space="preserve">支持查看所有临时登录的终端信息，及历史登录情况（包括但不限于终端版本、网络位置区域、历史登录用户、录入时间及上次登录时间等）</w:t>
            </w:r>
            <w:r>
              <w:rPr>
                <w:rFonts w:hint="eastAsia" w:ascii="宋体" w:hAnsi="宋体" w:eastAsia="宋体" w:cs="宋体"/>
                <w:color w:val="000000" w:themeColor="text1"/>
                <w:sz w:val="24"/>
                <w:szCs w:val="24"/>
                <w:highlight w:val="none"/>
                <w:lang w:val="zh-TW" w:eastAsia="zh-CN" w:bidi="ar"/>
              </w:rPr>
              <w:t xml:space="preserve">。</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left="0" w:right="0" w:firstLine="0"/>
              <w:jc w:val="left"/>
              <w:spacing w:after="0" w:line="274"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TW" w:eastAsia="zh-CN" w:bidi="ar"/>
              </w:rPr>
              <w:t xml:space="preserve">3.</w:t>
            </w:r>
            <w:r>
              <w:rPr>
                <w:rFonts w:hint="eastAsia" w:ascii="宋体" w:hAnsi="宋体" w:eastAsia="宋体" w:cs="宋体"/>
                <w:color w:val="000000" w:themeColor="text1"/>
                <w:sz w:val="24"/>
                <w:szCs w:val="24"/>
                <w:highlight w:val="none"/>
                <w:lang w:val="zh-TW" w:eastAsia="zh-TW" w:bidi="ar"/>
              </w:rPr>
              <w:t xml:space="preserve">支持用户满足条件后自动绑定、用户增强认证后绑定、用户申请管理员审批绑定、管理员绑定等多种方式</w:t>
            </w:r>
            <w:r>
              <w:rPr>
                <w:rFonts w:hint="eastAsia" w:ascii="宋体" w:hAnsi="宋体" w:eastAsia="宋体" w:cs="宋体"/>
                <w:color w:val="000000" w:themeColor="text1"/>
                <w:sz w:val="24"/>
                <w:szCs w:val="24"/>
                <w:highlight w:val="none"/>
                <w:lang w:val="zh-TW" w:eastAsia="zh-CN" w:bidi="ar"/>
              </w:rPr>
              <w:t xml:space="preserve">。</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left="0" w:right="0" w:firstLine="0"/>
              <w:jc w:val="left"/>
              <w:spacing w:after="0" w:line="274"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TW" w:eastAsia="zh-CN" w:bidi="ar"/>
              </w:rPr>
              <w:t xml:space="preserve">4.</w:t>
            </w:r>
            <w:r>
              <w:rPr>
                <w:rFonts w:hint="eastAsia" w:ascii="宋体" w:hAnsi="宋体" w:eastAsia="宋体" w:cs="宋体"/>
                <w:color w:val="000000" w:themeColor="text1"/>
                <w:sz w:val="24"/>
                <w:szCs w:val="24"/>
                <w:highlight w:val="none"/>
                <w:lang w:val="zh-TW" w:eastAsia="zh-TW" w:bidi="ar"/>
              </w:rPr>
              <w:t xml:space="preserve">支持配置一个</w:t>
            </w:r>
            <w:r>
              <w:rPr>
                <w:rFonts w:hint="eastAsia" w:ascii="宋体" w:hAnsi="宋体" w:eastAsia="宋体" w:cs="宋体"/>
                <w:color w:val="000000" w:themeColor="text1"/>
                <w:sz w:val="24"/>
                <w:szCs w:val="24"/>
                <w:highlight w:val="none"/>
                <w:lang w:val="zh-TW" w:eastAsia="zh-CN" w:bidi="ar"/>
              </w:rPr>
              <w:t xml:space="preserve">账号在</w:t>
            </w:r>
            <w:r>
              <w:rPr>
                <w:rFonts w:hint="eastAsia" w:ascii="宋体" w:hAnsi="宋体" w:eastAsia="宋体" w:cs="宋体"/>
                <w:color w:val="000000" w:themeColor="text1"/>
                <w:sz w:val="24"/>
                <w:szCs w:val="24"/>
                <w:highlight w:val="none"/>
                <w:lang w:val="zh-TW" w:eastAsia="zh-TW" w:bidi="ar"/>
              </w:rPr>
              <w:t xml:space="preserve">PC端和移动端分别绑定N个(1-100</w:t>
            </w:r>
            <w:r>
              <w:rPr>
                <w:rFonts w:hint="eastAsia" w:ascii="宋体" w:hAnsi="宋体" w:eastAsia="宋体" w:cs="宋体"/>
                <w:color w:val="000000" w:themeColor="text1"/>
                <w:sz w:val="24"/>
                <w:szCs w:val="24"/>
                <w:highlight w:val="none"/>
                <w:lang w:val="zh-TW" w:eastAsia="zh-CN" w:bidi="ar"/>
              </w:rPr>
              <w:t xml:space="preserve">）</w:t>
            </w:r>
            <w:r>
              <w:rPr>
                <w:rFonts w:hint="eastAsia" w:ascii="宋体" w:hAnsi="宋体" w:eastAsia="宋体" w:cs="宋体"/>
                <w:color w:val="000000" w:themeColor="text1"/>
                <w:sz w:val="24"/>
                <w:szCs w:val="24"/>
                <w:highlight w:val="none"/>
                <w:lang w:val="zh-TW" w:eastAsia="zh-TW" w:bidi="ar"/>
              </w:rPr>
              <w:t xml:space="preserve">终端数量</w:t>
            </w:r>
            <w:r>
              <w:rPr>
                <w:rFonts w:hint="eastAsia" w:ascii="宋体" w:hAnsi="宋体" w:eastAsia="宋体" w:cs="宋体"/>
                <w:color w:val="000000" w:themeColor="text1"/>
                <w:sz w:val="24"/>
                <w:szCs w:val="24"/>
                <w:highlight w:val="none"/>
                <w:lang w:val="zh-TW" w:eastAsia="zh-CN" w:bidi="ar"/>
              </w:rPr>
              <w:t xml:space="preserve">。</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left="0" w:right="0" w:firstLine="0"/>
              <w:jc w:val="left"/>
              <w:spacing w:after="0" w:line="274"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TW" w:eastAsia="zh-CN" w:bidi="ar"/>
              </w:rPr>
              <w:t xml:space="preserve">5.</w:t>
            </w:r>
            <w:r>
              <w:rPr>
                <w:rFonts w:hint="eastAsia" w:ascii="宋体" w:hAnsi="宋体" w:eastAsia="宋体" w:cs="宋体"/>
                <w:color w:val="000000" w:themeColor="text1"/>
                <w:sz w:val="24"/>
                <w:szCs w:val="24"/>
                <w:highlight w:val="none"/>
                <w:lang w:val="zh-TW" w:eastAsia="zh-TW" w:bidi="ar"/>
              </w:rPr>
              <w:t xml:space="preserve">支持配置一个终端仅允许一个用户绑定。</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Mar>
              <w:left w:w="-1" w:type="dxa"/>
              <w:top w:w="-1" w:type="dxa"/>
              <w:right w:w="-1" w:type="dxa"/>
              <w:bottom w:w="-1" w:type="dxa"/>
            </w:tcMar>
            <w:tcW w:w="1870" w:type="dxa"/>
            <w:vAlign w:val="center"/>
            <w:vMerge w:val="continue"/>
            <w:textDirection w:val="lrTb"/>
            <w:noWrap w:val="false"/>
          </w:tcPr>
          <w:p>
            <w:pPr>
              <w:pStyle w:val="1012"/>
              <w:ind w:left="0" w:right="0" w:firstLine="0"/>
              <w:jc w:val="left"/>
              <w:spacing w:after="0" w:line="274" w:lineRule="auto"/>
              <w:widowControl/>
              <w:rPr>
                <w:rFonts w:hint="eastAsia" w:ascii="宋体" w:hAnsi="宋体" w:eastAsia="宋体" w:cs="宋体"/>
                <w:color w:val="000000"/>
                <w:sz w:val="24"/>
                <w:szCs w:val="24"/>
                <w:highlight w:val="none"/>
                <w:lang w:val="zh-TW" w:eastAsia="zh-TW" w:bidi="ar"/>
              </w:rPr>
            </w:pPr>
            <w:r>
              <w:rPr>
                <w:rFonts w:hint="eastAsia" w:ascii="宋体" w:hAnsi="宋体" w:eastAsia="宋体" w:cs="宋体"/>
                <w:color w:val="000000"/>
                <w:sz w:val="24"/>
                <w:szCs w:val="24"/>
                <w:highlight w:val="none"/>
                <w:lang w:val="zh-TW" w:eastAsia="zh-TW" w:bidi="ar"/>
              </w:rPr>
            </w:r>
            <w:r/>
          </w:p>
        </w:tc>
        <w:tc>
          <w:tcPr>
            <w:tcMar>
              <w:left w:w="-1" w:type="dxa"/>
              <w:top w:w="-1" w:type="dxa"/>
              <w:right w:w="-1" w:type="dxa"/>
              <w:bottom w:w="-1" w:type="dxa"/>
            </w:tcMar>
            <w:tcW w:w="7166" w:type="dxa"/>
            <w:vAlign w:val="center"/>
            <w:textDirection w:val="lrTb"/>
            <w:noWrap w:val="false"/>
          </w:tcPr>
          <w:p>
            <w:pPr>
              <w:pStyle w:val="1012"/>
              <w:ind w:left="0" w:right="0" w:firstLine="0"/>
              <w:jc w:val="left"/>
              <w:spacing w:after="0" w:line="274"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TW" w:eastAsia="zh-TW" w:bidi="ar"/>
              </w:rPr>
              <w:t xml:space="preserve">为有效抵御恶意软件和有针对性的攻击，应支持WEB资源配置URL黑白名单，且URL黑白名单支持通配符配置</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Mar>
              <w:left w:w="-1" w:type="dxa"/>
              <w:top w:w="-1" w:type="dxa"/>
              <w:right w:w="-1" w:type="dxa"/>
              <w:bottom w:w="-1" w:type="dxa"/>
            </w:tcMar>
            <w:tcW w:w="1870" w:type="dxa"/>
            <w:vAlign w:val="center"/>
            <w:vMerge w:val="restart"/>
            <w:textDirection w:val="lrTb"/>
            <w:noWrap w:val="false"/>
          </w:tcPr>
          <w:p>
            <w:pPr>
              <w:pStyle w:val="1012"/>
              <w:ind w:left="0" w:right="0" w:firstLine="0"/>
              <w:jc w:val="left"/>
              <w:spacing w:after="0" w:line="274"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TW" w:eastAsia="zh-TW" w:bidi="ar"/>
              </w:rPr>
              <w:t xml:space="preserve">安全特性</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Mar>
              <w:left w:w="-1" w:type="dxa"/>
              <w:top w:w="-1" w:type="dxa"/>
              <w:right w:w="-1" w:type="dxa"/>
              <w:bottom w:w="-1" w:type="dxa"/>
            </w:tcMar>
            <w:tcW w:w="7166" w:type="dxa"/>
            <w:vAlign w:val="center"/>
            <w:textDirection w:val="lrTb"/>
            <w:noWrap w:val="false"/>
          </w:tcPr>
          <w:p>
            <w:pPr>
              <w:pStyle w:val="1012"/>
              <w:ind w:left="0" w:right="0" w:firstLine="0"/>
              <w:jc w:val="left"/>
              <w:spacing w:after="0" w:line="274"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TW" w:eastAsia="zh-TW" w:bidi="ar"/>
              </w:rPr>
              <w:t xml:space="preserve">为了最大程度缩小网络、业务暴露面，零信任平台需提供单包授权能力（SPA），支持UDP+TCP组合的单包授权技术，未授权用户无法连接零信任设备，无法扫描到服务端口，不会出现敲门放大漏洞</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Mar>
              <w:left w:w="-1" w:type="dxa"/>
              <w:top w:w="-1" w:type="dxa"/>
              <w:right w:w="-1" w:type="dxa"/>
              <w:bottom w:w="-1" w:type="dxa"/>
            </w:tcMar>
            <w:tcW w:w="1870" w:type="dxa"/>
            <w:vAlign w:val="center"/>
            <w:vMerge w:val="continue"/>
            <w:textDirection w:val="lrTb"/>
            <w:noWrap w:val="false"/>
          </w:tcPr>
          <w:p>
            <w:pPr>
              <w:pStyle w:val="1012"/>
              <w:ind w:left="0" w:right="0" w:firstLine="0"/>
              <w:jc w:val="left"/>
              <w:spacing w:after="0" w:line="274" w:lineRule="auto"/>
              <w:widowControl/>
              <w:rPr>
                <w:rFonts w:hint="eastAsia" w:ascii="宋体" w:hAnsi="宋体" w:eastAsia="宋体" w:cs="宋体"/>
                <w:color w:val="000000"/>
                <w:sz w:val="24"/>
                <w:szCs w:val="24"/>
                <w:highlight w:val="none"/>
                <w:lang w:val="zh-TW" w:eastAsia="zh-TW" w:bidi="ar"/>
              </w:rPr>
            </w:pPr>
            <w:r>
              <w:rPr>
                <w:rFonts w:hint="eastAsia" w:ascii="宋体" w:hAnsi="宋体" w:eastAsia="宋体" w:cs="宋体"/>
                <w:color w:val="000000"/>
                <w:sz w:val="24"/>
                <w:szCs w:val="24"/>
                <w:highlight w:val="none"/>
                <w:lang w:val="zh-TW" w:eastAsia="zh-TW" w:bidi="ar"/>
              </w:rPr>
            </w:r>
            <w:r/>
          </w:p>
        </w:tc>
        <w:tc>
          <w:tcPr>
            <w:tcMar>
              <w:left w:w="-1" w:type="dxa"/>
              <w:top w:w="-1" w:type="dxa"/>
              <w:right w:w="-1" w:type="dxa"/>
              <w:bottom w:w="-1" w:type="dxa"/>
            </w:tcMar>
            <w:tcW w:w="7166" w:type="dxa"/>
            <w:vAlign w:val="center"/>
            <w:textDirection w:val="lrTb"/>
            <w:noWrap w:val="false"/>
          </w:tcPr>
          <w:p>
            <w:pPr>
              <w:pStyle w:val="1012"/>
              <w:ind w:left="0" w:right="0" w:firstLine="0"/>
              <w:jc w:val="left"/>
              <w:spacing w:after="0" w:line="274"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TW" w:eastAsia="zh-TW" w:bidi="ar"/>
              </w:rPr>
              <w:t xml:space="preserve">▲支持自适应的账户安全策略，能够根据用户登录认证的常用时间、网络、位置、终端等形成行为基线，持续动态评估用户认证行为，执行匹配策略的动作</w:t>
            </w:r>
            <w:r>
              <w:rPr>
                <w:rFonts w:hint="eastAsia" w:ascii="宋体" w:hAnsi="宋体" w:eastAsia="宋体" w:cs="宋体"/>
                <w:color w:val="000000" w:themeColor="text1"/>
                <w:sz w:val="24"/>
                <w:szCs w:val="24"/>
                <w:highlight w:val="none"/>
                <w:lang w:val="en-US" w:eastAsia="zh-CN" w:bidi="ar"/>
              </w:rPr>
              <w:t xml:space="preserve">投标人</w:t>
            </w:r>
            <w:r>
              <w:rPr>
                <w:rFonts w:hint="eastAsia" w:ascii="宋体" w:hAnsi="宋体" w:eastAsia="宋体" w:cs="宋体"/>
                <w:color w:val="000000" w:themeColor="text1"/>
                <w:sz w:val="24"/>
                <w:szCs w:val="24"/>
                <w:highlight w:val="none"/>
                <w:lang w:val="zh-TW" w:eastAsia="zh-CN" w:bidi="ar"/>
              </w:rPr>
              <w:t xml:space="preserve">提供该设备操作界面功能截图</w:t>
            </w:r>
            <w:r>
              <w:rPr>
                <w:rFonts w:hint="eastAsia" w:ascii="宋体" w:hAnsi="宋体" w:eastAsia="宋体" w:cs="宋体"/>
                <w:color w:val="000000" w:themeColor="text1"/>
                <w:sz w:val="24"/>
                <w:szCs w:val="24"/>
                <w:highlight w:val="none"/>
                <w:lang w:val="en-US" w:eastAsia="zh-CN" w:bidi="ar"/>
              </w:rPr>
              <w:t xml:space="preserve">加盖投标人公章。</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Mar>
              <w:left w:w="-1" w:type="dxa"/>
              <w:top w:w="-1" w:type="dxa"/>
              <w:right w:w="-1" w:type="dxa"/>
              <w:bottom w:w="-1" w:type="dxa"/>
            </w:tcMar>
            <w:tcW w:w="1870" w:type="dxa"/>
            <w:vAlign w:val="center"/>
            <w:vMerge w:val="continue"/>
            <w:textDirection w:val="lrTb"/>
            <w:noWrap w:val="false"/>
          </w:tcPr>
          <w:p>
            <w:pPr>
              <w:pStyle w:val="1012"/>
              <w:ind w:left="0" w:right="0" w:firstLine="0"/>
              <w:jc w:val="left"/>
              <w:spacing w:after="0" w:line="274" w:lineRule="auto"/>
              <w:widowControl/>
              <w:rPr>
                <w:rFonts w:hint="eastAsia" w:ascii="宋体" w:hAnsi="宋体" w:eastAsia="宋体" w:cs="宋体"/>
                <w:color w:val="000000"/>
                <w:sz w:val="24"/>
                <w:szCs w:val="24"/>
                <w:highlight w:val="none"/>
                <w:lang w:val="zh-TW" w:eastAsia="zh-TW" w:bidi="ar"/>
              </w:rPr>
            </w:pPr>
            <w:r>
              <w:rPr>
                <w:rFonts w:hint="eastAsia" w:ascii="宋体" w:hAnsi="宋体" w:eastAsia="宋体" w:cs="宋体"/>
                <w:color w:val="000000"/>
                <w:sz w:val="24"/>
                <w:szCs w:val="24"/>
                <w:highlight w:val="none"/>
                <w:lang w:val="zh-TW" w:eastAsia="zh-TW" w:bidi="ar"/>
              </w:rPr>
            </w:r>
            <w:r/>
          </w:p>
        </w:tc>
        <w:tc>
          <w:tcPr>
            <w:tcMar>
              <w:left w:w="-1" w:type="dxa"/>
              <w:top w:w="-1" w:type="dxa"/>
              <w:right w:w="-1" w:type="dxa"/>
              <w:bottom w:w="-1" w:type="dxa"/>
            </w:tcMar>
            <w:tcW w:w="7166" w:type="dxa"/>
            <w:vAlign w:val="center"/>
            <w:textDirection w:val="lrTb"/>
            <w:noWrap w:val="false"/>
          </w:tcPr>
          <w:p>
            <w:pPr>
              <w:pStyle w:val="1012"/>
              <w:ind w:left="0" w:right="0" w:firstLine="0"/>
              <w:jc w:val="left"/>
              <w:spacing w:after="0" w:line="274"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TW" w:eastAsia="zh-TW" w:bidi="ar"/>
              </w:rPr>
              <w:t xml:space="preserve">支持针对不同的B/S应用开启WEB水印，水印内容包括：用户名+当前日期，具有威慑作用，有效预防数据泄露</w:t>
            </w:r>
            <w:r>
              <w:rPr>
                <w:rFonts w:hint="eastAsia" w:ascii="宋体" w:hAnsi="宋体" w:eastAsia="宋体" w:cs="宋体"/>
                <w:color w:val="000000" w:themeColor="text1"/>
                <w:sz w:val="24"/>
                <w:szCs w:val="24"/>
                <w:highlight w:val="none"/>
                <w:lang w:val="zh-TW" w:eastAsia="zh-CN" w:bidi="ar"/>
              </w:rPr>
              <w:t xml:space="preserve">。</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Mar>
              <w:left w:w="-1" w:type="dxa"/>
              <w:top w:w="-1" w:type="dxa"/>
              <w:right w:w="-1" w:type="dxa"/>
              <w:bottom w:w="-1" w:type="dxa"/>
            </w:tcMar>
            <w:tcW w:w="1870" w:type="dxa"/>
            <w:vAlign w:val="center"/>
            <w:vMerge w:val="continue"/>
            <w:textDirection w:val="lrTb"/>
            <w:noWrap w:val="false"/>
          </w:tcPr>
          <w:p>
            <w:pPr>
              <w:pStyle w:val="1012"/>
              <w:ind w:left="0" w:right="0" w:firstLine="0"/>
              <w:jc w:val="left"/>
              <w:spacing w:after="0" w:line="274" w:lineRule="auto"/>
              <w:widowControl/>
              <w:rPr>
                <w:rFonts w:hint="eastAsia" w:ascii="宋体" w:hAnsi="宋体" w:eastAsia="宋体" w:cs="宋体"/>
                <w:color w:val="000000"/>
                <w:sz w:val="24"/>
                <w:szCs w:val="24"/>
                <w:highlight w:val="none"/>
                <w:lang w:val="zh-TW" w:eastAsia="zh-TW" w:bidi="ar"/>
              </w:rPr>
            </w:pPr>
            <w:r>
              <w:rPr>
                <w:rFonts w:hint="eastAsia" w:ascii="宋体" w:hAnsi="宋体" w:eastAsia="宋体" w:cs="宋体"/>
                <w:color w:val="000000"/>
                <w:sz w:val="24"/>
                <w:szCs w:val="24"/>
                <w:highlight w:val="none"/>
                <w:lang w:val="zh-TW" w:eastAsia="zh-TW" w:bidi="ar"/>
              </w:rPr>
            </w:r>
            <w:r/>
          </w:p>
        </w:tc>
        <w:tc>
          <w:tcPr>
            <w:tcMar>
              <w:left w:w="-1" w:type="dxa"/>
              <w:top w:w="-1" w:type="dxa"/>
              <w:right w:w="-1" w:type="dxa"/>
              <w:bottom w:w="-1" w:type="dxa"/>
            </w:tcMar>
            <w:tcW w:w="7166" w:type="dxa"/>
            <w:vAlign w:val="center"/>
            <w:textDirection w:val="lrTb"/>
            <w:noWrap w:val="false"/>
          </w:tcPr>
          <w:p>
            <w:pPr>
              <w:pStyle w:val="1012"/>
              <w:ind w:left="0" w:right="0" w:firstLine="0"/>
              <w:jc w:val="left"/>
              <w:spacing w:after="0" w:line="274"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TW" w:eastAsia="zh-TW" w:bidi="ar"/>
              </w:rPr>
              <w:t xml:space="preserve">支持配置虚拟专线功能，当用户登录零信任客户端之后，自动断开互联网连接，避免互联网威胁影响内网业务系统。支持通过桌面悬浮球的方式，用户可一键切换内网或互联网。</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Mar>
              <w:left w:w="-1" w:type="dxa"/>
              <w:top w:w="-1" w:type="dxa"/>
              <w:right w:w="-1" w:type="dxa"/>
              <w:bottom w:w="-1" w:type="dxa"/>
            </w:tcMar>
            <w:tcW w:w="1870" w:type="dxa"/>
            <w:vAlign w:val="center"/>
            <w:textDirection w:val="lrTb"/>
            <w:noWrap w:val="false"/>
          </w:tcPr>
          <w:p>
            <w:pPr>
              <w:pStyle w:val="1012"/>
              <w:ind w:left="0" w:right="0" w:firstLine="0"/>
              <w:jc w:val="left"/>
              <w:spacing w:after="0" w:line="274"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TW" w:eastAsia="zh-TW" w:bidi="ar"/>
              </w:rPr>
              <w:t xml:space="preserve">系统运维</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Mar>
              <w:left w:w="-1" w:type="dxa"/>
              <w:top w:w="-1" w:type="dxa"/>
              <w:right w:w="-1" w:type="dxa"/>
              <w:bottom w:w="-1" w:type="dxa"/>
            </w:tcMar>
            <w:tcW w:w="7166" w:type="dxa"/>
            <w:vAlign w:val="center"/>
            <w:textDirection w:val="lrTb"/>
            <w:noWrap w:val="false"/>
          </w:tcPr>
          <w:p>
            <w:pPr>
              <w:pStyle w:val="1012"/>
              <w:ind w:left="0" w:right="0" w:firstLine="0"/>
              <w:jc w:val="left"/>
              <w:spacing w:after="0" w:line="274"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TW" w:eastAsia="zh-TW" w:bidi="ar"/>
              </w:rPr>
              <w:t xml:space="preserve">支持终端环境诊断排查，提供终端诊断工具，支持对当前终端的基本环境进行扫描和一键修复，便于员工自行排查修复终端问题，减少IT运维人员工作。</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Mar>
              <w:left w:w="-1" w:type="dxa"/>
              <w:top w:w="-1" w:type="dxa"/>
              <w:right w:w="-1" w:type="dxa"/>
              <w:bottom w:w="-1" w:type="dxa"/>
            </w:tcMar>
            <w:tcW w:w="1870" w:type="dxa"/>
            <w:vAlign w:val="center"/>
            <w:vMerge w:val="restart"/>
            <w:textDirection w:val="lrTb"/>
            <w:noWrap w:val="false"/>
          </w:tcPr>
          <w:p>
            <w:pPr>
              <w:pStyle w:val="1012"/>
              <w:ind w:left="0" w:right="0" w:firstLine="0"/>
              <w:jc w:val="left"/>
              <w:spacing w:after="0" w:line="274"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TW" w:eastAsia="zh-TW" w:bidi="ar"/>
              </w:rPr>
              <w:t xml:space="preserve">审计能力</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Mar>
              <w:left w:w="-1" w:type="dxa"/>
              <w:top w:w="-1" w:type="dxa"/>
              <w:right w:w="-1" w:type="dxa"/>
              <w:bottom w:w="-1" w:type="dxa"/>
            </w:tcMar>
            <w:tcW w:w="7166" w:type="dxa"/>
            <w:vAlign w:val="center"/>
            <w:textDirection w:val="lrTb"/>
            <w:noWrap w:val="false"/>
          </w:tcPr>
          <w:p>
            <w:pPr>
              <w:pStyle w:val="1012"/>
              <w:ind w:left="0" w:right="0" w:firstLine="0"/>
              <w:jc w:val="left"/>
              <w:spacing w:after="0" w:line="274"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TW" w:eastAsia="zh-TW" w:bidi="ar"/>
              </w:rPr>
              <w:t xml:space="preserve">支持用户登录日志（登录、注销，含MAC地址、终端类型、浏览器类型等）</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Mar>
              <w:left w:w="-1" w:type="dxa"/>
              <w:top w:w="-1" w:type="dxa"/>
              <w:right w:w="-1" w:type="dxa"/>
              <w:bottom w:w="-1" w:type="dxa"/>
            </w:tcMar>
            <w:tcW w:w="1870" w:type="dxa"/>
            <w:vAlign w:val="center"/>
            <w:vMerge w:val="continue"/>
            <w:textDirection w:val="lrTb"/>
            <w:noWrap w:val="false"/>
          </w:tcPr>
          <w:p>
            <w:pPr>
              <w:pStyle w:val="1012"/>
              <w:ind w:left="0" w:right="0" w:firstLine="0"/>
              <w:jc w:val="left"/>
              <w:spacing w:after="0" w:line="274" w:lineRule="auto"/>
              <w:widowControl/>
              <w:rPr>
                <w:rFonts w:hint="eastAsia" w:ascii="宋体" w:hAnsi="宋体" w:eastAsia="宋体" w:cs="宋体"/>
                <w:color w:val="000000"/>
                <w:sz w:val="24"/>
                <w:szCs w:val="24"/>
                <w:highlight w:val="none"/>
                <w:lang w:val="zh-TW" w:eastAsia="zh-TW" w:bidi="ar"/>
              </w:rPr>
            </w:pPr>
            <w:r>
              <w:rPr>
                <w:rFonts w:hint="eastAsia" w:ascii="宋体" w:hAnsi="宋体" w:eastAsia="宋体" w:cs="宋体"/>
                <w:color w:val="000000"/>
                <w:sz w:val="24"/>
                <w:szCs w:val="24"/>
                <w:highlight w:val="none"/>
                <w:lang w:val="zh-TW" w:eastAsia="zh-TW" w:bidi="ar"/>
              </w:rPr>
            </w:r>
            <w:r/>
          </w:p>
        </w:tc>
        <w:tc>
          <w:tcPr>
            <w:tcMar>
              <w:left w:w="-1" w:type="dxa"/>
              <w:top w:w="-1" w:type="dxa"/>
              <w:right w:w="-1" w:type="dxa"/>
              <w:bottom w:w="-1" w:type="dxa"/>
            </w:tcMar>
            <w:tcW w:w="7166" w:type="dxa"/>
            <w:vAlign w:val="center"/>
            <w:textDirection w:val="lrTb"/>
            <w:noWrap w:val="false"/>
          </w:tcPr>
          <w:p>
            <w:pPr>
              <w:pStyle w:val="1012"/>
              <w:ind w:left="0" w:right="0" w:firstLine="0"/>
              <w:jc w:val="left"/>
              <w:spacing w:after="0" w:line="274"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TW" w:eastAsia="zh-TW" w:bidi="ar"/>
              </w:rPr>
              <w:t xml:space="preserve">支持在控制台对密码卡进行管理（包括：激活、取消激活、密钥备份/恢复、管理KEY口令）</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Mar>
              <w:left w:w="-1" w:type="dxa"/>
              <w:top w:w="-1" w:type="dxa"/>
              <w:right w:w="-1" w:type="dxa"/>
              <w:bottom w:w="-1" w:type="dxa"/>
            </w:tcMar>
            <w:tcW w:w="1870" w:type="dxa"/>
            <w:vAlign w:val="center"/>
            <w:textDirection w:val="lrTb"/>
            <w:noWrap w:val="false"/>
          </w:tcPr>
          <w:p>
            <w:pPr>
              <w:pStyle w:val="1012"/>
              <w:ind w:left="0" w:right="0" w:firstLine="0"/>
              <w:jc w:val="left"/>
              <w:spacing w:after="0" w:line="274"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TW" w:eastAsia="zh-TW" w:bidi="ar"/>
              </w:rPr>
              <w:t xml:space="preserve">资质</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Mar>
              <w:left w:w="-1" w:type="dxa"/>
              <w:top w:w="-1" w:type="dxa"/>
              <w:right w:w="-1" w:type="dxa"/>
              <w:bottom w:w="-1" w:type="dxa"/>
            </w:tcMar>
            <w:tcW w:w="7166" w:type="dxa"/>
            <w:vAlign w:val="center"/>
            <w:textDirection w:val="lrTb"/>
            <w:noWrap w:val="false"/>
          </w:tcPr>
          <w:p>
            <w:pPr>
              <w:pStyle w:val="1012"/>
              <w:ind w:left="0" w:right="0" w:firstLine="0"/>
              <w:jc w:val="left"/>
              <w:spacing w:after="0" w:line="274"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TW" w:eastAsia="zh-TW" w:bidi="ar"/>
              </w:rPr>
              <w:t xml:space="preserve">▲为证明所投产品的自身安全性，</w:t>
            </w:r>
            <w:r>
              <w:rPr>
                <w:rFonts w:hint="eastAsia" w:ascii="宋体" w:hAnsi="宋体" w:eastAsia="宋体" w:cs="宋体"/>
                <w:color w:val="000000" w:themeColor="text1"/>
                <w:sz w:val="24"/>
                <w:szCs w:val="24"/>
                <w:highlight w:val="none"/>
                <w:lang w:val="zh-TW" w:eastAsia="zh-CN" w:bidi="ar"/>
              </w:rPr>
              <w:t xml:space="preserve">提供</w:t>
            </w:r>
            <w:r>
              <w:rPr>
                <w:rFonts w:hint="eastAsia" w:ascii="宋体" w:hAnsi="宋体" w:eastAsia="宋体" w:cs="宋体"/>
                <w:color w:val="000000" w:themeColor="text1"/>
                <w:sz w:val="24"/>
                <w:szCs w:val="24"/>
                <w:highlight w:val="none"/>
                <w:lang w:val="zh-TW" w:eastAsia="zh-TW" w:bidi="ar"/>
              </w:rPr>
              <w:t xml:space="preserve">具备国家认可的数据安全服务相关资质</w:t>
            </w:r>
            <w:r>
              <w:rPr>
                <w:rFonts w:hint="eastAsia" w:ascii="宋体" w:hAnsi="宋体" w:eastAsia="宋体" w:cs="宋体"/>
                <w:color w:val="000000" w:themeColor="text1"/>
                <w:sz w:val="24"/>
                <w:szCs w:val="24"/>
                <w:highlight w:val="none"/>
                <w:lang w:val="zh-TW" w:eastAsia="zh-CN" w:bidi="ar"/>
              </w:rPr>
              <w:t xml:space="preserve">，</w:t>
            </w:r>
            <w:r>
              <w:rPr>
                <w:rFonts w:hint="eastAsia" w:ascii="宋体" w:hAnsi="宋体" w:eastAsia="宋体" w:cs="宋体"/>
                <w:color w:val="000000" w:themeColor="text1"/>
                <w:sz w:val="24"/>
                <w:szCs w:val="24"/>
                <w:highlight w:val="none"/>
                <w:lang w:val="en-US" w:eastAsia="zh-CN" w:bidi="ar"/>
              </w:rPr>
              <w:t xml:space="preserve">投标人</w:t>
            </w:r>
            <w:r>
              <w:rPr>
                <w:rFonts w:hint="eastAsia" w:ascii="宋体" w:hAnsi="宋体" w:eastAsia="宋体" w:cs="宋体"/>
                <w:color w:val="000000" w:themeColor="text1"/>
                <w:sz w:val="24"/>
                <w:szCs w:val="24"/>
                <w:highlight w:val="none"/>
                <w:lang w:val="zh-TW" w:eastAsia="zh-TW" w:bidi="ar"/>
              </w:rPr>
              <w:t xml:space="preserve">提供证书</w:t>
            </w:r>
            <w:r>
              <w:rPr>
                <w:rFonts w:hint="eastAsia" w:ascii="宋体" w:hAnsi="宋体" w:eastAsia="宋体" w:cs="宋体"/>
                <w:color w:val="000000" w:themeColor="text1"/>
                <w:sz w:val="24"/>
                <w:szCs w:val="24"/>
                <w:highlight w:val="none"/>
                <w:lang w:val="en-US" w:eastAsia="zh-CN" w:bidi="ar"/>
              </w:rPr>
              <w:t xml:space="preserve">扫描件并加盖投标人公章</w:t>
            </w:r>
            <w:r>
              <w:rPr>
                <w:rFonts w:hint="eastAsia" w:ascii="宋体" w:hAnsi="宋体" w:eastAsia="宋体" w:cs="宋体"/>
                <w:color w:val="000000" w:themeColor="text1"/>
                <w:sz w:val="24"/>
                <w:szCs w:val="24"/>
                <w:highlight w:val="none"/>
                <w:lang w:val="zh-TW" w:eastAsia="zh-CN" w:bidi="ar"/>
              </w:rPr>
              <w:t xml:space="preserve">。</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Mar>
              <w:left w:w="-1" w:type="dxa"/>
              <w:top w:w="-1" w:type="dxa"/>
              <w:right w:w="-1" w:type="dxa"/>
              <w:bottom w:w="-1" w:type="dxa"/>
            </w:tcMar>
            <w:tcW w:w="1870" w:type="dxa"/>
            <w:vAlign w:val="center"/>
            <w:textDirection w:val="lrTb"/>
            <w:noWrap w:val="false"/>
          </w:tcPr>
          <w:p>
            <w:pPr>
              <w:pStyle w:val="1012"/>
              <w:ind w:left="0" w:right="0" w:firstLine="0"/>
              <w:jc w:val="left"/>
              <w:spacing w:after="0" w:line="274"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TW" w:eastAsia="zh-TW" w:bidi="ar"/>
              </w:rPr>
              <w:t xml:space="preserve">服务要求</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Mar>
              <w:left w:w="-1" w:type="dxa"/>
              <w:top w:w="-1" w:type="dxa"/>
              <w:right w:w="-1" w:type="dxa"/>
              <w:bottom w:w="-1" w:type="dxa"/>
            </w:tcMar>
            <w:tcW w:w="7166" w:type="dxa"/>
            <w:vAlign w:val="center"/>
            <w:textDirection w:val="lrTb"/>
            <w:noWrap w:val="false"/>
          </w:tcPr>
          <w:p>
            <w:pPr>
              <w:pStyle w:val="1012"/>
              <w:ind w:left="0" w:right="0" w:firstLine="0"/>
              <w:jc w:val="left"/>
              <w:spacing w:after="0" w:line="274"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TW" w:eastAsia="zh-TW" w:bidi="ar"/>
              </w:rPr>
              <w:t xml:space="preserve">提供包含</w:t>
            </w:r>
            <w:r>
              <w:rPr>
                <w:rFonts w:hint="eastAsia" w:ascii="宋体" w:hAnsi="宋体" w:eastAsia="宋体" w:cs="宋体"/>
                <w:color w:val="000000" w:themeColor="text1"/>
                <w:sz w:val="24"/>
                <w:szCs w:val="24"/>
                <w:highlight w:val="none"/>
                <w:lang w:val="en-US" w:eastAsia="zh-CN" w:bidi="ar"/>
              </w:rPr>
              <w:t xml:space="preserve">3</w:t>
            </w:r>
            <w:r>
              <w:rPr>
                <w:rFonts w:hint="eastAsia" w:ascii="宋体" w:hAnsi="宋体" w:eastAsia="宋体" w:cs="宋体"/>
                <w:color w:val="000000" w:themeColor="text1"/>
                <w:sz w:val="24"/>
                <w:szCs w:val="24"/>
                <w:highlight w:val="none"/>
                <w:lang w:val="zh-TW" w:eastAsia="zh-TW" w:bidi="ar"/>
              </w:rPr>
              <w:t xml:space="preserve">年的产品质保，</w:t>
            </w:r>
            <w:r>
              <w:rPr>
                <w:rFonts w:hint="eastAsia" w:ascii="宋体" w:hAnsi="宋体" w:eastAsia="宋体" w:cs="宋体"/>
                <w:color w:val="000000" w:themeColor="text1"/>
                <w:sz w:val="24"/>
                <w:szCs w:val="24"/>
                <w:highlight w:val="none"/>
                <w:lang w:val="en-US" w:eastAsia="zh-CN" w:bidi="ar"/>
              </w:rPr>
              <w:t xml:space="preserve">3</w:t>
            </w:r>
            <w:r>
              <w:rPr>
                <w:rFonts w:hint="eastAsia" w:ascii="宋体" w:hAnsi="宋体" w:eastAsia="宋体" w:cs="宋体"/>
                <w:color w:val="000000" w:themeColor="text1"/>
                <w:sz w:val="24"/>
                <w:szCs w:val="24"/>
                <w:highlight w:val="none"/>
                <w:lang w:val="zh-TW" w:eastAsia="zh-TW" w:bidi="ar"/>
              </w:rPr>
              <w:t xml:space="preserve">年软件升级服务</w:t>
            </w:r>
            <w:r>
              <w:rPr>
                <w:rFonts w:hint="eastAsia" w:ascii="宋体" w:hAnsi="宋体" w:eastAsia="宋体" w:cs="宋体"/>
                <w:color w:val="000000" w:themeColor="text1"/>
                <w:sz w:val="24"/>
                <w:szCs w:val="24"/>
                <w:highlight w:val="none"/>
                <w:lang w:val="zh-TW" w:eastAsia="zh-CN" w:bidi="ar"/>
              </w:rPr>
              <w:t xml:space="preserve">。</w:t>
            </w:r>
            <w:r>
              <w:rPr>
                <w:rFonts w:hint="eastAsia" w:ascii="宋体" w:hAnsi="宋体" w:eastAsia="宋体" w:cs="宋体"/>
                <w:color w:val="000000" w:themeColor="text1"/>
                <w:sz w:val="24"/>
                <w:szCs w:val="24"/>
                <w:highlight w:val="none"/>
                <w:lang w:val="en-US" w:eastAsia="zh-CN" w:bidi="ar-SA"/>
              </w:rPr>
            </w:r>
            <w:r>
              <w:rPr>
                <w:color w:val="000000" w:themeColor="text1"/>
              </w:rPr>
            </w:r>
          </w:p>
        </w:tc>
      </w:tr>
    </w:tbl>
    <w:p>
      <w:pPr>
        <w:pStyle w:val="1012"/>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p>
    <w:p>
      <w:pPr>
        <w:pStyle w:val="1012"/>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p>
    <w:p>
      <w:pPr>
        <w:pStyle w:val="1012"/>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p>
    <w:p>
      <w:pPr>
        <w:pStyle w:val="1012"/>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p>
    <w:p>
      <w:pPr>
        <w:pStyle w:val="1012"/>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p>
    <w:p>
      <w:pPr>
        <w:pStyle w:val="1012"/>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p>
    <w:p>
      <w:pPr>
        <w:pStyle w:val="1012"/>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p>
    <w:p>
      <w:pPr>
        <w:pStyle w:val="1012"/>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p>
    <w:p>
      <w:pPr>
        <w:pStyle w:val="1012"/>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p>
    <w:p>
      <w:pPr>
        <w:pStyle w:val="1012"/>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p>
    <w:p>
      <w:pPr>
        <w:pStyle w:val="1012"/>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p>
    <w:p>
      <w:pPr>
        <w:pStyle w:val="1012"/>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p>
    <w:p>
      <w:pPr>
        <w:pStyle w:val="1012"/>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p>
    <w:p>
      <w:pPr>
        <w:pStyle w:val="1012"/>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p>
    <w:p>
      <w:pPr>
        <w:pStyle w:val="1012"/>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p>
    <w:p>
      <w:pPr>
        <w:pStyle w:val="1012"/>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p>
    <w:p>
      <w:pPr>
        <w:pStyle w:val="1012"/>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p>
    <w:p>
      <w:pPr>
        <w:pStyle w:val="1012"/>
        <w:ind w:left="0" w:firstLine="0"/>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p>
    <w:p>
      <w:pPr>
        <w:pStyle w:val="1012"/>
        <w:ind w:left="0" w:firstLine="0"/>
        <w:tabs>
          <w:tab w:val="left" w:pos="420" w:leader="none"/>
        </w:tabs>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lang w:val="en-US" w:eastAsia="zh-CN"/>
        </w:rPr>
        <w:t xml:space="preserve">7.</w:t>
      </w:r>
      <w:r>
        <w:rPr>
          <w:rFonts w:hint="eastAsia" w:ascii="宋体" w:hAnsi="宋体" w:eastAsia="宋体" w:cs="宋体"/>
          <w:b/>
          <w:bCs/>
          <w:color w:val="000000" w:themeColor="text1"/>
          <w:sz w:val="28"/>
          <w:szCs w:val="28"/>
          <w:highlight w:val="none"/>
        </w:rPr>
        <w:t xml:space="preserve">准入</w:t>
      </w:r>
      <w:r>
        <w:rPr>
          <w:rFonts w:hint="eastAsia" w:ascii="宋体" w:hAnsi="宋体" w:eastAsia="宋体" w:cs="宋体"/>
          <w:b/>
          <w:bCs/>
          <w:color w:val="000000" w:themeColor="text1"/>
          <w:sz w:val="28"/>
          <w:szCs w:val="28"/>
          <w:highlight w:val="none"/>
          <w:lang w:val="en-US" w:eastAsia="zh-CN"/>
        </w:rPr>
        <w:t xml:space="preserve">与桌管</w:t>
      </w:r>
      <w:r>
        <w:rPr>
          <w:rFonts w:hint="eastAsia" w:ascii="宋体" w:hAnsi="宋体" w:eastAsia="宋体" w:cs="宋体"/>
          <w:b/>
          <w:bCs/>
          <w:color w:val="000000" w:themeColor="text1"/>
          <w:sz w:val="28"/>
          <w:szCs w:val="28"/>
          <w:highlight w:val="none"/>
        </w:rPr>
        <w:t xml:space="preserve">系统</w:t>
      </w:r>
      <w:r>
        <w:rPr>
          <w:rFonts w:hint="eastAsia" w:ascii="宋体" w:hAnsi="宋体" w:eastAsia="宋体" w:cs="宋体"/>
          <w:b/>
          <w:bCs/>
          <w:color w:val="000000" w:themeColor="text1"/>
          <w:sz w:val="28"/>
          <w:szCs w:val="28"/>
          <w:highlight w:val="none"/>
        </w:rPr>
      </w:r>
      <w:r>
        <w:rPr>
          <w:color w:val="000000" w:themeColor="text1"/>
        </w:rPr>
      </w:r>
    </w:p>
    <w:tbl>
      <w:tblPr>
        <w:tblW w:w="9096" w:type="dxa"/>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869"/>
        <w:gridCol w:w="7227"/>
      </w:tblGrid>
      <w:tr>
        <w:trPr>
          <w:tblHeader/>
        </w:trPr>
        <w:tc>
          <w:tcPr>
            <w:tcW w:w="1869" w:type="dxa"/>
            <w:vAlign w:val="center"/>
            <w:textDirection w:val="lrTb"/>
            <w:noWrap w:val="false"/>
          </w:tcPr>
          <w:p>
            <w:pPr>
              <w:pStyle w:val="1012"/>
              <w:ind w:left="0" w:right="0" w:firstLine="0"/>
              <w:jc w:val="center"/>
              <w:spacing w:line="24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bidi="ar-SA"/>
              </w:rPr>
              <w:t xml:space="preserve">技术指标</w:t>
            </w:r>
            <w:r>
              <w:rPr>
                <w:rFonts w:hint="eastAsia" w:ascii="宋体" w:hAnsi="宋体" w:eastAsia="宋体" w:cs="宋体"/>
                <w:b/>
                <w:color w:val="000000" w:themeColor="text1"/>
                <w:sz w:val="24"/>
                <w:szCs w:val="24"/>
                <w:highlight w:val="none"/>
                <w:lang w:val="en-US" w:eastAsia="zh-CN" w:bidi="ar-SA"/>
              </w:rPr>
            </w:r>
            <w:r>
              <w:rPr>
                <w:color w:val="000000" w:themeColor="text1"/>
              </w:rPr>
            </w:r>
          </w:p>
        </w:tc>
        <w:tc>
          <w:tcPr>
            <w:tcW w:w="7227" w:type="dxa"/>
            <w:vAlign w:val="center"/>
            <w:textDirection w:val="lrTb"/>
            <w:noWrap w:val="false"/>
          </w:tcPr>
          <w:p>
            <w:pPr>
              <w:pStyle w:val="1386"/>
              <w:ind w:left="0" w:right="0" w:firstLine="0"/>
              <w:jc w:val="center"/>
              <w:spacing w:line="24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bidi="ar-SA"/>
              </w:rPr>
              <w:t xml:space="preserve">指标要求</w:t>
            </w:r>
            <w:r>
              <w:rPr>
                <w:rFonts w:hint="eastAsia" w:ascii="宋体" w:hAnsi="宋体" w:eastAsia="宋体" w:cs="宋体"/>
                <w:b/>
                <w:color w:val="000000" w:themeColor="text1"/>
                <w:sz w:val="24"/>
                <w:szCs w:val="24"/>
                <w:highlight w:val="none"/>
                <w:lang w:val="en-US" w:eastAsia="zh-CN" w:bidi="ar-SA"/>
              </w:rPr>
            </w:r>
            <w:r>
              <w:rPr>
                <w:color w:val="000000" w:themeColor="text1"/>
              </w:rPr>
            </w:r>
          </w:p>
        </w:tc>
      </w:tr>
      <w:tr>
        <w:trPr/>
        <w:tc>
          <w:tcPr>
            <w:tcW w:w="1869" w:type="dxa"/>
            <w:vAlign w:val="center"/>
            <w:textDirection w:val="lrTb"/>
            <w:noWrap w:val="false"/>
          </w:tcPr>
          <w:p>
            <w:pPr>
              <w:pStyle w:val="1012"/>
              <w:ind w:left="0" w:right="0" w:firstLine="0"/>
              <w:jc w:val="left"/>
              <w:spacing w:line="24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w:t>
            </w:r>
            <w:r>
              <w:rPr>
                <w:rFonts w:hint="eastAsia" w:ascii="宋体" w:hAnsi="宋体" w:eastAsia="宋体" w:cs="宋体"/>
                <w:bCs/>
                <w:color w:val="000000" w:themeColor="text1"/>
                <w:sz w:val="24"/>
                <w:szCs w:val="24"/>
                <w:highlight w:val="none"/>
                <w:lang w:val="en-US" w:eastAsia="zh-CN" w:bidi="ar-SA"/>
              </w:rPr>
              <w:t xml:space="preserve">硬件指标</w:t>
            </w:r>
            <w:r>
              <w:rPr>
                <w:rFonts w:hint="eastAsia" w:ascii="宋体" w:hAnsi="宋体" w:eastAsia="宋体" w:cs="宋体"/>
                <w:bCs/>
                <w:color w:val="000000" w:themeColor="text1"/>
                <w:sz w:val="24"/>
                <w:szCs w:val="24"/>
                <w:highlight w:val="none"/>
                <w:lang w:val="en-US" w:eastAsia="zh-CN" w:bidi="ar-SA"/>
              </w:rPr>
            </w:r>
            <w:r>
              <w:rPr>
                <w:color w:val="000000" w:themeColor="text1"/>
              </w:rPr>
            </w:r>
          </w:p>
        </w:tc>
        <w:tc>
          <w:tcPr>
            <w:tcW w:w="7227" w:type="dxa"/>
            <w:vAlign w:val="center"/>
            <w:textDirection w:val="lrTb"/>
            <w:noWrap w:val="false"/>
          </w:tcPr>
          <w:p>
            <w:pPr>
              <w:pStyle w:val="1386"/>
              <w:ind w:left="0" w:right="0" w:firstLine="0"/>
              <w:jc w:val="left"/>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★满足国产化要求，冗余电源，</w:t>
            </w:r>
            <w:r>
              <w:rPr>
                <w:rFonts w:hint="eastAsia" w:ascii="宋体" w:hAnsi="宋体" w:eastAsia="宋体" w:cs="宋体"/>
                <w:color w:val="000000" w:themeColor="text1"/>
                <w:sz w:val="24"/>
                <w:szCs w:val="22"/>
                <w:highlight w:val="none"/>
                <w:lang w:val="en-US" w:eastAsia="zh-CN" w:bidi="ar-SA"/>
              </w:rPr>
              <w:t xml:space="preserve">≥</w:t>
            </w:r>
            <w:r>
              <w:rPr>
                <w:rFonts w:hint="eastAsia" w:ascii="宋体" w:hAnsi="宋体" w:eastAsia="宋体" w:cs="宋体"/>
                <w:color w:val="000000" w:themeColor="text1"/>
                <w:sz w:val="24"/>
                <w:szCs w:val="24"/>
                <w:highlight w:val="none"/>
                <w:lang w:val="en-US" w:eastAsia="zh-CN" w:bidi="ar-SA"/>
              </w:rPr>
              <w:t xml:space="preserve">2U机架式，配置≥6个千兆电口，≥4个千兆光口，≥32G内存，≥4TB SATA数据盘，≥2个扩展槽位。以上配置投标人提供产品彩页扫描件加盖投标人公章。</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386"/>
              <w:ind w:left="0" w:right="0" w:firstLine="0"/>
              <w:jc w:val="left"/>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支持≥4G吞吐量，800点终端准入授权，300点终端管控授权，含三年入侵检测特征库升级服务，三年软件升级和硬件维保服务。</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869" w:type="dxa"/>
            <w:vAlign w:val="center"/>
            <w:textDirection w:val="lrTb"/>
            <w:noWrap w:val="false"/>
          </w:tcPr>
          <w:p>
            <w:pPr>
              <w:pStyle w:val="1012"/>
              <w:ind w:left="0" w:right="0" w:firstLine="0"/>
              <w:jc w:val="left"/>
              <w:spacing w:line="24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网络准入控制</w:t>
            </w:r>
            <w:r>
              <w:rPr>
                <w:rFonts w:hint="eastAsia" w:ascii="宋体" w:hAnsi="宋体" w:eastAsia="宋体" w:cs="宋体"/>
                <w:bCs/>
                <w:color w:val="000000" w:themeColor="text1"/>
                <w:sz w:val="24"/>
                <w:szCs w:val="24"/>
                <w:highlight w:val="none"/>
                <w:lang w:val="en-US" w:eastAsia="zh-CN" w:bidi="ar-SA"/>
              </w:rPr>
            </w:r>
            <w:r>
              <w:rPr>
                <w:color w:val="000000" w:themeColor="text1"/>
              </w:rPr>
            </w:r>
          </w:p>
        </w:tc>
        <w:tc>
          <w:tcPr>
            <w:tcW w:w="7227" w:type="dxa"/>
            <w:vAlign w:val="center"/>
            <w:textDirection w:val="lrTb"/>
            <w:noWrap w:val="false"/>
          </w:tcPr>
          <w:p>
            <w:pPr>
              <w:pStyle w:val="1386"/>
              <w:ind w:left="0" w:right="0" w:firstLine="0"/>
              <w:jc w:val="left"/>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2"/>
                <w:highlight w:val="none"/>
                <w:lang w:val="en-US" w:eastAsia="zh-CN" w:bidi="ar-SA"/>
              </w:rPr>
              <w:t xml:space="preserve">▲</w:t>
            </w:r>
            <w:r>
              <w:rPr>
                <w:rFonts w:hint="eastAsia" w:ascii="宋体" w:hAnsi="宋体" w:eastAsia="宋体" w:cs="宋体"/>
                <w:color w:val="000000" w:themeColor="text1"/>
                <w:sz w:val="24"/>
                <w:szCs w:val="24"/>
                <w:highlight w:val="none"/>
                <w:lang w:val="en-US" w:eastAsia="zh-CN" w:bidi="ar-SA"/>
              </w:rPr>
              <w:t xml:space="preserve">支持802.1X、数据镜像、策略路由、透明网桥、DHCP、MAB、VLAN、VARP端口准入和Portal认证等多种常用准入控制技术。802.1X准入控制技术支持客户端自动拨号认证、客户端手动拨号认证、复合认证、MAC地址旁路认证、可疑客户端检测等功能。支持对认证通过的终端自动下发VLAN、ACL规则。投标人提供该设备操作界面功能截图</w:t>
            </w:r>
            <w:r>
              <w:rPr>
                <w:rFonts w:hint="eastAsia" w:ascii="宋体" w:hAnsi="宋体" w:eastAsia="宋体" w:cs="宋体"/>
                <w:color w:val="000000" w:themeColor="text1"/>
                <w:sz w:val="24"/>
                <w:szCs w:val="22"/>
                <w:highlight w:val="none"/>
                <w:lang w:val="en-US" w:eastAsia="zh-CN" w:bidi="ar"/>
              </w:rPr>
              <w:t xml:space="preserve">并</w:t>
            </w:r>
            <w:r>
              <w:rPr>
                <w:rFonts w:hint="eastAsia" w:ascii="宋体" w:hAnsi="宋体" w:eastAsia="宋体" w:cs="宋体"/>
                <w:color w:val="000000" w:themeColor="text1"/>
                <w:sz w:val="24"/>
                <w:szCs w:val="24"/>
                <w:highlight w:val="none"/>
                <w:lang w:val="en-US" w:eastAsia="zh-CN" w:bidi="ar-SA"/>
              </w:rPr>
              <w:t xml:space="preserve">加盖投标人公章。</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869" w:type="dxa"/>
            <w:vAlign w:val="center"/>
            <w:textDirection w:val="lrTb"/>
            <w:noWrap w:val="false"/>
          </w:tcPr>
          <w:p>
            <w:pPr>
              <w:pStyle w:val="1012"/>
              <w:ind w:left="0" w:right="0" w:firstLine="0"/>
              <w:jc w:val="left"/>
              <w:spacing w:line="24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应用接入</w:t>
            </w:r>
            <w:r>
              <w:rPr>
                <w:rFonts w:hint="eastAsia" w:ascii="宋体" w:hAnsi="宋体" w:eastAsia="宋体" w:cs="宋体"/>
                <w:bCs/>
                <w:color w:val="000000" w:themeColor="text1"/>
                <w:sz w:val="24"/>
                <w:szCs w:val="24"/>
                <w:highlight w:val="none"/>
                <w:lang w:val="en-US" w:eastAsia="zh-CN" w:bidi="ar-SA"/>
              </w:rPr>
            </w:r>
            <w:r>
              <w:rPr>
                <w:color w:val="000000" w:themeColor="text1"/>
              </w:rPr>
            </w:r>
          </w:p>
        </w:tc>
        <w:tc>
          <w:tcPr>
            <w:tcW w:w="7227" w:type="dxa"/>
            <w:vAlign w:val="center"/>
            <w:textDirection w:val="lrTb"/>
            <w:noWrap w:val="false"/>
          </w:tcPr>
          <w:p>
            <w:pPr>
              <w:pStyle w:val="1400"/>
              <w:ind w:left="0" w:right="0" w:firstLine="0"/>
              <w:jc w:val="left"/>
              <w:spacing w:line="240" w:lineRule="auto"/>
              <w:widowControl w:val="off"/>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lang w:val="en-US" w:eastAsia="zh-CN" w:bidi="ar-SA"/>
              </w:rPr>
              <w:t xml:space="preserve">能够与第三方系统平台调用该产品进行阻断设备入网或放行设备入网的联动，可以支持设置某设备的入网权限支持应用名、Appld、AppSecret、会话超时、客户端状态及授权资源功能配置，系统管控页面提供接入方案及源代码。</w:t>
            </w:r>
            <w:r>
              <w:rPr>
                <w:rFonts w:hint="eastAsia" w:ascii="宋体" w:hAnsi="宋体" w:eastAsia="宋体" w:cs="宋体"/>
                <w:color w:val="000000" w:themeColor="text1"/>
                <w:sz w:val="24"/>
                <w:szCs w:val="22"/>
                <w:highlight w:val="none"/>
                <w:lang w:val="en-US" w:eastAsia="zh-CN" w:bidi="ar-SA"/>
              </w:rPr>
            </w:r>
            <w:r>
              <w:rPr>
                <w:color w:val="000000" w:themeColor="text1"/>
              </w:rPr>
            </w:r>
          </w:p>
        </w:tc>
      </w:tr>
      <w:tr>
        <w:trPr/>
        <w:tc>
          <w:tcPr>
            <w:tcW w:w="1869" w:type="dxa"/>
            <w:vAlign w:val="center"/>
            <w:textDirection w:val="lrTb"/>
            <w:noWrap w:val="false"/>
          </w:tcPr>
          <w:p>
            <w:pPr>
              <w:pStyle w:val="1012"/>
              <w:ind w:left="0" w:right="0" w:firstLine="0"/>
              <w:jc w:val="left"/>
              <w:spacing w:line="24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IT资源库</w:t>
            </w:r>
            <w:r>
              <w:rPr>
                <w:rFonts w:hint="eastAsia" w:ascii="宋体" w:hAnsi="宋体" w:eastAsia="宋体" w:cs="宋体"/>
                <w:bCs/>
                <w:color w:val="000000" w:themeColor="text1"/>
                <w:sz w:val="24"/>
                <w:szCs w:val="24"/>
                <w:highlight w:val="none"/>
                <w:lang w:val="en-US" w:eastAsia="zh-CN" w:bidi="ar-SA"/>
              </w:rPr>
            </w:r>
            <w:r>
              <w:rPr>
                <w:color w:val="000000" w:themeColor="text1"/>
              </w:rPr>
            </w:r>
          </w:p>
        </w:tc>
        <w:tc>
          <w:tcPr>
            <w:tcW w:w="7227" w:type="dxa"/>
            <w:vAlign w:val="center"/>
            <w:textDirection w:val="lrTb"/>
            <w:noWrap w:val="false"/>
          </w:tcPr>
          <w:p>
            <w:pPr>
              <w:pStyle w:val="1400"/>
              <w:ind w:left="0" w:right="0" w:firstLine="0"/>
              <w:jc w:val="left"/>
              <w:spacing w:line="240" w:lineRule="auto"/>
              <w:widowControl w:val="off"/>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lang w:val="en-US" w:eastAsia="zh-CN" w:bidi="ar-SA"/>
              </w:rPr>
              <w:t xml:space="preserve">支持图形化展现交换机信息，交换机面板显示各交换机端口详细信息，包含交换机品牌、型号、端口信息、VLAN信息、IP地址表、转发表、路由表和ARP表等细粒度管理。提供交换机流量信息监控及统计功能，支持对交换机的网络流量流入及流出统计。图形化管理全网IP地址资源，支持在线、离线、未使用、安全风险、安全阻断分类化显示，支持IP地址增加备注信息。</w:t>
            </w:r>
            <w:r>
              <w:rPr>
                <w:rFonts w:hint="eastAsia" w:ascii="宋体" w:hAnsi="宋体" w:eastAsia="宋体" w:cs="宋体"/>
                <w:color w:val="000000" w:themeColor="text1"/>
                <w:sz w:val="24"/>
                <w:szCs w:val="22"/>
                <w:highlight w:val="none"/>
                <w:lang w:val="en-US" w:eastAsia="zh-CN" w:bidi="ar-SA"/>
              </w:rPr>
            </w:r>
            <w:r>
              <w:rPr>
                <w:color w:val="000000" w:themeColor="text1"/>
              </w:rPr>
            </w:r>
          </w:p>
          <w:p>
            <w:pPr>
              <w:pStyle w:val="1400"/>
              <w:ind w:left="0" w:right="0" w:firstLine="0"/>
              <w:jc w:val="left"/>
              <w:spacing w:line="240" w:lineRule="auto"/>
              <w:widowControl w:val="off"/>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lang w:val="en-US" w:eastAsia="zh-CN" w:bidi="ar-SA"/>
              </w:rPr>
              <w:t xml:space="preserve">支持大屏展示全网资产设备实时状态，包含资产数据分析、资产分类、安全趋势、24小时态势、关键设备态势及报警信息。</w:t>
            </w:r>
            <w:r>
              <w:rPr>
                <w:rFonts w:hint="eastAsia" w:ascii="宋体" w:hAnsi="宋体" w:eastAsia="宋体" w:cs="宋体"/>
                <w:color w:val="000000" w:themeColor="text1"/>
                <w:sz w:val="24"/>
                <w:szCs w:val="22"/>
                <w:highlight w:val="none"/>
                <w:lang w:val="en-US" w:eastAsia="zh-CN" w:bidi="ar-SA"/>
              </w:rPr>
            </w:r>
            <w:r>
              <w:rPr>
                <w:color w:val="000000" w:themeColor="text1"/>
              </w:rPr>
            </w:r>
          </w:p>
        </w:tc>
      </w:tr>
      <w:tr>
        <w:trPr/>
        <w:tc>
          <w:tcPr>
            <w:tcW w:w="1869" w:type="dxa"/>
            <w:vAlign w:val="center"/>
            <w:textDirection w:val="lrTb"/>
            <w:noWrap w:val="false"/>
          </w:tcPr>
          <w:p>
            <w:pPr>
              <w:pStyle w:val="1012"/>
              <w:ind w:left="0" w:right="0" w:firstLine="0"/>
              <w:jc w:val="left"/>
              <w:spacing w:line="24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入网管理</w:t>
            </w:r>
            <w:r>
              <w:rPr>
                <w:rFonts w:hint="eastAsia" w:ascii="宋体" w:hAnsi="宋体" w:eastAsia="宋体" w:cs="宋体"/>
                <w:bCs/>
                <w:color w:val="000000" w:themeColor="text1"/>
                <w:sz w:val="24"/>
                <w:szCs w:val="24"/>
                <w:highlight w:val="none"/>
                <w:lang w:val="en-US" w:eastAsia="zh-CN" w:bidi="ar-SA"/>
              </w:rPr>
            </w:r>
            <w:r>
              <w:rPr>
                <w:color w:val="000000" w:themeColor="text1"/>
              </w:rPr>
            </w:r>
          </w:p>
        </w:tc>
        <w:tc>
          <w:tcPr>
            <w:tcW w:w="7227" w:type="dxa"/>
            <w:vAlign w:val="center"/>
            <w:textDirection w:val="lrTb"/>
            <w:noWrap w:val="false"/>
          </w:tcPr>
          <w:p>
            <w:pPr>
              <w:pStyle w:val="1386"/>
              <w:ind w:left="0" w:right="0" w:firstLine="0"/>
              <w:jc w:val="left"/>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支持提供来网申请入口，可自定义设置申请入网需提交的注册信息，支持按VLAN、网段划分不同管理员进行审批，支持控制入网后的访问区域。</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869" w:type="dxa"/>
            <w:vAlign w:val="center"/>
            <w:textDirection w:val="lrTb"/>
            <w:noWrap w:val="false"/>
          </w:tcPr>
          <w:p>
            <w:pPr>
              <w:pStyle w:val="1012"/>
              <w:ind w:left="0" w:right="0" w:firstLine="0"/>
              <w:jc w:val="left"/>
              <w:spacing w:line="24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安全通信</w:t>
            </w:r>
            <w:r>
              <w:rPr>
                <w:rFonts w:hint="eastAsia" w:ascii="宋体" w:hAnsi="宋体" w:eastAsia="宋体" w:cs="宋体"/>
                <w:bCs/>
                <w:color w:val="000000" w:themeColor="text1"/>
                <w:sz w:val="24"/>
                <w:szCs w:val="24"/>
                <w:highlight w:val="none"/>
                <w:lang w:val="en-US" w:eastAsia="zh-CN" w:bidi="ar-SA"/>
              </w:rPr>
            </w:r>
            <w:r>
              <w:rPr>
                <w:color w:val="000000" w:themeColor="text1"/>
              </w:rPr>
            </w:r>
          </w:p>
        </w:tc>
        <w:tc>
          <w:tcPr>
            <w:tcW w:w="7227" w:type="dxa"/>
            <w:vAlign w:val="center"/>
            <w:textDirection w:val="lrTb"/>
            <w:noWrap w:val="false"/>
          </w:tcPr>
          <w:p>
            <w:pPr>
              <w:pStyle w:val="1386"/>
              <w:ind w:left="0" w:right="0" w:firstLine="0"/>
              <w:jc w:val="left"/>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应用协议准入控制，能够自定义配置违规访问行为，违规参数包含设备类型、IP地址段、连接方向、通信协议及端口，支持定义白名单地址段，对于违规行为的处置方式包含上报日志、阻断入网。支持通过级联配置建立多台服务器间的联系，实现多对象间的映射关联，建立数据之间的级联关系提高管理效率。级联管理支持单点登录、升级配置、策略同步、报警上送、级联拓扑、级联大屏等功能。</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869" w:type="dxa"/>
            <w:vAlign w:val="center"/>
            <w:textDirection w:val="lrTb"/>
            <w:noWrap w:val="false"/>
          </w:tcPr>
          <w:p>
            <w:pPr>
              <w:pStyle w:val="1012"/>
              <w:ind w:left="0" w:right="0" w:firstLine="0"/>
              <w:jc w:val="left"/>
              <w:spacing w:line="24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移动U盘管控</w:t>
            </w:r>
            <w:r>
              <w:rPr>
                <w:rFonts w:hint="eastAsia" w:ascii="宋体" w:hAnsi="宋体" w:eastAsia="宋体" w:cs="宋体"/>
                <w:bCs/>
                <w:color w:val="000000" w:themeColor="text1"/>
                <w:sz w:val="24"/>
                <w:szCs w:val="24"/>
                <w:highlight w:val="none"/>
                <w:lang w:val="en-US" w:eastAsia="zh-CN" w:bidi="ar-SA"/>
              </w:rPr>
            </w:r>
            <w:r>
              <w:rPr>
                <w:color w:val="000000" w:themeColor="text1"/>
              </w:rPr>
            </w:r>
          </w:p>
        </w:tc>
        <w:tc>
          <w:tcPr>
            <w:tcW w:w="7227" w:type="dxa"/>
            <w:vAlign w:val="center"/>
            <w:textDirection w:val="lrTb"/>
            <w:noWrap w:val="false"/>
          </w:tcPr>
          <w:p>
            <w:pPr>
              <w:pStyle w:val="1386"/>
              <w:ind w:left="0" w:right="0" w:firstLine="0"/>
              <w:jc w:val="left"/>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U盘管理支持禁用、只读、只写和加密四种管控模式，只写模式下禁止终端计算机读取U盘内的所有内容，预防U盘病毒侵害终端计算机。支持按部门或用户维度精准配置白名单，授权特定对象使用指定USB设备，同时提供U盘插入日志、U盘使用申请审批日志和U盘文档操作日志。</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869" w:type="dxa"/>
            <w:vAlign w:val="center"/>
            <w:textDirection w:val="lrTb"/>
            <w:noWrap w:val="false"/>
          </w:tcPr>
          <w:p>
            <w:pPr>
              <w:pStyle w:val="1012"/>
              <w:ind w:left="0" w:right="0" w:firstLine="0"/>
              <w:jc w:val="left"/>
              <w:spacing w:line="24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打印管理</w:t>
            </w:r>
            <w:r>
              <w:rPr>
                <w:rFonts w:hint="eastAsia" w:ascii="宋体" w:hAnsi="宋体" w:eastAsia="宋体" w:cs="宋体"/>
                <w:bCs/>
                <w:color w:val="000000" w:themeColor="text1"/>
                <w:sz w:val="24"/>
                <w:szCs w:val="24"/>
                <w:highlight w:val="none"/>
                <w:lang w:val="en-US" w:eastAsia="zh-CN" w:bidi="ar-SA"/>
              </w:rPr>
            </w:r>
            <w:r>
              <w:rPr>
                <w:color w:val="000000" w:themeColor="text1"/>
              </w:rPr>
            </w:r>
          </w:p>
        </w:tc>
        <w:tc>
          <w:tcPr>
            <w:tcW w:w="7227" w:type="dxa"/>
            <w:vAlign w:val="center"/>
            <w:textDirection w:val="lrTb"/>
            <w:noWrap w:val="false"/>
          </w:tcPr>
          <w:p>
            <w:pPr>
              <w:pStyle w:val="1386"/>
              <w:ind w:left="0" w:right="0" w:firstLine="0"/>
              <w:jc w:val="left"/>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系统提供精细化打印权限与水印管控功能，支持对本地打印机、虚拟打印机的使用权限进行分级配置。可灵活设置打印水印规则，能精准指定特定打印机或特定程序打印文件时，自动添加水印标识，有效追溯文件打印源头。同时支持水印暂停申请机制，员工可按需提交申请，经审核通过后临时关闭水印功能。</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869" w:type="dxa"/>
            <w:vAlign w:val="center"/>
            <w:textDirection w:val="lrTb"/>
            <w:noWrap w:val="false"/>
          </w:tcPr>
          <w:p>
            <w:pPr>
              <w:pStyle w:val="1012"/>
              <w:ind w:left="0" w:right="0" w:firstLine="0"/>
              <w:jc w:val="left"/>
              <w:spacing w:line="24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资产管理</w:t>
            </w:r>
            <w:r>
              <w:rPr>
                <w:rFonts w:hint="eastAsia" w:ascii="宋体" w:hAnsi="宋体" w:eastAsia="宋体" w:cs="宋体"/>
                <w:bCs/>
                <w:color w:val="000000" w:themeColor="text1"/>
                <w:sz w:val="24"/>
                <w:szCs w:val="24"/>
                <w:highlight w:val="none"/>
                <w:lang w:val="en-US" w:eastAsia="zh-CN" w:bidi="ar-SA"/>
              </w:rPr>
            </w:r>
            <w:r>
              <w:rPr>
                <w:color w:val="000000" w:themeColor="text1"/>
              </w:rPr>
            </w:r>
          </w:p>
        </w:tc>
        <w:tc>
          <w:tcPr>
            <w:tcW w:w="7227" w:type="dxa"/>
            <w:vAlign w:val="center"/>
            <w:textDirection w:val="lrTb"/>
            <w:noWrap w:val="false"/>
          </w:tcPr>
          <w:p>
            <w:pPr>
              <w:pStyle w:val="1386"/>
              <w:ind w:left="0" w:right="0" w:firstLine="0"/>
              <w:jc w:val="left"/>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系统支持自动收集终端计算机支持硬件型号、性能、品牌、出厂时间等信息，采集CPU内核、线程、名称、封装、工艺、规格、系列、扩展系列、型号、扩展型号、步进、修订号、指令、虚拟化、超线程、总线速度等信息。支持配置自定义资产字段，可以由客户端提交或管理员手动编辑字段内容。</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869" w:type="dxa"/>
            <w:vAlign w:val="center"/>
            <w:textDirection w:val="lrTb"/>
            <w:noWrap w:val="false"/>
          </w:tcPr>
          <w:p>
            <w:pPr>
              <w:pStyle w:val="1012"/>
              <w:ind w:left="0" w:right="0" w:firstLine="0"/>
              <w:jc w:val="left"/>
              <w:spacing w:line="24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终端程序管控</w:t>
            </w:r>
            <w:r>
              <w:rPr>
                <w:rFonts w:hint="eastAsia" w:ascii="宋体" w:hAnsi="宋体" w:eastAsia="宋体" w:cs="宋体"/>
                <w:bCs/>
                <w:color w:val="000000" w:themeColor="text1"/>
                <w:sz w:val="24"/>
                <w:szCs w:val="24"/>
                <w:highlight w:val="none"/>
                <w:lang w:val="en-US" w:eastAsia="zh-CN" w:bidi="ar-SA"/>
              </w:rPr>
            </w:r>
            <w:r>
              <w:rPr>
                <w:color w:val="000000" w:themeColor="text1"/>
              </w:rPr>
            </w:r>
          </w:p>
        </w:tc>
        <w:tc>
          <w:tcPr>
            <w:tcW w:w="7227" w:type="dxa"/>
            <w:vAlign w:val="center"/>
            <w:textDirection w:val="lrTb"/>
            <w:noWrap w:val="false"/>
          </w:tcPr>
          <w:p>
            <w:pPr>
              <w:pStyle w:val="1386"/>
              <w:ind w:left="0" w:right="0" w:firstLine="0"/>
              <w:jc w:val="left"/>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为了避免电脑上随意读写移动存储设备，导致敏感信息数据泄露，病毒或木马引入等风险，支持规范移动存储介质在电脑上的使用，包含对USB设备进行注册、审核、例外、插拔审计、使用控制、USB设备与终端绑定等</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869" w:type="dxa"/>
            <w:vAlign w:val="center"/>
            <w:textDirection w:val="lrTb"/>
            <w:noWrap w:val="false"/>
          </w:tcPr>
          <w:p>
            <w:pPr>
              <w:pStyle w:val="1012"/>
              <w:ind w:left="0" w:right="0" w:firstLine="0"/>
              <w:jc w:val="left"/>
              <w:spacing w:line="24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水印管理</w:t>
            </w:r>
            <w:r>
              <w:rPr>
                <w:rFonts w:hint="eastAsia" w:ascii="宋体" w:hAnsi="宋体" w:eastAsia="宋体" w:cs="宋体"/>
                <w:bCs/>
                <w:color w:val="000000" w:themeColor="text1"/>
                <w:sz w:val="24"/>
                <w:szCs w:val="24"/>
                <w:highlight w:val="none"/>
                <w:lang w:val="en-US" w:eastAsia="zh-CN" w:bidi="ar-SA"/>
              </w:rPr>
            </w:r>
            <w:r>
              <w:rPr>
                <w:color w:val="000000" w:themeColor="text1"/>
              </w:rPr>
            </w:r>
          </w:p>
        </w:tc>
        <w:tc>
          <w:tcPr>
            <w:tcW w:w="7227" w:type="dxa"/>
            <w:vAlign w:val="center"/>
            <w:textDirection w:val="lrTb"/>
            <w:noWrap w:val="false"/>
          </w:tcPr>
          <w:p>
            <w:pPr>
              <w:pStyle w:val="1386"/>
              <w:ind w:left="0" w:right="0" w:firstLine="0"/>
              <w:jc w:val="left"/>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屏幕水印支持文字水印、点阵式水印、图片水印、二维码水印、进程水印，支持置底显示。文档水印支持添加隐形水印，支持在文件落地、复制、移动、外发时自动添加水印，检测到添加水印失败时禁止发送文件。</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869" w:type="dxa"/>
            <w:vAlign w:val="center"/>
            <w:textDirection w:val="lrTb"/>
            <w:noWrap w:val="false"/>
          </w:tcPr>
          <w:p>
            <w:pPr>
              <w:pStyle w:val="1012"/>
              <w:ind w:left="0" w:right="0" w:firstLine="0"/>
              <w:jc w:val="left"/>
              <w:spacing w:line="24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远程工具</w:t>
            </w:r>
            <w:r>
              <w:rPr>
                <w:rFonts w:hint="eastAsia" w:ascii="宋体" w:hAnsi="宋体" w:eastAsia="宋体" w:cs="宋体"/>
                <w:bCs/>
                <w:color w:val="000000" w:themeColor="text1"/>
                <w:sz w:val="24"/>
                <w:szCs w:val="24"/>
                <w:highlight w:val="none"/>
                <w:lang w:val="en-US" w:eastAsia="zh-CN" w:bidi="ar-SA"/>
              </w:rPr>
            </w:r>
            <w:r>
              <w:rPr>
                <w:color w:val="000000" w:themeColor="text1"/>
              </w:rPr>
            </w:r>
          </w:p>
        </w:tc>
        <w:tc>
          <w:tcPr>
            <w:tcW w:w="7227" w:type="dxa"/>
            <w:vAlign w:val="center"/>
            <w:textDirection w:val="lrTb"/>
            <w:noWrap w:val="false"/>
          </w:tcPr>
          <w:p>
            <w:pPr>
              <w:pStyle w:val="1386"/>
              <w:ind w:left="0" w:right="0" w:firstLine="0"/>
              <w:jc w:val="left"/>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远</w:t>
            </w:r>
            <w:bookmarkStart w:id="42" w:name="OLE_LINK2"/>
            <w:r>
              <w:rPr>
                <w:rFonts w:hint="eastAsia" w:ascii="宋体" w:hAnsi="宋体" w:eastAsia="宋体" w:cs="宋体"/>
                <w:color w:val="000000" w:themeColor="text1"/>
                <w:sz w:val="24"/>
                <w:szCs w:val="24"/>
                <w:highlight w:val="none"/>
                <w:lang w:val="en-US" w:eastAsia="zh-CN" w:bidi="ar-SA"/>
              </w:rPr>
              <w:t xml:space="preserve">程调试客户端功能支持交互模式、旁观模式、兼容模式、独占模式等多种管控模式。支持远程协助参数配置，可根据使用习惯自定义默认远程模式。</w:t>
            </w:r>
            <w:bookmarkEnd w:id="42"/>
            <w:r>
              <w:rPr>
                <w:rFonts w:hint="eastAsia" w:ascii="宋体" w:hAnsi="宋体" w:eastAsia="宋体" w:cs="宋体"/>
                <w:color w:val="000000" w:themeColor="text1"/>
                <w:sz w:val="24"/>
                <w:szCs w:val="24"/>
                <w:highlight w:val="none"/>
                <w:lang w:val="en-US" w:eastAsia="zh-CN" w:bidi="ar-SA"/>
              </w:rPr>
              <w:t xml:space="preserve">支持内部即时聊天工具功能，管理员与终端用户之间可以相互聊天，支持终端用户向管理员发送文件，同时可以向管理员发起远程协助申请，</w:t>
            </w:r>
            <w:r>
              <w:rPr>
                <w:rFonts w:hint="eastAsia" w:ascii="宋体" w:hAnsi="宋体" w:eastAsia="宋体" w:cs="宋体"/>
                <w:color w:val="000000" w:themeColor="text1"/>
                <w:sz w:val="24"/>
                <w:szCs w:val="22"/>
                <w:highlight w:val="none"/>
                <w:lang w:val="en-US" w:eastAsia="zh-CN" w:bidi="ar"/>
              </w:rPr>
              <w:t xml:space="preserve">投标人</w:t>
            </w:r>
            <w:r>
              <w:rPr>
                <w:rFonts w:hint="eastAsia" w:ascii="宋体" w:hAnsi="宋体" w:eastAsia="宋体" w:cs="宋体"/>
                <w:color w:val="000000" w:themeColor="text1"/>
                <w:sz w:val="24"/>
                <w:szCs w:val="24"/>
                <w:highlight w:val="none"/>
                <w:lang w:val="en-US" w:eastAsia="zh-CN" w:bidi="ar-SA"/>
              </w:rPr>
              <w:t xml:space="preserve">该设备操作界面功能截图</w:t>
            </w:r>
            <w:r>
              <w:rPr>
                <w:rFonts w:hint="eastAsia" w:ascii="宋体" w:hAnsi="宋体" w:eastAsia="宋体" w:cs="宋体"/>
                <w:color w:val="000000" w:themeColor="text1"/>
                <w:sz w:val="24"/>
                <w:szCs w:val="22"/>
                <w:highlight w:val="none"/>
                <w:lang w:val="en-US" w:eastAsia="zh-CN" w:bidi="ar"/>
              </w:rPr>
              <w:t xml:space="preserve">并</w:t>
            </w:r>
            <w:r>
              <w:rPr>
                <w:rFonts w:hint="eastAsia" w:ascii="宋体" w:hAnsi="宋体" w:eastAsia="宋体" w:cs="宋体"/>
                <w:color w:val="000000" w:themeColor="text1"/>
                <w:sz w:val="24"/>
                <w:szCs w:val="24"/>
                <w:highlight w:val="none"/>
                <w:lang w:val="en-US" w:eastAsia="zh-CN" w:bidi="ar-SA"/>
              </w:rPr>
              <w:t xml:space="preserve">加盖投标人公章。</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386"/>
              <w:ind w:left="0" w:right="0" w:firstLine="0"/>
              <w:jc w:val="left"/>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创建覆盖文件、文件夹、软件安装包及快捷方式等多类型资源的批量分发任务，同时具备分发条件动态校验功能，管理员可预设执行门槛，如检查客户端目标目录下是否存在指定文件、注册表中是否存在特定键值对，仅当条件匹配时才触发分发任务，避免无效分发或资源覆盖冲突。</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386"/>
              <w:ind w:left="0" w:right="0" w:firstLine="0"/>
              <w:jc w:val="left"/>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支持实时进程管理、实时服务管理、操作系统账户管理、磁盘管理、共享目录管理、实时文件管理、开机启动项管理和系统计划任务管理等工具。</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869" w:type="dxa"/>
            <w:vAlign w:val="center"/>
            <w:textDirection w:val="lrTb"/>
            <w:noWrap w:val="false"/>
          </w:tcPr>
          <w:p>
            <w:pPr>
              <w:pStyle w:val="1012"/>
              <w:ind w:left="0" w:right="0" w:firstLine="0"/>
              <w:jc w:val="left"/>
              <w:spacing w:line="24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运维管理</w:t>
            </w:r>
            <w:r>
              <w:rPr>
                <w:rFonts w:hint="eastAsia" w:ascii="宋体" w:hAnsi="宋体" w:eastAsia="宋体" w:cs="宋体"/>
                <w:bCs/>
                <w:color w:val="000000" w:themeColor="text1"/>
                <w:sz w:val="24"/>
                <w:szCs w:val="24"/>
                <w:highlight w:val="none"/>
                <w:lang w:val="en-US" w:eastAsia="zh-CN" w:bidi="ar-SA"/>
              </w:rPr>
            </w:r>
            <w:r>
              <w:rPr>
                <w:color w:val="000000" w:themeColor="text1"/>
              </w:rPr>
            </w:r>
          </w:p>
        </w:tc>
        <w:tc>
          <w:tcPr>
            <w:tcW w:w="7227" w:type="dxa"/>
            <w:vAlign w:val="center"/>
            <w:textDirection w:val="lrTb"/>
            <w:noWrap w:val="false"/>
          </w:tcPr>
          <w:p>
            <w:pPr>
              <w:pStyle w:val="1386"/>
              <w:ind w:left="0" w:right="0" w:firstLine="0"/>
              <w:jc w:val="left"/>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为便于管理员进行故障排查和定位，需支持记录终端7天内的准入状态快照，快照内容包括但不限于终端上线时间、阻断或放通、IP地址、接入位置、认证时间、认证账户、安检规范及结果、可访问域、下线时间等终端准入状态信息。同时支持在同一界面上集成基于web的ping、路由追踪、抓包、网络测试、获取终端日志等常规运维工具，投标人提供该设备操作界面功能截图并加盖投标人公章。</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869" w:type="dxa"/>
            <w:vAlign w:val="center"/>
            <w:textDirection w:val="lrTb"/>
            <w:noWrap w:val="false"/>
          </w:tcPr>
          <w:p>
            <w:pPr>
              <w:pStyle w:val="1012"/>
              <w:ind w:left="0" w:right="0" w:firstLine="0"/>
              <w:jc w:val="left"/>
              <w:spacing w:line="24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风险报警</w:t>
            </w:r>
            <w:r>
              <w:rPr>
                <w:rFonts w:hint="eastAsia" w:ascii="宋体" w:hAnsi="宋体" w:eastAsia="宋体" w:cs="宋体"/>
                <w:bCs/>
                <w:color w:val="000000" w:themeColor="text1"/>
                <w:sz w:val="24"/>
                <w:szCs w:val="24"/>
                <w:highlight w:val="none"/>
                <w:lang w:val="en-US" w:eastAsia="zh-CN" w:bidi="ar-SA"/>
              </w:rPr>
            </w:r>
            <w:r>
              <w:rPr>
                <w:color w:val="000000" w:themeColor="text1"/>
              </w:rPr>
            </w:r>
          </w:p>
        </w:tc>
        <w:tc>
          <w:tcPr>
            <w:tcW w:w="7227" w:type="dxa"/>
            <w:vAlign w:val="center"/>
            <w:textDirection w:val="lrTb"/>
            <w:noWrap w:val="false"/>
          </w:tcPr>
          <w:p>
            <w:pPr>
              <w:pStyle w:val="1386"/>
              <w:ind w:left="0" w:right="0" w:firstLine="0"/>
              <w:jc w:val="left"/>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支持违规外联报警、违规使用设备报警、终端安全风险报警、硬件变化报警、软件变化报警、关键信息变化报警、磁盘空间不足报警、性能异常报警。</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869" w:type="dxa"/>
            <w:vAlign w:val="center"/>
            <w:textDirection w:val="lrTb"/>
            <w:noWrap w:val="false"/>
          </w:tcPr>
          <w:p>
            <w:pPr>
              <w:pStyle w:val="1012"/>
              <w:ind w:left="0" w:right="0" w:firstLine="0"/>
              <w:jc w:val="left"/>
              <w:spacing w:line="24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终端助手</w:t>
            </w:r>
            <w:r>
              <w:rPr>
                <w:rFonts w:hint="eastAsia" w:ascii="宋体" w:hAnsi="宋体" w:eastAsia="宋体" w:cs="宋体"/>
                <w:bCs/>
                <w:color w:val="000000" w:themeColor="text1"/>
                <w:sz w:val="24"/>
                <w:szCs w:val="24"/>
                <w:highlight w:val="none"/>
                <w:lang w:val="en-US" w:eastAsia="zh-CN" w:bidi="ar-SA"/>
              </w:rPr>
            </w:r>
            <w:r>
              <w:rPr>
                <w:color w:val="000000" w:themeColor="text1"/>
              </w:rPr>
            </w:r>
          </w:p>
        </w:tc>
        <w:tc>
          <w:tcPr>
            <w:tcW w:w="7227" w:type="dxa"/>
            <w:vAlign w:val="center"/>
            <w:textDirection w:val="lrTb"/>
            <w:noWrap w:val="false"/>
          </w:tcPr>
          <w:p>
            <w:pPr>
              <w:pStyle w:val="1386"/>
              <w:ind w:left="0" w:right="0" w:firstLine="0"/>
              <w:jc w:val="left"/>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2"/>
                <w:highlight w:val="none"/>
                <w:lang w:val="en-US" w:eastAsia="zh-CN" w:bidi="ar-SA"/>
              </w:rPr>
              <w:t xml:space="preserve">▲</w:t>
            </w:r>
            <w:r>
              <w:rPr>
                <w:rFonts w:hint="eastAsia" w:ascii="宋体" w:hAnsi="宋体" w:eastAsia="宋体" w:cs="宋体"/>
                <w:color w:val="000000" w:themeColor="text1"/>
                <w:sz w:val="24"/>
                <w:szCs w:val="24"/>
                <w:highlight w:val="none"/>
                <w:lang w:val="en-US" w:eastAsia="zh-CN" w:bidi="ar-SA"/>
              </w:rPr>
              <w:t xml:space="preserve">提供终端助手，可自定义助手名称、文档备份、Slogan、客户端图标信息，内置垃圾清理、远程协助、文件检索、个人工具添加等工具，投标人提供该设备操作界面功能截图并加盖投标人公章。</w:t>
            </w:r>
            <w:r>
              <w:rPr>
                <w:rFonts w:hint="eastAsia" w:ascii="宋体" w:hAnsi="宋体" w:eastAsia="宋体" w:cs="宋体"/>
                <w:color w:val="000000" w:themeColor="text1"/>
                <w:sz w:val="24"/>
                <w:szCs w:val="24"/>
                <w:highlight w:val="none"/>
                <w:lang w:val="en-US" w:eastAsia="zh-CN" w:bidi="ar-SA"/>
              </w:rPr>
            </w:r>
            <w:r>
              <w:rPr>
                <w:color w:val="000000" w:themeColor="text1"/>
              </w:rPr>
            </w:r>
          </w:p>
        </w:tc>
      </w:tr>
    </w:tbl>
    <w:p>
      <w:pPr>
        <w:pStyle w:val="1012"/>
        <w:ind w:left="0" w:firstLine="0"/>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p>
    <w:p>
      <w:pPr>
        <w:pStyle w:val="1053"/>
        <w:numPr>
          <w:ilvl w:val="0"/>
          <w:numId w:val="0"/>
        </w:numPr>
        <w:ind w:left="420"/>
        <w:rPr>
          <w:rFonts w:hint="eastAsia" w:ascii="宋体" w:hAnsi="宋体" w:eastAsia="宋体" w:cs="宋体"/>
          <w:b/>
          <w:bCs/>
          <w:color w:val="000000" w:themeColor="text1"/>
          <w:sz w:val="28"/>
          <w:szCs w:val="28"/>
          <w:highlight w:val="none"/>
        </w:rPr>
      </w:pPr>
      <w:r>
        <w:rPr>
          <w:color w:val="000000" w:themeColor="text1"/>
        </w:rPr>
      </w:r>
      <w:bookmarkStart w:id="43" w:name="_Toc22551"/>
      <w:r>
        <w:rPr>
          <w:rFonts w:hint="eastAsia" w:ascii="宋体" w:hAnsi="宋体" w:eastAsia="宋体" w:cs="宋体"/>
          <w:b/>
          <w:bCs/>
          <w:color w:val="000000" w:themeColor="text1"/>
          <w:sz w:val="28"/>
          <w:szCs w:val="28"/>
          <w:highlight w:val="none"/>
          <w:lang w:val="en-US" w:eastAsia="zh-CN"/>
        </w:rPr>
        <w:t xml:space="preserve">8.</w:t>
      </w:r>
      <w:r>
        <w:rPr>
          <w:rFonts w:hint="eastAsia" w:ascii="宋体" w:hAnsi="宋体" w:eastAsia="宋体" w:cs="宋体"/>
          <w:b/>
          <w:bCs/>
          <w:color w:val="000000" w:themeColor="text1"/>
          <w:sz w:val="28"/>
          <w:szCs w:val="28"/>
          <w:highlight w:val="none"/>
        </w:rPr>
        <w:t xml:space="preserve">防勒索软件扩容升级</w:t>
      </w:r>
      <w:bookmarkEnd w:id="43"/>
      <w:r>
        <w:rPr>
          <w:rFonts w:hint="eastAsia" w:ascii="宋体" w:hAnsi="宋体" w:eastAsia="宋体" w:cs="宋体"/>
          <w:b/>
          <w:bCs/>
          <w:color w:val="000000" w:themeColor="text1"/>
          <w:sz w:val="28"/>
          <w:szCs w:val="28"/>
          <w:highlight w:val="none"/>
        </w:rPr>
      </w:r>
      <w:r>
        <w:rPr>
          <w:color w:val="000000" w:themeColor="text1"/>
        </w:rPr>
      </w:r>
    </w:p>
    <w:tbl>
      <w:tblPr>
        <w:tblW w:w="909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1"/>
        <w:gridCol w:w="7841"/>
      </w:tblGrid>
      <w:tr>
        <w:trPr>
          <w:tblHeader/>
        </w:trPr>
        <w:tc>
          <w:tcPr>
            <w:tcW w:w="1251" w:type="dxa"/>
            <w:vAlign w:val="center"/>
            <w:textDirection w:val="lrTb"/>
            <w:noWrap w:val="false"/>
          </w:tcPr>
          <w:p>
            <w:pPr>
              <w:pStyle w:val="1012"/>
              <w:ind w:left="0" w:right="0" w:firstLine="0"/>
              <w:jc w:val="center"/>
              <w:spacing w:line="24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功能</w:t>
            </w:r>
            <w:r>
              <w:rPr>
                <w:rFonts w:hint="eastAsia" w:ascii="宋体" w:hAnsi="宋体" w:eastAsia="宋体" w:cs="宋体"/>
                <w:b/>
                <w:bCs/>
                <w:color w:val="000000" w:themeColor="text1"/>
                <w:sz w:val="24"/>
                <w:szCs w:val="24"/>
                <w:highlight w:val="none"/>
                <w:lang w:val="en-US" w:eastAsia="zh-CN" w:bidi="ar-SA"/>
              </w:rPr>
            </w:r>
            <w:r>
              <w:rPr>
                <w:color w:val="000000" w:themeColor="text1"/>
              </w:rPr>
            </w:r>
          </w:p>
        </w:tc>
        <w:tc>
          <w:tcPr>
            <w:tcW w:w="7841" w:type="dxa"/>
            <w:vAlign w:val="center"/>
            <w:textDirection w:val="lrTb"/>
            <w:noWrap w:val="false"/>
          </w:tcPr>
          <w:p>
            <w:pPr>
              <w:pStyle w:val="1012"/>
              <w:ind w:left="0" w:right="0" w:firstLine="0"/>
              <w:jc w:val="center"/>
              <w:spacing w:line="24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功能要求</w:t>
            </w:r>
            <w:r>
              <w:rPr>
                <w:rFonts w:hint="eastAsia" w:ascii="宋体" w:hAnsi="宋体" w:eastAsia="宋体" w:cs="宋体"/>
                <w:b/>
                <w:bCs/>
                <w:color w:val="000000" w:themeColor="text1"/>
                <w:sz w:val="24"/>
                <w:szCs w:val="24"/>
                <w:highlight w:val="none"/>
                <w:lang w:val="en-US" w:eastAsia="zh-CN" w:bidi="ar-SA"/>
              </w:rPr>
            </w:r>
            <w:r>
              <w:rPr>
                <w:color w:val="000000" w:themeColor="text1"/>
              </w:rPr>
            </w:r>
          </w:p>
        </w:tc>
      </w:tr>
      <w:tr>
        <w:trPr/>
        <w:tc>
          <w:tcPr>
            <w:tcW w:w="1251" w:type="dxa"/>
            <w:vAlign w:val="center"/>
            <w:textDirection w:val="lrTb"/>
            <w:noWrap w:val="false"/>
          </w:tcPr>
          <w:p>
            <w:pPr>
              <w:pStyle w:val="1012"/>
              <w:ind w:left="0" w:right="0" w:firstLine="0"/>
              <w:jc w:val="left"/>
              <w:spacing w:before="60" w:after="60" w:line="24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授权升级</w:t>
            </w:r>
            <w:r>
              <w:rPr>
                <w:rFonts w:hint="eastAsia" w:ascii="宋体" w:hAnsi="宋体" w:eastAsia="宋体" w:cs="宋体"/>
                <w:b/>
                <w:bCs/>
                <w:color w:val="000000" w:themeColor="text1"/>
                <w:sz w:val="24"/>
                <w:szCs w:val="24"/>
                <w:highlight w:val="none"/>
                <w:lang w:val="en-US" w:eastAsia="zh-CN" w:bidi="ar-SA"/>
              </w:rPr>
            </w:r>
            <w:r>
              <w:rPr>
                <w:color w:val="000000" w:themeColor="text1"/>
              </w:rPr>
            </w:r>
          </w:p>
        </w:tc>
        <w:tc>
          <w:tcPr>
            <w:tcW w:w="7841" w:type="dxa"/>
            <w:vAlign w:val="center"/>
            <w:textDirection w:val="lrTb"/>
            <w:noWrap w:val="false"/>
          </w:tcPr>
          <w:p>
            <w:pPr>
              <w:pStyle w:val="1012"/>
              <w:ind w:left="0" w:right="0" w:firstLine="0"/>
              <w:jc w:val="left"/>
              <w:spacing w:before="60" w:after="6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防勒索软件授权扩容到4台数据库服务器和20个终端，原软件和扩容  中标人应能完成与原系统对接和数据迁移”（有争议、甲方定）</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251" w:type="dxa"/>
            <w:vAlign w:val="center"/>
            <w:vMerge w:val="restart"/>
            <w:textDirection w:val="lrTb"/>
            <w:noWrap w:val="false"/>
          </w:tcPr>
          <w:p>
            <w:pPr>
              <w:pStyle w:val="1012"/>
              <w:ind w:left="0" w:right="0" w:firstLine="0"/>
              <w:jc w:val="left"/>
              <w:spacing w:before="60" w:after="60" w:line="24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升级模块：策略管理</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tc>
        <w:tc>
          <w:tcPr>
            <w:tcW w:w="7841" w:type="dxa"/>
            <w:vAlign w:val="center"/>
            <w:textDirection w:val="lrTb"/>
            <w:noWrap w:val="false"/>
          </w:tcPr>
          <w:p>
            <w:pPr>
              <w:pStyle w:val="1012"/>
              <w:ind w:left="0" w:right="0" w:firstLine="0"/>
              <w:jc w:val="left"/>
              <w:spacing w:before="60" w:after="6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升级支持智能化添加保护策略，客户端自动采集程序名、程序签名、终端类型，管理中心可一键配置保护策略。</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251" w:type="dxa"/>
            <w:vAlign w:val="center"/>
            <w:vMerge w:val="continue"/>
            <w:textDirection w:val="lrTb"/>
            <w:noWrap w:val="false"/>
          </w:tcPr>
          <w:p>
            <w:pPr>
              <w:pStyle w:val="1012"/>
              <w:ind w:left="0" w:right="0" w:firstLine="0"/>
              <w:jc w:val="left"/>
              <w:spacing w:before="60" w:after="6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7841" w:type="dxa"/>
            <w:vAlign w:val="center"/>
            <w:textDirection w:val="lrTb"/>
            <w:noWrap w:val="false"/>
          </w:tcPr>
          <w:p>
            <w:pPr>
              <w:pStyle w:val="1012"/>
              <w:ind w:left="0" w:right="0" w:firstLine="0"/>
              <w:jc w:val="left"/>
              <w:spacing w:before="60" w:after="6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升级支持智能学习，通过智能学习，发现并描述终端及终端中应用程序的链路关系。</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251" w:type="dxa"/>
            <w:vAlign w:val="center"/>
            <w:vMerge w:val="continue"/>
            <w:textDirection w:val="lrTb"/>
            <w:noWrap w:val="false"/>
          </w:tcPr>
          <w:p>
            <w:pPr>
              <w:pStyle w:val="1012"/>
              <w:ind w:left="0" w:right="0" w:firstLine="0"/>
              <w:jc w:val="left"/>
              <w:spacing w:before="60" w:after="6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7841" w:type="dxa"/>
            <w:vAlign w:val="center"/>
            <w:textDirection w:val="lrTb"/>
            <w:noWrap w:val="false"/>
          </w:tcPr>
          <w:p>
            <w:pPr>
              <w:pStyle w:val="1012"/>
              <w:ind w:left="0" w:right="0" w:firstLine="0"/>
              <w:jc w:val="left"/>
              <w:spacing w:before="60" w:after="6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升级支持文档防护，对于一些后缀比较确定的文档，比如office文档、图片文档，通过该策略实现文档防护。策略支持分组、设备形式推送到具体设备。</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251" w:type="dxa"/>
            <w:vAlign w:val="center"/>
            <w:vMerge w:val="continue"/>
            <w:textDirection w:val="lrTb"/>
            <w:noWrap w:val="false"/>
          </w:tcPr>
          <w:p>
            <w:pPr>
              <w:pStyle w:val="1012"/>
              <w:ind w:left="0" w:right="0" w:firstLine="0"/>
              <w:jc w:val="left"/>
              <w:spacing w:before="60" w:after="6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7841" w:type="dxa"/>
            <w:vAlign w:val="center"/>
            <w:textDirection w:val="lrTb"/>
            <w:noWrap w:val="false"/>
          </w:tcPr>
          <w:p>
            <w:pPr>
              <w:pStyle w:val="1012"/>
              <w:ind w:left="0" w:right="0" w:firstLine="0"/>
              <w:jc w:val="left"/>
              <w:spacing w:before="60" w:after="6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升级模块，支持应用防篡改，使用的场景为：不能通过文件后缀进行保护的文件。比如数据库，数据库文件的后缀是可以修改的，不确定的。</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left="0" w:right="0" w:firstLine="0"/>
              <w:jc w:val="left"/>
              <w:spacing w:before="60" w:after="6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策略支持分组、设备形式推送到具体设备。</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251" w:type="dxa"/>
            <w:vAlign w:val="center"/>
            <w:vMerge w:val="continue"/>
            <w:textDirection w:val="lrTb"/>
            <w:noWrap w:val="false"/>
          </w:tcPr>
          <w:p>
            <w:pPr>
              <w:pStyle w:val="1012"/>
              <w:ind w:left="0" w:right="0" w:firstLine="0"/>
              <w:jc w:val="left"/>
              <w:spacing w:before="60" w:after="6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7841" w:type="dxa"/>
            <w:vAlign w:val="center"/>
            <w:textDirection w:val="lrTb"/>
            <w:noWrap w:val="false"/>
          </w:tcPr>
          <w:p>
            <w:pPr>
              <w:pStyle w:val="1012"/>
              <w:ind w:left="0" w:right="0" w:firstLine="0"/>
              <w:jc w:val="left"/>
              <w:spacing w:before="60" w:after="6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升级支持防挖矿，Linux环境可通过检测挖矿程序名、挖矿程序外连矿池地址进行匹配，当正确匹配到挖矿进程、矿池地址，进行告警。</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left="0" w:right="0" w:firstLine="0"/>
              <w:jc w:val="left"/>
              <w:spacing w:before="60" w:after="6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策略支持分组、设备形式推送到具体设备。</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251" w:type="dxa"/>
            <w:vAlign w:val="center"/>
            <w:vMerge w:val="continue"/>
            <w:textDirection w:val="lrTb"/>
            <w:noWrap w:val="false"/>
          </w:tcPr>
          <w:p>
            <w:pPr>
              <w:pStyle w:val="1012"/>
              <w:ind w:left="0" w:right="0" w:firstLine="0"/>
              <w:jc w:val="left"/>
              <w:spacing w:before="60" w:after="6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7841" w:type="dxa"/>
            <w:vAlign w:val="center"/>
            <w:textDirection w:val="lrTb"/>
            <w:noWrap w:val="false"/>
          </w:tcPr>
          <w:p>
            <w:pPr>
              <w:pStyle w:val="1012"/>
              <w:ind w:left="0" w:right="0" w:firstLine="0"/>
              <w:jc w:val="left"/>
              <w:spacing w:before="60" w:after="6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升级支持进程白名单，白名单功能默认将操作系统的进程设置为可信任进程，用户不需要额外对操作系统进程进行策略配置。目前已经支持Windows白名单版本。策略支持分组、设备形式推送到具体设备。</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251" w:type="dxa"/>
            <w:vAlign w:val="center"/>
            <w:vMerge w:val="continue"/>
            <w:textDirection w:val="lrTb"/>
            <w:noWrap w:val="false"/>
          </w:tcPr>
          <w:p>
            <w:pPr>
              <w:pStyle w:val="1012"/>
              <w:ind w:left="0" w:right="0" w:firstLine="0"/>
              <w:jc w:val="left"/>
              <w:spacing w:before="60" w:after="6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7841" w:type="dxa"/>
            <w:vAlign w:val="center"/>
            <w:textDirection w:val="lrTb"/>
            <w:noWrap w:val="false"/>
          </w:tcPr>
          <w:p>
            <w:pPr>
              <w:pStyle w:val="1012"/>
              <w:ind w:left="0" w:right="0" w:firstLine="0"/>
              <w:jc w:val="left"/>
              <w:spacing w:before="60" w:after="6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升级模块，支持主机防护，针对Windows、Linux常见远程登录端口，管理中心根据设置策略会监测端口的访问情况，发生异常访问会进行告警。客户端对主机进程、进程外连访问占用主机端口进行监控，对超出设定阈值的进程进行告警。策略支持分组、设备形式推送到具体设备。</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251" w:type="dxa"/>
            <w:vAlign w:val="center"/>
            <w:vMerge w:val="continue"/>
            <w:textDirection w:val="lrTb"/>
            <w:noWrap w:val="false"/>
          </w:tcPr>
          <w:p>
            <w:pPr>
              <w:pStyle w:val="1012"/>
              <w:ind w:left="0" w:right="0" w:firstLine="0"/>
              <w:jc w:val="left"/>
              <w:spacing w:before="60" w:after="6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7841" w:type="dxa"/>
            <w:vAlign w:val="center"/>
            <w:textDirection w:val="lrTb"/>
            <w:noWrap w:val="false"/>
          </w:tcPr>
          <w:p>
            <w:pPr>
              <w:pStyle w:val="1012"/>
              <w:ind w:left="0" w:right="0" w:firstLine="0"/>
              <w:jc w:val="left"/>
              <w:spacing w:before="60" w:after="6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升级支持诱捕策略，Windows、Linux内置诱饵，模仿真实数据文件特征，诱导病毒攻击，对攻击行为进行告警或阻断并告警。</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251" w:type="dxa"/>
            <w:vAlign w:val="center"/>
            <w:vMerge w:val="restart"/>
            <w:textDirection w:val="lrTb"/>
            <w:noWrap w:val="false"/>
          </w:tcPr>
          <w:p>
            <w:pPr>
              <w:pStyle w:val="1012"/>
              <w:ind w:left="0" w:right="0" w:firstLine="0"/>
              <w:jc w:val="left"/>
              <w:spacing w:before="60" w:after="60" w:line="24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升级模块：保护模式</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tc>
        <w:tc>
          <w:tcPr>
            <w:tcW w:w="7841" w:type="dxa"/>
            <w:vAlign w:val="center"/>
            <w:textDirection w:val="lrTb"/>
            <w:noWrap w:val="false"/>
          </w:tcPr>
          <w:p>
            <w:pPr>
              <w:pStyle w:val="1012"/>
              <w:ind w:left="0" w:right="0" w:firstLine="0"/>
              <w:jc w:val="left"/>
              <w:spacing w:before="60" w:after="6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升级支持对所有未授权软件启动时均被隔离，包括勒索软件、已知勒索病毒、未知勒索病毒、挖矿病毒等恶意攻击程序以及非授权应用运行。</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251" w:type="dxa"/>
            <w:vAlign w:val="center"/>
            <w:vMerge w:val="continue"/>
            <w:textDirection w:val="lrTb"/>
            <w:noWrap w:val="false"/>
          </w:tcPr>
          <w:p>
            <w:pPr>
              <w:pStyle w:val="1012"/>
              <w:ind w:left="0" w:right="0" w:firstLine="0"/>
              <w:jc w:val="left"/>
              <w:spacing w:before="60" w:after="6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7841" w:type="dxa"/>
            <w:vAlign w:val="center"/>
            <w:textDirection w:val="lrTb"/>
            <w:noWrap w:val="false"/>
          </w:tcPr>
          <w:p>
            <w:pPr>
              <w:pStyle w:val="1012"/>
              <w:ind w:left="0" w:right="0" w:firstLine="0"/>
              <w:jc w:val="left"/>
              <w:spacing w:before="60" w:after="6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升级支持引导区保护模式，通过锁住系统引导区，防止恶意指令或代码修改操作系统引导区。</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251" w:type="dxa"/>
            <w:vAlign w:val="center"/>
            <w:vMerge w:val="continue"/>
            <w:textDirection w:val="lrTb"/>
            <w:noWrap w:val="false"/>
          </w:tcPr>
          <w:p>
            <w:pPr>
              <w:pStyle w:val="1012"/>
              <w:ind w:left="0" w:right="0" w:firstLine="0"/>
              <w:jc w:val="left"/>
              <w:spacing w:before="60" w:after="6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7841" w:type="dxa"/>
            <w:vAlign w:val="center"/>
            <w:textDirection w:val="lrTb"/>
            <w:noWrap w:val="false"/>
          </w:tcPr>
          <w:p>
            <w:pPr>
              <w:pStyle w:val="1012"/>
              <w:ind w:left="0" w:right="0" w:firstLine="0"/>
              <w:jc w:val="left"/>
              <w:spacing w:before="60" w:after="6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升级支持终端模拟工作模式，模拟验证各终端的防护情况，不做真实的阻断操作。</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251" w:type="dxa"/>
            <w:vAlign w:val="center"/>
            <w:vMerge w:val="continue"/>
            <w:textDirection w:val="lrTb"/>
            <w:noWrap w:val="false"/>
          </w:tcPr>
          <w:p>
            <w:pPr>
              <w:pStyle w:val="1012"/>
              <w:ind w:left="0" w:right="0" w:firstLine="0"/>
              <w:jc w:val="left"/>
              <w:spacing w:before="60" w:after="6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7841" w:type="dxa"/>
            <w:vAlign w:val="center"/>
            <w:textDirection w:val="lrTb"/>
            <w:noWrap w:val="false"/>
          </w:tcPr>
          <w:p>
            <w:pPr>
              <w:pStyle w:val="1012"/>
              <w:ind w:left="0" w:right="0" w:firstLine="0"/>
              <w:jc w:val="left"/>
              <w:spacing w:before="60" w:after="6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升级内置病毒库，防范LockBit等各类勒索病毒攻击，</w:t>
            </w:r>
            <w:r>
              <w:rPr>
                <w:rFonts w:hint="eastAsia" w:ascii="宋体" w:hAnsi="宋体" w:eastAsia="宋体" w:cs="宋体"/>
                <w:color w:val="000000" w:themeColor="text1"/>
                <w:sz w:val="24"/>
                <w:szCs w:val="24"/>
                <w:highlight w:val="none"/>
                <w:lang w:val="zh-CN" w:eastAsia="zh-CN" w:bidi="ar-SA"/>
              </w:rPr>
              <w:t xml:space="preserve">保护数据库等各类文件免受勒索病毒的加密和删除。</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251" w:type="dxa"/>
            <w:vAlign w:val="center"/>
            <w:vMerge w:val="continue"/>
            <w:textDirection w:val="lrTb"/>
            <w:noWrap w:val="false"/>
          </w:tcPr>
          <w:p>
            <w:pPr>
              <w:pStyle w:val="1012"/>
              <w:ind w:left="0" w:right="0" w:firstLine="0"/>
              <w:jc w:val="left"/>
              <w:spacing w:before="60" w:after="6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7841" w:type="dxa"/>
            <w:vAlign w:val="center"/>
            <w:textDirection w:val="lrTb"/>
            <w:noWrap w:val="false"/>
          </w:tcPr>
          <w:p>
            <w:pPr>
              <w:pStyle w:val="1012"/>
              <w:ind w:left="0" w:right="0" w:firstLine="0"/>
              <w:jc w:val="left"/>
              <w:spacing w:before="60" w:after="6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升级支持诱饵文件对勒索病毒的诱捕，精确识别勒索病毒，并记录受影响的设备名、IP地址、进程名、访问时间等。</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left="0" w:right="0" w:firstLine="0"/>
              <w:jc w:val="left"/>
              <w:spacing w:before="60" w:after="6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251" w:type="dxa"/>
            <w:vAlign w:val="center"/>
            <w:vMerge w:val="restart"/>
            <w:textDirection w:val="lrTb"/>
            <w:noWrap w:val="false"/>
          </w:tcPr>
          <w:p>
            <w:pPr>
              <w:pStyle w:val="1012"/>
              <w:ind w:left="0" w:right="0" w:firstLine="0"/>
              <w:jc w:val="left"/>
              <w:spacing w:before="60" w:after="60" w:line="24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升级模块：监控日志</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tc>
        <w:tc>
          <w:tcPr>
            <w:tcW w:w="7841" w:type="dxa"/>
            <w:vAlign w:val="center"/>
            <w:textDirection w:val="lrTb"/>
            <w:noWrap w:val="false"/>
          </w:tcPr>
          <w:p>
            <w:pPr>
              <w:pStyle w:val="1012"/>
              <w:ind w:left="0" w:right="0" w:firstLine="0"/>
              <w:jc w:val="left"/>
              <w:spacing w:before="60" w:after="6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升级访问控制能力，后台管理中心可以查看所有设备的防护日志信息，清晰完整地描述每个访问事件，包括事件的主客体、命中策略类型、事件结果等，事件描述完整的翻译了整个事件的访问过程及访问结果</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251" w:type="dxa"/>
            <w:vAlign w:val="center"/>
            <w:vMerge w:val="continue"/>
            <w:textDirection w:val="lrTb"/>
            <w:noWrap w:val="false"/>
          </w:tcPr>
          <w:p>
            <w:pPr>
              <w:pStyle w:val="1012"/>
              <w:ind w:left="0" w:right="0" w:firstLine="0"/>
              <w:jc w:val="left"/>
              <w:spacing w:before="60" w:after="6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7841" w:type="dxa"/>
            <w:vAlign w:val="center"/>
            <w:textDirection w:val="lrTb"/>
            <w:noWrap w:val="false"/>
          </w:tcPr>
          <w:p>
            <w:pPr>
              <w:pStyle w:val="1012"/>
              <w:ind w:left="0" w:right="0" w:firstLine="0"/>
              <w:jc w:val="left"/>
              <w:spacing w:before="60" w:after="6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升级主机入侵，针对主机入侵行为，客户端会及时检测并上传日志到管理中心。</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251" w:type="dxa"/>
            <w:vAlign w:val="center"/>
            <w:vMerge w:val="continue"/>
            <w:textDirection w:val="lrTb"/>
            <w:noWrap w:val="false"/>
          </w:tcPr>
          <w:p>
            <w:pPr>
              <w:pStyle w:val="1012"/>
              <w:ind w:left="0" w:right="0" w:firstLine="0"/>
              <w:jc w:val="left"/>
              <w:spacing w:before="60" w:after="6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7841" w:type="dxa"/>
            <w:vAlign w:val="center"/>
            <w:textDirection w:val="lrTb"/>
            <w:noWrap w:val="false"/>
          </w:tcPr>
          <w:p>
            <w:pPr>
              <w:pStyle w:val="1012"/>
              <w:ind w:left="0" w:right="0" w:firstLine="0"/>
              <w:jc w:val="left"/>
              <w:spacing w:before="60" w:after="6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升级疑似病毒，系统内置对疑似病毒的诱捕，所有相关信息都会上传到服务器。在后台管理中心，可以查看可疑病毒。</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251" w:type="dxa"/>
            <w:vAlign w:val="center"/>
            <w:vMerge w:val="restart"/>
            <w:textDirection w:val="lrTb"/>
            <w:noWrap w:val="false"/>
          </w:tcPr>
          <w:p>
            <w:pPr>
              <w:pStyle w:val="1012"/>
              <w:ind w:left="0" w:right="0" w:firstLine="0"/>
              <w:jc w:val="left"/>
              <w:spacing w:before="60" w:after="60" w:line="24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新增模块：高级防护</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tc>
        <w:tc>
          <w:tcPr>
            <w:tcW w:w="7841" w:type="dxa"/>
            <w:vAlign w:val="center"/>
            <w:textDirection w:val="lrTb"/>
            <w:noWrap w:val="false"/>
          </w:tcPr>
          <w:p>
            <w:pPr>
              <w:pStyle w:val="1012"/>
              <w:ind w:left="0" w:right="0" w:firstLine="0"/>
              <w:jc w:val="left"/>
              <w:spacing w:before="60" w:after="6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新增支持共享文件防护，针对共享文件/目录设置策略，重要的共享文件/目录设置访问终端需安装防勒索客户端才可进行后续的访问和使用。策略支持分组、设备形式推送到具体设备。</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251" w:type="dxa"/>
            <w:vAlign w:val="center"/>
            <w:vMerge w:val="continue"/>
            <w:textDirection w:val="lrTb"/>
            <w:noWrap w:val="false"/>
          </w:tcPr>
          <w:p>
            <w:pPr>
              <w:pStyle w:val="1012"/>
              <w:ind w:left="0" w:right="0" w:firstLine="0"/>
              <w:jc w:val="left"/>
              <w:spacing w:before="60" w:after="6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7841" w:type="dxa"/>
            <w:vAlign w:val="center"/>
            <w:textDirection w:val="lrTb"/>
            <w:noWrap w:val="false"/>
          </w:tcPr>
          <w:p>
            <w:pPr>
              <w:pStyle w:val="1012"/>
              <w:ind w:left="0" w:right="0" w:firstLine="0"/>
              <w:jc w:val="left"/>
              <w:spacing w:before="60" w:after="6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新增支持域探测防护，防护病毒入侵后对域环境中整体网络进行探测。</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left="0" w:right="0" w:firstLine="0"/>
              <w:jc w:val="left"/>
              <w:spacing w:before="60" w:after="6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策略支持分组、设备形式推送到具体设备。</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251" w:type="dxa"/>
            <w:vAlign w:val="center"/>
            <w:vMerge w:val="continue"/>
            <w:textDirection w:val="lrTb"/>
            <w:noWrap w:val="false"/>
          </w:tcPr>
          <w:p>
            <w:pPr>
              <w:pStyle w:val="1012"/>
              <w:ind w:left="0" w:right="0" w:firstLine="0"/>
              <w:jc w:val="left"/>
              <w:spacing w:before="60" w:after="6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7841" w:type="dxa"/>
            <w:vAlign w:val="center"/>
            <w:textDirection w:val="lrTb"/>
            <w:noWrap w:val="false"/>
          </w:tcPr>
          <w:p>
            <w:pPr>
              <w:pStyle w:val="1012"/>
              <w:ind w:left="0" w:right="0" w:firstLine="0"/>
              <w:jc w:val="left"/>
              <w:spacing w:before="60" w:after="6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新增支持容器防护，对于容器类程序，主要指的是Java虚拟机和其他脚本语言解释器程序，不能运行任意脚本文件，只能运行策略指定的脚本文件。策略支持分组、设备形式推送到具体设备。</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251" w:type="dxa"/>
            <w:vAlign w:val="center"/>
            <w:vMerge w:val="continue"/>
            <w:textDirection w:val="lrTb"/>
            <w:noWrap w:val="false"/>
          </w:tcPr>
          <w:p>
            <w:pPr>
              <w:pStyle w:val="1012"/>
              <w:ind w:left="0" w:right="0" w:firstLine="0"/>
              <w:jc w:val="left"/>
              <w:spacing w:before="60" w:after="6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7841" w:type="dxa"/>
            <w:vAlign w:val="center"/>
            <w:textDirection w:val="lrTb"/>
            <w:noWrap w:val="false"/>
          </w:tcPr>
          <w:p>
            <w:pPr>
              <w:pStyle w:val="1012"/>
              <w:ind w:left="0" w:right="0" w:firstLine="0"/>
              <w:jc w:val="left"/>
              <w:spacing w:before="60" w:after="6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新增支持端口防护，针对终端/服务器存在的高危端口，设置相应的防护策略。策略支持分组、设备形式推送到具体设备。</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251" w:type="dxa"/>
            <w:vAlign w:val="center"/>
            <w:vMerge w:val="continue"/>
            <w:textDirection w:val="lrTb"/>
            <w:noWrap w:val="false"/>
          </w:tcPr>
          <w:p>
            <w:pPr>
              <w:pStyle w:val="1012"/>
              <w:ind w:left="0" w:right="0" w:firstLine="0"/>
              <w:jc w:val="left"/>
              <w:spacing w:before="60" w:after="6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7841" w:type="dxa"/>
            <w:vAlign w:val="center"/>
            <w:textDirection w:val="lrTb"/>
            <w:noWrap w:val="false"/>
          </w:tcPr>
          <w:p>
            <w:pPr>
              <w:pStyle w:val="1012"/>
              <w:ind w:left="0" w:right="0" w:firstLine="0"/>
              <w:jc w:val="left"/>
              <w:spacing w:before="60" w:after="6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新增支持无文件攻击防护，Windows环境通过进程内存MEM_IMAGE检测、批量修改文件后缀检测，来实现对无文件攻击、进程注入攻击防护。策略支持分组、设备形式推送到具体设备。</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251" w:type="dxa"/>
            <w:vAlign w:val="center"/>
            <w:textDirection w:val="lrTb"/>
            <w:noWrap w:val="false"/>
          </w:tcPr>
          <w:p>
            <w:pPr>
              <w:pStyle w:val="1012"/>
              <w:ind w:left="0" w:right="0" w:firstLine="0"/>
              <w:jc w:val="left"/>
              <w:spacing w:before="60" w:after="60" w:line="24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新增模块：数据防泄漏</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tc>
        <w:tc>
          <w:tcPr>
            <w:tcW w:w="7841" w:type="dxa"/>
            <w:vAlign w:val="center"/>
            <w:textDirection w:val="lrTb"/>
            <w:noWrap w:val="false"/>
          </w:tcPr>
          <w:p>
            <w:pPr>
              <w:pStyle w:val="1012"/>
              <w:ind w:left="0" w:right="0" w:firstLine="0"/>
              <w:jc w:val="left"/>
              <w:spacing w:before="60" w:after="6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新增对数据库文件落到服务器本地的文件进行落地加密，防止重要资产泄露。</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251" w:type="dxa"/>
            <w:vAlign w:val="center"/>
            <w:textDirection w:val="lrTb"/>
            <w:noWrap w:val="false"/>
          </w:tcPr>
          <w:p>
            <w:pPr>
              <w:pStyle w:val="1012"/>
              <w:ind w:left="0" w:right="0" w:firstLine="0"/>
              <w:jc w:val="left"/>
              <w:spacing w:before="60" w:after="60" w:line="24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新增模块：防御可视化</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tc>
        <w:tc>
          <w:tcPr>
            <w:tcW w:w="7841" w:type="dxa"/>
            <w:vAlign w:val="center"/>
            <w:textDirection w:val="lrTb"/>
            <w:noWrap w:val="false"/>
          </w:tcPr>
          <w:p>
            <w:pPr>
              <w:pStyle w:val="1012"/>
              <w:ind w:left="0" w:right="0" w:firstLine="0"/>
              <w:jc w:val="left"/>
              <w:spacing w:before="60" w:after="6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新增支持资产访问可视化分析，可描绘进程访问资产关系图，分析恶意进程运行方式，及监控恶意进程主机入侵生命周期。</w:t>
            </w:r>
            <w:r>
              <w:rPr>
                <w:rFonts w:hint="eastAsia" w:ascii="宋体" w:hAnsi="宋体" w:eastAsia="宋体" w:cs="宋体"/>
                <w:color w:val="000000" w:themeColor="text1"/>
                <w:sz w:val="24"/>
                <w:szCs w:val="24"/>
                <w:highlight w:val="none"/>
                <w:lang w:val="en-US" w:eastAsia="zh-CN" w:bidi="ar-SA"/>
              </w:rPr>
            </w:r>
            <w:r>
              <w:rPr>
                <w:color w:val="000000" w:themeColor="text1"/>
              </w:rPr>
            </w:r>
          </w:p>
        </w:tc>
      </w:tr>
    </w:tbl>
    <w:p>
      <w:pPr>
        <w:pStyle w:val="1053"/>
        <w:numPr>
          <w:ilvl w:val="0"/>
          <w:numId w:val="0"/>
        </w:numPr>
        <w:rPr>
          <w:rFonts w:hint="eastAsia" w:ascii="宋体" w:hAnsi="宋体" w:eastAsia="宋体" w:cs="宋体"/>
          <w:color w:val="000000" w:themeColor="text1"/>
          <w:highlight w:val="none"/>
        </w:rPr>
      </w:pPr>
      <w:r>
        <w:rPr>
          <w:color w:val="000000" w:themeColor="text1"/>
        </w:rPr>
      </w:r>
      <w:bookmarkStart w:id="44" w:name="_Toc27005"/>
      <w:r>
        <w:rPr>
          <w:rFonts w:hint="eastAsia" w:ascii="宋体" w:hAnsi="宋体" w:eastAsia="宋体" w:cs="宋体"/>
          <w:b/>
          <w:bCs/>
          <w:color w:val="000000" w:themeColor="text1"/>
          <w:sz w:val="28"/>
          <w:szCs w:val="28"/>
          <w:highlight w:val="none"/>
          <w:lang w:val="en-US" w:eastAsia="zh-CN"/>
        </w:rPr>
        <w:t xml:space="preserve">9.</w:t>
      </w:r>
      <w:r>
        <w:rPr>
          <w:rFonts w:hint="eastAsia" w:ascii="宋体" w:hAnsi="宋体" w:eastAsia="宋体" w:cs="宋体"/>
          <w:b/>
          <w:bCs/>
          <w:color w:val="000000" w:themeColor="text1"/>
          <w:sz w:val="28"/>
          <w:szCs w:val="28"/>
          <w:highlight w:val="none"/>
        </w:rPr>
        <w:t xml:space="preserve">外网核心交换机</w:t>
      </w:r>
      <w:bookmarkEnd w:id="44"/>
      <w:r>
        <w:rPr>
          <w:rFonts w:hint="eastAsia" w:ascii="宋体" w:hAnsi="宋体" w:eastAsia="宋体" w:cs="宋体"/>
          <w:color w:val="000000" w:themeColor="text1"/>
          <w:highlight w:val="none"/>
        </w:rPr>
      </w:r>
      <w:r>
        <w:rPr>
          <w:color w:val="000000" w:themeColor="text1"/>
        </w:rPr>
      </w:r>
    </w:p>
    <w:tbl>
      <w:tblPr>
        <w:tblStyle w:val="1044"/>
        <w:tblW w:w="909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04"/>
        <w:gridCol w:w="7692"/>
      </w:tblGrid>
      <w:tr>
        <w:trPr>
          <w:tblHeader/>
        </w:trPr>
        <w:tc>
          <w:tcPr>
            <w:tcW w:w="1404" w:type="dxa"/>
            <w:vAlign w:val="center"/>
            <w:textDirection w:val="lrTb"/>
            <w:noWrap w:val="false"/>
          </w:tcPr>
          <w:p>
            <w:pPr>
              <w:pStyle w:val="1012"/>
              <w:ind w:left="0" w:right="0" w:firstLine="0"/>
              <w:jc w:val="center"/>
              <w:spacing w:after="0" w:line="240" w:lineRule="auto"/>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技术指标</w:t>
            </w:r>
            <w:r>
              <w:rPr>
                <w:rFonts w:hint="eastAsia" w:ascii="宋体" w:hAnsi="宋体" w:eastAsia="宋体" w:cs="宋体"/>
                <w:b/>
                <w:bCs/>
                <w:color w:val="000000" w:themeColor="text1"/>
                <w:sz w:val="24"/>
                <w:szCs w:val="24"/>
                <w:highlight w:val="none"/>
                <w:lang w:val="en-US" w:eastAsia="zh-CN" w:bidi="ar-SA"/>
              </w:rPr>
            </w:r>
            <w:r>
              <w:rPr>
                <w:color w:val="000000" w:themeColor="text1"/>
              </w:rPr>
            </w:r>
          </w:p>
        </w:tc>
        <w:tc>
          <w:tcPr>
            <w:tcW w:w="7692" w:type="dxa"/>
            <w:vAlign w:val="center"/>
            <w:textDirection w:val="lrTb"/>
            <w:noWrap w:val="false"/>
          </w:tcPr>
          <w:p>
            <w:pPr>
              <w:pStyle w:val="1012"/>
              <w:ind w:left="0" w:right="0" w:firstLine="0"/>
              <w:jc w:val="center"/>
              <w:spacing w:after="0" w:line="240" w:lineRule="auto"/>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指标要求</w:t>
            </w:r>
            <w:r>
              <w:rPr>
                <w:rFonts w:hint="eastAsia" w:ascii="宋体" w:hAnsi="宋体" w:eastAsia="宋体" w:cs="宋体"/>
                <w:b/>
                <w:bCs/>
                <w:color w:val="000000" w:themeColor="text1"/>
                <w:sz w:val="24"/>
                <w:szCs w:val="24"/>
                <w:highlight w:val="none"/>
                <w:lang w:val="en-US" w:eastAsia="zh-CN" w:bidi="ar-SA"/>
              </w:rPr>
            </w:r>
            <w:r>
              <w:rPr>
                <w:color w:val="000000" w:themeColor="text1"/>
              </w:rPr>
            </w:r>
          </w:p>
        </w:tc>
      </w:tr>
      <w:tr>
        <w:trPr/>
        <w:tc>
          <w:tcPr>
            <w:tcW w:w="1404" w:type="dxa"/>
            <w:vAlign w:val="center"/>
            <w:textDirection w:val="lrTb"/>
            <w:noWrap w:val="false"/>
          </w:tcPr>
          <w:p>
            <w:pPr>
              <w:pStyle w:val="1012"/>
              <w:ind w:left="0" w:right="0" w:firstLine="0"/>
              <w:jc w:val="center"/>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配置要求</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7692" w:type="dxa"/>
            <w:vAlign w:val="center"/>
            <w:textDirection w:val="lrTb"/>
            <w:noWrap w:val="false"/>
          </w:tcPr>
          <w:p>
            <w:pPr>
              <w:pStyle w:val="1012"/>
              <w:ind w:left="0" w:right="0" w:firstLine="0"/>
              <w:jc w:val="left"/>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1.框式设备。</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left="0" w:right="0" w:firstLine="0"/>
              <w:jc w:val="left"/>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2.交换容量≥65Tbps，包转发能力≥51000Mpps。</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left="0" w:right="0" w:firstLine="0"/>
              <w:jc w:val="left"/>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3.槽位数≥3。</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left="0" w:right="0" w:firstLine="0"/>
              <w:jc w:val="left"/>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4.▲支持Telemetry流量可视化功能，投标人提供具有CMA或CNAS认证或者其他第三方权威机构检验报告扫描件证明并加盖投标人公章。</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numPr>
                <w:ilvl w:val="0"/>
                <w:numId w:val="0"/>
              </w:numPr>
              <w:ind w:left="0" w:right="0" w:firstLine="0"/>
              <w:jc w:val="left"/>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5.支持防火墙业务板卡，提供官方网站截图证明并加盖投标人公章。</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left="0" w:right="0" w:firstLine="0"/>
              <w:jc w:val="left"/>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6.配置双主控，千兆电口≥48个，万兆光口≥48个，1.2M虚拟化线缆1根，配置16个万兆单模光模块，配置双电源。</w:t>
            </w:r>
            <w:r>
              <w:rPr>
                <w:rFonts w:hint="eastAsia" w:ascii="宋体" w:hAnsi="宋体" w:eastAsia="宋体" w:cs="宋体"/>
                <w:color w:val="000000" w:themeColor="text1"/>
                <w:sz w:val="24"/>
                <w:szCs w:val="24"/>
                <w:highlight w:val="none"/>
                <w:lang w:val="en-US" w:eastAsia="zh-CN" w:bidi="ar-SA"/>
              </w:rPr>
            </w:r>
            <w:r>
              <w:rPr>
                <w:color w:val="000000" w:themeColor="text1"/>
              </w:rPr>
            </w:r>
          </w:p>
        </w:tc>
      </w:tr>
    </w:tbl>
    <w:p>
      <w:pPr>
        <w:pStyle w:val="1012"/>
        <w:numPr>
          <w:ilvl w:val="0"/>
          <w:numId w:val="0"/>
        </w:num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1053"/>
        <w:ind w:firstLine="420"/>
        <w:keepLines w:val="0"/>
        <w:keepNext w:val="0"/>
        <w:pageBreakBefore w:val="0"/>
        <w:spacing w:line="360" w:lineRule="auto"/>
        <w:rPr>
          <w:rFonts w:hint="eastAsia" w:ascii="宋体" w:hAnsi="宋体" w:eastAsia="宋体" w:cs="宋体"/>
          <w:b/>
          <w:bCs/>
          <w:color w:val="000000" w:themeColor="text1"/>
          <w:highlight w:val="none"/>
        </w:rPr>
      </w:pPr>
      <w:r>
        <w:rPr>
          <w:color w:val="000000" w:themeColor="text1"/>
        </w:rPr>
      </w:r>
      <w:bookmarkStart w:id="45" w:name="_Toc12041"/>
      <w:r>
        <w:rPr>
          <w:rFonts w:hint="eastAsia" w:ascii="宋体" w:hAnsi="宋体" w:eastAsia="宋体" w:cs="宋体"/>
          <w:b/>
          <w:bCs/>
          <w:color w:val="000000" w:themeColor="text1"/>
          <w:highlight w:val="none"/>
          <w:lang w:val="en-US" w:eastAsia="zh-CN"/>
        </w:rPr>
        <w:t xml:space="preserve">2.1.2、新增设备部分</w:t>
      </w:r>
      <w:bookmarkEnd w:id="45"/>
      <w:r>
        <w:rPr>
          <w:rFonts w:hint="eastAsia" w:ascii="宋体" w:hAnsi="宋体" w:eastAsia="宋体" w:cs="宋体"/>
          <w:b/>
          <w:bCs/>
          <w:color w:val="000000" w:themeColor="text1"/>
          <w:highlight w:val="none"/>
        </w:rPr>
      </w:r>
      <w:r>
        <w:rPr>
          <w:color w:val="000000" w:themeColor="text1"/>
        </w:rPr>
      </w:r>
    </w:p>
    <w:p>
      <w:pPr>
        <w:pStyle w:val="1053"/>
        <w:numPr>
          <w:ilvl w:val="0"/>
          <w:numId w:val="0"/>
        </w:numPr>
        <w:rPr>
          <w:rFonts w:hint="eastAsia" w:ascii="宋体" w:hAnsi="宋体" w:eastAsia="宋体" w:cs="宋体"/>
          <w:b/>
          <w:bCs/>
          <w:color w:val="000000" w:themeColor="text1"/>
          <w:highlight w:val="none"/>
        </w:rPr>
      </w:pPr>
      <w:r>
        <w:rPr>
          <w:color w:val="000000" w:themeColor="text1"/>
        </w:rPr>
      </w:r>
      <w:bookmarkStart w:id="46" w:name="_Toc21593"/>
      <w:r>
        <w:rPr>
          <w:rFonts w:hint="eastAsia" w:ascii="宋体" w:hAnsi="宋体" w:eastAsia="宋体" w:cs="宋体"/>
          <w:b/>
          <w:bCs/>
          <w:color w:val="000000" w:themeColor="text1"/>
          <w:highlight w:val="none"/>
          <w:lang w:val="en-US" w:eastAsia="zh-CN"/>
        </w:rPr>
        <w:t xml:space="preserve">1.</w:t>
      </w:r>
      <w:r>
        <w:rPr>
          <w:rFonts w:hint="eastAsia" w:ascii="宋体" w:hAnsi="宋体" w:eastAsia="宋体" w:cs="宋体"/>
          <w:b/>
          <w:bCs/>
          <w:color w:val="000000" w:themeColor="text1"/>
          <w:highlight w:val="none"/>
        </w:rPr>
        <w:t xml:space="preserve">内网数据中心防火墙（含IPS和AV模块）</w:t>
      </w:r>
      <w:bookmarkEnd w:id="46"/>
      <w:r>
        <w:rPr>
          <w:rFonts w:hint="eastAsia" w:ascii="宋体" w:hAnsi="宋体" w:eastAsia="宋体" w:cs="宋体"/>
          <w:b/>
          <w:bCs/>
          <w:color w:val="000000" w:themeColor="text1"/>
          <w:highlight w:val="none"/>
        </w:rPr>
      </w:r>
      <w:r>
        <w:rPr>
          <w:color w:val="000000" w:themeColor="text1"/>
        </w:rPr>
      </w:r>
    </w:p>
    <w:tbl>
      <w:tblPr>
        <w:tblW w:w="9096"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418"/>
        <w:gridCol w:w="7678"/>
      </w:tblGrid>
      <w:tr>
        <w:trPr>
          <w:tblHeader/>
        </w:trPr>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1012"/>
              <w:ind w:left="0" w:right="0" w:firstLine="0"/>
              <w:jc w:val="center"/>
              <w:spacing w:line="240" w:lineRule="auto"/>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技术指标</w:t>
            </w:r>
            <w:r>
              <w:rPr>
                <w:rFonts w:hint="eastAsia" w:ascii="宋体" w:hAnsi="宋体" w:eastAsia="宋体" w:cs="宋体"/>
                <w:b/>
                <w:bCs/>
                <w:color w:val="000000" w:themeColor="text1"/>
                <w:sz w:val="24"/>
                <w:szCs w:val="24"/>
                <w:highlight w:val="none"/>
                <w:lang w:val="en-US" w:eastAsia="zh-CN" w:bidi="ar-SA"/>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7678" w:type="dxa"/>
            <w:vAlign w:val="center"/>
            <w:textDirection w:val="lrTb"/>
            <w:noWrap w:val="false"/>
          </w:tcPr>
          <w:p>
            <w:pPr>
              <w:pStyle w:val="1012"/>
              <w:ind w:left="0" w:right="0" w:firstLine="0"/>
              <w:jc w:val="center"/>
              <w:spacing w:line="240" w:lineRule="auto"/>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指标要求</w:t>
            </w:r>
            <w:r>
              <w:rPr>
                <w:rFonts w:hint="eastAsia" w:ascii="宋体" w:hAnsi="宋体" w:eastAsia="宋体" w:cs="宋体"/>
                <w:b/>
                <w:bCs/>
                <w:color w:val="000000" w:themeColor="text1"/>
                <w:sz w:val="24"/>
                <w:szCs w:val="24"/>
                <w:highlight w:val="none"/>
                <w:lang w:val="en-US" w:eastAsia="zh-CN" w:bidi="ar-SA"/>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1012"/>
              <w:ind w:left="0" w:right="0" w:firstLine="0"/>
              <w:jc w:val="left"/>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规格要求</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7678" w:type="dxa"/>
            <w:vAlign w:val="center"/>
            <w:textDirection w:val="lrTb"/>
            <w:noWrap w:val="false"/>
          </w:tcPr>
          <w:p>
            <w:pPr>
              <w:pStyle w:val="1012"/>
              <w:ind w:left="0" w:right="0" w:firstLine="0"/>
              <w:jc w:val="left"/>
              <w:spacing w:line="240" w:lineRule="auto"/>
              <w:widowControl/>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4"/>
                <w:highlight w:val="none"/>
                <w:lang w:val="en-US" w:eastAsia="zh-CN" w:bidi="ar-SA"/>
              </w:rPr>
              <w:t xml:space="preserve">满足国产化要求，冗余电源，配置≥8个千兆电口，≥256G固态硬盘，≥4T机械硬盘，整机吞吐量≥20G，应用层吞吐量≥16G，最大并发连接数≥400万，新建连接数≥30万。</w:t>
            </w:r>
            <w:r>
              <w:rPr>
                <w:rFonts w:hint="eastAsia" w:ascii="宋体" w:hAnsi="宋体" w:eastAsia="宋体" w:cs="宋体"/>
                <w:color w:val="000000" w:themeColor="text1"/>
                <w:sz w:val="24"/>
                <w:szCs w:val="22"/>
                <w:highlight w:val="none"/>
                <w:lang w:val="en-US" w:eastAsia="zh-CN" w:bidi="ar-SA"/>
              </w:rPr>
              <w:t xml:space="preserve">以上配置投标人提供产品彩页扫描件加盖投标人公章。</w:t>
            </w:r>
            <w:r>
              <w:rPr>
                <w:rFonts w:hint="eastAsia" w:ascii="宋体" w:hAnsi="宋体" w:eastAsia="宋体" w:cs="宋体"/>
                <w:color w:val="000000" w:themeColor="text1"/>
                <w:sz w:val="24"/>
                <w:szCs w:val="22"/>
                <w:highlight w:val="none"/>
                <w:lang w:val="en-US" w:eastAsia="zh-CN" w:bidi="ar-SA"/>
              </w:rPr>
            </w:r>
            <w:r>
              <w:rPr>
                <w:color w:val="000000" w:themeColor="text1"/>
              </w:rPr>
            </w:r>
          </w:p>
          <w:p>
            <w:pPr>
              <w:pStyle w:val="1012"/>
              <w:ind w:left="0" w:right="0" w:firstLine="0"/>
              <w:jc w:val="left"/>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含三年入侵防御/防病毒模块等升级服务（提供投标人公章服务承诺函）。</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1012"/>
              <w:ind w:left="0" w:right="0" w:firstLine="0"/>
              <w:jc w:val="left"/>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联动管理</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7678" w:type="dxa"/>
            <w:vAlign w:val="center"/>
            <w:textDirection w:val="lrTb"/>
            <w:noWrap w:val="false"/>
          </w:tcPr>
          <w:p>
            <w:pPr>
              <w:pStyle w:val="1012"/>
              <w:ind w:left="0" w:right="0" w:firstLine="0"/>
              <w:jc w:val="left"/>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产品支持与安全运营平台联动，将本地防火墙产品产生的安全日志等数据上报至安全运营平台，并在平台进行威胁展示。（需提供产品功能截图证明并加盖投标人公章）</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1012"/>
              <w:ind w:left="0" w:right="0" w:firstLine="0"/>
              <w:jc w:val="left"/>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工作模式</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7678" w:type="dxa"/>
            <w:vAlign w:val="center"/>
            <w:textDirection w:val="lrTb"/>
            <w:noWrap w:val="false"/>
          </w:tcPr>
          <w:p>
            <w:pPr>
              <w:pStyle w:val="1012"/>
              <w:ind w:left="0" w:right="0" w:firstLine="0"/>
              <w:jc w:val="left"/>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产品支持路由模式、透明模式、虚拟网线模式、旁路镜像模式等多种部署方式。</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1012"/>
              <w:ind w:left="0" w:right="0" w:firstLine="0"/>
              <w:jc w:val="left"/>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硬件一虚多</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7678" w:type="dxa"/>
            <w:vAlign w:val="center"/>
            <w:textDirection w:val="lrTb"/>
            <w:noWrap w:val="false"/>
          </w:tcPr>
          <w:p>
            <w:pPr>
              <w:pStyle w:val="1012"/>
              <w:ind w:left="0" w:right="0" w:firstLine="0"/>
              <w:jc w:val="left"/>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产品支持虚拟防火墙功能，支持虚拟防火墙的创建和删除，具备独立的接口、会话管理、应用控制策略、NAT等资源。</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1012"/>
              <w:ind w:left="0" w:right="0" w:firstLine="0"/>
              <w:jc w:val="left"/>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链路状态检测</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7678" w:type="dxa"/>
            <w:vAlign w:val="center"/>
            <w:textDirection w:val="lrTb"/>
            <w:noWrap w:val="false"/>
          </w:tcPr>
          <w:p>
            <w:pPr>
              <w:pStyle w:val="1012"/>
              <w:ind w:left="0" w:right="0" w:firstLine="0"/>
              <w:jc w:val="left"/>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产品支持链路连通性检查功能，支持基于3种以上协议对链路连通性进行探测，探测协议至少包括DNS解析、ARP探测、PING和BFD等方式。</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Borders>
              <w:top w:val="single" w:color="000000" w:sz="4" w:space="0"/>
              <w:left w:val="single" w:color="000000" w:sz="4" w:space="0"/>
              <w:bottom w:val="none" w:color="000000" w:sz="0" w:space="0"/>
              <w:right w:val="single" w:color="000000" w:sz="4" w:space="0"/>
            </w:tcBorders>
            <w:tcW w:w="1418" w:type="dxa"/>
            <w:vAlign w:val="center"/>
            <w:vMerge w:val="restart"/>
            <w:textDirection w:val="lrTb"/>
            <w:noWrap w:val="false"/>
          </w:tcPr>
          <w:p>
            <w:pPr>
              <w:pStyle w:val="1012"/>
              <w:ind w:left="0" w:right="0" w:firstLine="0"/>
              <w:jc w:val="left"/>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访问控制策略</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7678" w:type="dxa"/>
            <w:vAlign w:val="center"/>
            <w:textDirection w:val="lrTb"/>
            <w:noWrap w:val="false"/>
          </w:tcPr>
          <w:p>
            <w:pPr>
              <w:pStyle w:val="1012"/>
              <w:ind w:left="0" w:right="0" w:firstLine="0"/>
              <w:jc w:val="left"/>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产品支持基于网络区域、网络对象、MAC地址、服务、应用、域名等维度进行访问控制策略设置。</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Borders>
              <w:top w:val="none" w:color="000000" w:sz="0"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1012"/>
              <w:ind w:left="0" w:right="0" w:firstLine="0"/>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78" w:type="dxa"/>
            <w:vAlign w:val="center"/>
            <w:textDirection w:val="lrTb"/>
            <w:noWrap w:val="false"/>
          </w:tcPr>
          <w:p>
            <w:pPr>
              <w:pStyle w:val="1012"/>
              <w:ind w:left="0" w:right="0" w:firstLine="0"/>
              <w:jc w:val="left"/>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▲支持基于源安全区、目的安全区、源地址、目的地址、源端口、目的端口、协议等，模拟运行直接获得策略的命中信息，并可对命令中的策略信息进行编辑，投标人提供具有CMA或CNAS标识的检测报告扫描件</w:t>
            </w:r>
            <w:r>
              <w:rPr>
                <w:rFonts w:hint="eastAsia" w:ascii="宋体" w:hAnsi="宋体" w:eastAsia="宋体" w:cs="宋体"/>
                <w:color w:val="000000" w:themeColor="text1"/>
                <w:sz w:val="24"/>
                <w:szCs w:val="24"/>
                <w:highlight w:val="none"/>
                <w:lang w:val="en-US" w:eastAsia="zh-CN" w:bidi="ar"/>
              </w:rPr>
              <w:t xml:space="preserve">并</w:t>
            </w:r>
            <w:r>
              <w:rPr>
                <w:rFonts w:hint="eastAsia" w:ascii="宋体" w:hAnsi="宋体" w:eastAsia="宋体" w:cs="宋体"/>
                <w:color w:val="000000" w:themeColor="text1"/>
                <w:sz w:val="24"/>
                <w:szCs w:val="24"/>
                <w:highlight w:val="none"/>
                <w:lang w:val="en-US" w:eastAsia="zh-CN" w:bidi="ar-SA"/>
              </w:rPr>
              <w:t xml:space="preserve">加盖投标人公章。</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1012"/>
              <w:ind w:left="0" w:right="0" w:firstLine="0"/>
              <w:jc w:val="left"/>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文件过滤</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7678" w:type="dxa"/>
            <w:vAlign w:val="center"/>
            <w:textDirection w:val="lrTb"/>
            <w:noWrap w:val="false"/>
          </w:tcPr>
          <w:p>
            <w:pPr>
              <w:pStyle w:val="1012"/>
              <w:ind w:left="0" w:right="0" w:firstLine="0"/>
              <w:jc w:val="left"/>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产品支持基于文件传输方式、文件类型等维度的管控策略配置。</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pStyle w:val="1012"/>
              <w:ind w:left="0" w:right="0" w:firstLine="0"/>
              <w:jc w:val="left"/>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防病毒</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7678" w:type="dxa"/>
            <w:vAlign w:val="center"/>
            <w:textDirection w:val="lrTb"/>
            <w:noWrap w:val="false"/>
          </w:tcPr>
          <w:p>
            <w:pPr>
              <w:pStyle w:val="1012"/>
              <w:ind w:left="0" w:right="0" w:firstLine="0"/>
              <w:jc w:val="left"/>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▲支持基于HTTP、FTP、POP3、SMTP、IMAP协议的进行多线程下载以及有密码压缩包下载限制，投标人提供具有CMA或CNAS标识的检测报告扫描件</w:t>
            </w:r>
            <w:r>
              <w:rPr>
                <w:rFonts w:hint="eastAsia" w:ascii="宋体" w:hAnsi="宋体" w:eastAsia="宋体" w:cs="宋体"/>
                <w:color w:val="000000" w:themeColor="text1"/>
                <w:sz w:val="24"/>
                <w:szCs w:val="24"/>
                <w:highlight w:val="none"/>
                <w:lang w:val="en-US" w:eastAsia="zh-CN" w:bidi="ar"/>
              </w:rPr>
              <w:t xml:space="preserve">并</w:t>
            </w:r>
            <w:r>
              <w:rPr>
                <w:rFonts w:hint="eastAsia" w:ascii="宋体" w:hAnsi="宋体" w:eastAsia="宋体" w:cs="宋体"/>
                <w:color w:val="000000" w:themeColor="text1"/>
                <w:sz w:val="24"/>
                <w:szCs w:val="24"/>
                <w:highlight w:val="none"/>
                <w:lang w:val="en-US" w:eastAsia="zh-CN" w:bidi="ar-SA"/>
              </w:rPr>
              <w:t xml:space="preserve">加盖投标人公章。</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1012"/>
              <w:ind w:left="0" w:right="0" w:firstLine="0"/>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78" w:type="dxa"/>
            <w:vAlign w:val="center"/>
            <w:textDirection w:val="lrTb"/>
            <w:noWrap w:val="false"/>
          </w:tcPr>
          <w:p>
            <w:pPr>
              <w:pStyle w:val="1012"/>
              <w:ind w:left="0" w:right="0" w:firstLine="0"/>
              <w:jc w:val="left"/>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产品支持杀毒白名单设置，可以例外排除特定MD5和URL的病毒文件，针对特定文件不进行查杀。</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1012"/>
              <w:ind w:left="0" w:right="0" w:firstLine="0"/>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78" w:type="dxa"/>
            <w:vAlign w:val="center"/>
            <w:textDirection w:val="lrTb"/>
            <w:noWrap w:val="false"/>
          </w:tcPr>
          <w:p>
            <w:pPr>
              <w:pStyle w:val="1012"/>
              <w:ind w:left="0" w:right="0" w:firstLine="0"/>
              <w:jc w:val="left"/>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产品支持勒索病毒检测与防御功能。</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pStyle w:val="1012"/>
              <w:ind w:left="0" w:right="0" w:firstLine="0"/>
              <w:jc w:val="left"/>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入侵攻击防御</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7678" w:type="dxa"/>
            <w:vAlign w:val="center"/>
            <w:textDirection w:val="lrTb"/>
            <w:noWrap w:val="false"/>
          </w:tcPr>
          <w:p>
            <w:pPr>
              <w:pStyle w:val="1012"/>
              <w:ind w:left="0" w:right="0" w:firstLine="0"/>
              <w:jc w:val="left"/>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产品内置不低于11000种漏洞规则，同时支持在控制台界面通过漏洞ID、漏洞名称、危险等级、漏洞CVE标识、漏洞描述等条件查询漏洞特征信息，支持用户自定义IPS规则。</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1012"/>
              <w:ind w:left="0" w:right="0" w:firstLine="0"/>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78" w:type="dxa"/>
            <w:vAlign w:val="center"/>
            <w:textDirection w:val="lrTb"/>
            <w:noWrap w:val="false"/>
          </w:tcPr>
          <w:p>
            <w:pPr>
              <w:pStyle w:val="1012"/>
              <w:ind w:left="0" w:right="0" w:firstLine="0"/>
              <w:jc w:val="left"/>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产品支持基于IMAP、FTP、RDP、VNC、SSH、TELNET、ORACLE、MYSQL、MSSQL等应用协议进行深度检测与防护。</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1012"/>
              <w:ind w:left="0" w:right="0" w:firstLine="0"/>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78" w:type="dxa"/>
            <w:vAlign w:val="center"/>
            <w:textDirection w:val="lrTb"/>
            <w:noWrap w:val="false"/>
          </w:tcPr>
          <w:p>
            <w:pPr>
              <w:pStyle w:val="1012"/>
              <w:ind w:left="0" w:right="0" w:firstLine="0"/>
              <w:jc w:val="left"/>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▲产品支持僵尸主机检测功能，产品内置僵尸网络特征库，可识别主机的异常外联行为。投标人需提供产品功能截图证明或者第三方权威机构提供检测报告扫描件并加盖投标人公章。</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1012"/>
              <w:ind w:left="0" w:right="0" w:firstLine="0"/>
              <w:jc w:val="left"/>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策略有效性分析</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7678" w:type="dxa"/>
            <w:vAlign w:val="center"/>
            <w:textDirection w:val="lrTb"/>
            <w:noWrap w:val="false"/>
          </w:tcPr>
          <w:p>
            <w:pPr>
              <w:pStyle w:val="1012"/>
              <w:ind w:left="0" w:right="0" w:firstLine="0"/>
              <w:jc w:val="left"/>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产品支持安全策略有效性分析功能，分析内容至少包括策略冗余分析、策略匹配分析、风险端口风险等内容，提供安全策略优化建议。</w:t>
            </w:r>
            <w:r>
              <w:rPr>
                <w:rFonts w:hint="eastAsia" w:ascii="宋体" w:hAnsi="宋体" w:eastAsia="宋体" w:cs="宋体"/>
                <w:color w:val="000000" w:themeColor="text1"/>
                <w:sz w:val="24"/>
                <w:szCs w:val="24"/>
                <w:highlight w:val="none"/>
                <w:lang w:val="en-US" w:eastAsia="zh-CN" w:bidi="ar"/>
              </w:rPr>
              <w:t xml:space="preserve">投标人</w:t>
            </w:r>
            <w:r>
              <w:rPr>
                <w:rFonts w:hint="eastAsia" w:ascii="宋体" w:hAnsi="宋体" w:eastAsia="宋体" w:cs="宋体"/>
                <w:color w:val="000000" w:themeColor="text1"/>
                <w:sz w:val="24"/>
                <w:szCs w:val="24"/>
                <w:highlight w:val="none"/>
                <w:lang w:val="en-US" w:eastAsia="zh-CN" w:bidi="ar-SA"/>
              </w:rPr>
              <w:t xml:space="preserve">提供相关功能截图证明并加盖投标人公章。</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1012"/>
              <w:ind w:left="0" w:right="0" w:firstLine="0"/>
              <w:jc w:val="left"/>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提供IP和MAC的绑定策略</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7678" w:type="dxa"/>
            <w:vAlign w:val="center"/>
            <w:textDirection w:val="lrTb"/>
            <w:noWrap w:val="false"/>
          </w:tcPr>
          <w:p>
            <w:pPr>
              <w:pStyle w:val="1019"/>
              <w:ind w:left="0" w:right="0" w:firstLine="0"/>
              <w:jc w:val="left"/>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提供IP和MAC的绑定策略，可放行或阻断，支持批量导入导出和清空操作，支持IPv4/IPv6地址与MAC地址的绑定，更好地控制内部终端非法接入网络，</w:t>
            </w:r>
            <w:r>
              <w:rPr>
                <w:rFonts w:hint="eastAsia" w:ascii="宋体" w:hAnsi="宋体" w:eastAsia="宋体" w:cs="宋体"/>
                <w:color w:val="000000" w:themeColor="text1"/>
                <w:sz w:val="24"/>
                <w:szCs w:val="24"/>
                <w:highlight w:val="none"/>
                <w:lang w:val="en-US" w:eastAsia="zh-CN" w:bidi="ar"/>
              </w:rPr>
              <w:t xml:space="preserve">投标人</w:t>
            </w:r>
            <w:r>
              <w:rPr>
                <w:rFonts w:hint="eastAsia" w:ascii="宋体" w:hAnsi="宋体" w:eastAsia="宋体" w:cs="宋体"/>
                <w:color w:val="000000" w:themeColor="text1"/>
                <w:sz w:val="24"/>
                <w:szCs w:val="24"/>
                <w:highlight w:val="none"/>
                <w:lang w:val="en-US" w:eastAsia="zh-CN" w:bidi="ar-SA"/>
              </w:rPr>
              <w:t xml:space="preserve">提供产品功能截图证明并加盖投标人公章。</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1012"/>
              <w:ind w:left="0" w:right="0" w:firstLine="0"/>
              <w:jc w:val="left"/>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管理方式</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7678" w:type="dxa"/>
            <w:vAlign w:val="center"/>
            <w:textDirection w:val="lrTb"/>
            <w:noWrap w:val="false"/>
          </w:tcPr>
          <w:p>
            <w:pPr>
              <w:pStyle w:val="1012"/>
              <w:ind w:left="0" w:right="0" w:firstLine="0"/>
              <w:jc w:val="left"/>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产品支持Web管理、串口管理、SSH管理等多种不同方式。</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1012"/>
              <w:ind w:left="0" w:right="0" w:firstLine="0"/>
              <w:jc w:val="left"/>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业务资产管理</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7678" w:type="dxa"/>
            <w:vAlign w:val="center"/>
            <w:textDirection w:val="lrTb"/>
            <w:noWrap w:val="false"/>
          </w:tcPr>
          <w:p>
            <w:pPr>
              <w:pStyle w:val="1019"/>
              <w:ind w:left="0" w:right="0" w:firstLine="0"/>
              <w:jc w:val="left"/>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被动监测和主动扫描两种资产识别方式，可梳理离线资产、高危端口开放、冗余端口等安全风险。同时通过可视化的拓扑关系图，系统支持自定义资产，资产属性包括：是否属于基线资产、资产名称、资产IP、重要性、资产类型、MAC地址、操作系统、开放端口、设备型号、设备厂商等，以更直观灵活地展示资产和资产之间的访问关系、访问细节协议端口等信息。</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1012"/>
              <w:ind w:left="0" w:right="0" w:firstLine="0"/>
              <w:jc w:val="left"/>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网管协议</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7678" w:type="dxa"/>
            <w:vAlign w:val="center"/>
            <w:textDirection w:val="lrTb"/>
            <w:noWrap w:val="false"/>
          </w:tcPr>
          <w:p>
            <w:pPr>
              <w:pStyle w:val="1012"/>
              <w:ind w:left="0" w:right="0" w:firstLine="0"/>
              <w:jc w:val="left"/>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产品支持SNMP V1/V2/V3/Trap等标准网络管理协议。</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1012"/>
              <w:ind w:left="0" w:right="0" w:firstLine="0"/>
              <w:jc w:val="left"/>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服务要求</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7678" w:type="dxa"/>
            <w:vAlign w:val="center"/>
            <w:textDirection w:val="lrTb"/>
            <w:noWrap w:val="false"/>
          </w:tcPr>
          <w:p>
            <w:pPr>
              <w:pStyle w:val="1012"/>
              <w:ind w:left="0" w:right="0" w:firstLine="0"/>
              <w:jc w:val="left"/>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提供包含3年的产品质保，3年软件升级服务。</w:t>
            </w:r>
            <w:r>
              <w:rPr>
                <w:rFonts w:hint="eastAsia" w:ascii="宋体" w:hAnsi="宋体" w:eastAsia="宋体" w:cs="宋体"/>
                <w:color w:val="000000" w:themeColor="text1"/>
                <w:sz w:val="24"/>
                <w:szCs w:val="24"/>
                <w:highlight w:val="none"/>
                <w:lang w:val="en-US" w:eastAsia="zh-CN" w:bidi="ar-SA"/>
              </w:rPr>
            </w:r>
            <w:r>
              <w:rPr>
                <w:color w:val="000000" w:themeColor="text1"/>
              </w:rPr>
            </w:r>
          </w:p>
        </w:tc>
      </w:tr>
    </w:tbl>
    <w:p>
      <w:pPr>
        <w:pStyle w:val="1012"/>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1053"/>
        <w:numPr>
          <w:ilvl w:val="0"/>
          <w:numId w:val="0"/>
        </w:numPr>
        <w:rPr>
          <w:rFonts w:hint="eastAsia" w:ascii="宋体" w:hAnsi="宋体" w:eastAsia="宋体" w:cs="宋体"/>
          <w:b/>
          <w:bCs/>
          <w:color w:val="000000" w:themeColor="text1"/>
          <w:highlight w:val="none"/>
        </w:rPr>
      </w:pPr>
      <w:r>
        <w:rPr>
          <w:color w:val="000000" w:themeColor="text1"/>
        </w:rPr>
      </w:r>
      <w:bookmarkStart w:id="47" w:name="_Toc6401"/>
      <w:r>
        <w:rPr>
          <w:rFonts w:hint="eastAsia" w:ascii="宋体" w:hAnsi="宋体" w:eastAsia="宋体" w:cs="宋体"/>
          <w:b/>
          <w:bCs/>
          <w:color w:val="000000" w:themeColor="text1"/>
          <w:highlight w:val="none"/>
          <w:lang w:val="en-US" w:eastAsia="zh-CN"/>
        </w:rPr>
        <w:t xml:space="preserve">2.漏洞扫描</w:t>
      </w:r>
      <w:r>
        <w:rPr>
          <w:rFonts w:hint="eastAsia" w:ascii="宋体" w:hAnsi="宋体" w:eastAsia="宋体" w:cs="宋体"/>
          <w:b/>
          <w:bCs/>
          <w:color w:val="000000" w:themeColor="text1"/>
          <w:highlight w:val="none"/>
        </w:rPr>
        <w:t xml:space="preserve">系统</w:t>
      </w:r>
      <w:bookmarkEnd w:id="47"/>
      <w:r>
        <w:rPr>
          <w:rFonts w:hint="eastAsia" w:ascii="宋体" w:hAnsi="宋体" w:eastAsia="宋体" w:cs="宋体"/>
          <w:b/>
          <w:bCs/>
          <w:color w:val="000000" w:themeColor="text1"/>
          <w:highlight w:val="none"/>
        </w:rPr>
      </w:r>
      <w:r>
        <w:rPr>
          <w:color w:val="000000" w:themeColor="text1"/>
        </w:rPr>
      </w:r>
    </w:p>
    <w:tbl>
      <w:tblPr>
        <w:tblStyle w:val="1044"/>
        <w:tblW w:w="936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1"/>
        <w:gridCol w:w="7652"/>
      </w:tblGrid>
      <w:tr>
        <w:trPr/>
        <w:tc>
          <w:tcPr>
            <w:tcW w:w="1711" w:type="dxa"/>
            <w:vAlign w:val="center"/>
            <w:textDirection w:val="lrTb"/>
            <w:noWrap w:val="false"/>
          </w:tcPr>
          <w:p>
            <w:pPr>
              <w:pStyle w:val="1012"/>
              <w:ind w:firstLine="200"/>
              <w:jc w:val="center"/>
              <w:spacing w:after="0" w:line="240" w:lineRule="auto"/>
              <w:widowControl w:val="off"/>
              <w:rPr>
                <w:rFonts w:hint="eastAsia" w:ascii="宋体" w:hAnsi="宋体" w:eastAsia="宋体" w:cs="宋体"/>
                <w:b/>
                <w:bCs/>
                <w:color w:val="000000" w:themeColor="text1"/>
                <w:sz w:val="24"/>
                <w:szCs w:val="24"/>
                <w:highlight w:val="none"/>
              </w:rPr>
            </w:pPr>
            <w:r>
              <w:rPr>
                <w:color w:val="000000" w:themeColor="text1"/>
              </w:rPr>
            </w:r>
            <w:bookmarkStart w:id="48" w:name="OLE_LINK1"/>
            <w:r>
              <w:rPr>
                <w:rFonts w:hint="eastAsia" w:ascii="宋体" w:hAnsi="宋体" w:eastAsia="宋体" w:cs="宋体"/>
                <w:b/>
                <w:bCs/>
                <w:color w:val="000000" w:themeColor="text1"/>
                <w:sz w:val="24"/>
                <w:szCs w:val="24"/>
                <w:highlight w:val="none"/>
                <w:lang w:val="en-US" w:eastAsia="zh-CN" w:bidi="ar-SA"/>
              </w:rPr>
              <w:t xml:space="preserve">指标项</w:t>
            </w:r>
            <w:r>
              <w:rPr>
                <w:rFonts w:hint="eastAsia" w:ascii="宋体" w:hAnsi="宋体" w:eastAsia="宋体" w:cs="宋体"/>
                <w:b/>
                <w:bCs/>
                <w:color w:val="000000" w:themeColor="text1"/>
                <w:sz w:val="24"/>
                <w:szCs w:val="24"/>
                <w:highlight w:val="none"/>
                <w:lang w:val="en-US" w:eastAsia="zh-CN" w:bidi="ar-SA"/>
              </w:rPr>
            </w:r>
            <w:r>
              <w:rPr>
                <w:color w:val="000000" w:themeColor="text1"/>
              </w:rPr>
            </w:r>
          </w:p>
        </w:tc>
        <w:tc>
          <w:tcPr>
            <w:tcW w:w="7652" w:type="dxa"/>
            <w:vAlign w:val="top"/>
            <w:textDirection w:val="lrTb"/>
            <w:noWrap w:val="false"/>
          </w:tcPr>
          <w:p>
            <w:pPr>
              <w:pStyle w:val="1012"/>
              <w:ind w:firstLine="200"/>
              <w:jc w:val="center"/>
              <w:spacing w:after="0" w:line="24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指标要求</w:t>
            </w:r>
            <w:r>
              <w:rPr>
                <w:rFonts w:hint="eastAsia" w:ascii="宋体" w:hAnsi="宋体" w:eastAsia="宋体" w:cs="宋体"/>
                <w:b/>
                <w:bCs/>
                <w:color w:val="000000" w:themeColor="text1"/>
                <w:sz w:val="24"/>
                <w:szCs w:val="24"/>
                <w:highlight w:val="none"/>
                <w:lang w:val="en-US" w:eastAsia="zh-CN" w:bidi="ar-SA"/>
              </w:rPr>
            </w:r>
            <w:r>
              <w:rPr>
                <w:color w:val="000000" w:themeColor="text1"/>
              </w:rPr>
            </w:r>
          </w:p>
        </w:tc>
      </w:tr>
      <w:tr>
        <w:trPr/>
        <w:tc>
          <w:tcPr>
            <w:tcW w:w="1711" w:type="dxa"/>
            <w:vAlign w:val="center"/>
            <w:textDirection w:val="lrTb"/>
            <w:noWrap w:val="false"/>
          </w:tcPr>
          <w:p>
            <w:pPr>
              <w:pStyle w:val="1012"/>
              <w:ind w:firstLine="200"/>
              <w:jc w:val="center"/>
              <w:spacing w:after="0" w:line="24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w:t>
            </w:r>
            <w:r>
              <w:rPr>
                <w:rFonts w:hint="eastAsia" w:ascii="宋体" w:hAnsi="宋体" w:eastAsia="宋体" w:cs="宋体"/>
                <w:b w:val="0"/>
                <w:bCs w:val="0"/>
                <w:color w:val="000000" w:themeColor="text1"/>
                <w:sz w:val="24"/>
                <w:szCs w:val="24"/>
                <w:highlight w:val="none"/>
                <w:lang w:val="en-US" w:eastAsia="zh-CN" w:bidi="ar-SA"/>
              </w:rPr>
              <w:t xml:space="preserve">配置要求</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tc>
        <w:tc>
          <w:tcPr>
            <w:tcW w:w="7652" w:type="dxa"/>
            <w:vAlign w:val="top"/>
            <w:textDirection w:val="lrTb"/>
            <w:noWrap w:val="false"/>
          </w:tcPr>
          <w:p>
            <w:pPr>
              <w:pStyle w:val="1012"/>
              <w:ind w:firstLine="200"/>
              <w:jc w:val="both"/>
              <w:spacing w:after="0" w:line="240" w:lineRule="auto"/>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4"/>
                <w:szCs w:val="24"/>
                <w:highlight w:val="none"/>
                <w:lang w:val="en-US" w:eastAsia="zh-CN" w:bidi="ar-SA"/>
              </w:rPr>
              <w:t xml:space="preserve">★产品需使用国产化硬件平台以及自主可控的安全操作系统，机架式，≥1U，冗余电源，1个串口，1个管理口，配置≥6个千兆电口，≥4个千兆光口，≥32G内存， ≥256G SSD，≥4T硬盘，≥2个扩展槽位。投标人提供产品彩页扫描件加盖投标人公章。</w:t>
            </w:r>
            <w:r>
              <w:rPr>
                <w:rFonts w:hint="eastAsia" w:ascii="宋体" w:hAnsi="宋体" w:eastAsia="宋体" w:cs="宋体"/>
                <w:color w:val="000000" w:themeColor="text1"/>
                <w:sz w:val="22"/>
                <w:szCs w:val="22"/>
                <w:highlight w:val="none"/>
                <w:lang w:val="en-US" w:eastAsia="zh-CN" w:bidi="ar-SA"/>
              </w:rPr>
            </w:r>
            <w:r>
              <w:rPr>
                <w:color w:val="000000" w:themeColor="text1"/>
              </w:rPr>
            </w:r>
          </w:p>
          <w:p>
            <w:pPr>
              <w:pStyle w:val="1012"/>
              <w:ind w:firstLine="200"/>
              <w:jc w:val="both"/>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最大并发主机数≥50，最大并发任务数≥10，授权可扫描总数量不多于2000个无限制范围的IP地址或域名，默认提供1路扫描端口授权以及对云大物扫描模块，对云计算平台、大数据组件、物联网设备提供漏洞检测和分析。含三年系统漏洞扫描模块、Web漏洞扫描模块升级服务，三年软件升级和硬件维保服务。</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383"/>
        </w:trPr>
        <w:tc>
          <w:tcPr>
            <w:tcW w:w="1711" w:type="dxa"/>
            <w:vAlign w:val="center"/>
            <w:vMerge w:val="restart"/>
            <w:textDirection w:val="lrTb"/>
            <w:noWrap w:val="false"/>
          </w:tcPr>
          <w:p>
            <w:pPr>
              <w:pStyle w:val="1012"/>
              <w:ind w:firstLine="200"/>
              <w:jc w:val="center"/>
              <w:spacing w:after="0" w:line="24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漏洞检测</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tc>
        <w:tc>
          <w:tcPr>
            <w:tcW w:w="7652" w:type="dxa"/>
            <w:vAlign w:val="top"/>
            <w:textDirection w:val="lrTb"/>
            <w:noWrap w:val="false"/>
          </w:tcPr>
          <w:p>
            <w:pPr>
              <w:pStyle w:val="1012"/>
              <w:ind w:firstLine="200"/>
              <w:jc w:val="both"/>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支持检测的漏洞数大于40万条，兼容CVE、CNCVE、CNNVD、CNVD等主流标准。</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711" w:type="dxa"/>
            <w:vAlign w:val="center"/>
            <w:vMerge w:val="continue"/>
            <w:textDirection w:val="lrTb"/>
            <w:noWrap w:val="false"/>
          </w:tcPr>
          <w:p>
            <w:pPr>
              <w:pStyle w:val="1012"/>
              <w:ind w:firstLine="200"/>
              <w:jc w:val="center"/>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7652" w:type="dxa"/>
            <w:vAlign w:val="top"/>
            <w:textDirection w:val="lrTb"/>
            <w:noWrap w:val="false"/>
          </w:tcPr>
          <w:p>
            <w:pPr>
              <w:pStyle w:val="1012"/>
              <w:ind w:firstLine="200"/>
              <w:jc w:val="both"/>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支持对系统漏洞、web漏洞综合分析，可输出同时包含漏洞扫描、弱口令检查结果的报表</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711" w:type="dxa"/>
            <w:vAlign w:val="center"/>
            <w:vMerge w:val="continue"/>
            <w:textDirection w:val="lrTb"/>
            <w:noWrap w:val="false"/>
          </w:tcPr>
          <w:p>
            <w:pPr>
              <w:pStyle w:val="1012"/>
              <w:ind w:firstLine="200"/>
              <w:jc w:val="center"/>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7652" w:type="dxa"/>
            <w:vAlign w:val="top"/>
            <w:textDirection w:val="lrTb"/>
            <w:noWrap w:val="false"/>
          </w:tcPr>
          <w:p>
            <w:pPr>
              <w:pStyle w:val="1012"/>
              <w:ind w:firstLine="200"/>
              <w:jc w:val="both"/>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▲支持扫描主流云主机管理系统、云计算组件的安全漏洞，如：VMWareESX/ESXi、KVM、Xen，要求能够扫描大于10000条相关漏洞投标人提供该设备操作界面功能截图加盖投标人公章。</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711" w:type="dxa"/>
            <w:vAlign w:val="center"/>
            <w:vMerge w:val="continue"/>
            <w:textDirection w:val="lrTb"/>
            <w:noWrap w:val="false"/>
          </w:tcPr>
          <w:p>
            <w:pPr>
              <w:pStyle w:val="1012"/>
              <w:ind w:firstLine="200"/>
              <w:jc w:val="center"/>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7652" w:type="dxa"/>
            <w:vAlign w:val="top"/>
            <w:textDirection w:val="lrTb"/>
            <w:noWrap w:val="false"/>
          </w:tcPr>
          <w:p>
            <w:pPr>
              <w:pStyle w:val="1012"/>
              <w:ind w:firstLine="200"/>
              <w:jc w:val="both"/>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支持智能端口挖掘，可以智能发现非默认端口启动的服务</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711" w:type="dxa"/>
            <w:vAlign w:val="center"/>
            <w:vMerge w:val="continue"/>
            <w:textDirection w:val="lrTb"/>
            <w:noWrap w:val="false"/>
          </w:tcPr>
          <w:p>
            <w:pPr>
              <w:pStyle w:val="1012"/>
              <w:ind w:firstLine="200"/>
              <w:jc w:val="center"/>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7652" w:type="dxa"/>
            <w:vAlign w:val="top"/>
            <w:textDirection w:val="lrTb"/>
            <w:noWrap w:val="false"/>
          </w:tcPr>
          <w:p>
            <w:pPr>
              <w:pStyle w:val="1012"/>
              <w:ind w:firstLine="200"/>
              <w:jc w:val="both"/>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支持扫操作系统、应用及软件的安全漏洞，如华为欧拉、open欧拉、统信、麒麟、bclinux、达梦、南大通用、人大金仓、神通、金蝶、东方通等，要求能够扫描大于90000条相关漏洞</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711" w:type="dxa"/>
            <w:vAlign w:val="center"/>
            <w:vMerge w:val="continue"/>
            <w:textDirection w:val="lrTb"/>
            <w:noWrap w:val="false"/>
          </w:tcPr>
          <w:p>
            <w:pPr>
              <w:pStyle w:val="1012"/>
              <w:ind w:firstLine="200"/>
              <w:jc w:val="center"/>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7652" w:type="dxa"/>
            <w:vAlign w:val="top"/>
            <w:textDirection w:val="lrTb"/>
            <w:noWrap w:val="false"/>
          </w:tcPr>
          <w:p>
            <w:pPr>
              <w:pStyle w:val="1012"/>
              <w:ind w:firstLine="200"/>
              <w:jc w:val="both"/>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支持通过在目标资产部署终端代理agent方式，实时精准获取资产信息，进一步完成漏洞分析扫描</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711" w:type="dxa"/>
            <w:vAlign w:val="center"/>
            <w:vMerge w:val="restart"/>
            <w:textDirection w:val="lrTb"/>
            <w:noWrap w:val="false"/>
          </w:tcPr>
          <w:p>
            <w:pPr>
              <w:pStyle w:val="1012"/>
              <w:ind w:firstLine="200"/>
              <w:jc w:val="center"/>
              <w:spacing w:after="0" w:line="24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漏洞管理</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tc>
        <w:tc>
          <w:tcPr>
            <w:tcW w:w="7652" w:type="dxa"/>
            <w:vAlign w:val="top"/>
            <w:textDirection w:val="lrTb"/>
            <w:noWrap w:val="false"/>
          </w:tcPr>
          <w:p>
            <w:pPr>
              <w:pStyle w:val="1012"/>
              <w:ind w:firstLine="200"/>
              <w:jc w:val="both"/>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支持系统漏洞库和Web漏洞库通过多种维度对漏洞进行检索，包括：漏洞名称、漏洞ID，CVE ID、BUGTRAQ ID、CNCVE ID、CNVD ID、CNNVD ID、MS 编号、风险等级、是否使用危险插件、是否支持漏洞验证，漏洞发布日期、漏洞分类信息</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711" w:type="dxa"/>
            <w:vAlign w:val="center"/>
            <w:vMerge w:val="continue"/>
            <w:textDirection w:val="lrTb"/>
            <w:noWrap w:val="false"/>
          </w:tcPr>
          <w:p>
            <w:pPr>
              <w:pStyle w:val="1012"/>
              <w:ind w:firstLine="200"/>
              <w:jc w:val="center"/>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7652" w:type="dxa"/>
            <w:vAlign w:val="top"/>
            <w:textDirection w:val="lrTb"/>
            <w:noWrap w:val="false"/>
          </w:tcPr>
          <w:p>
            <w:pPr>
              <w:pStyle w:val="1012"/>
              <w:ind w:firstLine="200"/>
              <w:jc w:val="both"/>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内置不同的漏洞模板针对Unix、Windows操作系统、网络设备和防火墙等模板，同时支持用户自定义扫描范围和扫描策略。支持自动模板匹配技术</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711" w:type="dxa"/>
            <w:vAlign w:val="center"/>
            <w:vMerge w:val="continue"/>
            <w:textDirection w:val="lrTb"/>
            <w:noWrap w:val="false"/>
          </w:tcPr>
          <w:p>
            <w:pPr>
              <w:pStyle w:val="1012"/>
              <w:ind w:firstLine="200"/>
              <w:jc w:val="center"/>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7652" w:type="dxa"/>
            <w:vAlign w:val="top"/>
            <w:textDirection w:val="lrTb"/>
            <w:noWrap w:val="false"/>
          </w:tcPr>
          <w:p>
            <w:pPr>
              <w:pStyle w:val="1012"/>
              <w:ind w:firstLine="200"/>
              <w:jc w:val="both"/>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系统内置多种扫描策略，包括快速扫描策略、全量自查策略、高精度监管策略、热点应急排查策略、攻防演练高频高危策略（系统）、攻防演练高频高危策略（web）、系统漏洞验证策略、web漏洞验证策略、云计算漏洞扫描策略、物联网漏洞扫描策略。</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711" w:type="dxa"/>
            <w:vAlign w:val="center"/>
            <w:vMerge w:val="restart"/>
            <w:textDirection w:val="lrTb"/>
            <w:noWrap w:val="false"/>
          </w:tcPr>
          <w:p>
            <w:pPr>
              <w:pStyle w:val="1012"/>
              <w:ind w:firstLine="200"/>
              <w:jc w:val="center"/>
              <w:spacing w:after="0" w:line="24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风险展示</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tc>
        <w:tc>
          <w:tcPr>
            <w:tcW w:w="7652" w:type="dxa"/>
            <w:vAlign w:val="top"/>
            <w:textDirection w:val="lrTb"/>
            <w:noWrap w:val="false"/>
          </w:tcPr>
          <w:p>
            <w:pPr>
              <w:pStyle w:val="1012"/>
              <w:ind w:firstLine="200"/>
              <w:jc w:val="both"/>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▲支持风险告警和风险闭环处理，可在集中告警平台灵活配置告警内容、告警方式、告警资产范围等，支持邮件和页面告警，支持单个或批量修改风险状态，投标人提供该设备操作界面功能截图加盖投标人公章。</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711" w:type="dxa"/>
            <w:vAlign w:val="center"/>
            <w:vMerge w:val="continue"/>
            <w:textDirection w:val="lrTb"/>
            <w:noWrap w:val="false"/>
          </w:tcPr>
          <w:p>
            <w:pPr>
              <w:pStyle w:val="1012"/>
              <w:ind w:firstLine="200"/>
              <w:jc w:val="center"/>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7652" w:type="dxa"/>
            <w:vAlign w:val="top"/>
            <w:textDirection w:val="lrTb"/>
            <w:noWrap w:val="false"/>
          </w:tcPr>
          <w:p>
            <w:pPr>
              <w:pStyle w:val="1012"/>
              <w:ind w:firstLine="200"/>
              <w:jc w:val="both"/>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支持自定义风险值计算标准配置，可对主机风险等级评定标准和网络风险等级评定标准进行自定义。</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711" w:type="dxa"/>
            <w:vAlign w:val="center"/>
            <w:vMerge w:val="continue"/>
            <w:textDirection w:val="lrTb"/>
            <w:noWrap w:val="false"/>
          </w:tcPr>
          <w:p>
            <w:pPr>
              <w:pStyle w:val="1012"/>
              <w:ind w:firstLine="200"/>
              <w:jc w:val="center"/>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7652" w:type="dxa"/>
            <w:vAlign w:val="top"/>
            <w:textDirection w:val="lrTb"/>
            <w:noWrap w:val="false"/>
          </w:tcPr>
          <w:p>
            <w:pPr>
              <w:pStyle w:val="1012"/>
              <w:ind w:firstLine="200"/>
              <w:jc w:val="both"/>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通过仪表盘直观展示资产风险值、漏洞总数、风险资产数/资产总数、扫描任务数、漏洞库新增漏洞TOP20，资产分类统计、资产风险等级分布、漏洞风险分布、风险TOP5、漏洞TOP5、风险数趋势图、整体风险值趋势。</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711" w:type="dxa"/>
            <w:vAlign w:val="center"/>
            <w:vMerge w:val="restart"/>
            <w:textDirection w:val="lrTb"/>
            <w:noWrap w:val="false"/>
          </w:tcPr>
          <w:p>
            <w:pPr>
              <w:pStyle w:val="1012"/>
              <w:ind w:firstLine="200"/>
              <w:jc w:val="center"/>
              <w:spacing w:after="0" w:line="24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报表管理</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tc>
        <w:tc>
          <w:tcPr>
            <w:tcW w:w="7652" w:type="dxa"/>
            <w:vAlign w:val="top"/>
            <w:textDirection w:val="lrTb"/>
            <w:noWrap w:val="false"/>
          </w:tcPr>
          <w:p>
            <w:pPr>
              <w:pStyle w:val="1012"/>
              <w:ind w:firstLine="200"/>
              <w:jc w:val="both"/>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支持对系统漏洞、web漏洞、综合分析，可输出同时包含漏洞扫描、弱口令检查结果的报表。</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711" w:type="dxa"/>
            <w:vAlign w:val="center"/>
            <w:vMerge w:val="continue"/>
            <w:textDirection w:val="lrTb"/>
            <w:noWrap w:val="false"/>
          </w:tcPr>
          <w:p>
            <w:pPr>
              <w:pStyle w:val="1012"/>
              <w:ind w:firstLine="200"/>
              <w:jc w:val="center"/>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7652" w:type="dxa"/>
            <w:vAlign w:val="top"/>
            <w:textDirection w:val="lrTb"/>
            <w:noWrap w:val="false"/>
          </w:tcPr>
          <w:p>
            <w:pPr>
              <w:pStyle w:val="1012"/>
              <w:ind w:firstLine="200"/>
              <w:jc w:val="both"/>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支持高级数据分析，可对同一IP的两次扫描结果进行风险对比分析，并可在线查看同一IP的多次历史扫描结果，投标人提供该设备操作界面功能截图加盖投标人公章。</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711" w:type="dxa"/>
            <w:vAlign w:val="center"/>
            <w:vMerge w:val="continue"/>
            <w:textDirection w:val="lrTb"/>
            <w:noWrap w:val="false"/>
          </w:tcPr>
          <w:p>
            <w:pPr>
              <w:pStyle w:val="1012"/>
              <w:ind w:firstLine="200"/>
              <w:jc w:val="center"/>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7652" w:type="dxa"/>
            <w:vAlign w:val="top"/>
            <w:textDirection w:val="lrTb"/>
            <w:noWrap w:val="false"/>
          </w:tcPr>
          <w:p>
            <w:pPr>
              <w:pStyle w:val="1012"/>
              <w:ind w:firstLine="200"/>
              <w:jc w:val="both"/>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支持实现显示扫描结果，包括扫描进度、主机存活数、预计扫描时间、漏洞风险信息等。</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711" w:type="dxa"/>
            <w:vAlign w:val="center"/>
            <w:vMerge w:val="restart"/>
            <w:textDirection w:val="lrTb"/>
            <w:noWrap w:val="false"/>
          </w:tcPr>
          <w:p>
            <w:pPr>
              <w:pStyle w:val="1012"/>
              <w:ind w:firstLine="200"/>
              <w:jc w:val="center"/>
              <w:spacing w:after="0" w:line="24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资质</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tc>
        <w:tc>
          <w:tcPr>
            <w:tcW w:w="7652" w:type="dxa"/>
            <w:vAlign w:val="top"/>
            <w:textDirection w:val="lrTb"/>
            <w:noWrap w:val="false"/>
          </w:tcPr>
          <w:p>
            <w:pPr>
              <w:pStyle w:val="1012"/>
              <w:ind w:firstLine="200"/>
              <w:jc w:val="both"/>
              <w:spacing w:after="0" w:line="240" w:lineRule="auto"/>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投标人提供产品生产厂商出具的《数据安全服务能力评定资格证书》二级或具有国家认可的信息安全服务资质的扫描件，并加盖投标人公章。</w:t>
            </w:r>
            <w:r>
              <w:rPr>
                <w:rFonts w:ascii="宋体" w:hAnsi="宋体" w:eastAsia="宋体" w:cs="宋体"/>
                <w:color w:val="000000" w:themeColor="text1"/>
                <w:sz w:val="24"/>
                <w:szCs w:val="24"/>
                <w:highlight w:val="none"/>
                <w:lang w:val="en-US" w:eastAsia="zh-CN" w:bidi="ar-SA"/>
              </w:rPr>
            </w:r>
            <w:r>
              <w:rPr>
                <w:color w:val="000000" w:themeColor="text1"/>
              </w:rPr>
            </w:r>
          </w:p>
        </w:tc>
      </w:tr>
      <w:tr>
        <w:trPr/>
        <w:tc>
          <w:tcPr>
            <w:tcW w:w="1711" w:type="dxa"/>
            <w:vAlign w:val="center"/>
            <w:vMerge w:val="continue"/>
            <w:textDirection w:val="lrTb"/>
            <w:noWrap w:val="false"/>
          </w:tcPr>
          <w:p>
            <w:pPr>
              <w:pStyle w:val="1012"/>
              <w:ind w:firstLine="200"/>
              <w:jc w:val="center"/>
              <w:spacing w:after="0"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c>
          <w:tcPr>
            <w:tcW w:w="7652" w:type="dxa"/>
            <w:vAlign w:val="top"/>
            <w:textDirection w:val="lrTb"/>
            <w:noWrap w:val="false"/>
          </w:tcPr>
          <w:p>
            <w:pPr>
              <w:pStyle w:val="1012"/>
              <w:ind w:firstLine="200"/>
              <w:jc w:val="both"/>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投标人提供产品生产厂商应出具的权威漏洞库或威胁情报来源，支持与 CNVD、CNNVD、CERT等国家级漏洞平台同步或更新的证明截图或者扫描件并加盖投标人公章。</w:t>
            </w:r>
            <w:bookmarkEnd w:id="48"/>
            <w:r>
              <w:rPr>
                <w:rFonts w:hint="eastAsia" w:ascii="宋体" w:hAnsi="宋体" w:eastAsia="宋体" w:cs="宋体"/>
                <w:color w:val="000000" w:themeColor="text1"/>
                <w:sz w:val="24"/>
                <w:szCs w:val="24"/>
                <w:highlight w:val="none"/>
                <w:lang w:val="en-US" w:eastAsia="zh-CN" w:bidi="ar-SA"/>
              </w:rPr>
            </w:r>
            <w:r>
              <w:rPr>
                <w:color w:val="000000" w:themeColor="text1"/>
              </w:rPr>
            </w:r>
          </w:p>
        </w:tc>
      </w:tr>
    </w:tbl>
    <w:p>
      <w:pPr>
        <w:pStyle w:val="1012"/>
        <w:numPr>
          <w:ilvl w:val="0"/>
          <w:numId w:val="0"/>
        </w:num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1012"/>
        <w:numPr>
          <w:ilvl w:val="0"/>
          <w:numId w:val="0"/>
        </w:num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1012"/>
        <w:numPr>
          <w:ilvl w:val="0"/>
          <w:numId w:val="0"/>
        </w:num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1012"/>
        <w:numPr>
          <w:ilvl w:val="0"/>
          <w:numId w:val="0"/>
        </w:num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1012"/>
        <w:numPr>
          <w:ilvl w:val="0"/>
          <w:numId w:val="0"/>
        </w:num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1012"/>
        <w:numPr>
          <w:ilvl w:val="0"/>
          <w:numId w:val="0"/>
        </w:num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1012"/>
        <w:numPr>
          <w:ilvl w:val="0"/>
          <w:numId w:val="0"/>
        </w:num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1053"/>
        <w:numPr>
          <w:ilvl w:val="0"/>
          <w:numId w:val="0"/>
        </w:numPr>
        <w:rPr>
          <w:rFonts w:hint="eastAsia" w:ascii="宋体" w:hAnsi="宋体" w:eastAsia="宋体" w:cs="宋体"/>
          <w:b/>
          <w:bCs/>
          <w:color w:val="000000" w:themeColor="text1"/>
          <w:highlight w:val="none"/>
        </w:rPr>
      </w:pPr>
      <w:r>
        <w:rPr>
          <w:color w:val="000000" w:themeColor="text1"/>
        </w:rPr>
      </w:r>
      <w:bookmarkStart w:id="49" w:name="_Toc10737"/>
      <w:r>
        <w:rPr>
          <w:rFonts w:hint="eastAsia" w:ascii="宋体" w:hAnsi="宋体" w:eastAsia="宋体" w:cs="宋体"/>
          <w:b/>
          <w:bCs/>
          <w:color w:val="000000" w:themeColor="text1"/>
          <w:highlight w:val="none"/>
          <w:lang w:val="en-US" w:eastAsia="zh-CN"/>
        </w:rPr>
        <w:t xml:space="preserve">3.内网IT资源一体化管理平台</w:t>
      </w:r>
      <w:bookmarkEnd w:id="49"/>
      <w:r>
        <w:rPr>
          <w:rFonts w:hint="eastAsia" w:ascii="宋体" w:hAnsi="宋体" w:eastAsia="宋体" w:cs="宋体"/>
          <w:b/>
          <w:bCs/>
          <w:color w:val="000000" w:themeColor="text1"/>
          <w:highlight w:val="none"/>
        </w:rPr>
      </w:r>
      <w:r>
        <w:rPr>
          <w:color w:val="000000" w:themeColor="text1"/>
        </w:rPr>
      </w:r>
    </w:p>
    <w:tbl>
      <w:tblPr>
        <w:tblW w:w="9036" w:type="dxa"/>
        <w:jc w:val="center"/>
        <w:tblInd w:w="-120" w:type="dxa"/>
        <w:tblLayout w:type="autofit"/>
        <w:tblCellMar>
          <w:left w:w="120" w:type="dxa"/>
          <w:top w:w="60" w:type="dxa"/>
          <w:right w:w="120" w:type="dxa"/>
          <w:bottom w:w="60" w:type="dxa"/>
        </w:tblCellMar>
        <w:tblLook w:val="04A0" w:firstRow="1" w:lastRow="0" w:firstColumn="1" w:lastColumn="0" w:noHBand="0" w:noVBand="1"/>
      </w:tblPr>
      <w:tblGrid>
        <w:gridCol w:w="1049"/>
        <w:gridCol w:w="1481"/>
        <w:gridCol w:w="6506"/>
      </w:tblGrid>
      <w:tr>
        <w:trPr>
          <w:tblHeader/>
        </w:trPr>
        <w:tc>
          <w:tcPr>
            <w:tcBorders>
              <w:top w:val="single" w:color="000000" w:sz="6" w:space="0"/>
              <w:left w:val="single" w:color="000000" w:sz="6" w:space="0"/>
              <w:bottom w:val="single" w:color="000000" w:sz="6" w:space="0"/>
              <w:right w:val="single" w:color="000000" w:sz="6" w:space="0"/>
            </w:tcBorders>
            <w:tcMar>
              <w:left w:w="120" w:type="dxa"/>
              <w:top w:w="60" w:type="dxa"/>
              <w:right w:w="120" w:type="dxa"/>
              <w:bottom w:w="60" w:type="dxa"/>
            </w:tcMar>
            <w:tcW w:w="1049" w:type="dxa"/>
            <w:vAlign w:val="center"/>
            <w:textDirection w:val="lrTb"/>
            <w:noWrap w:val="false"/>
          </w:tcPr>
          <w:p>
            <w:pPr>
              <w:pStyle w:val="1021"/>
              <w:ind w:left="0" w:right="0" w:firstLine="0"/>
              <w:jc w:val="center"/>
              <w:spacing w:after="120" w:line="24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bidi="ar-SA"/>
              </w:rPr>
              <w:t xml:space="preserve">功能模块</w:t>
            </w:r>
            <w:r>
              <w:rPr>
                <w:rFonts w:hint="eastAsia" w:ascii="宋体" w:hAnsi="宋体" w:eastAsia="宋体" w:cs="宋体"/>
                <w:b/>
                <w:color w:val="000000" w:themeColor="text1"/>
                <w:sz w:val="24"/>
                <w:szCs w:val="24"/>
                <w:highlight w:val="none"/>
                <w:lang w:val="en-US" w:eastAsia="zh-CN" w:bidi="ar-SA"/>
              </w:rPr>
            </w:r>
            <w:r>
              <w:rPr>
                <w:color w:val="000000" w:themeColor="text1"/>
              </w:rPr>
            </w:r>
          </w:p>
        </w:tc>
        <w:tc>
          <w:tcPr>
            <w:tcBorders>
              <w:top w:val="single" w:color="000000" w:sz="6" w:space="0"/>
              <w:left w:val="single" w:color="000000" w:sz="6" w:space="0"/>
              <w:bottom w:val="single" w:color="000000" w:sz="6" w:space="0"/>
              <w:right w:val="single" w:color="000000" w:sz="6" w:space="0"/>
            </w:tcBorders>
            <w:tcMar>
              <w:left w:w="120" w:type="dxa"/>
              <w:top w:w="60" w:type="dxa"/>
              <w:right w:w="120" w:type="dxa"/>
              <w:bottom w:w="60" w:type="dxa"/>
            </w:tcMar>
            <w:tcW w:w="1481" w:type="dxa"/>
            <w:vAlign w:val="center"/>
            <w:textDirection w:val="lrTb"/>
            <w:noWrap w:val="false"/>
          </w:tcPr>
          <w:p>
            <w:pPr>
              <w:pStyle w:val="1021"/>
              <w:ind w:left="0" w:right="0" w:firstLine="0"/>
              <w:jc w:val="center"/>
              <w:spacing w:after="120" w:line="24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指标项</w:t>
            </w:r>
            <w:r>
              <w:rPr>
                <w:rFonts w:hint="eastAsia" w:ascii="宋体" w:hAnsi="宋体" w:eastAsia="宋体" w:cs="宋体"/>
                <w:b/>
                <w:color w:val="000000" w:themeColor="text1"/>
                <w:sz w:val="24"/>
                <w:szCs w:val="24"/>
                <w:highlight w:val="none"/>
                <w:lang w:val="en-US" w:eastAsia="zh-CN" w:bidi="ar-SA"/>
              </w:rPr>
            </w:r>
            <w:r>
              <w:rPr>
                <w:color w:val="000000" w:themeColor="text1"/>
              </w:rPr>
            </w:r>
          </w:p>
        </w:tc>
        <w:tc>
          <w:tcPr>
            <w:tcBorders>
              <w:top w:val="single" w:color="000000" w:sz="6" w:space="0"/>
              <w:left w:val="single" w:color="000000" w:sz="6" w:space="0"/>
              <w:bottom w:val="single" w:color="000000" w:sz="4" w:space="0"/>
              <w:right w:val="single" w:color="000000" w:sz="6" w:space="0"/>
            </w:tcBorders>
            <w:tcMar>
              <w:left w:w="120" w:type="dxa"/>
              <w:top w:w="60" w:type="dxa"/>
              <w:right w:w="120" w:type="dxa"/>
              <w:bottom w:w="60" w:type="dxa"/>
            </w:tcMar>
            <w:tcW w:w="6506" w:type="dxa"/>
            <w:vAlign w:val="center"/>
            <w:textDirection w:val="lrTb"/>
            <w:noWrap w:val="false"/>
          </w:tcPr>
          <w:p>
            <w:pPr>
              <w:pStyle w:val="1021"/>
              <w:ind w:left="0" w:right="0" w:firstLine="0"/>
              <w:jc w:val="center"/>
              <w:spacing w:after="120" w:line="24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指标要求</w:t>
            </w:r>
            <w:r>
              <w:rPr>
                <w:rFonts w:hint="eastAsia" w:ascii="宋体" w:hAnsi="宋体" w:eastAsia="宋体" w:cs="宋体"/>
                <w:b/>
                <w:color w:val="000000" w:themeColor="text1"/>
                <w:sz w:val="24"/>
                <w:szCs w:val="24"/>
                <w:highlight w:val="none"/>
                <w:lang w:val="en-US" w:eastAsia="zh-CN" w:bidi="ar-SA"/>
              </w:rPr>
            </w:r>
            <w:r>
              <w:rPr>
                <w:color w:val="000000" w:themeColor="text1"/>
              </w:rPr>
            </w:r>
          </w:p>
        </w:tc>
      </w:tr>
      <w:tr>
        <w:trPr/>
        <w:tc>
          <w:tcPr>
            <w:tcBorders>
              <w:top w:val="single" w:color="000000" w:sz="6" w:space="0"/>
              <w:left w:val="single" w:color="000000" w:sz="6" w:space="0"/>
              <w:bottom w:val="single" w:color="000000" w:sz="6" w:space="0"/>
              <w:right w:val="single" w:color="000000" w:sz="6" w:space="0"/>
            </w:tcBorders>
            <w:tcMar>
              <w:left w:w="120" w:type="dxa"/>
              <w:top w:w="60" w:type="dxa"/>
              <w:right w:w="120" w:type="dxa"/>
              <w:bottom w:w="60" w:type="dxa"/>
            </w:tcMar>
            <w:tcW w:w="1049" w:type="dxa"/>
            <w:vAlign w:val="center"/>
            <w:textDirection w:val="lrTb"/>
            <w:noWrap w:val="false"/>
          </w:tcPr>
          <w:p>
            <w:pPr>
              <w:pStyle w:val="1021"/>
              <w:ind w:left="0" w:right="0" w:firstLine="0"/>
              <w:jc w:val="left"/>
              <w:spacing w:after="12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bCs w:val="0"/>
                <w:color w:val="000000" w:themeColor="text1"/>
                <w:sz w:val="24"/>
                <w:szCs w:val="24"/>
                <w:highlight w:val="none"/>
                <w:lang w:val="en-US" w:eastAsia="zh-CN" w:bidi="ar-SA"/>
              </w:rPr>
              <w:t xml:space="preserve">总体要求</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Borders>
              <w:top w:val="single" w:color="000000" w:sz="6" w:space="0"/>
              <w:left w:val="single" w:color="000000" w:sz="6" w:space="0"/>
              <w:bottom w:val="single" w:color="000000" w:sz="6" w:space="0"/>
              <w:right w:val="single" w:color="000000" w:sz="6" w:space="0"/>
            </w:tcBorders>
            <w:tcMar>
              <w:left w:w="120" w:type="dxa"/>
              <w:top w:w="60" w:type="dxa"/>
              <w:right w:w="120" w:type="dxa"/>
              <w:bottom w:w="60" w:type="dxa"/>
            </w:tcMar>
            <w:tcW w:w="1481" w:type="dxa"/>
            <w:vAlign w:val="center"/>
            <w:textDirection w:val="lrTb"/>
            <w:noWrap w:val="false"/>
          </w:tcPr>
          <w:p>
            <w:pPr>
              <w:pStyle w:val="1021"/>
              <w:ind w:left="0" w:right="0" w:firstLine="0"/>
              <w:jc w:val="left"/>
              <w:spacing w:after="12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bCs w:val="0"/>
                <w:color w:val="000000" w:themeColor="text1"/>
                <w:sz w:val="24"/>
                <w:szCs w:val="24"/>
                <w:highlight w:val="none"/>
                <w:lang w:val="en-US" w:eastAsia="zh-CN" w:bidi="ar-SA"/>
              </w:rPr>
              <w:t xml:space="preserve">总体要求概述</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Borders>
              <w:top w:val="single" w:color="000000" w:sz="4" w:space="0"/>
              <w:left w:val="single" w:color="000000" w:sz="6" w:space="0"/>
              <w:bottom w:val="single" w:color="000000" w:sz="6" w:space="0"/>
              <w:right w:val="single" w:color="000000" w:sz="6" w:space="0"/>
            </w:tcBorders>
            <w:tcMar>
              <w:left w:w="120" w:type="dxa"/>
              <w:top w:w="60" w:type="dxa"/>
              <w:right w:w="120" w:type="dxa"/>
              <w:bottom w:w="60" w:type="dxa"/>
            </w:tcMar>
            <w:tcW w:w="6506" w:type="dxa"/>
            <w:vAlign w:val="center"/>
            <w:textDirection w:val="lrTb"/>
            <w:noWrap w:val="false"/>
          </w:tcPr>
          <w:p>
            <w:pPr>
              <w:pStyle w:val="1084"/>
              <w:contextualSpacing/>
              <w:ind w:left="0" w:right="0" w:firstLine="0"/>
              <w:jc w:val="left"/>
              <w:spacing w:before="120" w:after="120" w:line="240" w:lineRule="auto"/>
              <w:widowControl w:val="off"/>
              <w:tabs>
                <w:tab w:val="left" w:pos="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eastAsia="zh-CN" w:bidi="ar-SA"/>
              </w:rPr>
              <w:t xml:space="preserve">平台采用B/S架构模式，支持基于HTTPS中文Web图形化界面管理。支持不少于20</w:t>
            </w:r>
            <w:r>
              <w:rPr>
                <w:rFonts w:hint="eastAsia" w:ascii="宋体" w:hAnsi="宋体" w:eastAsia="宋体" w:cs="宋体"/>
                <w:color w:val="000000" w:themeColor="text1"/>
                <w:sz w:val="24"/>
                <w:szCs w:val="24"/>
                <w:highlight w:val="none"/>
                <w:lang w:val="en-US" w:eastAsia="zh-CN" w:bidi="ar-SA"/>
              </w:rPr>
              <w:t xml:space="preserve">0</w:t>
            </w:r>
            <w:r>
              <w:rPr>
                <w:rFonts w:hint="eastAsia" w:ascii="宋体" w:hAnsi="宋体" w:eastAsia="宋体" w:cs="宋体"/>
                <w:color w:val="000000" w:themeColor="text1"/>
                <w:sz w:val="24"/>
                <w:szCs w:val="24"/>
                <w:highlight w:val="none"/>
                <w:lang w:val="zh-CN" w:eastAsia="zh-CN" w:bidi="ar-SA"/>
              </w:rPr>
              <w:t xml:space="preserve">个并发用户同时登录系统并进行操作。</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84"/>
              <w:contextualSpacing/>
              <w:ind w:left="0" w:right="0" w:firstLine="0"/>
              <w:jc w:val="left"/>
              <w:spacing w:before="120" w:after="120" w:line="240" w:lineRule="auto"/>
              <w:widowControl w:val="off"/>
              <w:tabs>
                <w:tab w:val="left" w:pos="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eastAsia="zh-CN" w:bidi="ar-SA"/>
              </w:rPr>
              <w:t xml:space="preserve">支持设置访问会话超时、超时自动退出功能，即管理员在规定时间内无操作时，管理平台自动退出，重新登录后方可再次进行管理任务。支持密码保护与检测策略，同一账号密码连续多次错误一段时间内禁止登录。</w:t>
            </w:r>
            <w:r>
              <w:rPr>
                <w:rFonts w:hint="eastAsia" w:ascii="宋体" w:hAnsi="宋体" w:eastAsia="宋体" w:cs="宋体"/>
                <w:color w:val="000000" w:themeColor="text1"/>
                <w:sz w:val="24"/>
                <w:szCs w:val="24"/>
                <w:highlight w:val="none"/>
                <w:lang w:val="en-US" w:eastAsia="zh-CN" w:bidi="ar-SA"/>
              </w:rPr>
              <w:t xml:space="preserve">要求所投产品厂商</w:t>
            </w:r>
            <w:r>
              <w:rPr>
                <w:rFonts w:hint="eastAsia" w:ascii="宋体" w:hAnsi="宋体" w:eastAsia="宋体" w:cs="宋体"/>
                <w:color w:val="000000" w:themeColor="text1"/>
                <w:sz w:val="24"/>
                <w:szCs w:val="24"/>
                <w:highlight w:val="none"/>
                <w:lang w:val="zh-CN" w:eastAsia="zh-CN" w:bidi="ar-SA"/>
              </w:rPr>
              <w:t xml:space="preserve">授权</w:t>
            </w:r>
            <w:r>
              <w:rPr>
                <w:rFonts w:hint="eastAsia" w:ascii="宋体" w:hAnsi="宋体" w:eastAsia="宋体" w:cs="宋体"/>
                <w:color w:val="000000" w:themeColor="text1"/>
                <w:sz w:val="24"/>
                <w:szCs w:val="24"/>
                <w:highlight w:val="none"/>
                <w:lang w:val="en-US" w:eastAsia="zh-CN" w:bidi="ar-SA"/>
              </w:rPr>
              <w:t xml:space="preserve">数据可视化、数据报表</w:t>
            </w:r>
            <w:r>
              <w:rPr>
                <w:rFonts w:hint="eastAsia" w:ascii="宋体" w:hAnsi="宋体" w:eastAsia="宋体" w:cs="宋体"/>
                <w:color w:val="000000" w:themeColor="text1"/>
                <w:sz w:val="24"/>
                <w:szCs w:val="24"/>
                <w:highlight w:val="none"/>
                <w:lang w:val="zh-CN" w:eastAsia="zh-CN" w:bidi="ar-SA"/>
              </w:rPr>
              <w:t xml:space="preserve">功能二次开发接口，</w:t>
            </w:r>
            <w:r>
              <w:rPr>
                <w:rFonts w:hint="eastAsia" w:ascii="宋体" w:hAnsi="宋体" w:eastAsia="宋体" w:cs="宋体"/>
                <w:color w:val="000000" w:themeColor="text1"/>
                <w:sz w:val="24"/>
                <w:szCs w:val="24"/>
                <w:highlight w:val="none"/>
                <w:lang w:val="en-US" w:eastAsia="zh-CN" w:bidi="ar-SA"/>
              </w:rPr>
              <w:t xml:space="preserve">同时承诺支持与第三方环控系统进行数据对接。</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Borders>
              <w:top w:val="single" w:color="000000" w:sz="6" w:space="0"/>
              <w:left w:val="single" w:color="000000" w:sz="6" w:space="0"/>
              <w:bottom w:val="single" w:color="000000" w:sz="6" w:space="0"/>
              <w:right w:val="single" w:color="000000" w:sz="6" w:space="0"/>
            </w:tcBorders>
            <w:tcMar>
              <w:left w:w="120" w:type="dxa"/>
              <w:top w:w="60" w:type="dxa"/>
              <w:right w:w="120" w:type="dxa"/>
              <w:bottom w:w="60" w:type="dxa"/>
            </w:tcMar>
            <w:tcW w:w="1049" w:type="dxa"/>
            <w:vAlign w:val="center"/>
            <w:textDirection w:val="lrTb"/>
            <w:noWrap w:val="false"/>
          </w:tcPr>
          <w:p>
            <w:pPr>
              <w:pStyle w:val="1021"/>
              <w:ind w:left="0" w:right="0" w:firstLine="0"/>
              <w:jc w:val="left"/>
              <w:spacing w:after="12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全局概览</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Borders>
              <w:top w:val="single" w:color="000000" w:sz="6" w:space="0"/>
              <w:left w:val="single" w:color="000000" w:sz="6" w:space="0"/>
              <w:bottom w:val="single" w:color="000000" w:sz="6" w:space="0"/>
              <w:right w:val="single" w:color="000000" w:sz="6" w:space="0"/>
            </w:tcBorders>
            <w:tcMar>
              <w:left w:w="120" w:type="dxa"/>
              <w:top w:w="60" w:type="dxa"/>
              <w:right w:w="120" w:type="dxa"/>
              <w:bottom w:w="60" w:type="dxa"/>
            </w:tcMar>
            <w:tcW w:w="1481" w:type="dxa"/>
            <w:vAlign w:val="center"/>
            <w:textDirection w:val="lrTb"/>
            <w:noWrap w:val="false"/>
          </w:tcPr>
          <w:p>
            <w:pPr>
              <w:pStyle w:val="1021"/>
              <w:ind w:left="0" w:right="0" w:firstLine="0"/>
              <w:jc w:val="left"/>
              <w:spacing w:after="12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全局概览</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Borders>
              <w:top w:val="single" w:color="000000" w:sz="4" w:space="0"/>
              <w:left w:val="single" w:color="000000" w:sz="6" w:space="0"/>
              <w:bottom w:val="single" w:color="000000" w:sz="6" w:space="0"/>
              <w:right w:val="single" w:color="000000" w:sz="6" w:space="0"/>
            </w:tcBorders>
            <w:tcMar>
              <w:left w:w="120" w:type="dxa"/>
              <w:top w:w="60" w:type="dxa"/>
              <w:right w:w="120" w:type="dxa"/>
              <w:bottom w:w="60" w:type="dxa"/>
            </w:tcMar>
            <w:tcW w:w="6506" w:type="dxa"/>
            <w:vAlign w:val="center"/>
            <w:textDirection w:val="lrTb"/>
            <w:noWrap w:val="false"/>
          </w:tcPr>
          <w:p>
            <w:pPr>
              <w:pStyle w:val="1021"/>
              <w:ind w:left="0" w:right="0" w:firstLine="0"/>
              <w:jc w:val="left"/>
              <w:spacing w:after="12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支持查看全部资源视图和自定义视图的资源概览。支持填写视图名称、选择多个分组创建自定义视图，自定义视图支持设置为默认视图。具备至少 3 种布局方式和不少于 4个自定义页面。</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21"/>
              <w:ind w:left="0" w:right="0" w:firstLine="0"/>
              <w:jc w:val="left"/>
              <w:spacing w:after="12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展示9种类型资源和3种应用监听的资源总数，四种故障等级的告警数量（严重/一般严重/警告/信息）。展示的9种资源类型包含主机系统、网络设备、安全设备、无线设备、存储设备、物理主机、虚拟化、数据库、中间件。3种应用监听类型包含接口检测、端口监听、地址监听。点击资源卡片支持下钻至相应资源列表。</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21"/>
              <w:ind w:left="0" w:right="0" w:firstLine="0"/>
              <w:jc w:val="left"/>
              <w:spacing w:after="12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支持查看所有告警的总报警数、成功处理数、未解决数，以及区分四种故障等级数量。点击任一统计的数量支持下钻至实时告警菜单搜索出对应指标，可查看告警列表具体信息。</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21"/>
              <w:ind w:left="0" w:right="0" w:firstLine="0"/>
              <w:jc w:val="left"/>
              <w:spacing w:after="12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支持可视化展示最近一周的报警数量，以柱形图形式展示6天前至今天的报警数量和已解决数量。</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Borders>
              <w:top w:val="single" w:color="000000" w:sz="6" w:space="0"/>
              <w:left w:val="single" w:color="000000" w:sz="6" w:space="0"/>
              <w:bottom w:val="single" w:color="000000" w:sz="6" w:space="0"/>
              <w:right w:val="single" w:color="000000" w:sz="6" w:space="0"/>
            </w:tcBorders>
            <w:tcMar>
              <w:left w:w="120" w:type="dxa"/>
              <w:top w:w="60" w:type="dxa"/>
              <w:right w:w="120" w:type="dxa"/>
              <w:bottom w:w="60" w:type="dxa"/>
            </w:tcMar>
            <w:tcW w:w="1049" w:type="dxa"/>
            <w:vAlign w:val="center"/>
            <w:textDirection w:val="lrTb"/>
            <w:noWrap w:val="false"/>
          </w:tcPr>
          <w:p>
            <w:pPr>
              <w:pStyle w:val="1021"/>
              <w:ind w:left="0" w:right="0" w:firstLine="0"/>
              <w:jc w:val="left"/>
              <w:spacing w:after="12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实时告警</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Borders>
              <w:top w:val="single" w:color="000000" w:sz="6" w:space="0"/>
              <w:left w:val="single" w:color="000000" w:sz="6" w:space="0"/>
              <w:bottom w:val="single" w:color="000000" w:sz="6" w:space="0"/>
              <w:right w:val="single" w:color="000000" w:sz="6" w:space="0"/>
            </w:tcBorders>
            <w:tcMar>
              <w:left w:w="120" w:type="dxa"/>
              <w:top w:w="60" w:type="dxa"/>
              <w:right w:w="120" w:type="dxa"/>
              <w:bottom w:w="60" w:type="dxa"/>
            </w:tcMar>
            <w:tcW w:w="1481" w:type="dxa"/>
            <w:vAlign w:val="center"/>
            <w:textDirection w:val="lrTb"/>
            <w:noWrap w:val="false"/>
          </w:tcPr>
          <w:p>
            <w:pPr>
              <w:pStyle w:val="1021"/>
              <w:ind w:left="0" w:right="0" w:firstLine="0"/>
              <w:jc w:val="left"/>
              <w:spacing w:after="12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实时告警</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Borders>
              <w:top w:val="single" w:color="000000" w:sz="6" w:space="0"/>
              <w:left w:val="single" w:color="000000" w:sz="6" w:space="0"/>
              <w:bottom w:val="single" w:color="000000" w:sz="6" w:space="0"/>
              <w:right w:val="single" w:color="000000" w:sz="6" w:space="0"/>
            </w:tcBorders>
            <w:tcMar>
              <w:left w:w="120" w:type="dxa"/>
              <w:top w:w="60" w:type="dxa"/>
              <w:right w:w="120" w:type="dxa"/>
              <w:bottom w:w="60" w:type="dxa"/>
            </w:tcMar>
            <w:tcW w:w="6506" w:type="dxa"/>
            <w:vAlign w:val="center"/>
            <w:textDirection w:val="lrTb"/>
            <w:noWrap w:val="false"/>
          </w:tcPr>
          <w:p>
            <w:pPr>
              <w:pStyle w:val="1021"/>
              <w:ind w:left="0" w:right="0" w:firstLine="0"/>
              <w:jc w:val="left"/>
              <w:spacing w:after="12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应提供统一的实时告警管理界面，支持查看全部已处理与未处理的告警。</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21"/>
              <w:ind w:left="0" w:right="0" w:firstLine="0"/>
              <w:jc w:val="left"/>
              <w:spacing w:after="12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应支持按日期、告警类型、故障处理状态、故障等级、资源名称、分组、IP地址等多维度进行组合筛选，并支持将筛选后的告警列表导出为标准格式文件。</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21"/>
              <w:ind w:left="0" w:right="0" w:firstLine="0"/>
              <w:jc w:val="left"/>
              <w:spacing w:after="12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每条告警的详情页面需包含告警信息、告警对象信息、监控记录等。</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21"/>
              <w:ind w:left="0" w:right="0" w:firstLine="0"/>
              <w:jc w:val="left"/>
              <w:spacing w:after="12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支持对告警临时忽略设置在某一时间段内忽略此告警，在该时间段内，同级别告警不再重复推送。关闭忽略后将不再接收此类告警信息。已忽略的告警展示在忽略告警列表中，支持批量恢复告警和一键恢复告警。</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Borders>
              <w:top w:val="single" w:color="000000" w:sz="6" w:space="0"/>
              <w:left w:val="single" w:color="000000" w:sz="6" w:space="0"/>
              <w:bottom w:val="single" w:color="000000" w:sz="6" w:space="0"/>
              <w:right w:val="single" w:color="000000" w:sz="6" w:space="0"/>
            </w:tcBorders>
            <w:tcMar>
              <w:left w:w="120" w:type="dxa"/>
              <w:top w:w="60" w:type="dxa"/>
              <w:right w:w="120" w:type="dxa"/>
              <w:bottom w:w="60" w:type="dxa"/>
            </w:tcMar>
            <w:tcW w:w="1049" w:type="dxa"/>
            <w:vAlign w:val="center"/>
            <w:vMerge w:val="restart"/>
            <w:textDirection w:val="lrTb"/>
            <w:noWrap w:val="false"/>
          </w:tcPr>
          <w:p>
            <w:pPr>
              <w:pStyle w:val="1021"/>
              <w:ind w:left="0" w:right="0" w:firstLine="0"/>
              <w:jc w:val="left"/>
              <w:spacing w:after="12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智能网络管理</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Borders>
              <w:top w:val="single" w:color="000000" w:sz="6" w:space="0"/>
              <w:left w:val="single" w:color="000000" w:sz="6" w:space="0"/>
              <w:bottom w:val="single" w:color="000000" w:sz="6" w:space="0"/>
              <w:right w:val="single" w:color="000000" w:sz="6" w:space="0"/>
            </w:tcBorders>
            <w:tcMar>
              <w:left w:w="120" w:type="dxa"/>
              <w:top w:w="60" w:type="dxa"/>
              <w:right w:w="120" w:type="dxa"/>
              <w:bottom w:w="60" w:type="dxa"/>
            </w:tcMar>
            <w:tcW w:w="1481" w:type="dxa"/>
            <w:vAlign w:val="center"/>
            <w:textDirection w:val="lrTb"/>
            <w:noWrap w:val="false"/>
          </w:tcPr>
          <w:p>
            <w:pPr>
              <w:pStyle w:val="1021"/>
              <w:ind w:left="0" w:right="0" w:firstLine="0"/>
              <w:jc w:val="left"/>
              <w:spacing w:after="12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网络拓扑图</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Borders>
              <w:top w:val="single" w:color="000000" w:sz="6" w:space="0"/>
              <w:left w:val="single" w:color="000000" w:sz="6" w:space="0"/>
              <w:bottom w:val="single" w:color="000000" w:sz="6" w:space="0"/>
              <w:right w:val="single" w:color="000000" w:sz="6" w:space="0"/>
            </w:tcBorders>
            <w:tcMar>
              <w:left w:w="120" w:type="dxa"/>
              <w:top w:w="60" w:type="dxa"/>
              <w:right w:w="120" w:type="dxa"/>
              <w:bottom w:w="60" w:type="dxa"/>
            </w:tcMar>
            <w:tcW w:w="6506" w:type="dxa"/>
            <w:vAlign w:val="center"/>
            <w:textDirection w:val="lrTb"/>
            <w:noWrap w:val="false"/>
          </w:tcPr>
          <w:p>
            <w:pPr>
              <w:pStyle w:val="1021"/>
              <w:ind w:left="0" w:right="0" w:firstLine="0"/>
              <w:jc w:val="left"/>
              <w:spacing w:after="12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应支持手动绘制或自动生成网络拓扑图，支持网络拓扑、机柜拓扑、示意拓扑以适配实际网络架构变化。点击拓扑图中资源需展示资源名称、监控状态、IP、设备类型、厂商、设备型号、序列号、CPU使用率、内存使用率、网络丢包率、网络响应时长、告警列表。点击拓扑图中连线，展示上联资产、下联资产、接口速率、接口号、端口号信息，以折线图可视化展示连接时间趋势图和出入站流量趋势图。支持按名称模糊查询拓扑图中所有节点和交换机下的终端。支持实时展示全网设备运行状态，故障节点高亮，开启动画效果展示连线方向。</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21"/>
              <w:ind w:left="0" w:right="0" w:firstLine="0"/>
              <w:jc w:val="left"/>
              <w:spacing w:after="12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支持自定义多个机柜拓扑图，可视化拖动部署，可添加真实和非网管示意设备，展示设备状态与运行情况，可打开设备背板定位异常。</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Borders>
              <w:top w:val="single" w:color="000000" w:sz="6" w:space="0"/>
              <w:left w:val="single" w:color="000000" w:sz="6" w:space="0"/>
              <w:bottom w:val="single" w:color="000000" w:sz="6" w:space="0"/>
              <w:right w:val="single" w:color="000000" w:sz="6" w:space="0"/>
            </w:tcBorders>
            <w:tcW w:w="1049" w:type="dxa"/>
            <w:vAlign w:val="center"/>
            <w:vMerge w:val="continue"/>
            <w:textDirection w:val="lrTb"/>
            <w:noWrap w:val="false"/>
          </w:tcPr>
          <w:p>
            <w:pPr>
              <w:pStyle w:val="1021"/>
              <w:ind w:left="0" w:right="0" w:firstLine="0"/>
              <w:jc w:val="lef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Mar>
              <w:left w:w="120" w:type="dxa"/>
              <w:top w:w="60" w:type="dxa"/>
              <w:right w:w="120" w:type="dxa"/>
              <w:bottom w:w="60" w:type="dxa"/>
            </w:tcMar>
            <w:tcW w:w="1481" w:type="dxa"/>
            <w:vAlign w:val="center"/>
            <w:textDirection w:val="lrTb"/>
            <w:noWrap w:val="false"/>
          </w:tcPr>
          <w:p>
            <w:pPr>
              <w:pStyle w:val="1021"/>
              <w:ind w:left="0" w:right="0" w:firstLine="0"/>
              <w:jc w:val="left"/>
              <w:spacing w:after="12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终端定位</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Borders>
              <w:top w:val="single" w:color="000000" w:sz="6" w:space="0"/>
              <w:left w:val="single" w:color="000000" w:sz="6" w:space="0"/>
              <w:bottom w:val="single" w:color="000000" w:sz="6" w:space="0"/>
              <w:right w:val="single" w:color="000000" w:sz="6" w:space="0"/>
            </w:tcBorders>
            <w:tcMar>
              <w:left w:w="120" w:type="dxa"/>
              <w:top w:w="60" w:type="dxa"/>
              <w:right w:w="120" w:type="dxa"/>
              <w:bottom w:w="60" w:type="dxa"/>
            </w:tcMar>
            <w:tcW w:w="6506" w:type="dxa"/>
            <w:vAlign w:val="center"/>
            <w:textDirection w:val="lrTb"/>
            <w:noWrap w:val="false"/>
          </w:tcPr>
          <w:p>
            <w:pPr>
              <w:pStyle w:val="1021"/>
              <w:ind w:left="0" w:right="0" w:firstLine="0"/>
              <w:jc w:val="left"/>
              <w:spacing w:after="12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▲应支持终端定位功能，能够通过MAC地址或IP地址实时定位终端设备的入网信息（如接入交换机及端口）。投标人提供该设备操作界面功能截图</w:t>
            </w:r>
            <w:r>
              <w:rPr>
                <w:rFonts w:hint="eastAsia" w:ascii="宋体" w:hAnsi="宋体" w:eastAsia="宋体" w:cs="宋体"/>
                <w:color w:val="000000" w:themeColor="text1"/>
                <w:sz w:val="24"/>
                <w:szCs w:val="24"/>
                <w:highlight w:val="none"/>
                <w:lang w:val="en-US" w:eastAsia="zh-CN" w:bidi="ar"/>
              </w:rPr>
              <w:t xml:space="preserve">并</w:t>
            </w:r>
            <w:r>
              <w:rPr>
                <w:rFonts w:hint="eastAsia" w:ascii="宋体" w:hAnsi="宋体" w:eastAsia="宋体" w:cs="宋体"/>
                <w:color w:val="000000" w:themeColor="text1"/>
                <w:sz w:val="24"/>
                <w:szCs w:val="24"/>
                <w:highlight w:val="none"/>
                <w:lang w:val="en-US" w:eastAsia="zh-CN" w:bidi="ar-SA"/>
              </w:rPr>
              <w:t xml:space="preserve">加盖投标人公章。</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Borders>
              <w:top w:val="single" w:color="000000" w:sz="6" w:space="0"/>
              <w:left w:val="single" w:color="000000" w:sz="6" w:space="0"/>
              <w:bottom w:val="single" w:color="000000" w:sz="6" w:space="0"/>
              <w:right w:val="single" w:color="000000" w:sz="6" w:space="0"/>
            </w:tcBorders>
            <w:tcW w:w="1049" w:type="dxa"/>
            <w:vAlign w:val="center"/>
            <w:vMerge w:val="continue"/>
            <w:textDirection w:val="lrTb"/>
            <w:noWrap w:val="false"/>
          </w:tcPr>
          <w:p>
            <w:pPr>
              <w:pStyle w:val="1021"/>
              <w:ind w:left="0" w:right="0" w:firstLine="0"/>
              <w:jc w:val="lef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Mar>
              <w:left w:w="120" w:type="dxa"/>
              <w:top w:w="60" w:type="dxa"/>
              <w:right w:w="120" w:type="dxa"/>
              <w:bottom w:w="60" w:type="dxa"/>
            </w:tcMar>
            <w:tcW w:w="1481" w:type="dxa"/>
            <w:vAlign w:val="center"/>
            <w:textDirection w:val="lrTb"/>
            <w:noWrap w:val="false"/>
          </w:tcPr>
          <w:p>
            <w:pPr>
              <w:pStyle w:val="1021"/>
              <w:ind w:left="0" w:right="0" w:firstLine="0"/>
              <w:jc w:val="left"/>
              <w:spacing w:after="12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非法查找</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Borders>
              <w:top w:val="single" w:color="000000" w:sz="6" w:space="0"/>
              <w:left w:val="single" w:color="000000" w:sz="6" w:space="0"/>
              <w:bottom w:val="single" w:color="000000" w:sz="6" w:space="0"/>
              <w:right w:val="single" w:color="000000" w:sz="6" w:space="0"/>
            </w:tcBorders>
            <w:tcMar>
              <w:left w:w="120" w:type="dxa"/>
              <w:top w:w="60" w:type="dxa"/>
              <w:right w:w="120" w:type="dxa"/>
              <w:bottom w:w="60" w:type="dxa"/>
            </w:tcMar>
            <w:tcW w:w="6506" w:type="dxa"/>
            <w:vAlign w:val="center"/>
            <w:textDirection w:val="lrTb"/>
            <w:noWrap w:val="false"/>
          </w:tcPr>
          <w:p>
            <w:pPr>
              <w:pStyle w:val="1021"/>
              <w:ind w:left="0" w:right="0" w:firstLine="0"/>
              <w:jc w:val="left"/>
              <w:spacing w:after="12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应支持检测网络中非网管交换机、路由器等哑终端设备的连接信息。</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Borders>
              <w:top w:val="single" w:color="000000" w:sz="6" w:space="0"/>
              <w:left w:val="single" w:color="000000" w:sz="6" w:space="0"/>
              <w:bottom w:val="single" w:color="000000" w:sz="6" w:space="0"/>
              <w:right w:val="single" w:color="000000" w:sz="6" w:space="0"/>
            </w:tcBorders>
            <w:tcW w:w="1049" w:type="dxa"/>
            <w:vAlign w:val="center"/>
            <w:vMerge w:val="continue"/>
            <w:textDirection w:val="lrTb"/>
            <w:noWrap w:val="false"/>
          </w:tcPr>
          <w:p>
            <w:pPr>
              <w:pStyle w:val="1021"/>
              <w:ind w:left="0" w:right="0" w:firstLine="0"/>
              <w:jc w:val="lef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Mar>
              <w:left w:w="120" w:type="dxa"/>
              <w:top w:w="60" w:type="dxa"/>
              <w:right w:w="120" w:type="dxa"/>
              <w:bottom w:w="60" w:type="dxa"/>
            </w:tcMar>
            <w:tcW w:w="1481" w:type="dxa"/>
            <w:vAlign w:val="center"/>
            <w:textDirection w:val="lrTb"/>
            <w:noWrap w:val="false"/>
          </w:tcPr>
          <w:p>
            <w:pPr>
              <w:pStyle w:val="1021"/>
              <w:ind w:left="0" w:right="0" w:firstLine="0"/>
              <w:jc w:val="left"/>
              <w:spacing w:after="12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网络巡检</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Borders>
              <w:top w:val="single" w:color="000000" w:sz="6" w:space="0"/>
              <w:left w:val="single" w:color="000000" w:sz="6" w:space="0"/>
              <w:bottom w:val="single" w:color="000000" w:sz="6" w:space="0"/>
              <w:right w:val="single" w:color="000000" w:sz="6" w:space="0"/>
            </w:tcBorders>
            <w:tcMar>
              <w:left w:w="120" w:type="dxa"/>
              <w:top w:w="60" w:type="dxa"/>
              <w:right w:w="120" w:type="dxa"/>
              <w:bottom w:w="60" w:type="dxa"/>
            </w:tcMar>
            <w:tcW w:w="6506" w:type="dxa"/>
            <w:vAlign w:val="center"/>
            <w:textDirection w:val="lrTb"/>
            <w:noWrap w:val="false"/>
          </w:tcPr>
          <w:p>
            <w:pPr>
              <w:pStyle w:val="1021"/>
              <w:ind w:left="0" w:right="0" w:firstLine="0"/>
              <w:jc w:val="left"/>
              <w:spacing w:after="12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应支持对网络系统环境进行全方位自动化巡检，展示各性能指标是否正常。</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Borders>
              <w:top w:val="single" w:color="000000" w:sz="6" w:space="0"/>
              <w:left w:val="single" w:color="000000" w:sz="6" w:space="0"/>
              <w:bottom w:val="single" w:color="000000" w:sz="6" w:space="0"/>
              <w:right w:val="single" w:color="000000" w:sz="6" w:space="0"/>
            </w:tcBorders>
            <w:tcW w:w="1049" w:type="dxa"/>
            <w:vAlign w:val="center"/>
            <w:vMerge w:val="continue"/>
            <w:textDirection w:val="lrTb"/>
            <w:noWrap w:val="false"/>
          </w:tcPr>
          <w:p>
            <w:pPr>
              <w:pStyle w:val="1021"/>
              <w:ind w:left="0" w:right="0" w:firstLine="0"/>
              <w:jc w:val="lef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Mar>
              <w:left w:w="120" w:type="dxa"/>
              <w:top w:w="60" w:type="dxa"/>
              <w:right w:w="120" w:type="dxa"/>
              <w:bottom w:w="60" w:type="dxa"/>
            </w:tcMar>
            <w:tcW w:w="1481" w:type="dxa"/>
            <w:vAlign w:val="center"/>
            <w:textDirection w:val="lrTb"/>
            <w:noWrap w:val="false"/>
          </w:tcPr>
          <w:p>
            <w:pPr>
              <w:pStyle w:val="1021"/>
              <w:ind w:left="0" w:right="0" w:firstLine="0"/>
              <w:jc w:val="left"/>
              <w:spacing w:after="12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网口检测</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Borders>
              <w:top w:val="single" w:color="000000" w:sz="6" w:space="0"/>
              <w:left w:val="single" w:color="000000" w:sz="6" w:space="0"/>
              <w:bottom w:val="single" w:color="000000" w:sz="6" w:space="0"/>
              <w:right w:val="single" w:color="000000" w:sz="6" w:space="0"/>
            </w:tcBorders>
            <w:tcMar>
              <w:left w:w="120" w:type="dxa"/>
              <w:top w:w="60" w:type="dxa"/>
              <w:right w:w="120" w:type="dxa"/>
              <w:bottom w:w="60" w:type="dxa"/>
            </w:tcMar>
            <w:tcW w:w="6506" w:type="dxa"/>
            <w:vAlign w:val="center"/>
            <w:textDirection w:val="lrTb"/>
            <w:noWrap w:val="false"/>
          </w:tcPr>
          <w:p>
            <w:pPr>
              <w:pStyle w:val="1021"/>
              <w:ind w:left="0" w:right="0" w:firstLine="0"/>
              <w:jc w:val="left"/>
              <w:spacing w:after="12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应支持交换机网口检测功能。需能实时查询交换机网口使用率，并支持检测长期未激活的闲置网口。</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Borders>
              <w:top w:val="single" w:color="000000" w:sz="6" w:space="0"/>
              <w:left w:val="single" w:color="000000" w:sz="6" w:space="0"/>
              <w:bottom w:val="single" w:color="000000" w:sz="6" w:space="0"/>
              <w:right w:val="single" w:color="000000" w:sz="6" w:space="0"/>
            </w:tcBorders>
            <w:tcMar>
              <w:left w:w="120" w:type="dxa"/>
              <w:top w:w="60" w:type="dxa"/>
              <w:right w:w="120" w:type="dxa"/>
              <w:bottom w:w="60" w:type="dxa"/>
            </w:tcMar>
            <w:tcW w:w="1049" w:type="dxa"/>
            <w:vAlign w:val="center"/>
            <w:vMerge w:val="restart"/>
            <w:textDirection w:val="lrTb"/>
            <w:noWrap w:val="false"/>
          </w:tcPr>
          <w:p>
            <w:pPr>
              <w:pStyle w:val="1021"/>
              <w:ind w:left="0" w:right="0" w:firstLine="0"/>
              <w:jc w:val="left"/>
              <w:spacing w:after="12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综合管理</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Borders>
              <w:top w:val="single" w:color="000000" w:sz="6" w:space="0"/>
              <w:left w:val="single" w:color="000000" w:sz="6" w:space="0"/>
              <w:bottom w:val="single" w:color="000000" w:sz="6" w:space="0"/>
              <w:right w:val="single" w:color="000000" w:sz="6" w:space="0"/>
            </w:tcBorders>
            <w:tcMar>
              <w:left w:w="120" w:type="dxa"/>
              <w:top w:w="60" w:type="dxa"/>
              <w:right w:w="120" w:type="dxa"/>
              <w:bottom w:w="60" w:type="dxa"/>
            </w:tcMar>
            <w:tcW w:w="1481" w:type="dxa"/>
            <w:vAlign w:val="center"/>
            <w:textDirection w:val="lrTb"/>
            <w:noWrap w:val="false"/>
          </w:tcPr>
          <w:p>
            <w:pPr>
              <w:pStyle w:val="1021"/>
              <w:ind w:left="0" w:right="0" w:firstLine="0"/>
              <w:jc w:val="left"/>
              <w:spacing w:after="12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可视化大屏</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Borders>
              <w:top w:val="single" w:color="000000" w:sz="6" w:space="0"/>
              <w:left w:val="single" w:color="000000" w:sz="6" w:space="0"/>
              <w:bottom w:val="single" w:color="000000" w:sz="6" w:space="0"/>
              <w:right w:val="single" w:color="000000" w:sz="6" w:space="0"/>
            </w:tcBorders>
            <w:tcMar>
              <w:left w:w="120" w:type="dxa"/>
              <w:top w:w="60" w:type="dxa"/>
              <w:right w:w="120" w:type="dxa"/>
              <w:bottom w:w="60" w:type="dxa"/>
            </w:tcMar>
            <w:tcW w:w="6506" w:type="dxa"/>
            <w:vAlign w:val="center"/>
            <w:textDirection w:val="lrTb"/>
            <w:noWrap w:val="false"/>
          </w:tcPr>
          <w:p>
            <w:pPr>
              <w:pStyle w:val="1021"/>
              <w:ind w:left="0" w:right="0" w:firstLine="0"/>
              <w:jc w:val="left"/>
              <w:spacing w:after="12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应支持以业务、资产等不同视角对信息化资产进行全方位、立体化展示。需提供综合运维大屏、业务大屏、资产大屏、网络大屏等多种预置展示方案。</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Borders>
              <w:top w:val="single" w:color="000000" w:sz="6" w:space="0"/>
              <w:left w:val="single" w:color="000000" w:sz="6" w:space="0"/>
              <w:bottom w:val="single" w:color="000000" w:sz="6" w:space="0"/>
              <w:right w:val="single" w:color="000000" w:sz="6" w:space="0"/>
            </w:tcBorders>
            <w:tcW w:w="1049" w:type="dxa"/>
            <w:vAlign w:val="center"/>
            <w:vMerge w:val="continue"/>
            <w:textDirection w:val="lrTb"/>
            <w:noWrap w:val="false"/>
          </w:tcPr>
          <w:p>
            <w:pPr>
              <w:pStyle w:val="1021"/>
              <w:ind w:left="0" w:right="0" w:firstLine="0"/>
              <w:jc w:val="lef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Mar>
              <w:left w:w="120" w:type="dxa"/>
              <w:top w:w="60" w:type="dxa"/>
              <w:right w:w="120" w:type="dxa"/>
              <w:bottom w:w="60" w:type="dxa"/>
            </w:tcMar>
            <w:tcW w:w="1481" w:type="dxa"/>
            <w:vAlign w:val="center"/>
            <w:textDirection w:val="lrTb"/>
            <w:noWrap w:val="false"/>
          </w:tcPr>
          <w:p>
            <w:pPr>
              <w:pStyle w:val="1021"/>
              <w:ind w:left="0" w:right="0" w:firstLine="0"/>
              <w:jc w:val="left"/>
              <w:spacing w:after="12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智能巡检</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Borders>
              <w:top w:val="single" w:color="000000" w:sz="6" w:space="0"/>
              <w:left w:val="single" w:color="000000" w:sz="6" w:space="0"/>
              <w:bottom w:val="single" w:color="000000" w:sz="6" w:space="0"/>
              <w:right w:val="single" w:color="000000" w:sz="6" w:space="0"/>
            </w:tcBorders>
            <w:tcMar>
              <w:left w:w="120" w:type="dxa"/>
              <w:top w:w="60" w:type="dxa"/>
              <w:right w:w="120" w:type="dxa"/>
              <w:bottom w:w="60" w:type="dxa"/>
            </w:tcMar>
            <w:tcW w:w="6506" w:type="dxa"/>
            <w:vAlign w:val="center"/>
            <w:textDirection w:val="lrTb"/>
            <w:noWrap w:val="false"/>
          </w:tcPr>
          <w:p>
            <w:pPr>
              <w:pStyle w:val="1021"/>
              <w:ind w:left="0" w:right="0" w:firstLine="0"/>
              <w:jc w:val="left"/>
              <w:spacing w:after="12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应支持智能巡检功能，能够对网络设备、安全设备、主机系统、虚拟化、数据库等不同类型的监控资产，按照日、周、月年等周期设置巡检计划。需支持通过PC端和移动端实时统计和查看所有历史巡检记录的资源运行状态和性能指标报表。</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Borders>
              <w:top w:val="single" w:color="000000" w:sz="6" w:space="0"/>
              <w:left w:val="single" w:color="000000" w:sz="6" w:space="0"/>
              <w:bottom w:val="single" w:color="000000" w:sz="6" w:space="0"/>
              <w:right w:val="single" w:color="000000" w:sz="6" w:space="0"/>
            </w:tcBorders>
            <w:tcW w:w="1049" w:type="dxa"/>
            <w:vAlign w:val="center"/>
            <w:vMerge w:val="continue"/>
            <w:textDirection w:val="lrTb"/>
            <w:noWrap w:val="false"/>
          </w:tcPr>
          <w:p>
            <w:pPr>
              <w:pStyle w:val="1021"/>
              <w:ind w:left="0" w:right="0" w:firstLine="0"/>
              <w:jc w:val="lef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Mar>
              <w:left w:w="120" w:type="dxa"/>
              <w:top w:w="60" w:type="dxa"/>
              <w:right w:w="120" w:type="dxa"/>
              <w:bottom w:w="60" w:type="dxa"/>
            </w:tcMar>
            <w:tcW w:w="1481" w:type="dxa"/>
            <w:vAlign w:val="center"/>
            <w:textDirection w:val="lrTb"/>
            <w:noWrap w:val="false"/>
          </w:tcPr>
          <w:p>
            <w:pPr>
              <w:pStyle w:val="1021"/>
              <w:ind w:left="0" w:right="0" w:firstLine="0"/>
              <w:jc w:val="left"/>
              <w:spacing w:after="12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性能数据分析</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Borders>
              <w:top w:val="single" w:color="000000" w:sz="6" w:space="0"/>
              <w:left w:val="single" w:color="000000" w:sz="6" w:space="0"/>
              <w:bottom w:val="single" w:color="000000" w:sz="6" w:space="0"/>
              <w:right w:val="single" w:color="000000" w:sz="6" w:space="0"/>
            </w:tcBorders>
            <w:tcMar>
              <w:left w:w="120" w:type="dxa"/>
              <w:top w:w="60" w:type="dxa"/>
              <w:right w:w="120" w:type="dxa"/>
              <w:bottom w:w="60" w:type="dxa"/>
            </w:tcMar>
            <w:tcW w:w="6506" w:type="dxa"/>
            <w:vAlign w:val="center"/>
            <w:textDirection w:val="lrTb"/>
            <w:noWrap w:val="false"/>
          </w:tcPr>
          <w:p>
            <w:pPr>
              <w:pStyle w:val="1021"/>
              <w:ind w:left="0" w:right="0" w:firstLine="0"/>
              <w:jc w:val="left"/>
              <w:spacing w:after="12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设备IP或名称快速模糊智能搜索，设置自定义时间段分析指标历史数据，通过时间轴操作快速缩小图表范围，查看分钟级实时数据。支持多设备多指标分析对比，具备日常分析数据查询保存功能，同时针对查询的数据，支持EXCEL和CAS格式导出。数据分析针对历史分析，支持环比与同比的数据对比分析趋势。</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Borders>
              <w:top w:val="single" w:color="000000" w:sz="6" w:space="0"/>
              <w:left w:val="single" w:color="000000" w:sz="6" w:space="0"/>
              <w:bottom w:val="single" w:color="000000" w:sz="6" w:space="0"/>
              <w:right w:val="single" w:color="000000" w:sz="6" w:space="0"/>
            </w:tcBorders>
            <w:tcMar>
              <w:left w:w="120" w:type="dxa"/>
              <w:top w:w="60" w:type="dxa"/>
              <w:right w:w="120" w:type="dxa"/>
              <w:bottom w:w="60" w:type="dxa"/>
            </w:tcMar>
            <w:tcW w:w="1049" w:type="dxa"/>
            <w:vAlign w:val="center"/>
            <w:vMerge w:val="restart"/>
            <w:textDirection w:val="lrTb"/>
            <w:noWrap w:val="false"/>
          </w:tcPr>
          <w:p>
            <w:pPr>
              <w:pStyle w:val="1021"/>
              <w:ind w:left="0" w:right="0" w:firstLine="0"/>
              <w:jc w:val="left"/>
              <w:spacing w:after="12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配置管理</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Borders>
              <w:top w:val="single" w:color="000000" w:sz="6" w:space="0"/>
              <w:left w:val="single" w:color="000000" w:sz="6" w:space="0"/>
              <w:bottom w:val="single" w:color="000000" w:sz="6" w:space="0"/>
              <w:right w:val="single" w:color="000000" w:sz="6" w:space="0"/>
            </w:tcBorders>
            <w:tcMar>
              <w:left w:w="120" w:type="dxa"/>
              <w:top w:w="60" w:type="dxa"/>
              <w:right w:w="120" w:type="dxa"/>
              <w:bottom w:w="60" w:type="dxa"/>
            </w:tcMar>
            <w:tcW w:w="1481" w:type="dxa"/>
            <w:vAlign w:val="center"/>
            <w:textDirection w:val="lrTb"/>
            <w:noWrap w:val="false"/>
          </w:tcPr>
          <w:p>
            <w:pPr>
              <w:pStyle w:val="1021"/>
              <w:ind w:left="0" w:right="0" w:firstLine="0"/>
              <w:jc w:val="left"/>
              <w:spacing w:after="12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权限管理</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Borders>
              <w:top w:val="single" w:color="000000" w:sz="6" w:space="0"/>
              <w:left w:val="single" w:color="000000" w:sz="6" w:space="0"/>
              <w:bottom w:val="single" w:color="000000" w:sz="6" w:space="0"/>
              <w:right w:val="single" w:color="000000" w:sz="6" w:space="0"/>
            </w:tcBorders>
            <w:tcMar>
              <w:left w:w="120" w:type="dxa"/>
              <w:top w:w="60" w:type="dxa"/>
              <w:right w:w="120" w:type="dxa"/>
              <w:bottom w:w="60" w:type="dxa"/>
            </w:tcMar>
            <w:tcW w:w="6506" w:type="dxa"/>
            <w:vAlign w:val="center"/>
            <w:textDirection w:val="lrTb"/>
            <w:noWrap w:val="false"/>
          </w:tcPr>
          <w:p>
            <w:pPr>
              <w:pStyle w:val="1021"/>
              <w:ind w:left="0" w:right="0" w:firstLine="0"/>
              <w:jc w:val="left"/>
              <w:spacing w:after="12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应支持设置IP地址白名单，通过添加IP地址或IP地址段，仅允许特定的IP地址或地址段访问本数字化运维监控系统。</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Borders>
              <w:top w:val="single" w:color="000000" w:sz="6" w:space="0"/>
              <w:left w:val="single" w:color="000000" w:sz="6" w:space="0"/>
              <w:bottom w:val="single" w:color="000000" w:sz="6" w:space="0"/>
              <w:right w:val="single" w:color="000000" w:sz="6" w:space="0"/>
            </w:tcBorders>
            <w:tcW w:w="1049" w:type="dxa"/>
            <w:vAlign w:val="center"/>
            <w:vMerge w:val="continue"/>
            <w:textDirection w:val="lrTb"/>
            <w:noWrap w:val="false"/>
          </w:tcPr>
          <w:p>
            <w:pPr>
              <w:pStyle w:val="1021"/>
              <w:ind w:left="0" w:right="0" w:firstLine="0"/>
              <w:jc w:val="lef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Mar>
              <w:left w:w="120" w:type="dxa"/>
              <w:top w:w="60" w:type="dxa"/>
              <w:right w:w="120" w:type="dxa"/>
              <w:bottom w:w="60" w:type="dxa"/>
            </w:tcMar>
            <w:tcW w:w="1481" w:type="dxa"/>
            <w:vAlign w:val="center"/>
            <w:textDirection w:val="lrTb"/>
            <w:noWrap w:val="false"/>
          </w:tcPr>
          <w:p>
            <w:pPr>
              <w:pStyle w:val="1021"/>
              <w:ind w:left="0" w:right="0" w:firstLine="0"/>
              <w:jc w:val="left"/>
              <w:spacing w:after="12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网络时钟</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Borders>
              <w:top w:val="single" w:color="000000" w:sz="6" w:space="0"/>
              <w:left w:val="single" w:color="000000" w:sz="6" w:space="0"/>
              <w:bottom w:val="single" w:color="000000" w:sz="6" w:space="0"/>
              <w:right w:val="single" w:color="000000" w:sz="6" w:space="0"/>
            </w:tcBorders>
            <w:tcMar>
              <w:left w:w="120" w:type="dxa"/>
              <w:top w:w="60" w:type="dxa"/>
              <w:right w:w="120" w:type="dxa"/>
              <w:bottom w:w="60" w:type="dxa"/>
            </w:tcMar>
            <w:tcW w:w="6506" w:type="dxa"/>
            <w:vAlign w:val="center"/>
            <w:textDirection w:val="lrTb"/>
            <w:noWrap w:val="false"/>
          </w:tcPr>
          <w:p>
            <w:pPr>
              <w:pStyle w:val="1021"/>
              <w:ind w:left="0" w:right="0" w:firstLine="0"/>
              <w:jc w:val="left"/>
              <w:spacing w:after="12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应支持网络时钟监测功能。平台需能够对接NTP服务器的资源进行时钟偏差监测，并对时钟异常（如偏差超过阈值）的节点进行告警通知。</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Borders>
              <w:top w:val="single" w:color="000000" w:sz="6" w:space="0"/>
              <w:left w:val="single" w:color="000000" w:sz="6" w:space="0"/>
              <w:bottom w:val="single" w:color="000000" w:sz="6" w:space="0"/>
              <w:right w:val="single" w:color="000000" w:sz="6" w:space="0"/>
            </w:tcBorders>
            <w:tcW w:w="1049" w:type="dxa"/>
            <w:vAlign w:val="center"/>
            <w:vMerge w:val="continue"/>
            <w:textDirection w:val="lrTb"/>
            <w:noWrap w:val="false"/>
          </w:tcPr>
          <w:p>
            <w:pPr>
              <w:pStyle w:val="1021"/>
              <w:ind w:left="0" w:right="0" w:firstLine="0"/>
              <w:jc w:val="lef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Mar>
              <w:left w:w="120" w:type="dxa"/>
              <w:top w:w="60" w:type="dxa"/>
              <w:right w:w="120" w:type="dxa"/>
              <w:bottom w:w="60" w:type="dxa"/>
            </w:tcMar>
            <w:tcW w:w="1481" w:type="dxa"/>
            <w:vAlign w:val="center"/>
            <w:textDirection w:val="lrTb"/>
            <w:noWrap w:val="false"/>
          </w:tcPr>
          <w:p>
            <w:pPr>
              <w:pStyle w:val="1021"/>
              <w:ind w:left="0" w:right="0" w:firstLine="0"/>
              <w:jc w:val="left"/>
              <w:spacing w:after="12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告警策略</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Borders>
              <w:top w:val="single" w:color="000000" w:sz="6" w:space="0"/>
              <w:left w:val="single" w:color="000000" w:sz="6" w:space="0"/>
              <w:bottom w:val="single" w:color="000000" w:sz="6" w:space="0"/>
              <w:right w:val="single" w:color="000000" w:sz="6" w:space="0"/>
            </w:tcBorders>
            <w:tcMar>
              <w:left w:w="120" w:type="dxa"/>
              <w:top w:w="60" w:type="dxa"/>
              <w:right w:w="120" w:type="dxa"/>
              <w:bottom w:w="60" w:type="dxa"/>
            </w:tcMar>
            <w:tcW w:w="6506" w:type="dxa"/>
            <w:vAlign w:val="center"/>
            <w:textDirection w:val="lrTb"/>
            <w:noWrap w:val="false"/>
          </w:tcPr>
          <w:p>
            <w:pPr>
              <w:pStyle w:val="1021"/>
              <w:ind w:left="0" w:right="0" w:firstLine="0"/>
              <w:jc w:val="left"/>
              <w:spacing w:after="12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应支持告警策略管理，能够按照资源大类、具体设备、标签组和第三方系统等多种方式，结合告警级别、告警关键词，设置不同的消息接收用户、推送间隔、是否推送恢复告警。送媒介需支持企业微信、钉钉、邮件、短信。设定具体次数的连续推送，以及同设备同告警的告警抑制时间策略配置。投标人提供该设备操作界面功能截图</w:t>
            </w:r>
            <w:r>
              <w:rPr>
                <w:rFonts w:hint="eastAsia" w:ascii="宋体" w:hAnsi="宋体" w:eastAsia="宋体" w:cs="宋体"/>
                <w:color w:val="000000" w:themeColor="text1"/>
                <w:sz w:val="24"/>
                <w:szCs w:val="24"/>
                <w:highlight w:val="none"/>
                <w:lang w:val="en-US" w:eastAsia="zh-CN" w:bidi="ar"/>
              </w:rPr>
              <w:t xml:space="preserve">并</w:t>
            </w:r>
            <w:r>
              <w:rPr>
                <w:rFonts w:hint="eastAsia" w:ascii="宋体" w:hAnsi="宋体" w:eastAsia="宋体" w:cs="宋体"/>
                <w:color w:val="000000" w:themeColor="text1"/>
                <w:sz w:val="24"/>
                <w:szCs w:val="24"/>
                <w:highlight w:val="none"/>
                <w:lang w:val="en-US" w:eastAsia="zh-CN" w:bidi="ar-SA"/>
              </w:rPr>
              <w:t xml:space="preserve">加盖投标人公章。</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Borders>
              <w:top w:val="single" w:color="000000" w:sz="6" w:space="0"/>
              <w:left w:val="single" w:color="000000" w:sz="6" w:space="0"/>
              <w:bottom w:val="single" w:color="000000" w:sz="6" w:space="0"/>
              <w:right w:val="single" w:color="000000" w:sz="6" w:space="0"/>
            </w:tcBorders>
            <w:tcW w:w="1049" w:type="dxa"/>
            <w:vAlign w:val="center"/>
            <w:vMerge w:val="continue"/>
            <w:textDirection w:val="lrTb"/>
            <w:noWrap w:val="false"/>
          </w:tcPr>
          <w:p>
            <w:pPr>
              <w:pStyle w:val="1021"/>
              <w:ind w:left="0" w:right="0" w:firstLine="0"/>
              <w:jc w:val="lef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Mar>
              <w:left w:w="120" w:type="dxa"/>
              <w:top w:w="60" w:type="dxa"/>
              <w:right w:w="120" w:type="dxa"/>
              <w:bottom w:w="60" w:type="dxa"/>
            </w:tcMar>
            <w:tcW w:w="1481" w:type="dxa"/>
            <w:vAlign w:val="center"/>
            <w:textDirection w:val="lrTb"/>
            <w:noWrap w:val="false"/>
          </w:tcPr>
          <w:p>
            <w:pPr>
              <w:pStyle w:val="1021"/>
              <w:ind w:left="0" w:right="0" w:firstLine="0"/>
              <w:jc w:val="left"/>
              <w:spacing w:after="12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系统信息</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Borders>
              <w:top w:val="single" w:color="000000" w:sz="6" w:space="0"/>
              <w:left w:val="single" w:color="000000" w:sz="6" w:space="0"/>
              <w:bottom w:val="single" w:color="000000" w:sz="6" w:space="0"/>
              <w:right w:val="single" w:color="000000" w:sz="6" w:space="0"/>
            </w:tcBorders>
            <w:tcMar>
              <w:left w:w="120" w:type="dxa"/>
              <w:top w:w="60" w:type="dxa"/>
              <w:right w:w="120" w:type="dxa"/>
              <w:bottom w:w="60" w:type="dxa"/>
            </w:tcMar>
            <w:tcW w:w="6506" w:type="dxa"/>
            <w:vAlign w:val="center"/>
            <w:textDirection w:val="lrTb"/>
            <w:noWrap w:val="false"/>
          </w:tcPr>
          <w:p>
            <w:pPr>
              <w:pStyle w:val="1021"/>
              <w:ind w:left="0" w:right="0" w:firstLine="0"/>
              <w:jc w:val="left"/>
              <w:spacing w:after="12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应展示系统名称、版本号、维保到期日、当前登录用户、功能权限等核心系统信息。</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Borders>
              <w:top w:val="single" w:color="000000" w:sz="6" w:space="0"/>
              <w:left w:val="single" w:color="000000" w:sz="6" w:space="0"/>
              <w:bottom w:val="single" w:color="000000" w:sz="6" w:space="0"/>
              <w:right w:val="single" w:color="000000" w:sz="6" w:space="0"/>
            </w:tcBorders>
            <w:tcW w:w="1049" w:type="dxa"/>
            <w:vAlign w:val="center"/>
            <w:vMerge w:val="continue"/>
            <w:textDirection w:val="lrTb"/>
            <w:noWrap w:val="false"/>
          </w:tcPr>
          <w:p>
            <w:pPr>
              <w:pStyle w:val="1021"/>
              <w:ind w:left="0" w:right="0" w:firstLine="0"/>
              <w:jc w:val="lef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Mar>
              <w:left w:w="120" w:type="dxa"/>
              <w:top w:w="60" w:type="dxa"/>
              <w:right w:w="120" w:type="dxa"/>
              <w:bottom w:w="60" w:type="dxa"/>
            </w:tcMar>
            <w:tcW w:w="1481" w:type="dxa"/>
            <w:vAlign w:val="center"/>
            <w:textDirection w:val="lrTb"/>
            <w:noWrap w:val="false"/>
          </w:tcPr>
          <w:p>
            <w:pPr>
              <w:pStyle w:val="1021"/>
              <w:ind w:left="0" w:right="0" w:firstLine="0"/>
              <w:jc w:val="left"/>
              <w:spacing w:after="12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数据备份</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Borders>
              <w:top w:val="single" w:color="000000" w:sz="6" w:space="0"/>
              <w:left w:val="single" w:color="000000" w:sz="6" w:space="0"/>
              <w:bottom w:val="single" w:color="000000" w:sz="6" w:space="0"/>
              <w:right w:val="single" w:color="000000" w:sz="6" w:space="0"/>
            </w:tcBorders>
            <w:tcMar>
              <w:left w:w="120" w:type="dxa"/>
              <w:top w:w="60" w:type="dxa"/>
              <w:right w:w="120" w:type="dxa"/>
              <w:bottom w:w="60" w:type="dxa"/>
            </w:tcMar>
            <w:tcW w:w="6506" w:type="dxa"/>
            <w:vAlign w:val="center"/>
            <w:textDirection w:val="lrTb"/>
            <w:noWrap w:val="false"/>
          </w:tcPr>
          <w:p>
            <w:pPr>
              <w:pStyle w:val="1021"/>
              <w:ind w:left="0" w:right="0" w:firstLine="0"/>
              <w:jc w:val="left"/>
              <w:spacing w:after="12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应支持全系统数据的手动备份和定时备份。定时备份需支持按每天、每周、每月，在设定时间自动执行。需支持本地和异地备份，并能设置自动备份文件的定时清理规则。备份成功的文件应支持下载，且应支持上传备份文件进行系统配置的覆盖恢复。</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Borders>
              <w:top w:val="single" w:color="000000" w:sz="6" w:space="0"/>
              <w:left w:val="single" w:color="000000" w:sz="6" w:space="0"/>
              <w:bottom w:val="single" w:color="000000" w:sz="6" w:space="0"/>
              <w:right w:val="single" w:color="000000" w:sz="6" w:space="0"/>
            </w:tcBorders>
            <w:tcW w:w="1049" w:type="dxa"/>
            <w:vAlign w:val="center"/>
            <w:vMerge w:val="continue"/>
            <w:textDirection w:val="lrTb"/>
            <w:noWrap w:val="false"/>
          </w:tcPr>
          <w:p>
            <w:pPr>
              <w:pStyle w:val="1021"/>
              <w:ind w:left="0" w:right="0" w:firstLine="0"/>
              <w:jc w:val="lef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Mar>
              <w:left w:w="120" w:type="dxa"/>
              <w:top w:w="60" w:type="dxa"/>
              <w:right w:w="120" w:type="dxa"/>
              <w:bottom w:w="60" w:type="dxa"/>
            </w:tcMar>
            <w:tcW w:w="1481" w:type="dxa"/>
            <w:vAlign w:val="center"/>
            <w:textDirection w:val="lrTb"/>
            <w:noWrap w:val="false"/>
          </w:tcPr>
          <w:p>
            <w:pPr>
              <w:pStyle w:val="1021"/>
              <w:ind w:left="0" w:right="0" w:firstLine="0"/>
              <w:jc w:val="left"/>
              <w:spacing w:after="12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任务管理</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Borders>
              <w:top w:val="single" w:color="000000" w:sz="6" w:space="0"/>
              <w:left w:val="single" w:color="000000" w:sz="6" w:space="0"/>
              <w:bottom w:val="single" w:color="000000" w:sz="6" w:space="0"/>
              <w:right w:val="single" w:color="000000" w:sz="6" w:space="0"/>
            </w:tcBorders>
            <w:tcMar>
              <w:left w:w="120" w:type="dxa"/>
              <w:top w:w="60" w:type="dxa"/>
              <w:right w:w="120" w:type="dxa"/>
              <w:bottom w:w="60" w:type="dxa"/>
            </w:tcMar>
            <w:tcW w:w="6506" w:type="dxa"/>
            <w:vAlign w:val="center"/>
            <w:textDirection w:val="lrTb"/>
            <w:noWrap w:val="false"/>
          </w:tcPr>
          <w:p>
            <w:pPr>
              <w:pStyle w:val="1019"/>
              <w:ind w:left="0" w:right="0" w:firstLine="0"/>
              <w:jc w:val="left"/>
              <w:spacing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应支持脚本管理，系统需提供默认脚本库。应支持通过脚本的方式，对网络设备等资源进行单个、批量、立即执行、定时执行、周期性执行任务的配置下发。下发前自动检测设备连通性，异常设备实时提醒。</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1049" w:type="dxa"/>
            <w:vAlign w:val="center"/>
            <w:vMerge w:val="restart"/>
            <w:textDirection w:val="lrTb"/>
            <w:noWrap w:val="false"/>
          </w:tcPr>
          <w:p>
            <w:pPr>
              <w:pStyle w:val="1449"/>
              <w:ind w:left="0" w:right="0" w:firstLine="0"/>
              <w:jc w:val="lef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工单管理</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81" w:type="dxa"/>
            <w:vAlign w:val="center"/>
            <w:textDirection w:val="lrTb"/>
            <w:noWrap w:val="false"/>
          </w:tcPr>
          <w:p>
            <w:pPr>
              <w:pStyle w:val="1449"/>
              <w:ind w:left="0" w:right="0" w:firstLine="0"/>
              <w:jc w:val="lef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工作站</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val="false"/>
          </w:tcPr>
          <w:p>
            <w:pPr>
              <w:pStyle w:val="1084"/>
              <w:contextualSpacing/>
              <w:ind w:left="0" w:right="0" w:firstLine="0"/>
              <w:jc w:val="left"/>
              <w:spacing w:before="120" w:after="120" w:line="240" w:lineRule="auto"/>
              <w:widowControl w:val="off"/>
              <w:tabs>
                <w:tab w:val="left" w:pos="0"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工作站需提供统一的工单处理视图，支持按“进行中”“已完成”“已处理”“未派单”等状态分类查看，并可对工单执行建单、派单、修改、服务切换、服务升级、催单、终止等操作，工单详情页需完整展示全流程信息。</w:t>
            </w:r>
            <w:r>
              <w:rPr>
                <w:rFonts w:hint="eastAsia" w:ascii="宋体" w:hAnsi="宋体" w:eastAsia="宋体" w:cs="宋体"/>
                <w:bCs/>
                <w:color w:val="000000" w:themeColor="text1"/>
                <w:sz w:val="24"/>
                <w:szCs w:val="24"/>
                <w:highlight w:val="none"/>
                <w:lang w:val="en-US" w:eastAsia="zh-CN" w:bidi="ar-SA"/>
              </w:rPr>
            </w:r>
            <w:r>
              <w:rPr>
                <w:color w:val="000000" w:themeColor="text1"/>
              </w:rPr>
            </w:r>
          </w:p>
          <w:p>
            <w:pPr>
              <w:pStyle w:val="1084"/>
              <w:contextualSpacing/>
              <w:ind w:left="0" w:right="0" w:firstLine="0"/>
              <w:jc w:val="left"/>
              <w:spacing w:before="120" w:after="120" w:line="240" w:lineRule="auto"/>
              <w:widowControl w:val="off"/>
              <w:tabs>
                <w:tab w:val="left" w:pos="0"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应支持派单时查看所有工程师的工作负载和进行中工单，允许选择故障小组及组内工程师进行派单，应支持重派功能，对于已派单的工单，重新选择故障小组及组内工程师，进行二次派单。应支持对未建单的故障报修记录及暂存通话记录，一键生成正式工单，建单时应自动带入已有信息，并支持手动补充完整。应支持因信息填报错误、问题自行解决等原因对工单执行终止操作，终止操作需填写终止原因，工单状态变更为“已撤销”。</w:t>
            </w:r>
            <w:r>
              <w:rPr>
                <w:rFonts w:hint="eastAsia" w:ascii="宋体" w:hAnsi="宋体" w:eastAsia="宋体" w:cs="宋体"/>
                <w:bCs/>
                <w:color w:val="000000" w:themeColor="text1"/>
                <w:sz w:val="24"/>
                <w:szCs w:val="24"/>
                <w:highlight w:val="none"/>
                <w:lang w:val="en-US" w:eastAsia="zh-CN" w:bidi="ar-SA"/>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1049" w:type="dxa"/>
            <w:vAlign w:val="center"/>
            <w:vMerge w:val="continue"/>
            <w:textDirection w:val="lrTb"/>
            <w:noWrap w:val="false"/>
          </w:tcPr>
          <w:p>
            <w:pPr>
              <w:pStyle w:val="1012"/>
              <w:ind w:left="0" w:right="0" w:firstLine="0"/>
              <w:jc w:val="left"/>
              <w:spacing w:line="274"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1" w:type="dxa"/>
            <w:vAlign w:val="center"/>
            <w:textDirection w:val="lrTb"/>
            <w:noWrap w:val="false"/>
          </w:tcPr>
          <w:p>
            <w:pPr>
              <w:pStyle w:val="1449"/>
              <w:ind w:left="0" w:right="0" w:firstLine="0"/>
              <w:jc w:val="lef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新建工单</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val="false"/>
          </w:tcPr>
          <w:p>
            <w:pPr>
              <w:pStyle w:val="1021"/>
              <w:ind w:left="0" w:right="0" w:firstLine="0"/>
              <w:jc w:val="left"/>
              <w:spacing w:after="12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支持两种新建方式：手动创建工单、复制已有工单快速创建。复制时可将工单的报修人信息、故障标题、故障描述、故障类型、响应级别、紧急程度、影响范围等字段自动代入，并支持修改。</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1049" w:type="dxa"/>
            <w:vAlign w:val="center"/>
            <w:vMerge w:val="continue"/>
            <w:textDirection w:val="lrTb"/>
            <w:noWrap w:val="false"/>
          </w:tcPr>
          <w:p>
            <w:pPr>
              <w:pStyle w:val="1012"/>
              <w:ind w:left="0" w:right="0" w:firstLine="0"/>
              <w:jc w:val="left"/>
              <w:spacing w:line="274"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1" w:type="dxa"/>
            <w:vAlign w:val="center"/>
            <w:textDirection w:val="lrTb"/>
            <w:noWrap w:val="false"/>
          </w:tcPr>
          <w:p>
            <w:pPr>
              <w:pStyle w:val="1449"/>
              <w:ind w:left="0" w:right="0" w:firstLine="0"/>
              <w:jc w:val="lef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我的工单</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val="false"/>
          </w:tcPr>
          <w:p>
            <w:pPr>
              <w:pStyle w:val="1021"/>
              <w:ind w:left="0" w:right="0" w:firstLine="0"/>
              <w:jc w:val="left"/>
              <w:spacing w:after="12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以登录人视角展示本人负责或协作的工单，包含待接单、处理中、暂停处理、已完成、已撤销、由我转单、由我指派等工单。可进行的工单处理操作包含接单、完单处理、转单、修改、撤销、暂停等。</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21"/>
              <w:ind w:left="0" w:right="0" w:firstLine="0"/>
              <w:jc w:val="left"/>
              <w:spacing w:after="12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工单详情应包含工单ID、报修人员、报修部门等报修信息。故障标题、故障分类、故障描述、紧急程度等故障信息。处理人、所属小组、故障原因、处理方法、关联SLA、关联资产等处理信息。查看工单的人员清单。并按时间轴展示工单处理全流程。</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21"/>
              <w:ind w:left="0" w:right="0" w:firstLine="0"/>
              <w:jc w:val="left"/>
              <w:spacing w:after="12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应支持工单派发至工程师后，工程师端接单功能。工程师点击接单后，工单状态自动由“已派单”变更为“处理中”。</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21"/>
              <w:ind w:left="0" w:right="0" w:firstLine="0"/>
              <w:jc w:val="left"/>
              <w:spacing w:after="12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应支持处理中的工单进行转单操作，转单时，原处理人可填写转单原因，转单后应向目标工程师发送消息提醒。目标工程师接单后工单为“处理中”状态，转单前的处理记录应保留在时间轴中。</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21"/>
              <w:ind w:left="0" w:right="0" w:firstLine="0"/>
              <w:jc w:val="left"/>
              <w:spacing w:after="12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支持工程师或服务台人员对“处理中”的工单发起暂停或延期操作。支持设置暂停时间或延期时长，延期到期后工单自动恢复为“处理中”状态。暂停期间工单不计入处理时效统计。</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21"/>
              <w:ind w:left="0" w:right="0" w:firstLine="0"/>
              <w:jc w:val="left"/>
              <w:spacing w:after="12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工程师在处理完成后，应填写故障原因、处理方法，提交完单，系统根据配置通知报修人进行评价或自动评价。</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21"/>
              <w:ind w:left="0" w:right="0" w:firstLine="0"/>
              <w:jc w:val="left"/>
              <w:spacing w:after="12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移动端支持普通用户、运维工程师、管理人员、供应商人员等多角色。</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1049" w:type="dxa"/>
            <w:vAlign w:val="center"/>
            <w:vMerge w:val="continue"/>
            <w:textDirection w:val="lrTb"/>
            <w:noWrap w:val="false"/>
          </w:tcPr>
          <w:p>
            <w:pPr>
              <w:pStyle w:val="1012"/>
              <w:ind w:left="0" w:right="0" w:firstLine="0"/>
              <w:jc w:val="left"/>
              <w:spacing w:line="274"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1" w:type="dxa"/>
            <w:vAlign w:val="center"/>
            <w:textDirection w:val="lrTb"/>
            <w:noWrap w:val="false"/>
          </w:tcPr>
          <w:p>
            <w:pPr>
              <w:pStyle w:val="1449"/>
              <w:ind w:left="0" w:right="0" w:firstLine="0"/>
              <w:jc w:val="lef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工单查询</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val="false"/>
          </w:tcPr>
          <w:p>
            <w:pPr>
              <w:pStyle w:val="1021"/>
              <w:ind w:left="0" w:right="0" w:firstLine="0"/>
              <w:jc w:val="left"/>
              <w:spacing w:after="12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支持多重维度的工单综合查询，查询条件包含标题、服务目录、紧急程度、报修人、时间、工单状态、超时状态、工单满意度等。支持查询结果的导出和打印功能。</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1049" w:type="dxa"/>
            <w:vAlign w:val="center"/>
            <w:vMerge w:val="continue"/>
            <w:textDirection w:val="lrTb"/>
            <w:noWrap w:val="false"/>
          </w:tcPr>
          <w:p>
            <w:pPr>
              <w:pStyle w:val="1012"/>
              <w:ind w:left="0" w:right="0" w:firstLine="0"/>
              <w:jc w:val="left"/>
              <w:spacing w:line="274"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1" w:type="dxa"/>
            <w:vAlign w:val="center"/>
            <w:textDirection w:val="lrTb"/>
            <w:noWrap w:val="false"/>
          </w:tcPr>
          <w:p>
            <w:pPr>
              <w:pStyle w:val="1449"/>
              <w:ind w:left="0" w:right="0" w:firstLine="0"/>
              <w:jc w:val="lef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工单统计管理</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val="false"/>
          </w:tcPr>
          <w:p>
            <w:pPr>
              <w:pStyle w:val="1021"/>
              <w:ind w:left="0" w:right="0" w:firstLine="0"/>
              <w:jc w:val="left"/>
              <w:spacing w:after="12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提供多维度统计报表：服务类型工单统计、服务目录统计、工程师统计、业务工单统计、小组统计、部门统计、SLA统计、故障分类统计等。支持按月份、季度、年份及自定义时间段筛选。</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21"/>
              <w:ind w:left="0" w:right="0" w:firstLine="0"/>
              <w:jc w:val="left"/>
              <w:spacing w:after="12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工单统计报表展示故障标题TOP5、故障类型TOP5及选定时间内工单处理数量分布。</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21"/>
              <w:ind w:left="0" w:right="0" w:firstLine="0"/>
              <w:jc w:val="left"/>
              <w:spacing w:after="12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小组统计报表按故障小组统计工单总量、平均处理时长，并展示小组维度的工作情况明细，支持导出工程师工作情况的详细数据便于进行团队横向对比与资源调配。</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1049" w:type="dxa"/>
            <w:vAlign w:val="center"/>
            <w:vMerge w:val="continue"/>
            <w:textDirection w:val="lrTb"/>
            <w:noWrap w:val="false"/>
          </w:tcPr>
          <w:p>
            <w:pPr>
              <w:pStyle w:val="1012"/>
              <w:ind w:left="0" w:right="0" w:firstLine="0"/>
              <w:jc w:val="left"/>
              <w:spacing w:line="274"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1" w:type="dxa"/>
            <w:vAlign w:val="center"/>
            <w:textDirection w:val="lrTb"/>
            <w:noWrap w:val="false"/>
          </w:tcPr>
          <w:p>
            <w:pPr>
              <w:pStyle w:val="1449"/>
              <w:ind w:left="0" w:right="0" w:firstLine="0"/>
              <w:jc w:val="lef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工单模板管理</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val="false"/>
          </w:tcPr>
          <w:p>
            <w:pPr>
              <w:pStyle w:val="1021"/>
              <w:ind w:left="0" w:right="0" w:firstLine="0"/>
              <w:jc w:val="left"/>
              <w:spacing w:after="12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支持任意服务目录创建工单快捷模板，实现一键提单或者少留修正即可完成提单。</w:t>
            </w:r>
            <w:r>
              <w:rPr>
                <w:rFonts w:hint="eastAsia" w:ascii="宋体" w:hAnsi="宋体" w:eastAsia="宋体" w:cs="宋体"/>
                <w:color w:val="000000" w:themeColor="text1"/>
                <w:sz w:val="24"/>
                <w:szCs w:val="24"/>
                <w:highlight w:val="none"/>
                <w:lang w:val="zh-CN" w:eastAsia="zh-CN" w:bidi="ar-SA"/>
              </w:rPr>
              <w:t xml:space="preserve">（</w:t>
            </w:r>
            <w:r>
              <w:rPr>
                <w:rFonts w:hint="eastAsia" w:ascii="宋体" w:hAnsi="宋体" w:eastAsia="宋体" w:cs="宋体"/>
                <w:color w:val="000000" w:themeColor="text1"/>
                <w:sz w:val="24"/>
                <w:szCs w:val="24"/>
                <w:highlight w:val="none"/>
                <w:lang w:val="en-US" w:eastAsia="zh-CN" w:bidi="ar-SA"/>
              </w:rPr>
              <w:t xml:space="preserve">提供该设备操作界面功能截图</w:t>
            </w:r>
            <w:r>
              <w:rPr>
                <w:rFonts w:hint="eastAsia" w:ascii="宋体" w:hAnsi="宋体" w:eastAsia="宋体" w:cs="宋体"/>
                <w:color w:val="000000" w:themeColor="text1"/>
                <w:sz w:val="24"/>
                <w:szCs w:val="24"/>
                <w:highlight w:val="none"/>
                <w:lang w:val="zh-CN" w:eastAsia="zh-CN" w:bidi="ar-SA"/>
              </w:rPr>
              <w:t xml:space="preserve">）</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1049" w:type="dxa"/>
            <w:vAlign w:val="center"/>
            <w:vMerge w:val="continue"/>
            <w:textDirection w:val="lrTb"/>
            <w:noWrap w:val="false"/>
          </w:tcPr>
          <w:p>
            <w:pPr>
              <w:pStyle w:val="1012"/>
              <w:ind w:left="0" w:right="0" w:firstLine="0"/>
              <w:jc w:val="left"/>
              <w:spacing w:line="274"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1" w:type="dxa"/>
            <w:vAlign w:val="center"/>
            <w:textDirection w:val="lrTb"/>
            <w:noWrap w:val="false"/>
          </w:tcPr>
          <w:p>
            <w:pPr>
              <w:pStyle w:val="1449"/>
              <w:ind w:left="0" w:right="0" w:firstLine="0"/>
              <w:jc w:val="lef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PC端故障报修</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val="false"/>
          </w:tcPr>
          <w:p>
            <w:pPr>
              <w:pStyle w:val="1021"/>
              <w:ind w:left="0" w:right="0" w:firstLine="0"/>
              <w:jc w:val="left"/>
              <w:spacing w:after="12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应支持故障报修创建，并实现从报修到创建工单、工单执行情况的全链路追溯。</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21"/>
              <w:ind w:left="0" w:right="0" w:firstLine="0"/>
              <w:jc w:val="left"/>
              <w:spacing w:after="12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支持计划工单功能，定期生成计划工单。</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21"/>
              <w:ind w:left="0" w:right="0" w:firstLine="0"/>
              <w:jc w:val="left"/>
              <w:spacing w:after="12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应支持对报修进行催单、终止和内容编辑操作。</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21"/>
              <w:ind w:left="0" w:right="0" w:firstLine="0"/>
              <w:jc w:val="left"/>
              <w:spacing w:after="12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应支持线上报修PC端及移动端提醒，并由值班人员进行统一派单。</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1049" w:type="dxa"/>
            <w:vAlign w:val="center"/>
            <w:vMerge w:val="continue"/>
            <w:textDirection w:val="lrTb"/>
            <w:noWrap w:val="false"/>
          </w:tcPr>
          <w:p>
            <w:pPr>
              <w:pStyle w:val="1012"/>
              <w:ind w:left="0" w:right="0" w:firstLine="0"/>
              <w:jc w:val="left"/>
              <w:spacing w:line="274"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1" w:type="dxa"/>
            <w:vAlign w:val="center"/>
            <w:textDirection w:val="lrTb"/>
            <w:noWrap w:val="false"/>
          </w:tcPr>
          <w:p>
            <w:pPr>
              <w:pStyle w:val="1449"/>
              <w:ind w:left="0" w:right="0" w:firstLine="0"/>
              <w:jc w:val="lef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移动端扫码报修</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val="false"/>
          </w:tcPr>
          <w:p>
            <w:pPr>
              <w:pStyle w:val="1021"/>
              <w:ind w:left="0" w:right="0" w:firstLine="0"/>
              <w:jc w:val="left"/>
              <w:spacing w:after="12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应支持移动端扫描部门二维码自动带出部门信息，填写报修人员信息、报修内容、上传图片和附件后生成报修记录。报修时支持查看历史报修记录和查询知识库。支持工程师将报修记录创建并执行工单，并在过程中消息通知报修人。</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1049" w:type="dxa"/>
            <w:vAlign w:val="center"/>
            <w:vMerge w:val="restart"/>
            <w:textDirection w:val="lrTb"/>
            <w:noWrap w:val="false"/>
          </w:tcPr>
          <w:p>
            <w:pPr>
              <w:pStyle w:val="1449"/>
              <w:ind w:left="0" w:right="0" w:firstLine="0"/>
              <w:jc w:val="lef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巡检管理</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81" w:type="dxa"/>
            <w:vAlign w:val="center"/>
            <w:textDirection w:val="lrTb"/>
            <w:noWrap w:val="false"/>
          </w:tcPr>
          <w:p>
            <w:pPr>
              <w:pStyle w:val="1449"/>
              <w:ind w:left="0" w:right="0" w:firstLine="0"/>
              <w:jc w:val="lef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巡检计划管理</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val="false"/>
          </w:tcPr>
          <w:p>
            <w:pPr>
              <w:pStyle w:val="1021"/>
              <w:ind w:left="0" w:right="0" w:firstLine="0"/>
              <w:jc w:val="left"/>
              <w:spacing w:after="12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按巡检对象灵活配置巡检计划，需配置巡检周期、巡检次数、责任人/故障小组、是否强制上传照片、是否扫码进入机房、消息提醒开关、提醒时间、截止日期。巡检内容可引用内置模板或自定义添加。移动端支持巡检任务通知、执行巡检及记录查看。</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1049" w:type="dxa"/>
            <w:vAlign w:val="center"/>
            <w:vMerge w:val="continue"/>
            <w:textDirection w:val="lrTb"/>
            <w:noWrap w:val="false"/>
          </w:tcPr>
          <w:p>
            <w:pPr>
              <w:pStyle w:val="1012"/>
              <w:ind w:left="0" w:right="0" w:firstLine="0"/>
              <w:jc w:val="left"/>
              <w:spacing w:line="274"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1" w:type="dxa"/>
            <w:vAlign w:val="center"/>
            <w:textDirection w:val="lrTb"/>
            <w:noWrap w:val="false"/>
          </w:tcPr>
          <w:p>
            <w:pPr>
              <w:pStyle w:val="1449"/>
              <w:ind w:left="0" w:right="0" w:firstLine="0"/>
              <w:jc w:val="lef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巡检记录</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val="false"/>
          </w:tcPr>
          <w:p>
            <w:pPr>
              <w:pStyle w:val="1021"/>
              <w:ind w:left="0" w:right="0" w:firstLine="0"/>
              <w:jc w:val="left"/>
              <w:spacing w:after="12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支持巡检记录的导入、导出、查看详情、编辑、在线打印及下载</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1049" w:type="dxa"/>
            <w:vAlign w:val="center"/>
            <w:vMerge w:val="restart"/>
            <w:textDirection w:val="lrTb"/>
            <w:noWrap w:val="false"/>
          </w:tcPr>
          <w:p>
            <w:pPr>
              <w:pStyle w:val="1449"/>
              <w:ind w:left="0" w:right="0" w:firstLine="0"/>
              <w:jc w:val="lef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机房管理</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81" w:type="dxa"/>
            <w:vAlign w:val="center"/>
            <w:textDirection w:val="lrTb"/>
            <w:noWrap w:val="false"/>
          </w:tcPr>
          <w:p>
            <w:pPr>
              <w:pStyle w:val="1449"/>
              <w:ind w:left="0" w:right="0" w:firstLine="0"/>
              <w:jc w:val="lef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机房出入登记管理</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val="false"/>
          </w:tcPr>
          <w:p>
            <w:pPr>
              <w:pStyle w:val="1021"/>
              <w:ind w:left="0" w:right="0" w:firstLine="0"/>
              <w:jc w:val="left"/>
              <w:spacing w:after="12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▲机房生成二维码标签，扫码进行人员信息登记及电子签名，实现无纸化 出入登记。支持按机房名称、出入时间筛选记录，查看姓名、联系方式、陪同人员、工作时长、工作内容。投标人提供该设备操作界面功能截图</w:t>
            </w:r>
            <w:r>
              <w:rPr>
                <w:rFonts w:hint="eastAsia" w:ascii="宋体" w:hAnsi="宋体" w:eastAsia="宋体" w:cs="宋体"/>
                <w:color w:val="000000" w:themeColor="text1"/>
                <w:sz w:val="24"/>
                <w:szCs w:val="24"/>
                <w:highlight w:val="none"/>
                <w:lang w:val="en-US" w:eastAsia="zh-CN" w:bidi="ar"/>
              </w:rPr>
              <w:t xml:space="preserve">并</w:t>
            </w:r>
            <w:r>
              <w:rPr>
                <w:rFonts w:hint="eastAsia" w:ascii="宋体" w:hAnsi="宋体" w:eastAsia="宋体" w:cs="宋体"/>
                <w:color w:val="000000" w:themeColor="text1"/>
                <w:sz w:val="24"/>
                <w:szCs w:val="24"/>
                <w:highlight w:val="none"/>
                <w:lang w:val="en-US" w:eastAsia="zh-CN" w:bidi="ar-SA"/>
              </w:rPr>
              <w:t xml:space="preserve">加盖投标人公章。</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1049" w:type="dxa"/>
            <w:vAlign w:val="center"/>
            <w:vMerge w:val="continue"/>
            <w:textDirection w:val="lrTb"/>
            <w:noWrap w:val="false"/>
          </w:tcPr>
          <w:p>
            <w:pPr>
              <w:pStyle w:val="1012"/>
              <w:ind w:left="0" w:right="0" w:firstLine="0"/>
              <w:jc w:val="left"/>
              <w:spacing w:line="274"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1" w:type="dxa"/>
            <w:vAlign w:val="center"/>
            <w:textDirection w:val="lrTb"/>
            <w:noWrap w:val="false"/>
          </w:tcPr>
          <w:p>
            <w:pPr>
              <w:pStyle w:val="1449"/>
              <w:ind w:left="0" w:right="0" w:firstLine="0"/>
              <w:jc w:val="lef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机房列表</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val="false"/>
          </w:tcPr>
          <w:p>
            <w:pPr>
              <w:pStyle w:val="1021"/>
              <w:ind w:left="0" w:right="0" w:firstLine="0"/>
              <w:jc w:val="left"/>
              <w:spacing w:after="12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支持按机房名称、状态搜索，列表展示机房名称、负责人、联系电话、巡检次数、状态、创建时间。提供打印标签、修改、删除、新建、批量删除、导出、分页功能。</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1049" w:type="dxa"/>
            <w:vAlign w:val="center"/>
            <w:vMerge w:val="continue"/>
            <w:textDirection w:val="lrTb"/>
            <w:noWrap w:val="false"/>
          </w:tcPr>
          <w:p>
            <w:pPr>
              <w:pStyle w:val="1012"/>
              <w:ind w:left="0" w:right="0" w:firstLine="0"/>
              <w:jc w:val="left"/>
              <w:spacing w:line="274"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1" w:type="dxa"/>
            <w:vAlign w:val="center"/>
            <w:textDirection w:val="lrTb"/>
            <w:noWrap w:val="false"/>
          </w:tcPr>
          <w:p>
            <w:pPr>
              <w:pStyle w:val="1449"/>
              <w:ind w:left="0" w:right="0" w:firstLine="0"/>
              <w:jc w:val="lef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机房管理台账</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val="false"/>
          </w:tcPr>
          <w:p>
            <w:pPr>
              <w:pStyle w:val="1021"/>
              <w:ind w:left="0" w:right="0" w:firstLine="0"/>
              <w:jc w:val="left"/>
              <w:spacing w:after="12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支持按卡类名称、进机房时间、人员名称查询，列表展示开门记录编号、凭证号、卡类、人员、设备、开门时间等。支持批量导入/导出/删除台账数据。</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Borders>
              <w:top w:val="single" w:color="000000" w:sz="4" w:space="0"/>
              <w:left w:val="single" w:color="000000" w:sz="4" w:space="0"/>
              <w:bottom w:val="none" w:color="000000" w:sz="0" w:space="0"/>
              <w:right w:val="single" w:color="000000" w:sz="4" w:space="0"/>
            </w:tcBorders>
            <w:tcW w:w="1049" w:type="dxa"/>
            <w:vAlign w:val="center"/>
            <w:vMerge w:val="restart"/>
            <w:textDirection w:val="lrTb"/>
            <w:noWrap w:val="false"/>
          </w:tcPr>
          <w:p>
            <w:pPr>
              <w:pStyle w:val="1449"/>
              <w:ind w:left="0" w:right="0" w:firstLine="0"/>
              <w:jc w:val="lef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数据可视化</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81" w:type="dxa"/>
            <w:vAlign w:val="center"/>
            <w:textDirection w:val="lrTb"/>
            <w:noWrap w:val="false"/>
          </w:tcPr>
          <w:p>
            <w:pPr>
              <w:pStyle w:val="1449"/>
              <w:ind w:left="0" w:right="0" w:firstLine="0"/>
              <w:jc w:val="lef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工单可视化</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val="false"/>
          </w:tcPr>
          <w:p>
            <w:pPr>
              <w:pStyle w:val="1021"/>
              <w:ind w:left="0" w:right="0" w:firstLine="0"/>
              <w:jc w:val="left"/>
              <w:spacing w:after="12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支持工单数据可视化大屏展示，能够自定义大屏组件类型及外观样式属性，能够对工单状态、报修趋势、工单来源等进行统计，并实时展示正在处理的工单信息以及运维人员处理状态，支持多个大屏轮播。</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Borders>
              <w:top w:val="none" w:color="000000" w:sz="0" w:space="0"/>
              <w:left w:val="single" w:color="000000" w:sz="4" w:space="0"/>
              <w:bottom w:val="single" w:color="000000" w:sz="4" w:space="0"/>
              <w:right w:val="single" w:color="000000" w:sz="4" w:space="0"/>
            </w:tcBorders>
            <w:tcW w:w="1049" w:type="dxa"/>
            <w:vAlign w:val="center"/>
            <w:vMerge w:val="continue"/>
            <w:textDirection w:val="lrTb"/>
            <w:noWrap w:val="false"/>
          </w:tcPr>
          <w:p>
            <w:pPr>
              <w:pStyle w:val="1449"/>
              <w:ind w:left="0" w:right="0" w:firstLine="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1" w:type="dxa"/>
            <w:vAlign w:val="center"/>
            <w:textDirection w:val="lrTb"/>
            <w:noWrap w:val="false"/>
          </w:tcPr>
          <w:p>
            <w:pPr>
              <w:pStyle w:val="1449"/>
              <w:ind w:left="0" w:right="0" w:firstLine="0"/>
              <w:jc w:val="lef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移动端报表</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val="false"/>
          </w:tcPr>
          <w:p>
            <w:pPr>
              <w:pStyle w:val="1021"/>
              <w:ind w:left="0" w:right="0" w:firstLine="0"/>
              <w:jc w:val="left"/>
              <w:spacing w:after="12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支持统计报表查看今日整体工单概览和本月统计概览。统计工单建单数、报修数、处理中和已处理的数量。展示报修次数最多的部门和故障次数最多的类型</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1049" w:type="dxa"/>
            <w:vAlign w:val="center"/>
            <w:vMerge w:val="continue"/>
            <w:textDirection w:val="lrTb"/>
            <w:noWrap w:val="false"/>
          </w:tcPr>
          <w:p>
            <w:pPr>
              <w:pStyle w:val="1012"/>
              <w:ind w:left="0" w:right="0" w:firstLine="0"/>
              <w:jc w:val="left"/>
              <w:spacing w:line="274"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1" w:type="dxa"/>
            <w:vAlign w:val="center"/>
            <w:textDirection w:val="lrTb"/>
            <w:noWrap w:val="false"/>
          </w:tcPr>
          <w:p>
            <w:pPr>
              <w:pStyle w:val="1449"/>
              <w:ind w:left="0" w:right="0" w:firstLine="0"/>
              <w:jc w:val="lef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故障小组</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val="false"/>
          </w:tcPr>
          <w:p>
            <w:pPr>
              <w:pStyle w:val="1021"/>
              <w:ind w:left="0" w:right="0" w:firstLine="0"/>
              <w:jc w:val="left"/>
              <w:spacing w:after="12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支持按小组名称、故障类型、人员创建多个故障小组，进行工单处理。可选择将故障小组加入值班考勤。</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1049" w:type="dxa"/>
            <w:vAlign w:val="center"/>
            <w:vMerge w:val="continue"/>
            <w:textDirection w:val="lrTb"/>
            <w:noWrap w:val="false"/>
          </w:tcPr>
          <w:p>
            <w:pPr>
              <w:pStyle w:val="1012"/>
              <w:ind w:left="0" w:right="0" w:firstLine="0"/>
              <w:jc w:val="left"/>
              <w:spacing w:line="274"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1" w:type="dxa"/>
            <w:vAlign w:val="center"/>
            <w:textDirection w:val="lrTb"/>
            <w:noWrap w:val="false"/>
          </w:tcPr>
          <w:p>
            <w:pPr>
              <w:pStyle w:val="1449"/>
              <w:ind w:left="0" w:right="0" w:firstLine="0"/>
              <w:jc w:val="lef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配置管理</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val="false"/>
          </w:tcPr>
          <w:p>
            <w:pPr>
              <w:pStyle w:val="1021"/>
              <w:ind w:left="0" w:right="0" w:firstLine="0"/>
              <w:jc w:val="left"/>
              <w:spacing w:after="12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可切换派单模式。根据小组绑定故障类型自动派单/手动派单。</w:t>
            </w:r>
            <w:r>
              <w:rPr>
                <w:rFonts w:hint="eastAsia" w:ascii="宋体" w:hAnsi="宋体" w:eastAsia="宋体" w:cs="宋体"/>
                <w:color w:val="000000" w:themeColor="text1"/>
                <w:sz w:val="24"/>
                <w:szCs w:val="24"/>
                <w:highlight w:val="none"/>
                <w:lang w:val="en-US" w:eastAsia="zh-CN" w:bidi="ar"/>
              </w:rPr>
              <w:t xml:space="preserve">投标人</w:t>
            </w:r>
            <w:r>
              <w:rPr>
                <w:rFonts w:hint="eastAsia" w:ascii="宋体" w:hAnsi="宋体" w:eastAsia="宋体" w:cs="宋体"/>
                <w:color w:val="000000" w:themeColor="text1"/>
                <w:sz w:val="24"/>
                <w:szCs w:val="24"/>
                <w:highlight w:val="none"/>
                <w:lang w:val="en-US" w:eastAsia="zh-CN" w:bidi="ar-SA"/>
              </w:rPr>
              <w:t xml:space="preserve">提供该设备操作界面功能截图</w:t>
            </w:r>
            <w:r>
              <w:rPr>
                <w:rFonts w:hint="eastAsia" w:ascii="宋体" w:hAnsi="宋体" w:eastAsia="宋体" w:cs="宋体"/>
                <w:color w:val="000000" w:themeColor="text1"/>
                <w:sz w:val="24"/>
                <w:szCs w:val="24"/>
                <w:highlight w:val="none"/>
                <w:lang w:val="en-US" w:eastAsia="zh-CN" w:bidi="ar"/>
              </w:rPr>
              <w:t xml:space="preserve">并</w:t>
            </w:r>
            <w:r>
              <w:rPr>
                <w:rFonts w:hint="eastAsia" w:ascii="宋体" w:hAnsi="宋体" w:eastAsia="宋体" w:cs="宋体"/>
                <w:color w:val="000000" w:themeColor="text1"/>
                <w:sz w:val="24"/>
                <w:szCs w:val="24"/>
                <w:highlight w:val="none"/>
                <w:lang w:val="en-US" w:eastAsia="zh-CN" w:bidi="ar-SA"/>
              </w:rPr>
              <w:t xml:space="preserve">加盖投标人公章。</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21"/>
              <w:ind w:left="0" w:right="0" w:firstLine="0"/>
              <w:jc w:val="left"/>
              <w:spacing w:after="12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支持工单系统自动评价/手动评价。</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1049" w:type="dxa"/>
            <w:vAlign w:val="center"/>
            <w:vMerge w:val="continue"/>
            <w:textDirection w:val="lrTb"/>
            <w:noWrap w:val="false"/>
          </w:tcPr>
          <w:p>
            <w:pPr>
              <w:pStyle w:val="1012"/>
              <w:ind w:left="0" w:right="0" w:firstLine="0"/>
              <w:jc w:val="left"/>
              <w:spacing w:line="274"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1" w:type="dxa"/>
            <w:vAlign w:val="center"/>
            <w:textDirection w:val="lrTb"/>
            <w:noWrap w:val="false"/>
          </w:tcPr>
          <w:p>
            <w:pPr>
              <w:pStyle w:val="1449"/>
              <w:ind w:left="0" w:right="0" w:firstLine="0"/>
              <w:jc w:val="lef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操作日志</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val="false"/>
          </w:tcPr>
          <w:p>
            <w:pPr>
              <w:pStyle w:val="1021"/>
              <w:ind w:left="0" w:right="0" w:firstLine="0"/>
              <w:jc w:val="left"/>
              <w:spacing w:after="12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记录操作记录日志，操作日期、操作IP地址、功能模块、用户名。</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pStyle w:val="1449"/>
              <w:ind w:left="0" w:right="0" w:firstLine="0"/>
              <w:jc w:val="lef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配置要求</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81" w:type="dxa"/>
            <w:vAlign w:val="center"/>
            <w:textDirection w:val="lrTb"/>
            <w:noWrap w:val="false"/>
          </w:tcPr>
          <w:p>
            <w:pPr>
              <w:pStyle w:val="1449"/>
              <w:ind w:left="0" w:right="0" w:firstLine="0"/>
              <w:jc w:val="lef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配置要求</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val="false"/>
          </w:tcPr>
          <w:p>
            <w:pPr>
              <w:pStyle w:val="1012"/>
              <w:ind w:left="0" w:right="0" w:firstLine="0"/>
              <w:jc w:val="left"/>
              <w:spacing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要求配置200个设备节点永久性授权。提供三年产品原厂质保服务。</w:t>
            </w:r>
            <w:r>
              <w:rPr>
                <w:rFonts w:hint="eastAsia" w:ascii="宋体" w:hAnsi="宋体" w:eastAsia="宋体" w:cs="宋体"/>
                <w:color w:val="000000" w:themeColor="text1"/>
                <w:sz w:val="24"/>
                <w:szCs w:val="24"/>
                <w:highlight w:val="none"/>
                <w:lang w:val="en-US" w:eastAsia="zh-CN" w:bidi="ar-SA"/>
              </w:rPr>
            </w:r>
            <w:r>
              <w:rPr>
                <w:color w:val="000000" w:themeColor="text1"/>
              </w:rPr>
            </w:r>
          </w:p>
        </w:tc>
      </w:tr>
    </w:tbl>
    <w:p>
      <w:pPr>
        <w:pStyle w:val="1012"/>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1053"/>
        <w:numPr>
          <w:ilvl w:val="0"/>
          <w:numId w:val="0"/>
        </w:numPr>
        <w:rPr>
          <w:rFonts w:hint="eastAsia" w:ascii="宋体" w:hAnsi="宋体" w:eastAsia="宋体" w:cs="宋体"/>
          <w:b/>
          <w:bCs/>
          <w:color w:val="000000" w:themeColor="text1"/>
          <w:highlight w:val="none"/>
        </w:rPr>
      </w:pPr>
      <w:r>
        <w:rPr>
          <w:color w:val="000000" w:themeColor="text1"/>
        </w:rPr>
      </w:r>
      <w:bookmarkStart w:id="50" w:name="_Toc9302"/>
      <w:r>
        <w:rPr>
          <w:rFonts w:hint="eastAsia" w:ascii="宋体" w:hAnsi="宋体" w:eastAsia="宋体" w:cs="宋体"/>
          <w:b/>
          <w:bCs/>
          <w:color w:val="000000" w:themeColor="text1"/>
          <w:highlight w:val="none"/>
          <w:lang w:val="en-US" w:eastAsia="zh-CN"/>
        </w:rPr>
        <w:t xml:space="preserve">4.外网出口防火墙（含IPS和AV模块）</w:t>
      </w:r>
      <w:bookmarkEnd w:id="50"/>
      <w:r>
        <w:rPr>
          <w:rFonts w:hint="eastAsia" w:ascii="宋体" w:hAnsi="宋体" w:eastAsia="宋体" w:cs="宋体"/>
          <w:b/>
          <w:bCs/>
          <w:color w:val="000000" w:themeColor="text1"/>
          <w:highlight w:val="none"/>
        </w:rPr>
      </w:r>
      <w:r>
        <w:rPr>
          <w:color w:val="000000" w:themeColor="text1"/>
        </w:rPr>
      </w:r>
    </w:p>
    <w:tbl>
      <w:tblPr>
        <w:tblpPr w:horzAnchor="page" w:tblpX="1290" w:vertAnchor="text" w:tblpY="348" w:leftFromText="180" w:topFromText="0" w:rightFromText="180" w:bottomFromText="0"/>
        <w:tblW w:w="939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0"/>
        <w:gridCol w:w="7819"/>
      </w:tblGrid>
      <w:tr>
        <w:trPr>
          <w:trHeight w:val="689"/>
        </w:trPr>
        <w:tc>
          <w:tcPr>
            <w:tcW w:w="1580" w:type="dxa"/>
            <w:vAlign w:val="center"/>
            <w:textDirection w:val="lrTb"/>
            <w:noWrap w:val="false"/>
          </w:tcPr>
          <w:p>
            <w:pPr>
              <w:pStyle w:val="1012"/>
              <w:ind w:firstLine="200"/>
              <w:jc w:val="center"/>
              <w:spacing w:line="274" w:lineRule="auto"/>
              <w:widowControl/>
              <w:rPr>
                <w:rFonts w:hint="eastAsia" w:ascii="宋体" w:hAnsi="宋体" w:eastAsia="宋体" w:cs="宋体"/>
                <w:b/>
                <w:bCs/>
                <w:color w:val="000000" w:themeColor="text1"/>
                <w:sz w:val="24"/>
                <w:szCs w:val="24"/>
                <w:highlight w:val="none"/>
              </w:rPr>
              <w:framePr w:vAnchor="text" w:hAnchor="page" w:x="1290" w:y="348"/>
            </w:pPr>
            <w:r>
              <w:rPr>
                <w:rFonts w:hint="eastAsia" w:ascii="宋体" w:hAnsi="宋体" w:eastAsia="宋体" w:cs="宋体"/>
                <w:b/>
                <w:bCs/>
                <w:color w:val="000000" w:themeColor="text1"/>
                <w:sz w:val="24"/>
                <w:szCs w:val="24"/>
                <w:highlight w:val="none"/>
                <w:lang w:val="en-US" w:eastAsia="zh-CN" w:bidi="ar-SA"/>
              </w:rPr>
              <w:t xml:space="preserve">指标项</w:t>
            </w:r>
            <w:r>
              <w:rPr>
                <w:rFonts w:hint="eastAsia" w:ascii="宋体" w:hAnsi="宋体" w:eastAsia="宋体" w:cs="宋体"/>
                <w:b/>
                <w:bCs/>
                <w:color w:val="000000" w:themeColor="text1"/>
                <w:sz w:val="24"/>
                <w:szCs w:val="24"/>
                <w:highlight w:val="none"/>
                <w:lang w:val="en-US" w:eastAsia="zh-CN" w:bidi="ar-SA"/>
              </w:rPr>
            </w:r>
            <w:r>
              <w:rPr>
                <w:color w:val="000000" w:themeColor="text1"/>
              </w:rPr>
            </w:r>
          </w:p>
        </w:tc>
        <w:tc>
          <w:tcPr>
            <w:tcW w:w="7819" w:type="dxa"/>
            <w:vAlign w:val="center"/>
            <w:textDirection w:val="lrTb"/>
            <w:noWrap w:val="false"/>
          </w:tcPr>
          <w:p>
            <w:pPr>
              <w:pStyle w:val="1012"/>
              <w:ind w:firstLine="200"/>
              <w:jc w:val="center"/>
              <w:spacing w:line="274" w:lineRule="auto"/>
              <w:widowControl/>
              <w:rPr>
                <w:rFonts w:hint="eastAsia" w:ascii="宋体" w:hAnsi="宋体" w:eastAsia="宋体" w:cs="宋体"/>
                <w:b/>
                <w:bCs/>
                <w:color w:val="000000" w:themeColor="text1"/>
                <w:sz w:val="24"/>
                <w:szCs w:val="24"/>
                <w:highlight w:val="none"/>
              </w:rPr>
              <w:framePr w:vAnchor="text" w:hAnchor="page" w:x="1290" w:y="348"/>
            </w:pPr>
            <w:r>
              <w:rPr>
                <w:rFonts w:hint="eastAsia" w:ascii="宋体" w:hAnsi="宋体" w:eastAsia="宋体" w:cs="宋体"/>
                <w:b/>
                <w:bCs/>
                <w:color w:val="000000" w:themeColor="text1"/>
                <w:sz w:val="24"/>
                <w:szCs w:val="24"/>
                <w:highlight w:val="none"/>
                <w:lang w:val="en-US" w:eastAsia="zh-CN" w:bidi="ar-SA"/>
              </w:rPr>
              <w:t xml:space="preserve">指标要求</w:t>
            </w:r>
            <w:r>
              <w:rPr>
                <w:rFonts w:hint="eastAsia" w:ascii="宋体" w:hAnsi="宋体" w:eastAsia="宋体" w:cs="宋体"/>
                <w:b/>
                <w:bCs/>
                <w:color w:val="000000" w:themeColor="text1"/>
                <w:sz w:val="24"/>
                <w:szCs w:val="24"/>
                <w:highlight w:val="none"/>
                <w:lang w:val="en-US" w:eastAsia="zh-CN" w:bidi="ar-SA"/>
              </w:rPr>
            </w:r>
            <w:r>
              <w:rPr>
                <w:color w:val="000000" w:themeColor="text1"/>
              </w:rPr>
            </w:r>
          </w:p>
        </w:tc>
      </w:tr>
      <w:tr>
        <w:trPr>
          <w:trHeight w:val="1642"/>
        </w:trPr>
        <w:tc>
          <w:tcPr>
            <w:tcW w:w="1580" w:type="dxa"/>
            <w:vAlign w:val="center"/>
            <w:textDirection w:val="lrTb"/>
            <w:noWrap w:val="false"/>
          </w:tcPr>
          <w:p>
            <w:pPr>
              <w:pStyle w:val="1012"/>
              <w:ind w:firstLine="200"/>
              <w:jc w:val="left"/>
              <w:spacing w:line="274" w:lineRule="auto"/>
              <w:widowControl/>
              <w:rPr>
                <w:rFonts w:hint="eastAsia" w:ascii="宋体" w:hAnsi="宋体" w:eastAsia="宋体" w:cs="宋体"/>
                <w:color w:val="000000" w:themeColor="text1"/>
                <w:sz w:val="24"/>
                <w:szCs w:val="24"/>
                <w:highlight w:val="none"/>
              </w:rPr>
              <w:framePr w:vAnchor="text" w:hAnchor="page" w:x="1290" w:y="348"/>
            </w:pPr>
            <w:r>
              <w:rPr>
                <w:rFonts w:hint="eastAsia" w:ascii="宋体" w:hAnsi="宋体" w:eastAsia="宋体" w:cs="宋体"/>
                <w:color w:val="000000" w:themeColor="text1"/>
                <w:sz w:val="24"/>
                <w:szCs w:val="24"/>
                <w:highlight w:val="none"/>
                <w:lang w:val="en-US" w:eastAsia="zh-CN" w:bidi="ar-SA"/>
              </w:rPr>
              <w:t xml:space="preserve">硬件和性能</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7819" w:type="dxa"/>
            <w:vAlign w:val="center"/>
            <w:textDirection w:val="lrTb"/>
            <w:noWrap w:val="false"/>
          </w:tcPr>
          <w:p>
            <w:pPr>
              <w:pStyle w:val="1012"/>
              <w:ind w:firstLine="200"/>
              <w:jc w:val="left"/>
              <w:spacing w:line="274" w:lineRule="auto"/>
              <w:widowControl/>
              <w:rPr>
                <w:rFonts w:hint="eastAsia" w:ascii="宋体" w:hAnsi="宋体" w:eastAsia="宋体" w:cs="宋体"/>
                <w:color w:val="000000" w:themeColor="text1"/>
                <w:sz w:val="24"/>
                <w:szCs w:val="24"/>
                <w:highlight w:val="none"/>
              </w:rPr>
              <w:framePr w:vAnchor="text" w:hAnchor="page" w:x="1290" w:y="348"/>
            </w:pPr>
            <w:r>
              <w:rPr>
                <w:rFonts w:hint="eastAsia" w:ascii="宋体" w:hAnsi="宋体" w:eastAsia="宋体" w:cs="宋体"/>
                <w:color w:val="000000" w:themeColor="text1"/>
                <w:sz w:val="24"/>
                <w:szCs w:val="24"/>
                <w:highlight w:val="none"/>
                <w:lang w:val="en-US" w:eastAsia="zh-CN" w:bidi="ar-SA"/>
              </w:rPr>
              <w:t xml:space="preserve">满足国产化要求，冗余电源，配置≥8个千兆电口，≥4个千兆光口，≥4个万兆光口，≥256G固态硬盘，≥4T机械硬盘，整机吞吐量≥12G，应用层吞吐量≥10G，最大并发连接数≥300万，新建连接数≥15万，含三年应用管理/IPS/URL过滤/防病毒模块/威胁情报等升级服务，三年软件升级和硬件维保服务。</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1642"/>
        </w:trPr>
        <w:tc>
          <w:tcPr>
            <w:tcW w:w="1580" w:type="dxa"/>
            <w:vAlign w:val="center"/>
            <w:textDirection w:val="lrTb"/>
            <w:noWrap w:val="false"/>
          </w:tcPr>
          <w:p>
            <w:pPr>
              <w:pStyle w:val="1012"/>
              <w:ind w:firstLine="200"/>
              <w:jc w:val="left"/>
              <w:spacing w:line="274" w:lineRule="auto"/>
              <w:widowControl/>
              <w:rPr>
                <w:rFonts w:hint="eastAsia" w:ascii="宋体" w:hAnsi="宋体" w:eastAsia="宋体" w:cs="宋体"/>
                <w:color w:val="000000" w:themeColor="text1"/>
                <w:sz w:val="24"/>
                <w:szCs w:val="24"/>
                <w:highlight w:val="none"/>
              </w:rPr>
              <w:framePr w:vAnchor="text" w:hAnchor="page" w:x="1290" w:y="348"/>
            </w:pPr>
            <w:r>
              <w:rPr>
                <w:rFonts w:hint="eastAsia" w:ascii="宋体" w:hAnsi="宋体" w:eastAsia="宋体" w:cs="宋体"/>
                <w:color w:val="000000" w:themeColor="text1"/>
                <w:sz w:val="24"/>
                <w:szCs w:val="24"/>
                <w:highlight w:val="none"/>
                <w:lang w:val="en-US" w:eastAsia="zh-CN" w:bidi="ar-SA"/>
              </w:rPr>
              <w:t xml:space="preserve">功能授权</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7819" w:type="dxa"/>
            <w:vAlign w:val="center"/>
            <w:textDirection w:val="lrTb"/>
            <w:noWrap w:val="false"/>
          </w:tcPr>
          <w:p>
            <w:pPr>
              <w:pStyle w:val="1012"/>
              <w:ind w:firstLine="200"/>
              <w:jc w:val="left"/>
              <w:spacing w:line="274" w:lineRule="auto"/>
              <w:widowControl/>
              <w:rPr>
                <w:rFonts w:hint="eastAsia" w:ascii="宋体" w:hAnsi="宋体" w:eastAsia="宋体" w:cs="宋体"/>
                <w:color w:val="000000" w:themeColor="text1"/>
                <w:sz w:val="24"/>
                <w:szCs w:val="24"/>
                <w:highlight w:val="none"/>
              </w:rPr>
              <w:framePr w:vAnchor="text" w:hAnchor="page" w:x="1290" w:y="348"/>
            </w:pPr>
            <w:r>
              <w:rPr>
                <w:rFonts w:hint="eastAsia" w:ascii="宋体" w:hAnsi="宋体" w:eastAsia="宋体" w:cs="宋体"/>
                <w:color w:val="000000" w:themeColor="text1"/>
                <w:sz w:val="24"/>
                <w:szCs w:val="24"/>
                <w:highlight w:val="none"/>
                <w:lang w:val="en-US" w:eastAsia="zh-CN" w:bidi="ar-SA"/>
              </w:rPr>
              <w:t xml:space="preserve">包含下一代防火墙系统软件。支持应用控制、URL过滤、病毒防护、入侵防御、威胁情报检测、IPSec VPN、SSL VPN等功能。配置≥190个SSL VPN并发用户数，≥三年防火墙特征库（含应用识别库、URL分类特征库、病毒防护特征库、入侵防御特征库升级服务及威胁情报订阅服务）</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662"/>
        </w:trPr>
        <w:tc>
          <w:tcPr>
            <w:tcW w:w="1580" w:type="dxa"/>
            <w:vAlign w:val="center"/>
            <w:textDirection w:val="lrTb"/>
            <w:noWrap w:val="false"/>
          </w:tcPr>
          <w:p>
            <w:pPr>
              <w:pStyle w:val="1012"/>
              <w:ind w:firstLine="200"/>
              <w:jc w:val="left"/>
              <w:spacing w:line="274" w:lineRule="auto"/>
              <w:widowControl/>
              <w:rPr>
                <w:rFonts w:hint="eastAsia" w:ascii="宋体" w:hAnsi="宋体" w:eastAsia="宋体" w:cs="宋体"/>
                <w:color w:val="000000" w:themeColor="text1"/>
                <w:sz w:val="24"/>
                <w:szCs w:val="24"/>
                <w:highlight w:val="none"/>
              </w:rPr>
              <w:framePr w:vAnchor="text" w:hAnchor="page" w:x="1290" w:y="348"/>
            </w:pPr>
            <w:r>
              <w:rPr>
                <w:rFonts w:hint="eastAsia" w:ascii="宋体" w:hAnsi="宋体" w:eastAsia="宋体" w:cs="宋体"/>
                <w:color w:val="000000" w:themeColor="text1"/>
                <w:sz w:val="24"/>
                <w:szCs w:val="24"/>
                <w:highlight w:val="none"/>
                <w:lang w:val="en-US" w:eastAsia="zh-CN" w:bidi="ar-SA"/>
              </w:rPr>
              <w:t xml:space="preserve">部署模式</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7819" w:type="dxa"/>
            <w:vAlign w:val="center"/>
            <w:textDirection w:val="lrTb"/>
            <w:noWrap w:val="false"/>
          </w:tcPr>
          <w:p>
            <w:pPr>
              <w:pStyle w:val="1012"/>
              <w:ind w:firstLine="200"/>
              <w:jc w:val="left"/>
              <w:spacing w:line="274" w:lineRule="auto"/>
              <w:widowControl/>
              <w:rPr>
                <w:rFonts w:hint="eastAsia" w:ascii="宋体" w:hAnsi="宋体" w:eastAsia="宋体" w:cs="宋体"/>
                <w:color w:val="000000" w:themeColor="text1"/>
                <w:sz w:val="24"/>
                <w:szCs w:val="24"/>
                <w:highlight w:val="none"/>
              </w:rPr>
              <w:framePr w:vAnchor="text" w:hAnchor="page" w:x="1290" w:y="348"/>
            </w:pPr>
            <w:r>
              <w:rPr>
                <w:rFonts w:hint="eastAsia" w:ascii="宋体" w:hAnsi="宋体" w:eastAsia="宋体" w:cs="宋体"/>
                <w:color w:val="000000" w:themeColor="text1"/>
                <w:sz w:val="24"/>
                <w:szCs w:val="24"/>
                <w:highlight w:val="none"/>
                <w:lang w:val="en-US" w:eastAsia="zh-CN" w:bidi="ar-SA"/>
              </w:rPr>
              <w:t xml:space="preserve">产品支持路由、透明、交换以及混合模式接入，满足复杂应用环境的接入需求，支持旁路模式。</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977"/>
        </w:trPr>
        <w:tc>
          <w:tcPr>
            <w:tcW w:w="1580" w:type="dxa"/>
            <w:vAlign w:val="center"/>
            <w:textDirection w:val="lrTb"/>
            <w:noWrap w:val="false"/>
          </w:tcPr>
          <w:p>
            <w:pPr>
              <w:pStyle w:val="1012"/>
              <w:ind w:firstLine="200"/>
              <w:jc w:val="left"/>
              <w:spacing w:line="274" w:lineRule="auto"/>
              <w:widowControl/>
              <w:rPr>
                <w:rFonts w:hint="eastAsia" w:ascii="宋体" w:hAnsi="宋体" w:eastAsia="宋体" w:cs="宋体"/>
                <w:color w:val="000000" w:themeColor="text1"/>
                <w:sz w:val="24"/>
                <w:szCs w:val="24"/>
                <w:highlight w:val="none"/>
              </w:rPr>
              <w:framePr w:vAnchor="text" w:hAnchor="page" w:x="1290" w:y="348"/>
            </w:pPr>
            <w:r>
              <w:rPr>
                <w:rFonts w:hint="eastAsia" w:ascii="宋体" w:hAnsi="宋体" w:eastAsia="宋体" w:cs="宋体"/>
                <w:color w:val="000000" w:themeColor="text1"/>
                <w:sz w:val="24"/>
                <w:szCs w:val="24"/>
                <w:highlight w:val="none"/>
                <w:lang w:val="en-US" w:eastAsia="zh-CN" w:bidi="ar-SA"/>
              </w:rPr>
              <w:t xml:space="preserve">路由协议</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7819" w:type="dxa"/>
            <w:vAlign w:val="center"/>
            <w:textDirection w:val="lrTb"/>
            <w:noWrap w:val="false"/>
          </w:tcPr>
          <w:p>
            <w:pPr>
              <w:pStyle w:val="1012"/>
              <w:ind w:firstLine="200"/>
              <w:jc w:val="left"/>
              <w:spacing w:line="274" w:lineRule="auto"/>
              <w:widowControl/>
              <w:rPr>
                <w:rFonts w:hint="eastAsia" w:ascii="宋体" w:hAnsi="宋体" w:eastAsia="宋体" w:cs="宋体"/>
                <w:color w:val="000000" w:themeColor="text1"/>
                <w:sz w:val="24"/>
                <w:szCs w:val="24"/>
                <w:highlight w:val="none"/>
              </w:rPr>
              <w:framePr w:vAnchor="text" w:hAnchor="page" w:x="1290" w:y="348"/>
            </w:pPr>
            <w:r>
              <w:rPr>
                <w:rFonts w:hint="eastAsia" w:ascii="宋体" w:hAnsi="宋体" w:eastAsia="宋体" w:cs="宋体"/>
                <w:color w:val="000000" w:themeColor="text1"/>
                <w:sz w:val="24"/>
                <w:szCs w:val="24"/>
                <w:highlight w:val="none"/>
                <w:lang w:val="en-US" w:eastAsia="zh-CN" w:bidi="ar-SA"/>
              </w:rPr>
              <w:t xml:space="preserve">所投产品必须支持静态路由、策略路由及动态路由。动态路由应至少支持RIPv1、RIPv2、RIPng， OSPF、OSPFv3，BGP4\4+、ISIS路由协议。</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989"/>
        </w:trPr>
        <w:tc>
          <w:tcPr>
            <w:tcW w:w="1580" w:type="dxa"/>
            <w:vAlign w:val="center"/>
            <w:textDirection w:val="lrTb"/>
            <w:noWrap w:val="false"/>
          </w:tcPr>
          <w:p>
            <w:pPr>
              <w:pStyle w:val="1012"/>
              <w:ind w:firstLine="200"/>
              <w:jc w:val="left"/>
              <w:spacing w:line="274" w:lineRule="auto"/>
              <w:widowControl/>
              <w:rPr>
                <w:rFonts w:hint="eastAsia" w:ascii="宋体" w:hAnsi="宋体" w:eastAsia="宋体" w:cs="宋体"/>
                <w:color w:val="000000" w:themeColor="text1"/>
                <w:sz w:val="24"/>
                <w:szCs w:val="24"/>
                <w:highlight w:val="none"/>
              </w:rPr>
              <w:framePr w:vAnchor="text" w:hAnchor="page" w:x="1290" w:y="348"/>
            </w:pPr>
            <w:r>
              <w:rPr>
                <w:rFonts w:hint="eastAsia" w:ascii="宋体" w:hAnsi="宋体" w:eastAsia="宋体" w:cs="宋体"/>
                <w:color w:val="000000" w:themeColor="text1"/>
                <w:sz w:val="24"/>
                <w:szCs w:val="24"/>
                <w:highlight w:val="none"/>
                <w:lang w:val="en-US" w:eastAsia="zh-CN" w:bidi="ar-SA"/>
              </w:rPr>
              <w:t xml:space="preserve">地址转换</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7819" w:type="dxa"/>
            <w:vAlign w:val="center"/>
            <w:textDirection w:val="lrTb"/>
            <w:noWrap w:val="false"/>
          </w:tcPr>
          <w:p>
            <w:pPr>
              <w:pStyle w:val="1012"/>
              <w:ind w:firstLine="200"/>
              <w:jc w:val="left"/>
              <w:spacing w:line="274" w:lineRule="auto"/>
              <w:widowControl/>
              <w:rPr>
                <w:rFonts w:hint="eastAsia" w:ascii="宋体" w:hAnsi="宋体" w:eastAsia="宋体" w:cs="宋体"/>
                <w:color w:val="000000" w:themeColor="text1"/>
                <w:sz w:val="24"/>
                <w:szCs w:val="24"/>
                <w:highlight w:val="none"/>
              </w:rPr>
              <w:framePr w:vAnchor="text" w:hAnchor="page" w:x="1290" w:y="348"/>
            </w:pPr>
            <w:r>
              <w:rPr>
                <w:rFonts w:hint="eastAsia" w:ascii="宋体" w:hAnsi="宋体" w:eastAsia="宋体" w:cs="宋体"/>
                <w:color w:val="000000" w:themeColor="text1"/>
                <w:sz w:val="24"/>
                <w:szCs w:val="24"/>
                <w:highlight w:val="none"/>
                <w:lang w:val="en-US" w:eastAsia="zh-CN" w:bidi="ar-SA"/>
              </w:rPr>
              <w:t xml:space="preserve">所投产品必须支持全面的NAT44和NAT66转换配置，包括一对一，一对多，多对一的源、目的地址转换，需要支持SYMMETRIC模式和FULL_CONE模式，以及NAT地址防封杀检测。</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1012"/>
        </w:trPr>
        <w:tc>
          <w:tcPr>
            <w:tcW w:w="1580" w:type="dxa"/>
            <w:vAlign w:val="center"/>
            <w:vMerge w:val="restart"/>
            <w:textDirection w:val="lrTb"/>
            <w:noWrap w:val="false"/>
          </w:tcPr>
          <w:p>
            <w:pPr>
              <w:pStyle w:val="1012"/>
              <w:ind w:firstLine="200"/>
              <w:jc w:val="left"/>
              <w:spacing w:line="274" w:lineRule="auto"/>
              <w:widowControl/>
              <w:rPr>
                <w:rFonts w:hint="eastAsia" w:ascii="宋体" w:hAnsi="宋体" w:eastAsia="宋体" w:cs="宋体"/>
                <w:color w:val="000000" w:themeColor="text1"/>
                <w:sz w:val="24"/>
                <w:szCs w:val="24"/>
                <w:highlight w:val="none"/>
              </w:rPr>
              <w:framePr w:vAnchor="text" w:hAnchor="page" w:x="1290" w:y="348"/>
            </w:pPr>
            <w:r>
              <w:rPr>
                <w:rFonts w:hint="eastAsia" w:ascii="宋体" w:hAnsi="宋体" w:eastAsia="宋体" w:cs="宋体"/>
                <w:color w:val="000000" w:themeColor="text1"/>
                <w:sz w:val="24"/>
                <w:szCs w:val="24"/>
                <w:highlight w:val="none"/>
                <w:lang w:val="en-US" w:eastAsia="zh-CN" w:bidi="ar-SA"/>
              </w:rPr>
              <w:t xml:space="preserve">访问控制</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7819" w:type="dxa"/>
            <w:vAlign w:val="center"/>
            <w:textDirection w:val="lrTb"/>
            <w:noWrap w:val="false"/>
          </w:tcPr>
          <w:p>
            <w:pPr>
              <w:pStyle w:val="1012"/>
              <w:ind w:firstLine="200"/>
              <w:jc w:val="left"/>
              <w:spacing w:line="274" w:lineRule="auto"/>
              <w:widowControl/>
              <w:rPr>
                <w:rFonts w:hint="eastAsia" w:ascii="宋体" w:hAnsi="宋体" w:eastAsia="宋体" w:cs="宋体"/>
                <w:color w:val="000000" w:themeColor="text1"/>
                <w:sz w:val="24"/>
                <w:szCs w:val="24"/>
                <w:highlight w:val="none"/>
              </w:rPr>
              <w:framePr w:vAnchor="text" w:hAnchor="page" w:x="1290" w:y="348"/>
            </w:pPr>
            <w:r>
              <w:rPr>
                <w:rFonts w:hint="eastAsia" w:ascii="宋体" w:hAnsi="宋体" w:eastAsia="宋体" w:cs="宋体"/>
                <w:color w:val="000000" w:themeColor="text1"/>
                <w:sz w:val="24"/>
                <w:szCs w:val="24"/>
                <w:highlight w:val="none"/>
                <w:lang w:val="en-US" w:eastAsia="zh-CN" w:bidi="ar-SA"/>
              </w:rPr>
              <w:t xml:space="preserve">所投产品必须支持基于源安全域、目的安全域、源用户、源地址、源地区、目的地址、目的地区、服务、应用、隧道、时间、VLAN等多种方式进行访问控制，并支持地理区域对象的导入以及重复策略的检查。</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1316"/>
        </w:trPr>
        <w:tc>
          <w:tcPr>
            <w:tcW w:w="1580" w:type="dxa"/>
            <w:vAlign w:val="center"/>
            <w:vMerge w:val="continue"/>
            <w:textDirection w:val="lrTb"/>
            <w:noWrap w:val="false"/>
          </w:tcPr>
          <w:p>
            <w:pPr>
              <w:pStyle w:val="1012"/>
              <w:ind w:firstLine="200"/>
              <w:jc w:val="left"/>
              <w:spacing w:line="274" w:lineRule="auto"/>
              <w:widowControl/>
              <w:rPr>
                <w:rFonts w:hint="eastAsia" w:ascii="宋体" w:hAnsi="宋体" w:eastAsia="宋体" w:cs="宋体"/>
                <w:color w:val="000000"/>
                <w:sz w:val="24"/>
                <w:szCs w:val="24"/>
                <w:highlight w:val="none"/>
                <w:lang w:val="en-US" w:eastAsia="zh-CN" w:bidi="ar-SA"/>
              </w:rPr>
              <w:framePr w:vAnchor="text" w:hAnchor="page" w:x="1290" w:y="348"/>
            </w:pPr>
            <w:r>
              <w:rPr>
                <w:rFonts w:hint="eastAsia" w:ascii="宋体" w:hAnsi="宋体" w:eastAsia="宋体" w:cs="宋体"/>
                <w:color w:val="000000"/>
                <w:sz w:val="24"/>
                <w:szCs w:val="24"/>
                <w:highlight w:val="none"/>
                <w:lang w:val="en-US" w:eastAsia="zh-CN" w:bidi="ar-SA"/>
              </w:rPr>
            </w:r>
            <w:r/>
          </w:p>
        </w:tc>
        <w:tc>
          <w:tcPr>
            <w:tcW w:w="7819" w:type="dxa"/>
            <w:vAlign w:val="center"/>
            <w:textDirection w:val="lrTb"/>
            <w:noWrap w:val="false"/>
          </w:tcPr>
          <w:p>
            <w:pPr>
              <w:pStyle w:val="1012"/>
              <w:ind w:firstLine="200"/>
              <w:jc w:val="left"/>
              <w:spacing w:line="274" w:lineRule="auto"/>
              <w:widowControl/>
              <w:rPr>
                <w:rFonts w:hint="eastAsia" w:ascii="宋体" w:hAnsi="宋体" w:eastAsia="宋体" w:cs="宋体"/>
                <w:color w:val="000000" w:themeColor="text1"/>
                <w:sz w:val="24"/>
                <w:szCs w:val="24"/>
                <w:highlight w:val="none"/>
              </w:rPr>
              <w:framePr w:vAnchor="text" w:hAnchor="page" w:x="1290" w:y="348"/>
            </w:pPr>
            <w:r>
              <w:rPr>
                <w:rFonts w:hint="eastAsia" w:ascii="宋体" w:hAnsi="宋体" w:eastAsia="宋体" w:cs="宋体"/>
                <w:color w:val="000000" w:themeColor="text1"/>
                <w:sz w:val="24"/>
                <w:szCs w:val="24"/>
                <w:highlight w:val="none"/>
                <w:lang w:val="en-US" w:eastAsia="zh-CN" w:bidi="ar-SA"/>
              </w:rPr>
              <w:t xml:space="preserve">▲支持基于源安全区、目的安全区、源地址、目的地址、源端口、目的端口、协议等，模拟运行直接获得策略的命中信息，并可对命中的策略信息进行编辑。投标人提供具有CMA或CNAS标识的检测报告扫描件并加盖投标人公章。</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1316"/>
        </w:trPr>
        <w:tc>
          <w:tcPr>
            <w:tcW w:w="1580" w:type="dxa"/>
            <w:vAlign w:val="center"/>
            <w:textDirection w:val="lrTb"/>
            <w:noWrap w:val="false"/>
          </w:tcPr>
          <w:p>
            <w:pPr>
              <w:pStyle w:val="1012"/>
              <w:ind w:firstLine="200"/>
              <w:jc w:val="left"/>
              <w:spacing w:line="274" w:lineRule="auto"/>
              <w:widowControl/>
              <w:rPr>
                <w:rFonts w:hint="eastAsia" w:ascii="宋体" w:hAnsi="宋体" w:eastAsia="宋体" w:cs="宋体"/>
                <w:color w:val="000000" w:themeColor="text1"/>
                <w:sz w:val="24"/>
                <w:szCs w:val="24"/>
                <w:highlight w:val="none"/>
              </w:rPr>
              <w:framePr w:vAnchor="text" w:hAnchor="page" w:x="1290" w:y="348"/>
            </w:pPr>
            <w:r>
              <w:rPr>
                <w:rFonts w:hint="eastAsia" w:ascii="宋体" w:hAnsi="宋体" w:eastAsia="宋体" w:cs="宋体"/>
                <w:color w:val="000000" w:themeColor="text1"/>
                <w:sz w:val="24"/>
                <w:szCs w:val="24"/>
                <w:highlight w:val="none"/>
                <w:lang w:val="en-US" w:eastAsia="zh-CN" w:bidi="ar-SA"/>
              </w:rPr>
              <w:t xml:space="preserve">应用识别与控制</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7819" w:type="dxa"/>
            <w:vAlign w:val="center"/>
            <w:textDirection w:val="lrTb"/>
            <w:noWrap w:val="false"/>
          </w:tcPr>
          <w:p>
            <w:pPr>
              <w:pStyle w:val="1012"/>
              <w:ind w:firstLine="200"/>
              <w:jc w:val="left"/>
              <w:spacing w:line="274" w:lineRule="auto"/>
              <w:widowControl/>
              <w:rPr>
                <w:rFonts w:hint="eastAsia" w:ascii="宋体" w:hAnsi="宋体" w:eastAsia="宋体" w:cs="宋体"/>
                <w:color w:val="000000" w:themeColor="text1"/>
                <w:sz w:val="24"/>
                <w:szCs w:val="24"/>
                <w:highlight w:val="none"/>
              </w:rPr>
              <w:framePr w:vAnchor="text" w:hAnchor="page" w:x="1290" w:y="348"/>
            </w:pPr>
            <w:r>
              <w:rPr>
                <w:rFonts w:hint="eastAsia" w:ascii="宋体" w:hAnsi="宋体" w:eastAsia="宋体" w:cs="宋体"/>
                <w:color w:val="000000" w:themeColor="text1"/>
                <w:sz w:val="24"/>
                <w:szCs w:val="24"/>
                <w:highlight w:val="none"/>
                <w:lang w:val="en-US" w:eastAsia="zh-CN" w:bidi="ar-SA"/>
              </w:rPr>
              <w:t xml:space="preserve">所投产品必须支持应用识别，应用特征库包含的应用数量（非应用协议的规则总数）</w:t>
            </w:r>
            <w:r>
              <w:rPr>
                <w:rFonts w:ascii="Arial" w:hAnsi="Arial" w:eastAsia="宋体" w:cs="Arial"/>
                <w:color w:val="000000" w:themeColor="text1"/>
                <w:sz w:val="24"/>
                <w:szCs w:val="24"/>
                <w:highlight w:val="none"/>
                <w:lang w:val="en-US" w:eastAsia="zh-CN" w:bidi="ar-SA"/>
              </w:rPr>
              <w:t xml:space="preserve">≥</w:t>
            </w:r>
            <w:r>
              <w:rPr>
                <w:rFonts w:hint="eastAsia" w:ascii="宋体" w:hAnsi="宋体" w:eastAsia="宋体" w:cs="宋体"/>
                <w:color w:val="000000" w:themeColor="text1"/>
                <w:sz w:val="24"/>
                <w:szCs w:val="24"/>
                <w:highlight w:val="none"/>
                <w:lang w:val="en-US" w:eastAsia="zh-CN" w:bidi="ar-SA"/>
              </w:rPr>
              <w:t xml:space="preserve">2700种，可深度识别每种应用的属性，为每种应用提供预定义的风险系数，并将应用基于类型、使用场景、数据传输、风险等级等特征分类。</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1316"/>
        </w:trPr>
        <w:tc>
          <w:tcPr>
            <w:tcW w:w="1580" w:type="dxa"/>
            <w:vAlign w:val="center"/>
            <w:textDirection w:val="lrTb"/>
            <w:noWrap w:val="false"/>
          </w:tcPr>
          <w:p>
            <w:pPr>
              <w:pStyle w:val="1012"/>
              <w:ind w:firstLine="200"/>
              <w:jc w:val="left"/>
              <w:spacing w:line="274" w:lineRule="auto"/>
              <w:widowControl/>
              <w:rPr>
                <w:rFonts w:hint="eastAsia" w:ascii="宋体" w:hAnsi="宋体" w:eastAsia="宋体" w:cs="宋体"/>
                <w:color w:val="000000" w:themeColor="text1"/>
                <w:sz w:val="24"/>
                <w:szCs w:val="24"/>
                <w:highlight w:val="none"/>
              </w:rPr>
              <w:framePr w:vAnchor="text" w:hAnchor="page" w:x="1290" w:y="348"/>
            </w:pPr>
            <w:r>
              <w:rPr>
                <w:rFonts w:hint="eastAsia" w:ascii="宋体" w:hAnsi="宋体" w:eastAsia="宋体" w:cs="宋体"/>
                <w:color w:val="000000" w:themeColor="text1"/>
                <w:sz w:val="24"/>
                <w:szCs w:val="24"/>
                <w:highlight w:val="none"/>
                <w:lang w:val="en-US" w:eastAsia="zh-CN" w:bidi="ar-SA"/>
              </w:rPr>
              <w:t xml:space="preserve">流量管理</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7819" w:type="dxa"/>
            <w:vAlign w:val="center"/>
            <w:textDirection w:val="lrTb"/>
            <w:noWrap w:val="false"/>
          </w:tcPr>
          <w:p>
            <w:pPr>
              <w:pStyle w:val="1012"/>
              <w:ind w:firstLine="200"/>
              <w:jc w:val="left"/>
              <w:spacing w:line="274" w:lineRule="auto"/>
              <w:widowControl/>
              <w:rPr>
                <w:rFonts w:hint="eastAsia" w:ascii="宋体" w:hAnsi="宋体" w:eastAsia="宋体" w:cs="宋体"/>
                <w:color w:val="000000" w:themeColor="text1"/>
                <w:sz w:val="24"/>
                <w:szCs w:val="24"/>
                <w:highlight w:val="none"/>
              </w:rPr>
              <w:framePr w:vAnchor="text" w:hAnchor="page" w:x="1290" w:y="348"/>
            </w:pPr>
            <w:r>
              <w:rPr>
                <w:rFonts w:hint="eastAsia" w:ascii="宋体" w:hAnsi="宋体" w:eastAsia="宋体" w:cs="宋体"/>
                <w:color w:val="000000" w:themeColor="text1"/>
                <w:sz w:val="24"/>
                <w:szCs w:val="24"/>
                <w:highlight w:val="none"/>
                <w:lang w:val="en-US" w:eastAsia="zh-CN" w:bidi="ar-SA"/>
              </w:rPr>
              <w:t xml:space="preserve">所投产品必须支持多调度类相互嵌套最大5级的带宽管理设置。支持设置每IP最大或最小带宽，支持对每IP进行带宽配额管理，可通过优先级实现多应用的差分服务，并支持对剩余带宽进行基于优先级的动态分配。</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662"/>
        </w:trPr>
        <w:tc>
          <w:tcPr>
            <w:tcW w:w="1580" w:type="dxa"/>
            <w:vAlign w:val="center"/>
            <w:vMerge w:val="restart"/>
            <w:textDirection w:val="lrTb"/>
            <w:noWrap w:val="false"/>
          </w:tcPr>
          <w:p>
            <w:pPr>
              <w:pStyle w:val="1012"/>
              <w:ind w:firstLine="200"/>
              <w:jc w:val="left"/>
              <w:spacing w:line="274" w:lineRule="auto"/>
              <w:widowControl/>
              <w:rPr>
                <w:rFonts w:hint="eastAsia" w:ascii="宋体" w:hAnsi="宋体" w:eastAsia="宋体" w:cs="宋体"/>
                <w:color w:val="000000" w:themeColor="text1"/>
                <w:sz w:val="24"/>
                <w:szCs w:val="24"/>
                <w:highlight w:val="none"/>
              </w:rPr>
              <w:framePr w:vAnchor="text" w:hAnchor="page" w:x="1290" w:y="348"/>
            </w:pPr>
            <w:r>
              <w:rPr>
                <w:rFonts w:hint="eastAsia" w:ascii="宋体" w:hAnsi="宋体" w:eastAsia="宋体" w:cs="宋体"/>
                <w:color w:val="000000" w:themeColor="text1"/>
                <w:sz w:val="24"/>
                <w:szCs w:val="24"/>
                <w:highlight w:val="none"/>
                <w:lang w:val="en-US" w:eastAsia="zh-CN" w:bidi="ar-SA"/>
              </w:rPr>
              <w:t xml:space="preserve">网络攻击防护</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7819" w:type="dxa"/>
            <w:vAlign w:val="center"/>
            <w:textDirection w:val="lrTb"/>
            <w:noWrap w:val="false"/>
          </w:tcPr>
          <w:p>
            <w:pPr>
              <w:pStyle w:val="1012"/>
              <w:ind w:firstLine="200"/>
              <w:jc w:val="left"/>
              <w:spacing w:line="274" w:lineRule="auto"/>
              <w:widowControl/>
              <w:rPr>
                <w:rFonts w:hint="eastAsia" w:ascii="宋体" w:hAnsi="宋体" w:eastAsia="宋体" w:cs="宋体"/>
                <w:color w:val="000000" w:themeColor="text1"/>
                <w:sz w:val="24"/>
                <w:szCs w:val="24"/>
                <w:highlight w:val="none"/>
              </w:rPr>
              <w:framePr w:vAnchor="text" w:hAnchor="page" w:x="1290" w:y="348"/>
            </w:pPr>
            <w:r>
              <w:rPr>
                <w:rFonts w:hint="eastAsia" w:ascii="宋体" w:hAnsi="宋体" w:eastAsia="宋体" w:cs="宋体"/>
                <w:color w:val="000000" w:themeColor="text1"/>
                <w:sz w:val="24"/>
                <w:szCs w:val="24"/>
                <w:highlight w:val="none"/>
                <w:lang w:val="en-US" w:eastAsia="zh-CN" w:bidi="ar-SA"/>
              </w:rPr>
              <w:t xml:space="preserve">所投产品必须支持防御基于安全域的IP地址欺骗攻击，指定IP或网段必须从特定安全域流入。</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671"/>
        </w:trPr>
        <w:tc>
          <w:tcPr>
            <w:tcW w:w="1580" w:type="dxa"/>
            <w:vAlign w:val="center"/>
            <w:vMerge w:val="continue"/>
            <w:textDirection w:val="lrTb"/>
            <w:noWrap w:val="false"/>
          </w:tcPr>
          <w:p>
            <w:pPr>
              <w:pStyle w:val="1012"/>
              <w:ind w:firstLine="200"/>
              <w:jc w:val="left"/>
              <w:spacing w:line="274" w:lineRule="auto"/>
              <w:widowControl/>
              <w:rPr>
                <w:rFonts w:hint="eastAsia" w:ascii="宋体" w:hAnsi="宋体" w:eastAsia="宋体" w:cs="宋体"/>
                <w:color w:val="000000"/>
                <w:sz w:val="24"/>
                <w:szCs w:val="24"/>
                <w:highlight w:val="none"/>
                <w:lang w:val="en-US" w:eastAsia="zh-CN" w:bidi="ar-SA"/>
              </w:rPr>
              <w:framePr w:vAnchor="text" w:hAnchor="page" w:x="1290" w:y="348"/>
            </w:pPr>
            <w:r>
              <w:rPr>
                <w:rFonts w:hint="eastAsia" w:ascii="宋体" w:hAnsi="宋体" w:eastAsia="宋体" w:cs="宋体"/>
                <w:color w:val="000000"/>
                <w:sz w:val="24"/>
                <w:szCs w:val="24"/>
                <w:highlight w:val="none"/>
                <w:lang w:val="en-US" w:eastAsia="zh-CN" w:bidi="ar-SA"/>
              </w:rPr>
            </w:r>
            <w:r/>
          </w:p>
        </w:tc>
        <w:tc>
          <w:tcPr>
            <w:tcW w:w="7819" w:type="dxa"/>
            <w:vAlign w:val="center"/>
            <w:textDirection w:val="lrTb"/>
            <w:noWrap w:val="false"/>
          </w:tcPr>
          <w:p>
            <w:pPr>
              <w:pStyle w:val="1012"/>
              <w:ind w:firstLine="200"/>
              <w:jc w:val="left"/>
              <w:spacing w:line="274" w:lineRule="auto"/>
              <w:widowControl/>
              <w:rPr>
                <w:rFonts w:hint="eastAsia" w:ascii="宋体" w:hAnsi="宋体" w:eastAsia="宋体" w:cs="宋体"/>
                <w:color w:val="000000" w:themeColor="text1"/>
                <w:sz w:val="24"/>
                <w:szCs w:val="24"/>
                <w:highlight w:val="none"/>
              </w:rPr>
              <w:framePr w:vAnchor="text" w:hAnchor="page" w:x="1290" w:y="348"/>
            </w:pPr>
            <w:r>
              <w:rPr>
                <w:rFonts w:hint="eastAsia" w:ascii="宋体" w:hAnsi="宋体" w:eastAsia="宋体" w:cs="宋体"/>
                <w:color w:val="000000" w:themeColor="text1"/>
                <w:sz w:val="24"/>
                <w:szCs w:val="24"/>
                <w:highlight w:val="none"/>
                <w:lang w:val="en-US" w:eastAsia="zh-CN" w:bidi="ar-SA"/>
              </w:rPr>
              <w:t xml:space="preserve">所投产品必须支持DHCP协议防护。支持手动定义可信DHCP服务器IPv4和基于阈值限制DHCP请求传输速率。</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662"/>
        </w:trPr>
        <w:tc>
          <w:tcPr>
            <w:tcW w:w="1580" w:type="dxa"/>
            <w:vAlign w:val="center"/>
            <w:vMerge w:val="restart"/>
            <w:textDirection w:val="lrTb"/>
            <w:noWrap w:val="false"/>
          </w:tcPr>
          <w:p>
            <w:pPr>
              <w:pStyle w:val="1012"/>
              <w:ind w:firstLine="200"/>
              <w:jc w:val="left"/>
              <w:spacing w:line="274" w:lineRule="auto"/>
              <w:widowControl/>
              <w:rPr>
                <w:rFonts w:hint="eastAsia" w:ascii="宋体" w:hAnsi="宋体" w:eastAsia="宋体" w:cs="宋体"/>
                <w:color w:val="000000" w:themeColor="text1"/>
                <w:sz w:val="24"/>
                <w:szCs w:val="24"/>
                <w:highlight w:val="none"/>
              </w:rPr>
              <w:framePr w:vAnchor="text" w:hAnchor="page" w:x="1290" w:y="348"/>
            </w:pPr>
            <w:r>
              <w:rPr>
                <w:rFonts w:hint="eastAsia" w:ascii="宋体" w:hAnsi="宋体" w:eastAsia="宋体" w:cs="宋体"/>
                <w:color w:val="000000" w:themeColor="text1"/>
                <w:sz w:val="24"/>
                <w:szCs w:val="24"/>
                <w:highlight w:val="none"/>
                <w:lang w:val="en-US" w:eastAsia="zh-CN" w:bidi="ar-SA"/>
              </w:rPr>
              <w:t xml:space="preserve">病毒防护</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7819" w:type="dxa"/>
            <w:vAlign w:val="center"/>
            <w:textDirection w:val="lrTb"/>
            <w:noWrap w:val="false"/>
          </w:tcPr>
          <w:p>
            <w:pPr>
              <w:pStyle w:val="1012"/>
              <w:ind w:firstLine="200"/>
              <w:jc w:val="left"/>
              <w:spacing w:line="274" w:lineRule="auto"/>
              <w:widowControl/>
              <w:rPr>
                <w:rFonts w:hint="eastAsia" w:ascii="宋体" w:hAnsi="宋体" w:eastAsia="宋体" w:cs="宋体"/>
                <w:color w:val="000000" w:themeColor="text1"/>
                <w:sz w:val="24"/>
                <w:szCs w:val="24"/>
                <w:highlight w:val="none"/>
              </w:rPr>
              <w:framePr w:vAnchor="text" w:hAnchor="page" w:x="1290" w:y="348"/>
            </w:pPr>
            <w:r>
              <w:rPr>
                <w:rFonts w:hint="eastAsia" w:ascii="宋体" w:hAnsi="宋体" w:eastAsia="宋体" w:cs="宋体"/>
                <w:color w:val="000000" w:themeColor="text1"/>
                <w:sz w:val="24"/>
                <w:szCs w:val="24"/>
                <w:highlight w:val="none"/>
                <w:lang w:val="en-US" w:eastAsia="zh-CN" w:bidi="ar-SA"/>
              </w:rPr>
              <w:t xml:space="preserve">所投产品必须支持基于MD5的自定义病毒签名。支持设置例外特征，对特定的病毒特征不进行查杀。</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989"/>
        </w:trPr>
        <w:tc>
          <w:tcPr>
            <w:tcW w:w="1580" w:type="dxa"/>
            <w:vAlign w:val="center"/>
            <w:vMerge w:val="continue"/>
            <w:textDirection w:val="lrTb"/>
            <w:noWrap w:val="false"/>
          </w:tcPr>
          <w:p>
            <w:pPr>
              <w:pStyle w:val="1012"/>
              <w:ind w:firstLine="200"/>
              <w:jc w:val="left"/>
              <w:spacing w:line="274" w:lineRule="auto"/>
              <w:widowControl/>
              <w:rPr>
                <w:rFonts w:hint="eastAsia" w:ascii="宋体" w:hAnsi="宋体" w:eastAsia="宋体" w:cs="宋体"/>
                <w:color w:val="000000"/>
                <w:sz w:val="24"/>
                <w:szCs w:val="24"/>
                <w:highlight w:val="none"/>
                <w:lang w:val="en-US" w:eastAsia="zh-CN" w:bidi="ar-SA"/>
              </w:rPr>
              <w:framePr w:vAnchor="text" w:hAnchor="page" w:x="1290" w:y="348"/>
            </w:pPr>
            <w:r>
              <w:rPr>
                <w:rFonts w:hint="eastAsia" w:ascii="宋体" w:hAnsi="宋体" w:eastAsia="宋体" w:cs="宋体"/>
                <w:color w:val="000000"/>
                <w:sz w:val="24"/>
                <w:szCs w:val="24"/>
                <w:highlight w:val="none"/>
                <w:lang w:val="en-US" w:eastAsia="zh-CN" w:bidi="ar-SA"/>
              </w:rPr>
            </w:r>
            <w:r/>
          </w:p>
        </w:tc>
        <w:tc>
          <w:tcPr>
            <w:tcW w:w="7819" w:type="dxa"/>
            <w:vAlign w:val="center"/>
            <w:textDirection w:val="lrTb"/>
            <w:noWrap w:val="false"/>
          </w:tcPr>
          <w:p>
            <w:pPr>
              <w:pStyle w:val="1012"/>
              <w:ind w:firstLine="200"/>
              <w:jc w:val="left"/>
              <w:spacing w:line="274" w:lineRule="auto"/>
              <w:widowControl/>
              <w:rPr>
                <w:rFonts w:hint="eastAsia" w:ascii="宋体" w:hAnsi="宋体" w:eastAsia="宋体" w:cs="宋体"/>
                <w:color w:val="000000" w:themeColor="text1"/>
                <w:sz w:val="24"/>
                <w:szCs w:val="24"/>
                <w:highlight w:val="none"/>
              </w:rPr>
              <w:framePr w:vAnchor="text" w:hAnchor="page" w:x="1290" w:y="348"/>
            </w:pPr>
            <w:r>
              <w:rPr>
                <w:rFonts w:hint="eastAsia" w:ascii="宋体" w:hAnsi="宋体" w:eastAsia="宋体" w:cs="宋体"/>
                <w:color w:val="000000" w:themeColor="text1"/>
                <w:sz w:val="24"/>
                <w:szCs w:val="24"/>
                <w:highlight w:val="none"/>
                <w:lang w:val="en-US" w:eastAsia="zh-CN" w:bidi="ar-SA"/>
              </w:rPr>
              <w:t xml:space="preserve">▲支持基于HTTP、FTP、POP3、SMTP、IMAP协议的进行多线程下载以及有密码压缩包下载限制。投标人提供具有CMA或CNAS标识的检测报告扫描件</w:t>
            </w:r>
            <w:r>
              <w:rPr>
                <w:rFonts w:hint="eastAsia" w:ascii="宋体" w:hAnsi="宋体" w:eastAsia="宋体" w:cs="宋体"/>
                <w:color w:val="000000" w:themeColor="text1"/>
                <w:sz w:val="24"/>
                <w:szCs w:val="24"/>
                <w:highlight w:val="none"/>
                <w:lang w:val="en-US" w:eastAsia="zh-CN" w:bidi="ar"/>
              </w:rPr>
              <w:t xml:space="preserve">并</w:t>
            </w:r>
            <w:r>
              <w:rPr>
                <w:rFonts w:hint="eastAsia" w:ascii="宋体" w:hAnsi="宋体" w:eastAsia="宋体" w:cs="宋体"/>
                <w:color w:val="000000" w:themeColor="text1"/>
                <w:sz w:val="24"/>
                <w:szCs w:val="24"/>
                <w:highlight w:val="none"/>
                <w:lang w:val="en-US" w:eastAsia="zh-CN" w:bidi="ar-SA"/>
              </w:rPr>
              <w:t xml:space="preserve">加盖投标人公章。</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1326"/>
        </w:trPr>
        <w:tc>
          <w:tcPr>
            <w:tcW w:w="1580" w:type="dxa"/>
            <w:vAlign w:val="center"/>
            <w:textDirection w:val="lrTb"/>
            <w:noWrap w:val="false"/>
          </w:tcPr>
          <w:p>
            <w:pPr>
              <w:pStyle w:val="1012"/>
              <w:ind w:firstLine="200"/>
              <w:jc w:val="left"/>
              <w:spacing w:line="274" w:lineRule="auto"/>
              <w:widowControl/>
              <w:rPr>
                <w:rFonts w:hint="eastAsia" w:ascii="宋体" w:hAnsi="宋体" w:eastAsia="宋体" w:cs="宋体"/>
                <w:color w:val="000000" w:themeColor="text1"/>
                <w:sz w:val="24"/>
                <w:szCs w:val="24"/>
                <w:highlight w:val="none"/>
              </w:rPr>
              <w:framePr w:vAnchor="text" w:hAnchor="page" w:x="1290" w:y="348"/>
            </w:pPr>
            <w:r>
              <w:rPr>
                <w:rFonts w:hint="eastAsia" w:ascii="宋体" w:hAnsi="宋体" w:eastAsia="宋体" w:cs="宋体"/>
                <w:color w:val="000000" w:themeColor="text1"/>
                <w:sz w:val="24"/>
                <w:szCs w:val="24"/>
                <w:highlight w:val="none"/>
                <w:lang w:val="en-US" w:eastAsia="zh-CN" w:bidi="ar-SA"/>
              </w:rPr>
              <w:t xml:space="preserve">策略与处置</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7819" w:type="dxa"/>
            <w:vAlign w:val="center"/>
            <w:textDirection w:val="lrTb"/>
            <w:noWrap w:val="false"/>
          </w:tcPr>
          <w:p>
            <w:pPr>
              <w:pStyle w:val="1012"/>
              <w:ind w:firstLine="200"/>
              <w:jc w:val="left"/>
              <w:spacing w:line="274" w:lineRule="auto"/>
              <w:widowControl/>
              <w:rPr>
                <w:rFonts w:hint="eastAsia" w:ascii="宋体" w:hAnsi="宋体" w:eastAsia="宋体" w:cs="宋体"/>
                <w:color w:val="000000" w:themeColor="text1"/>
                <w:sz w:val="24"/>
                <w:szCs w:val="24"/>
                <w:highlight w:val="none"/>
              </w:rPr>
              <w:framePr w:vAnchor="text" w:hAnchor="page" w:x="1290" w:y="348"/>
            </w:pPr>
            <w:r>
              <w:rPr>
                <w:rFonts w:hint="eastAsia" w:ascii="宋体" w:hAnsi="宋体" w:eastAsia="宋体" w:cs="宋体"/>
                <w:color w:val="000000" w:themeColor="text1"/>
                <w:sz w:val="24"/>
                <w:szCs w:val="24"/>
                <w:highlight w:val="none"/>
                <w:lang w:val="en-US" w:eastAsia="zh-CN" w:bidi="ar-SA"/>
              </w:rPr>
              <w:t xml:space="preserve">所投产品必须支持基于受害主机的一键式阻断链接、记录日志等处置动作，支持通过IPS、AV模块的日志信息，智能一键添加黑名单策略。</w:t>
            </w:r>
            <w:r>
              <w:rPr>
                <w:rFonts w:hint="eastAsia" w:ascii="宋体" w:hAnsi="宋体" w:eastAsia="宋体" w:cs="宋体"/>
                <w:color w:val="000000" w:themeColor="text1"/>
                <w:sz w:val="24"/>
                <w:szCs w:val="24"/>
                <w:highlight w:val="none"/>
                <w:lang w:val="en-US" w:eastAsia="zh-CN" w:bidi="ar"/>
              </w:rPr>
              <w:t xml:space="preserve">投标人</w:t>
            </w:r>
            <w:r>
              <w:rPr>
                <w:rFonts w:hint="eastAsia" w:ascii="宋体" w:hAnsi="宋体" w:eastAsia="宋体" w:cs="宋体"/>
                <w:color w:val="000000" w:themeColor="text1"/>
                <w:sz w:val="24"/>
                <w:szCs w:val="24"/>
                <w:highlight w:val="none"/>
                <w:lang w:val="en-US" w:eastAsia="zh-CN" w:bidi="ar-SA"/>
              </w:rPr>
              <w:t xml:space="preserve">需要提供能够体现上述功能及配置选项的截图并加盖投标人公章。</w:t>
            </w:r>
            <w:r>
              <w:rPr>
                <w:rFonts w:hint="eastAsia" w:ascii="宋体" w:hAnsi="宋体" w:eastAsia="宋体" w:cs="宋体"/>
                <w:color w:val="000000" w:themeColor="text1"/>
                <w:sz w:val="24"/>
                <w:szCs w:val="24"/>
                <w:highlight w:val="none"/>
                <w:lang w:val="en-US" w:eastAsia="zh-CN" w:bidi="ar-SA"/>
              </w:rPr>
            </w:r>
            <w:r>
              <w:rPr>
                <w:color w:val="000000" w:themeColor="text1"/>
              </w:rPr>
            </w:r>
          </w:p>
        </w:tc>
      </w:tr>
    </w:tbl>
    <w:p>
      <w:pPr>
        <w:pStyle w:val="1012"/>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1012"/>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1012"/>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1012"/>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1053"/>
        <w:numPr>
          <w:ilvl w:val="0"/>
          <w:numId w:val="0"/>
        </w:numPr>
        <w:rPr>
          <w:rFonts w:hint="eastAsia" w:ascii="宋体" w:hAnsi="宋体" w:eastAsia="宋体" w:cs="宋体"/>
          <w:b/>
          <w:bCs/>
          <w:color w:val="000000" w:themeColor="text1"/>
          <w:highlight w:val="none"/>
        </w:rPr>
      </w:pPr>
      <w:r>
        <w:rPr>
          <w:color w:val="000000" w:themeColor="text1"/>
        </w:rPr>
      </w:r>
      <w:bookmarkStart w:id="51" w:name="_Toc4030"/>
      <w:r>
        <w:rPr>
          <w:rFonts w:hint="eastAsia" w:ascii="宋体" w:hAnsi="宋体" w:eastAsia="宋体" w:cs="宋体"/>
          <w:b/>
          <w:bCs/>
          <w:color w:val="000000" w:themeColor="text1"/>
          <w:highlight w:val="none"/>
          <w:lang w:val="en-US" w:eastAsia="zh-CN"/>
        </w:rPr>
        <w:t xml:space="preserve">5.外网AC（行为审计系统）</w:t>
      </w:r>
      <w:bookmarkEnd w:id="51"/>
      <w:r>
        <w:rPr>
          <w:rFonts w:hint="eastAsia" w:ascii="宋体" w:hAnsi="宋体" w:eastAsia="宋体" w:cs="宋体"/>
          <w:b/>
          <w:bCs/>
          <w:color w:val="000000" w:themeColor="text1"/>
          <w:highlight w:val="none"/>
        </w:rPr>
      </w:r>
      <w:r>
        <w:rPr>
          <w:color w:val="000000" w:themeColor="text1"/>
        </w:rPr>
      </w:r>
    </w:p>
    <w:tbl>
      <w:tblPr>
        <w:tblW w:w="909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75"/>
        <w:gridCol w:w="7221"/>
      </w:tblGrid>
      <w:tr>
        <w:trPr>
          <w:tblHeader/>
        </w:trPr>
        <w:tc>
          <w:tcPr>
            <w:tcW w:w="1875" w:type="dxa"/>
            <w:vAlign w:val="center"/>
            <w:textDirection w:val="lrTb"/>
            <w:noWrap w:val="false"/>
          </w:tcPr>
          <w:p>
            <w:pPr>
              <w:pStyle w:val="1012"/>
              <w:ind w:left="0" w:right="0" w:firstLine="0"/>
              <w:jc w:val="center"/>
              <w:spacing w:line="240" w:lineRule="auto"/>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技术指标</w:t>
            </w:r>
            <w:r>
              <w:rPr>
                <w:rFonts w:hint="eastAsia" w:ascii="宋体" w:hAnsi="宋体" w:eastAsia="宋体" w:cs="宋体"/>
                <w:b/>
                <w:bCs/>
                <w:color w:val="000000" w:themeColor="text1"/>
                <w:sz w:val="24"/>
                <w:szCs w:val="24"/>
                <w:highlight w:val="none"/>
                <w:lang w:val="en-US" w:eastAsia="zh-CN" w:bidi="ar-SA"/>
              </w:rPr>
            </w:r>
            <w:r>
              <w:rPr>
                <w:color w:val="000000" w:themeColor="text1"/>
              </w:rPr>
            </w:r>
          </w:p>
        </w:tc>
        <w:tc>
          <w:tcPr>
            <w:tcW w:w="7221" w:type="dxa"/>
            <w:vAlign w:val="center"/>
            <w:textDirection w:val="lrTb"/>
            <w:noWrap w:val="false"/>
          </w:tcPr>
          <w:p>
            <w:pPr>
              <w:pStyle w:val="1012"/>
              <w:ind w:left="0" w:right="0" w:firstLine="0"/>
              <w:jc w:val="center"/>
              <w:spacing w:line="240" w:lineRule="auto"/>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指标要求</w:t>
            </w:r>
            <w:r>
              <w:rPr>
                <w:rFonts w:hint="eastAsia" w:ascii="宋体" w:hAnsi="宋体" w:eastAsia="宋体" w:cs="宋体"/>
                <w:b/>
                <w:bCs/>
                <w:color w:val="000000" w:themeColor="text1"/>
                <w:sz w:val="24"/>
                <w:szCs w:val="24"/>
                <w:highlight w:val="none"/>
                <w:lang w:val="en-US" w:eastAsia="zh-CN" w:bidi="ar-SA"/>
              </w:rPr>
            </w:r>
            <w:r>
              <w:rPr>
                <w:color w:val="000000" w:themeColor="text1"/>
              </w:rPr>
            </w:r>
          </w:p>
        </w:tc>
      </w:tr>
      <w:tr>
        <w:trPr/>
        <w:tc>
          <w:tcPr>
            <w:tcW w:w="1875" w:type="dxa"/>
            <w:vAlign w:val="center"/>
            <w:textDirection w:val="lrTb"/>
            <w:noWrap w:val="false"/>
          </w:tcPr>
          <w:p>
            <w:pPr>
              <w:pStyle w:val="1012"/>
              <w:ind w:left="0" w:right="0" w:firstLine="0"/>
              <w:jc w:val="left"/>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
              </w:rPr>
              <w:t xml:space="preserve">性能指标</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7221" w:type="dxa"/>
            <w:vAlign w:val="center"/>
            <w:textDirection w:val="lrTb"/>
            <w:noWrap w:val="false"/>
          </w:tcPr>
          <w:p>
            <w:pPr>
              <w:pStyle w:val="1012"/>
              <w:ind w:left="0" w:right="0" w:firstLine="0"/>
              <w:jc w:val="left"/>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
              </w:rPr>
              <w:t xml:space="preserve">满足国产化要求，冗余电源，配置≥6个千兆电业务口，≥4个千兆光口，≥1T机械硬盘，整机吞吐量≥9G，应用层吞吐量≥4G，最大并发连接数≥800万，新建连接数≥12万，适用带宽≥300M， </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875" w:type="dxa"/>
            <w:vAlign w:val="center"/>
            <w:textDirection w:val="lrTb"/>
            <w:noWrap w:val="false"/>
          </w:tcPr>
          <w:p>
            <w:pPr>
              <w:pStyle w:val="1012"/>
              <w:ind w:left="0" w:right="0" w:firstLine="0"/>
              <w:jc w:val="left"/>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IPV6部署</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7221" w:type="dxa"/>
            <w:vAlign w:val="center"/>
            <w:textDirection w:val="lrTb"/>
            <w:noWrap w:val="false"/>
          </w:tcPr>
          <w:p>
            <w:pPr>
              <w:pStyle w:val="1012"/>
              <w:ind w:left="0" w:right="0" w:firstLine="0"/>
              <w:jc w:val="left"/>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
              </w:rPr>
              <w:t xml:space="preserve">支持部署在IPv6环境中，设备接口及部署模式均支持ipv6配置，上网认证、应用控制、流量控制、内容审计、日志报表等都支持IPv6。</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875" w:type="dxa"/>
            <w:vAlign w:val="center"/>
            <w:textDirection w:val="lrTb"/>
            <w:noWrap w:val="false"/>
          </w:tcPr>
          <w:p>
            <w:pPr>
              <w:pStyle w:val="1012"/>
              <w:ind w:left="0" w:right="0" w:firstLine="0"/>
              <w:jc w:val="left"/>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告警管理</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7221" w:type="dxa"/>
            <w:vAlign w:val="center"/>
            <w:textDirection w:val="lrTb"/>
            <w:noWrap w:val="false"/>
          </w:tcPr>
          <w:p>
            <w:pPr>
              <w:pStyle w:val="1012"/>
              <w:ind w:left="0" w:right="0" w:firstLine="0"/>
              <w:jc w:val="left"/>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
              </w:rPr>
              <w:t xml:space="preserve">支持攻击、双机切换告警、移动终端管理告警、风险终端发现告警、web关键字过滤告警、杀毒告警、设备流量超限告警、磁盘/CPU/内存异常告警等。</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875" w:type="dxa"/>
            <w:vAlign w:val="center"/>
            <w:vMerge w:val="restart"/>
            <w:textDirection w:val="lrTb"/>
            <w:noWrap w:val="false"/>
          </w:tcPr>
          <w:p>
            <w:pPr>
              <w:pStyle w:val="1012"/>
              <w:ind w:left="0" w:right="0" w:firstLine="0"/>
              <w:jc w:val="left"/>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实时监控</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7221" w:type="dxa"/>
            <w:vAlign w:val="center"/>
            <w:textDirection w:val="lrTb"/>
            <w:noWrap w:val="false"/>
          </w:tcPr>
          <w:p>
            <w:pPr>
              <w:pStyle w:val="1012"/>
              <w:ind w:left="0" w:right="0" w:firstLine="0"/>
              <w:jc w:val="left"/>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
              </w:rPr>
              <w:t xml:space="preserve">针对内网用户的web访问质量进行检测，对整体网络提供清晰的整体网络质量评级； 支持对单用户进行定向web访问质量检测； </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875" w:type="dxa"/>
            <w:vAlign w:val="center"/>
            <w:vMerge w:val="continue"/>
            <w:textDirection w:val="lrTb"/>
            <w:noWrap w:val="false"/>
          </w:tcPr>
          <w:p>
            <w:pPr>
              <w:pStyle w:val="1012"/>
              <w:ind w:left="0" w:right="0" w:firstLine="0"/>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7221" w:type="dxa"/>
            <w:vAlign w:val="center"/>
            <w:textDirection w:val="lrTb"/>
            <w:noWrap w:val="false"/>
          </w:tcPr>
          <w:p>
            <w:pPr>
              <w:pStyle w:val="1012"/>
              <w:ind w:left="0" w:right="0" w:firstLine="0"/>
              <w:jc w:val="left"/>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支持首页分析显示接入用户人数、终端类型。带宽质量分析、实时流量排名、共享上网等行为风险情况。</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875" w:type="dxa"/>
            <w:vAlign w:val="center"/>
            <w:vMerge w:val="restart"/>
            <w:textDirection w:val="lrTb"/>
            <w:noWrap w:val="false"/>
          </w:tcPr>
          <w:p>
            <w:pPr>
              <w:pStyle w:val="1012"/>
              <w:ind w:left="0" w:right="0" w:firstLine="0"/>
              <w:jc w:val="left"/>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IP管理</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7221" w:type="dxa"/>
            <w:vAlign w:val="center"/>
            <w:textDirection w:val="lrTb"/>
            <w:noWrap w:val="false"/>
          </w:tcPr>
          <w:p>
            <w:pPr>
              <w:pStyle w:val="1012"/>
              <w:ind w:left="0" w:right="0" w:firstLine="0"/>
              <w:jc w:val="left"/>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支持图形化查看当前内网IP使用情况，帮助管理员减少人工维护IP表的工作量。</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875" w:type="dxa"/>
            <w:vAlign w:val="center"/>
            <w:vMerge w:val="continue"/>
            <w:textDirection w:val="lrTb"/>
            <w:noWrap w:val="false"/>
          </w:tcPr>
          <w:p>
            <w:pPr>
              <w:pStyle w:val="1012"/>
              <w:ind w:left="0" w:right="0" w:firstLine="0"/>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7221" w:type="dxa"/>
            <w:vAlign w:val="center"/>
            <w:textDirection w:val="lrTb"/>
            <w:noWrap w:val="false"/>
          </w:tcPr>
          <w:p>
            <w:pPr>
              <w:pStyle w:val="1012"/>
              <w:ind w:left="0" w:right="0" w:firstLine="0"/>
              <w:jc w:val="left"/>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对网络接入的终端进行可视化管理，展示终端详细信息、合规状态等，支持查看终端类型，以及终端详细信息（投标人，系统，端口等）。</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875" w:type="dxa"/>
            <w:vAlign w:val="center"/>
            <w:vMerge w:val="restart"/>
            <w:textDirection w:val="lrTb"/>
            <w:noWrap w:val="false"/>
          </w:tcPr>
          <w:p>
            <w:pPr>
              <w:pStyle w:val="1012"/>
              <w:ind w:left="0" w:right="0" w:firstLine="0"/>
              <w:jc w:val="left"/>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排障工具</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7221" w:type="dxa"/>
            <w:vAlign w:val="center"/>
            <w:textDirection w:val="lrTb"/>
            <w:noWrap w:val="false"/>
          </w:tcPr>
          <w:p>
            <w:pPr>
              <w:pStyle w:val="1012"/>
              <w:ind w:left="0" w:right="0" w:firstLine="0"/>
              <w:jc w:val="left"/>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支持PPS异常、丢包异常、ARP异常、内网DOS攻击等异常情况实时监测，显示每日异常事件个数及情况。</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875" w:type="dxa"/>
            <w:vAlign w:val="center"/>
            <w:vMerge w:val="continue"/>
            <w:textDirection w:val="lrTb"/>
            <w:noWrap w:val="false"/>
          </w:tcPr>
          <w:p>
            <w:pPr>
              <w:pStyle w:val="1012"/>
              <w:ind w:left="0" w:right="0" w:firstLine="0"/>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7221" w:type="dxa"/>
            <w:vAlign w:val="center"/>
            <w:textDirection w:val="lrTb"/>
            <w:noWrap w:val="false"/>
          </w:tcPr>
          <w:p>
            <w:pPr>
              <w:pStyle w:val="1012"/>
              <w:ind w:left="0" w:right="0" w:firstLine="0"/>
              <w:jc w:val="left"/>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w:t>
            </w:r>
            <w:r>
              <w:rPr>
                <w:rFonts w:hint="eastAsia" w:ascii="宋体" w:hAnsi="宋体" w:eastAsia="宋体" w:cs="宋体"/>
                <w:color w:val="000000" w:themeColor="text1"/>
                <w:sz w:val="24"/>
                <w:szCs w:val="24"/>
                <w:highlight w:val="none"/>
                <w:lang w:val="en-US" w:eastAsia="zh-CN" w:bidi="ar"/>
              </w:rPr>
              <w:t xml:space="preserve">支持针对用户认证的故障进行分析，给出错误详情以及处置建议。</w:t>
            </w:r>
            <w:r>
              <w:rPr>
                <w:rFonts w:hint="eastAsia" w:ascii="宋体" w:hAnsi="宋体" w:eastAsia="宋体" w:cs="宋体"/>
                <w:color w:val="000000" w:themeColor="text1"/>
                <w:sz w:val="24"/>
                <w:szCs w:val="24"/>
                <w:highlight w:val="none"/>
                <w:lang w:val="en-US" w:eastAsia="zh-CN" w:bidi="ar-SA"/>
              </w:rPr>
              <w:t xml:space="preserve">投标人需提供相关功能截图证明并加盖投标人公章。</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875" w:type="dxa"/>
            <w:vAlign w:val="center"/>
            <w:vMerge w:val="restart"/>
            <w:textDirection w:val="lrTb"/>
            <w:noWrap w:val="false"/>
          </w:tcPr>
          <w:p>
            <w:pPr>
              <w:pStyle w:val="1012"/>
              <w:ind w:left="0" w:right="0" w:firstLine="0"/>
              <w:jc w:val="left"/>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流量管控</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7221" w:type="dxa"/>
            <w:vAlign w:val="center"/>
            <w:textDirection w:val="lrTb"/>
            <w:noWrap w:val="false"/>
          </w:tcPr>
          <w:p>
            <w:pPr>
              <w:pStyle w:val="1012"/>
              <w:ind w:left="0" w:right="0" w:firstLine="0"/>
              <w:jc w:val="left"/>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支持在设置流量策略后，根据整体线路或者某流量通道内的空闲情况，自动启用和停止使用流量控制策略，以提升带宽的高使用率。空闲值可自定义。</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875" w:type="dxa"/>
            <w:vAlign w:val="center"/>
            <w:vMerge w:val="continue"/>
            <w:textDirection w:val="lrTb"/>
            <w:noWrap w:val="false"/>
          </w:tcPr>
          <w:p>
            <w:pPr>
              <w:pStyle w:val="1012"/>
              <w:ind w:left="0" w:right="0" w:firstLine="0"/>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7221" w:type="dxa"/>
            <w:vAlign w:val="center"/>
            <w:textDirection w:val="lrTb"/>
            <w:noWrap w:val="false"/>
          </w:tcPr>
          <w:p>
            <w:pPr>
              <w:pStyle w:val="1012"/>
              <w:ind w:left="0" w:right="0" w:firstLine="0"/>
              <w:jc w:val="left"/>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▲支持将管理员分级分权模块与流控模块相结合，一级通道支持指定管理员管理，不同管理员实现通道级别的权限分离，分级管理。投标人提供具有CMA或CNAS标识的检测报告扫描件</w:t>
            </w:r>
            <w:r>
              <w:rPr>
                <w:rFonts w:hint="eastAsia" w:ascii="宋体" w:hAnsi="宋体" w:eastAsia="宋体" w:cs="宋体"/>
                <w:color w:val="000000" w:themeColor="text1"/>
                <w:sz w:val="24"/>
                <w:szCs w:val="24"/>
                <w:highlight w:val="none"/>
                <w:lang w:val="en-US" w:eastAsia="zh-CN" w:bidi="ar"/>
              </w:rPr>
              <w:t xml:space="preserve">并</w:t>
            </w:r>
            <w:r>
              <w:rPr>
                <w:rFonts w:hint="eastAsia" w:ascii="宋体" w:hAnsi="宋体" w:eastAsia="宋体" w:cs="宋体"/>
                <w:color w:val="000000" w:themeColor="text1"/>
                <w:sz w:val="24"/>
                <w:szCs w:val="24"/>
                <w:highlight w:val="none"/>
                <w:lang w:val="en-US" w:eastAsia="zh-CN" w:bidi="ar-SA"/>
              </w:rPr>
              <w:t xml:space="preserve">加盖投标人公章。</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875" w:type="dxa"/>
            <w:vAlign w:val="center"/>
            <w:textDirection w:val="lrTb"/>
            <w:noWrap w:val="false"/>
          </w:tcPr>
          <w:p>
            <w:pPr>
              <w:pStyle w:val="1012"/>
              <w:ind w:left="0" w:right="0" w:firstLine="0"/>
              <w:jc w:val="left"/>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终端安全检查</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7221" w:type="dxa"/>
            <w:vAlign w:val="center"/>
            <w:textDirection w:val="lrTb"/>
            <w:noWrap w:val="false"/>
          </w:tcPr>
          <w:p>
            <w:pPr>
              <w:pStyle w:val="1012"/>
              <w:ind w:left="0" w:right="0" w:firstLine="0"/>
              <w:jc w:val="left"/>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支持windows终端调用管理员指定脚本/程序以满足个性化检查要求，对不满足检查要求的终端可弹窗提示、禁止上网。投标人需提供相关功能截图证明并加盖投标人公章。</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875" w:type="dxa"/>
            <w:vAlign w:val="center"/>
            <w:textDirection w:val="lrTb"/>
            <w:noWrap w:val="false"/>
          </w:tcPr>
          <w:p>
            <w:pPr>
              <w:pStyle w:val="1012"/>
              <w:ind w:left="0" w:right="0" w:firstLine="0"/>
              <w:jc w:val="left"/>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远程应用审计</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7221" w:type="dxa"/>
            <w:vAlign w:val="center"/>
            <w:textDirection w:val="lrTb"/>
            <w:noWrap w:val="false"/>
          </w:tcPr>
          <w:p>
            <w:pPr>
              <w:pStyle w:val="1012"/>
              <w:ind w:left="0" w:right="0" w:firstLine="0"/>
              <w:jc w:val="left"/>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支持Teamviewer、向日葵、Anydesk、RDP的远程应用的外发文件审计。</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875" w:type="dxa"/>
            <w:vAlign w:val="center"/>
            <w:vMerge w:val="restart"/>
            <w:textDirection w:val="lrTb"/>
            <w:noWrap w:val="false"/>
          </w:tcPr>
          <w:p>
            <w:pPr>
              <w:pStyle w:val="1012"/>
              <w:ind w:left="0" w:right="0" w:firstLine="0"/>
              <w:jc w:val="left"/>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审计管理</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7221" w:type="dxa"/>
            <w:vAlign w:val="center"/>
            <w:textDirection w:val="lrTb"/>
            <w:noWrap w:val="false"/>
          </w:tcPr>
          <w:p>
            <w:pPr>
              <w:pStyle w:val="1012"/>
              <w:ind w:left="0" w:right="0" w:firstLine="0"/>
              <w:jc w:val="left"/>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审计SSL网页时，支持加密证书自动分发功能，用户点击网页上的工具即可一次性安装完成。解决管理员给每台PC单独安装证书的问题。</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875" w:type="dxa"/>
            <w:vAlign w:val="center"/>
            <w:vMerge w:val="continue"/>
            <w:textDirection w:val="lrTb"/>
            <w:noWrap w:val="false"/>
          </w:tcPr>
          <w:p>
            <w:pPr>
              <w:pStyle w:val="1012"/>
              <w:ind w:left="0" w:right="0" w:firstLine="0"/>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7221" w:type="dxa"/>
            <w:vAlign w:val="center"/>
            <w:textDirection w:val="lrTb"/>
            <w:noWrap w:val="false"/>
          </w:tcPr>
          <w:p>
            <w:pPr>
              <w:pStyle w:val="1012"/>
              <w:ind w:left="0" w:right="0" w:firstLine="0"/>
              <w:jc w:val="left"/>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支持审计用户的Webmail邮件外发行为，支持webmail形式发送的附件审计，并能精准到原始邮件。</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1875" w:type="dxa"/>
            <w:vAlign w:val="center"/>
            <w:textDirection w:val="lrTb"/>
            <w:noWrap w:val="false"/>
          </w:tcPr>
          <w:p>
            <w:pPr>
              <w:pStyle w:val="1012"/>
              <w:ind w:left="0" w:right="0" w:firstLine="0"/>
              <w:jc w:val="left"/>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服务要求</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7221" w:type="dxa"/>
            <w:vAlign w:val="center"/>
            <w:textDirection w:val="lrTb"/>
            <w:noWrap w:val="false"/>
          </w:tcPr>
          <w:p>
            <w:pPr>
              <w:pStyle w:val="1012"/>
              <w:ind w:left="0" w:right="0" w:firstLine="0"/>
              <w:jc w:val="left"/>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提供包含3年的产品质保，3年软件升级服务。</w:t>
            </w:r>
            <w:r>
              <w:rPr>
                <w:rFonts w:hint="eastAsia" w:ascii="宋体" w:hAnsi="宋体" w:eastAsia="宋体" w:cs="宋体"/>
                <w:color w:val="000000" w:themeColor="text1"/>
                <w:sz w:val="24"/>
                <w:szCs w:val="24"/>
                <w:highlight w:val="none"/>
                <w:lang w:val="en-US" w:eastAsia="zh-CN" w:bidi="ar-SA"/>
              </w:rPr>
            </w:r>
            <w:r>
              <w:rPr>
                <w:color w:val="000000" w:themeColor="text1"/>
              </w:rPr>
            </w:r>
          </w:p>
        </w:tc>
      </w:tr>
    </w:tbl>
    <w:p>
      <w:pPr>
        <w:pStyle w:val="1012"/>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1053"/>
        <w:ind w:firstLine="420"/>
        <w:keepLines w:val="0"/>
        <w:keepNext w:val="0"/>
        <w:pageBreakBefore w:val="0"/>
        <w:spacing w:line="360" w:lineRule="auto"/>
        <w:rPr>
          <w:rFonts w:hint="eastAsia" w:ascii="宋体" w:hAnsi="宋体" w:eastAsia="宋体" w:cs="宋体"/>
          <w:b/>
          <w:bCs/>
          <w:color w:val="000000" w:themeColor="text1"/>
          <w:highlight w:val="none"/>
        </w:rPr>
      </w:pPr>
      <w:r>
        <w:rPr>
          <w:color w:val="000000" w:themeColor="text1"/>
        </w:rPr>
      </w:r>
      <w:bookmarkStart w:id="52" w:name="_Toc22319"/>
      <w:r>
        <w:rPr>
          <w:rFonts w:hint="eastAsia" w:ascii="宋体" w:hAnsi="宋体" w:eastAsia="宋体" w:cs="宋体"/>
          <w:b/>
          <w:bCs/>
          <w:color w:val="000000" w:themeColor="text1"/>
          <w:highlight w:val="none"/>
          <w:lang w:val="en-US" w:eastAsia="zh-CN"/>
        </w:rPr>
        <w:t xml:space="preserve">2.1.3、无线网络部分</w:t>
      </w:r>
      <w:bookmarkEnd w:id="52"/>
      <w:r>
        <w:rPr>
          <w:rFonts w:hint="eastAsia" w:ascii="宋体" w:hAnsi="宋体" w:eastAsia="宋体" w:cs="宋体"/>
          <w:b/>
          <w:bCs/>
          <w:color w:val="000000" w:themeColor="text1"/>
          <w:highlight w:val="none"/>
        </w:rPr>
      </w:r>
      <w:r>
        <w:rPr>
          <w:color w:val="000000" w:themeColor="text1"/>
        </w:rPr>
      </w:r>
    </w:p>
    <w:p>
      <w:pPr>
        <w:pStyle w:val="1053"/>
        <w:numPr>
          <w:ilvl w:val="0"/>
          <w:numId w:val="0"/>
        </w:numPr>
        <w:rPr>
          <w:rFonts w:hint="eastAsia" w:ascii="宋体" w:hAnsi="宋体" w:eastAsia="宋体" w:cs="宋体"/>
          <w:b/>
          <w:bCs/>
          <w:color w:val="000000" w:themeColor="text1"/>
          <w:sz w:val="28"/>
          <w:szCs w:val="28"/>
          <w:highlight w:val="none"/>
        </w:rPr>
      </w:pPr>
      <w:r>
        <w:rPr>
          <w:color w:val="000000" w:themeColor="text1"/>
        </w:rPr>
      </w:r>
      <w:bookmarkStart w:id="53" w:name="_Toc22417"/>
      <w:r>
        <w:rPr>
          <w:rFonts w:hint="eastAsia" w:ascii="宋体" w:hAnsi="宋体" w:eastAsia="宋体" w:cs="宋体"/>
          <w:b/>
          <w:bCs/>
          <w:color w:val="000000" w:themeColor="text1"/>
          <w:sz w:val="28"/>
          <w:szCs w:val="28"/>
          <w:highlight w:val="none"/>
          <w:lang w:val="en-US" w:eastAsia="zh-CN"/>
        </w:rPr>
        <w:t xml:space="preserve">1.无线控制器</w:t>
      </w:r>
      <w:bookmarkEnd w:id="53"/>
      <w:r>
        <w:rPr>
          <w:rFonts w:hint="eastAsia" w:ascii="宋体" w:hAnsi="宋体" w:eastAsia="宋体" w:cs="宋体"/>
          <w:b/>
          <w:bCs/>
          <w:color w:val="000000" w:themeColor="text1"/>
          <w:sz w:val="28"/>
          <w:szCs w:val="28"/>
          <w:highlight w:val="none"/>
        </w:rPr>
      </w:r>
      <w:r>
        <w:rPr>
          <w:color w:val="000000" w:themeColor="text1"/>
        </w:rPr>
      </w:r>
    </w:p>
    <w:tbl>
      <w:tblPr>
        <w:tblW w:w="9250" w:type="dxa"/>
        <w:tblInd w:w="-2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2419"/>
        <w:gridCol w:w="6831"/>
      </w:tblGrid>
      <w:tr>
        <w:trPr/>
        <w:tc>
          <w:tcPr>
            <w:tcW w:w="2419"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技术指标</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tc>
        <w:tc>
          <w:tcPr>
            <w:tcW w:w="6831"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 </w:t>
            </w:r>
            <w:r>
              <w:rPr>
                <w:rFonts w:hint="eastAsia" w:ascii="宋体" w:hAnsi="宋体" w:eastAsia="宋体" w:cs="宋体"/>
                <w:b/>
                <w:bCs/>
                <w:color w:val="000000" w:themeColor="text1"/>
                <w:sz w:val="24"/>
                <w:szCs w:val="24"/>
                <w:highlight w:val="none"/>
                <w:lang w:val="en-US" w:eastAsia="zh-CN" w:bidi="ar-SA"/>
              </w:rPr>
              <w:t xml:space="preserve">指标要求</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2419"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AP管理规模</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tc>
        <w:tc>
          <w:tcPr>
            <w:tcW w:w="6831"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要求所投产品满足常规AP最大数量≥750。保留足够扩展能力。</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2419"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集中转发性能</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tc>
        <w:tc>
          <w:tcPr>
            <w:tcW w:w="6831"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所投产品集中转发性能≥20Gbps。</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2419"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端口配置</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tc>
        <w:tc>
          <w:tcPr>
            <w:tcW w:w="6831"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提供≥8个千兆GE端口，≥8个千兆SFP端口。</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2419"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CAPWAP IPv6双栈</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tc>
        <w:tc>
          <w:tcPr>
            <w:tcW w:w="6831"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▲CAPWAP 隧道同时支持 IPv4 和 IPv6 双栈，支持用户地址和隧道地址任意选择使用IPv4或IPv6，灵活组合使用。要求投标时投标人提供工信部或具备CMA/CNAS资质的第三方检测机构出具的第三方测试报告。</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2419"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Portal用户分类计费</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tc>
        <w:tc>
          <w:tcPr>
            <w:tcW w:w="6831"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满足Portal用户分类计费功能：AC、AP满足精细化管理认证用户，无线控制器对接入用户（比如Portal认证）进行IPV4、IPv6分类分网段计费。要求投标时投标人提供工信部或具备CMA/CNAS资质的第三方检测机构出具的第三方测试报告。</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2419"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802.1X用户分类计费</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tc>
        <w:tc>
          <w:tcPr>
            <w:tcW w:w="6831"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满足802.1X用户分类计费功能：AC、AP满足精细化管理认证用户，无线控制器对接入用户（比如：802.1X认证）进行IPV4、IPv6分类分网段计费。投标时投标人提供工信部或具备CMA/CNAS资质的第三方检测机构出具的第三方测试报告扫描件并加盖公章。</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2419"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AP授权与电源</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tc>
        <w:tc>
          <w:tcPr>
            <w:tcW w:w="6831"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配置无线AP授权≥158个，双电源。（设备与授权一致）</w:t>
            </w:r>
            <w:r>
              <w:rPr>
                <w:rFonts w:hint="eastAsia" w:ascii="宋体" w:hAnsi="宋体" w:eastAsia="宋体" w:cs="宋体"/>
                <w:color w:val="000000" w:themeColor="text1"/>
                <w:sz w:val="24"/>
                <w:szCs w:val="24"/>
                <w:highlight w:val="none"/>
                <w:lang w:val="en-US" w:eastAsia="zh-CN" w:bidi="ar-SA"/>
              </w:rPr>
            </w:r>
            <w:r>
              <w:rPr>
                <w:color w:val="000000" w:themeColor="text1"/>
              </w:rPr>
            </w:r>
          </w:p>
        </w:tc>
      </w:tr>
    </w:tbl>
    <w:p>
      <w:pPr>
        <w:pStyle w:val="1053"/>
        <w:numPr>
          <w:ilvl w:val="0"/>
          <w:numId w:val="0"/>
        </w:numPr>
        <w:rPr>
          <w:rFonts w:hint="eastAsia" w:ascii="宋体" w:hAnsi="宋体" w:eastAsia="宋体" w:cs="宋体"/>
          <w:b/>
          <w:bCs/>
          <w:color w:val="000000" w:themeColor="text1"/>
          <w:highlight w:val="none"/>
        </w:rPr>
      </w:pPr>
      <w:r>
        <w:rPr>
          <w:color w:val="000000" w:themeColor="text1"/>
        </w:rPr>
      </w:r>
      <w:bookmarkStart w:id="54" w:name="_Toc14141"/>
      <w:r>
        <w:rPr>
          <w:rFonts w:hint="eastAsia" w:ascii="宋体" w:hAnsi="宋体" w:eastAsia="宋体" w:cs="宋体"/>
          <w:b/>
          <w:bCs/>
          <w:color w:val="000000" w:themeColor="text1"/>
          <w:highlight w:val="none"/>
          <w:lang w:val="en-US" w:eastAsia="zh-CN"/>
        </w:rPr>
        <w:t xml:space="preserve">2.吸顶AP</w:t>
      </w:r>
      <w:bookmarkEnd w:id="54"/>
      <w:r>
        <w:rPr>
          <w:rFonts w:hint="eastAsia" w:ascii="宋体" w:hAnsi="宋体" w:eastAsia="宋体" w:cs="宋体"/>
          <w:b/>
          <w:bCs/>
          <w:color w:val="000000" w:themeColor="text1"/>
          <w:highlight w:val="none"/>
        </w:rPr>
      </w:r>
      <w:r>
        <w:rPr>
          <w:color w:val="000000" w:themeColor="text1"/>
        </w:rPr>
      </w:r>
    </w:p>
    <w:tbl>
      <w:tblPr>
        <w:tblW w:w="9250" w:type="dxa"/>
        <w:tblInd w:w="-2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2407"/>
        <w:gridCol w:w="6843"/>
      </w:tblGrid>
      <w:tr>
        <w:trPr/>
        <w:tc>
          <w:tcPr>
            <w:tcW w:w="2407"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技术指标</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tc>
        <w:tc>
          <w:tcPr>
            <w:tcW w:w="6843"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 </w:t>
            </w:r>
            <w:r>
              <w:rPr>
                <w:rFonts w:hint="eastAsia" w:ascii="宋体" w:hAnsi="宋体" w:eastAsia="宋体" w:cs="宋体"/>
                <w:b/>
                <w:bCs/>
                <w:color w:val="000000" w:themeColor="text1"/>
                <w:sz w:val="24"/>
                <w:szCs w:val="24"/>
                <w:highlight w:val="none"/>
                <w:lang w:val="en-US" w:eastAsia="zh-CN" w:bidi="ar-SA"/>
              </w:rPr>
              <w:t xml:space="preserve">指标要求</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2407"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工作模式</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tc>
        <w:tc>
          <w:tcPr>
            <w:tcW w:w="6843"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采用双频4流设计，可工作在802.11a/b/g/n/ac/ac wave2/ax/be模式。</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2407"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接入速率</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tc>
        <w:tc>
          <w:tcPr>
            <w:tcW w:w="6843"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整机接入速率≥6.4Gbps，投标时投标人提供官网截图证明</w:t>
            </w:r>
            <w:r>
              <w:rPr>
                <w:rFonts w:hint="eastAsia" w:ascii="宋体" w:hAnsi="宋体" w:eastAsia="宋体" w:cs="宋体"/>
                <w:color w:val="000000" w:themeColor="text1"/>
                <w:sz w:val="24"/>
                <w:szCs w:val="24"/>
                <w:highlight w:val="none"/>
                <w:lang w:val="en-US" w:eastAsia="zh-CN" w:bidi="ar"/>
              </w:rPr>
              <w:t xml:space="preserve">并</w:t>
            </w:r>
            <w:r>
              <w:rPr>
                <w:rFonts w:hint="eastAsia" w:ascii="宋体" w:hAnsi="宋体" w:eastAsia="宋体" w:cs="宋体"/>
                <w:color w:val="000000" w:themeColor="text1"/>
                <w:sz w:val="24"/>
                <w:szCs w:val="24"/>
                <w:highlight w:val="none"/>
                <w:lang w:val="en-US" w:eastAsia="zh-CN" w:bidi="ar-SA"/>
              </w:rPr>
              <w:t xml:space="preserve">加盖投标人公章。</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2407"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接口配置</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tc>
        <w:tc>
          <w:tcPr>
            <w:tcW w:w="6843"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固化≥2个2.5GE电接口（接口不复用），投标时投标人提供官网截图证明</w:t>
            </w:r>
            <w:r>
              <w:rPr>
                <w:rFonts w:hint="eastAsia" w:ascii="宋体" w:hAnsi="宋体" w:eastAsia="宋体" w:cs="宋体"/>
                <w:color w:val="000000" w:themeColor="text1"/>
                <w:sz w:val="24"/>
                <w:szCs w:val="24"/>
                <w:highlight w:val="none"/>
                <w:lang w:val="en-US" w:eastAsia="zh-CN" w:bidi="ar"/>
              </w:rPr>
              <w:t xml:space="preserve">并</w:t>
            </w:r>
            <w:r>
              <w:rPr>
                <w:rFonts w:hint="eastAsia" w:ascii="宋体" w:hAnsi="宋体" w:eastAsia="宋体" w:cs="宋体"/>
                <w:color w:val="000000" w:themeColor="text1"/>
                <w:sz w:val="24"/>
                <w:szCs w:val="24"/>
                <w:highlight w:val="none"/>
                <w:lang w:val="en-US" w:eastAsia="zh-CN" w:bidi="ar-SA"/>
              </w:rPr>
              <w:t xml:space="preserve">加盖投标人公章。</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2407"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6GHz频段预留</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tc>
        <w:tc>
          <w:tcPr>
            <w:tcW w:w="6843"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为保护资产投资，未来放开6G频段资源，可通过软件切换即可支持6G频段能力，投标时投标人提供官网截图证明</w:t>
            </w:r>
            <w:r>
              <w:rPr>
                <w:rFonts w:hint="eastAsia" w:ascii="宋体" w:hAnsi="宋体" w:eastAsia="宋体" w:cs="宋体"/>
                <w:color w:val="000000" w:themeColor="text1"/>
                <w:sz w:val="24"/>
                <w:szCs w:val="24"/>
                <w:highlight w:val="none"/>
                <w:lang w:val="en-US" w:eastAsia="zh-CN" w:bidi="ar"/>
              </w:rPr>
              <w:t xml:space="preserve">并</w:t>
            </w:r>
            <w:r>
              <w:rPr>
                <w:rFonts w:hint="eastAsia" w:ascii="宋体" w:hAnsi="宋体" w:eastAsia="宋体" w:cs="宋体"/>
                <w:color w:val="000000" w:themeColor="text1"/>
                <w:sz w:val="24"/>
                <w:szCs w:val="24"/>
                <w:highlight w:val="none"/>
                <w:lang w:val="en-US" w:eastAsia="zh-CN" w:bidi="ar-SA"/>
              </w:rPr>
              <w:t xml:space="preserve">加盖投标人公章。</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2407"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物联网扩展</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tc>
        <w:tc>
          <w:tcPr>
            <w:tcW w:w="6843"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满足≥5个外置物联网模块链式扩展。</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2407"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频段切换能力</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tc>
        <w:tc>
          <w:tcPr>
            <w:tcW w:w="6843"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支持5GHz和6GHz频段切换，当前仅开放2.4GHz+5GHz模式，未来频段升级，可无缝切换至2.4GHz+6GHz模式。投标时投标人要求提供工信部或具备CMA/CNAS资质的第三方检测机构出具的第三方测试报告。</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2407"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多用户转发性能</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tc>
        <w:tc>
          <w:tcPr>
            <w:tcW w:w="6843"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使用Wi-Fi7终端接入测试，使用≥90个终端接入AP的多个射频，AP整机多用户的无线转发性能≥800Mbps。要求投标时投标人提供工信部或具备CMA/CNAS资质的第三方检测机构出具的第三方测试报告。</w:t>
            </w:r>
            <w:r>
              <w:rPr>
                <w:rFonts w:hint="eastAsia" w:ascii="宋体" w:hAnsi="宋体" w:eastAsia="宋体" w:cs="宋体"/>
                <w:color w:val="000000" w:themeColor="text1"/>
                <w:sz w:val="24"/>
                <w:szCs w:val="24"/>
                <w:highlight w:val="none"/>
                <w:lang w:val="en-US" w:eastAsia="zh-CN" w:bidi="ar-SA"/>
              </w:rPr>
            </w:r>
            <w:r>
              <w:rPr>
                <w:color w:val="000000" w:themeColor="text1"/>
              </w:rPr>
            </w:r>
          </w:p>
        </w:tc>
      </w:tr>
    </w:tbl>
    <w:p>
      <w:pPr>
        <w:pStyle w:val="1053"/>
        <w:numPr>
          <w:ilvl w:val="0"/>
          <w:numId w:val="0"/>
        </w:numPr>
        <w:rPr>
          <w:rFonts w:hint="eastAsia" w:ascii="宋体" w:hAnsi="宋体" w:eastAsia="宋体" w:cs="宋体"/>
          <w:b/>
          <w:bCs/>
          <w:color w:val="000000" w:themeColor="text1"/>
          <w:highlight w:val="none"/>
        </w:rPr>
      </w:pPr>
      <w:r>
        <w:rPr>
          <w:color w:val="000000" w:themeColor="text1"/>
        </w:rPr>
      </w:r>
      <w:bookmarkStart w:id="55" w:name="_Toc1777"/>
      <w:r>
        <w:rPr>
          <w:rFonts w:hint="eastAsia" w:ascii="宋体" w:hAnsi="宋体" w:eastAsia="宋体" w:cs="宋体"/>
          <w:b/>
          <w:bCs/>
          <w:color w:val="000000" w:themeColor="text1"/>
          <w:highlight w:val="none"/>
          <w:lang w:val="en-US" w:eastAsia="zh-CN"/>
        </w:rPr>
        <w:t xml:space="preserve">3.面板无线AP</w:t>
      </w:r>
      <w:bookmarkEnd w:id="55"/>
      <w:r>
        <w:rPr>
          <w:rFonts w:hint="eastAsia" w:ascii="宋体" w:hAnsi="宋体" w:eastAsia="宋体" w:cs="宋体"/>
          <w:b/>
          <w:bCs/>
          <w:color w:val="000000" w:themeColor="text1"/>
          <w:highlight w:val="none"/>
        </w:rPr>
      </w:r>
      <w:r>
        <w:rPr>
          <w:color w:val="000000" w:themeColor="text1"/>
        </w:rPr>
      </w:r>
    </w:p>
    <w:tbl>
      <w:tblPr>
        <w:tblW w:w="9287" w:type="dxa"/>
        <w:tblInd w:w="-2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2419"/>
        <w:gridCol w:w="6868"/>
      </w:tblGrid>
      <w:tr>
        <w:trPr/>
        <w:tc>
          <w:tcPr>
            <w:tcW w:w="2419"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技术指标</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tc>
        <w:tc>
          <w:tcPr>
            <w:tcW w:w="6868"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 </w:t>
            </w:r>
            <w:r>
              <w:rPr>
                <w:rFonts w:hint="eastAsia" w:ascii="宋体" w:hAnsi="宋体" w:eastAsia="宋体" w:cs="宋体"/>
                <w:b/>
                <w:bCs/>
                <w:color w:val="000000" w:themeColor="text1"/>
                <w:sz w:val="24"/>
                <w:szCs w:val="24"/>
                <w:highlight w:val="none"/>
                <w:lang w:val="en-US" w:eastAsia="zh-CN" w:bidi="ar-SA"/>
              </w:rPr>
              <w:t xml:space="preserve">指标要求</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2419"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工作模式</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tc>
        <w:tc>
          <w:tcPr>
            <w:tcW w:w="6868"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整机采用双频4流设计，可同时工作在802.11a/b/g/n/ac/ac wave2/ax/be模式，投标时投标人提供官网截图证明</w:t>
            </w:r>
            <w:r>
              <w:rPr>
                <w:rFonts w:hint="eastAsia" w:ascii="宋体" w:hAnsi="宋体" w:eastAsia="宋体" w:cs="宋体"/>
                <w:color w:val="000000" w:themeColor="text1"/>
                <w:sz w:val="24"/>
                <w:szCs w:val="24"/>
                <w:highlight w:val="none"/>
                <w:lang w:val="en-US" w:eastAsia="zh-CN" w:bidi="ar"/>
              </w:rPr>
              <w:t xml:space="preserve">并</w:t>
            </w:r>
            <w:r>
              <w:rPr>
                <w:rFonts w:hint="eastAsia" w:ascii="宋体" w:hAnsi="宋体" w:eastAsia="宋体" w:cs="宋体"/>
                <w:color w:val="000000" w:themeColor="text1"/>
                <w:sz w:val="24"/>
                <w:szCs w:val="24"/>
                <w:highlight w:val="none"/>
                <w:lang w:val="en-US" w:eastAsia="zh-CN" w:bidi="ar-SA"/>
              </w:rPr>
              <w:t xml:space="preserve">加盖投标人公章。</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2419"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接入速率</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tc>
        <w:tc>
          <w:tcPr>
            <w:tcW w:w="6868"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整机接入速率3.5Gbps。</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2419"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接口配置</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tc>
        <w:tc>
          <w:tcPr>
            <w:tcW w:w="6868"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≥6个接口，≥1个2.5GE电口，5个100/1000M电口。</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2419"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RJ45透传口</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tc>
        <w:tc>
          <w:tcPr>
            <w:tcW w:w="6868"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支持2个RJ45 透传口，投标时投标人提供官网截图证明</w:t>
            </w:r>
            <w:r>
              <w:rPr>
                <w:rFonts w:hint="eastAsia" w:ascii="宋体" w:hAnsi="宋体" w:eastAsia="宋体" w:cs="宋体"/>
                <w:color w:val="000000" w:themeColor="text1"/>
                <w:sz w:val="24"/>
                <w:szCs w:val="24"/>
                <w:highlight w:val="none"/>
                <w:lang w:val="en-US" w:eastAsia="zh-CN" w:bidi="ar"/>
              </w:rPr>
              <w:t xml:space="preserve">并</w:t>
            </w:r>
            <w:r>
              <w:rPr>
                <w:rFonts w:hint="eastAsia" w:ascii="宋体" w:hAnsi="宋体" w:eastAsia="宋体" w:cs="宋体"/>
                <w:color w:val="000000" w:themeColor="text1"/>
                <w:sz w:val="24"/>
                <w:szCs w:val="24"/>
                <w:highlight w:val="none"/>
                <w:lang w:val="en-US" w:eastAsia="zh-CN" w:bidi="ar-SA"/>
              </w:rPr>
              <w:t xml:space="preserve">加盖投标人公章。</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2419"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单用户极限性能</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tc>
        <w:tc>
          <w:tcPr>
            <w:tcW w:w="6868"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在10米距离下，使用Wi-Fi7终端接入测试，5GHz频段在160MHz频宽下，单用户极限性能可达到1800Mbps以上。在80MHz频宽下，单用户极限性能可达到1000Mbps以上。要求投标时投标人提供工信部或具备CMA/CNAS资质的第三方检测机构出具的第三方测试报告扫描件</w:t>
            </w:r>
            <w:r>
              <w:rPr>
                <w:rFonts w:hint="eastAsia" w:ascii="宋体" w:hAnsi="宋体" w:eastAsia="宋体" w:cs="宋体"/>
                <w:color w:val="000000" w:themeColor="text1"/>
                <w:sz w:val="24"/>
                <w:szCs w:val="24"/>
                <w:highlight w:val="none"/>
                <w:lang w:val="en-US" w:eastAsia="zh-CN" w:bidi="ar"/>
              </w:rPr>
              <w:t xml:space="preserve">并</w:t>
            </w:r>
            <w:r>
              <w:rPr>
                <w:rFonts w:hint="eastAsia" w:ascii="宋体" w:hAnsi="宋体" w:eastAsia="宋体" w:cs="宋体"/>
                <w:color w:val="000000" w:themeColor="text1"/>
                <w:sz w:val="24"/>
                <w:szCs w:val="24"/>
                <w:highlight w:val="none"/>
                <w:lang w:val="en-US" w:eastAsia="zh-CN" w:bidi="ar-SA"/>
              </w:rPr>
              <w:t xml:space="preserve">加盖投标人公章。</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2419"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WLAN上行链路检测</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tc>
        <w:tc>
          <w:tcPr>
            <w:tcW w:w="6868"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WLAN上行链路检测功能，实时监测上行链路的可行性，当上行链路不可达时，将射频关闭，避免终端连接到不可用的网络。当上行链路恢复时，射频自动开启，无线终端可以正常接入。要求投标时投标人提供工信部或具备CMA/CNAS资质的第三方检测机构出具的第三方测试报告扫描件</w:t>
            </w:r>
            <w:r>
              <w:rPr>
                <w:rFonts w:hint="eastAsia" w:ascii="宋体" w:hAnsi="宋体" w:eastAsia="宋体" w:cs="宋体"/>
                <w:color w:val="000000" w:themeColor="text1"/>
                <w:sz w:val="24"/>
                <w:szCs w:val="24"/>
                <w:highlight w:val="none"/>
                <w:lang w:val="en-US" w:eastAsia="zh-CN" w:bidi="ar"/>
              </w:rPr>
              <w:t xml:space="preserve">并</w:t>
            </w:r>
            <w:r>
              <w:rPr>
                <w:rFonts w:hint="eastAsia" w:ascii="宋体" w:hAnsi="宋体" w:eastAsia="宋体" w:cs="宋体"/>
                <w:color w:val="000000" w:themeColor="text1"/>
                <w:sz w:val="24"/>
                <w:szCs w:val="24"/>
                <w:highlight w:val="none"/>
                <w:lang w:val="en-US" w:eastAsia="zh-CN" w:bidi="ar-SA"/>
              </w:rPr>
              <w:t xml:space="preserve">加盖投标人公章。</w:t>
            </w:r>
            <w:r>
              <w:rPr>
                <w:rFonts w:hint="eastAsia" w:ascii="宋体" w:hAnsi="宋体" w:eastAsia="宋体" w:cs="宋体"/>
                <w:color w:val="000000" w:themeColor="text1"/>
                <w:sz w:val="24"/>
                <w:szCs w:val="24"/>
                <w:highlight w:val="none"/>
                <w:lang w:val="en-US" w:eastAsia="zh-CN" w:bidi="ar-SA"/>
              </w:rPr>
            </w:r>
            <w:r>
              <w:rPr>
                <w:color w:val="000000" w:themeColor="text1"/>
              </w:rPr>
            </w:r>
          </w:p>
        </w:tc>
      </w:tr>
    </w:tbl>
    <w:p>
      <w:pPr>
        <w:pStyle w:val="1053"/>
        <w:numPr>
          <w:ilvl w:val="0"/>
          <w:numId w:val="0"/>
        </w:numPr>
        <w:rPr>
          <w:rFonts w:hint="eastAsia" w:ascii="宋体" w:hAnsi="宋体" w:eastAsia="宋体" w:cs="宋体"/>
          <w:b/>
          <w:bCs/>
          <w:color w:val="000000" w:themeColor="text1"/>
          <w:highlight w:val="none"/>
        </w:rPr>
      </w:pPr>
      <w:r>
        <w:rPr>
          <w:color w:val="000000" w:themeColor="text1"/>
        </w:rPr>
      </w:r>
      <w:bookmarkStart w:id="56" w:name="_Toc22557"/>
      <w:r>
        <w:rPr>
          <w:rFonts w:hint="eastAsia" w:ascii="宋体" w:hAnsi="宋体" w:eastAsia="宋体" w:cs="宋体"/>
          <w:b/>
          <w:bCs/>
          <w:color w:val="000000" w:themeColor="text1"/>
          <w:highlight w:val="none"/>
          <w:lang w:val="en-US" w:eastAsia="zh-CN"/>
        </w:rPr>
        <w:t xml:space="preserve">4.高密AP</w:t>
      </w:r>
      <w:bookmarkEnd w:id="56"/>
      <w:r>
        <w:rPr>
          <w:rFonts w:hint="eastAsia" w:ascii="宋体" w:hAnsi="宋体" w:eastAsia="宋体" w:cs="宋体"/>
          <w:b/>
          <w:bCs/>
          <w:color w:val="000000" w:themeColor="text1"/>
          <w:highlight w:val="none"/>
        </w:rPr>
      </w:r>
      <w:r>
        <w:rPr>
          <w:color w:val="000000" w:themeColor="text1"/>
        </w:rPr>
      </w:r>
    </w:p>
    <w:tbl>
      <w:tblPr>
        <w:tblW w:w="9262" w:type="dxa"/>
        <w:tblInd w:w="-2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2419"/>
        <w:gridCol w:w="6843"/>
      </w:tblGrid>
      <w:tr>
        <w:trPr/>
        <w:tc>
          <w:tcPr>
            <w:tcW w:w="2419"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技术指标</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tc>
        <w:tc>
          <w:tcPr>
            <w:tcW w:w="6843"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 </w:t>
            </w:r>
            <w:r>
              <w:rPr>
                <w:rFonts w:hint="eastAsia" w:ascii="宋体" w:hAnsi="宋体" w:eastAsia="宋体" w:cs="宋体"/>
                <w:b/>
                <w:bCs/>
                <w:color w:val="000000" w:themeColor="text1"/>
                <w:sz w:val="24"/>
                <w:szCs w:val="24"/>
                <w:highlight w:val="none"/>
                <w:lang w:val="en-US" w:eastAsia="zh-CN" w:bidi="ar-SA"/>
              </w:rPr>
              <w:t xml:space="preserve">指标要求</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2419"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工作模式</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tc>
        <w:tc>
          <w:tcPr>
            <w:tcW w:w="6843"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整机采用三频6流设计，可工作在802.11a/b/g/n/ac/ac wave2/ax/be模式，投标时投标人提供官网截图证明</w:t>
            </w:r>
            <w:r>
              <w:rPr>
                <w:rFonts w:hint="eastAsia" w:ascii="宋体" w:hAnsi="宋体" w:eastAsia="宋体" w:cs="宋体"/>
                <w:color w:val="000000" w:themeColor="text1"/>
                <w:sz w:val="24"/>
                <w:szCs w:val="24"/>
                <w:highlight w:val="none"/>
                <w:lang w:val="en-US" w:eastAsia="zh-CN" w:bidi="ar"/>
              </w:rPr>
              <w:t xml:space="preserve">并</w:t>
            </w:r>
            <w:r>
              <w:rPr>
                <w:rFonts w:hint="eastAsia" w:ascii="宋体" w:hAnsi="宋体" w:eastAsia="宋体" w:cs="宋体"/>
                <w:color w:val="000000" w:themeColor="text1"/>
                <w:sz w:val="24"/>
                <w:szCs w:val="24"/>
                <w:highlight w:val="none"/>
                <w:lang w:val="en-US" w:eastAsia="zh-CN" w:bidi="ar-SA"/>
              </w:rPr>
              <w:t xml:space="preserve">加盖投标人公章。</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2419"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接入速率</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tc>
        <w:tc>
          <w:tcPr>
            <w:tcW w:w="6843"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整机接入速率≥6.4Gbps。</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2419"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接口配置</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tc>
        <w:tc>
          <w:tcPr>
            <w:tcW w:w="6843"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≥3个可同时使用接口，其中1个2.5G PSFP光口兼容SFP，1个100/1000M/2.5G电口，1个100/1000M电口。</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2419"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物联网扩展</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tc>
        <w:tc>
          <w:tcPr>
            <w:tcW w:w="6843"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▲满足≥5个外置物联网模块链式扩展，要求投标时投标人提供官网截图证明或工信部或具备CMA/CNAS资质的第三方检测机构出具的第三方测试报告扫描件</w:t>
            </w:r>
            <w:r>
              <w:rPr>
                <w:rFonts w:hint="eastAsia" w:ascii="宋体" w:hAnsi="宋体" w:eastAsia="宋体" w:cs="宋体"/>
                <w:color w:val="000000" w:themeColor="text1"/>
                <w:sz w:val="24"/>
                <w:szCs w:val="24"/>
                <w:highlight w:val="none"/>
                <w:lang w:val="en-US" w:eastAsia="zh-CN" w:bidi="ar"/>
              </w:rPr>
              <w:t xml:space="preserve">并</w:t>
            </w:r>
            <w:r>
              <w:rPr>
                <w:rFonts w:hint="eastAsia" w:ascii="宋体" w:hAnsi="宋体" w:eastAsia="宋体" w:cs="宋体"/>
                <w:color w:val="000000" w:themeColor="text1"/>
                <w:sz w:val="24"/>
                <w:szCs w:val="24"/>
                <w:highlight w:val="none"/>
                <w:lang w:val="en-US" w:eastAsia="zh-CN" w:bidi="ar-SA"/>
              </w:rPr>
              <w:t xml:space="preserve">加盖投标人公章。</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2419"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光口电口上行与链路备份</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tc>
        <w:tc>
          <w:tcPr>
            <w:tcW w:w="6843"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设备支持光口和电口同时上行，且支持链路备份能力，要求投标时投标人提供工信部或具备CMA/CNAS资质的第三方检测机构出具的第三方测试报告证明。</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2419"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MLO多频段链路聚合</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tc>
        <w:tc>
          <w:tcPr>
            <w:tcW w:w="6843"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支持MLO多频段链路聚合，终端最大接入性能≥2200Mbps。要求投标时投标人提供工信部或具备CMA/CNAS资质的第三方检测机构出具的第三方测试报告。</w:t>
            </w:r>
            <w:r>
              <w:rPr>
                <w:rFonts w:hint="eastAsia" w:ascii="宋体" w:hAnsi="宋体" w:eastAsia="宋体" w:cs="宋体"/>
                <w:color w:val="000000" w:themeColor="text1"/>
                <w:sz w:val="24"/>
                <w:szCs w:val="24"/>
                <w:highlight w:val="none"/>
                <w:lang w:val="en-US" w:eastAsia="zh-CN" w:bidi="ar-SA"/>
              </w:rPr>
            </w:r>
            <w:r>
              <w:rPr>
                <w:color w:val="000000" w:themeColor="text1"/>
              </w:rPr>
            </w:r>
          </w:p>
        </w:tc>
      </w:tr>
    </w:tbl>
    <w:p>
      <w:pPr>
        <w:pStyle w:val="1053"/>
        <w:numPr>
          <w:ilvl w:val="0"/>
          <w:numId w:val="13"/>
        </w:numPr>
        <w:ind w:left="-200"/>
        <w:rPr>
          <w:rFonts w:hint="eastAsia" w:ascii="宋体" w:hAnsi="宋体" w:eastAsia="宋体" w:cs="宋体"/>
          <w:b/>
          <w:bCs/>
          <w:color w:val="000000" w:themeColor="text1"/>
          <w:highlight w:val="none"/>
        </w:rPr>
      </w:pPr>
      <w:r>
        <w:rPr>
          <w:color w:val="000000" w:themeColor="text1"/>
        </w:rPr>
      </w:r>
      <w:bookmarkStart w:id="57" w:name="_Toc15988"/>
      <w:r>
        <w:rPr>
          <w:rFonts w:hint="eastAsia" w:ascii="宋体" w:hAnsi="宋体" w:eastAsia="宋体" w:cs="宋体"/>
          <w:b/>
          <w:bCs/>
          <w:color w:val="000000" w:themeColor="text1"/>
          <w:highlight w:val="none"/>
          <w:lang w:val="en-US" w:eastAsia="zh-CN"/>
        </w:rPr>
        <w:t xml:space="preserve"> 24口POE供电交换机</w:t>
      </w:r>
      <w:bookmarkEnd w:id="57"/>
      <w:r>
        <w:rPr>
          <w:rFonts w:hint="eastAsia" w:ascii="宋体" w:hAnsi="宋体" w:eastAsia="宋体" w:cs="宋体"/>
          <w:b/>
          <w:bCs/>
          <w:color w:val="000000" w:themeColor="text1"/>
          <w:highlight w:val="none"/>
        </w:rPr>
      </w:r>
      <w:r>
        <w:rPr>
          <w:color w:val="000000" w:themeColor="text1"/>
        </w:rPr>
      </w:r>
    </w:p>
    <w:tbl>
      <w:tblPr>
        <w:tblW w:w="9250" w:type="dxa"/>
        <w:tblInd w:w="-2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2419"/>
        <w:gridCol w:w="6831"/>
      </w:tblGrid>
      <w:tr>
        <w:trPr>
          <w:tblHeader/>
        </w:trPr>
        <w:tc>
          <w:tcPr>
            <w:tcW w:w="2419"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技术指标</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6831"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 </w:t>
            </w:r>
            <w:r>
              <w:rPr>
                <w:rFonts w:hint="eastAsia" w:ascii="宋体" w:hAnsi="宋体" w:eastAsia="宋体" w:cs="宋体"/>
                <w:b/>
                <w:bCs/>
                <w:color w:val="000000" w:themeColor="text1"/>
                <w:sz w:val="24"/>
                <w:szCs w:val="24"/>
                <w:highlight w:val="none"/>
                <w:lang w:val="en-US" w:eastAsia="zh-CN" w:bidi="ar-SA"/>
              </w:rPr>
              <w:t xml:space="preserve">指标要求</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2419"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性能指标</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tc>
        <w:tc>
          <w:tcPr>
            <w:tcW w:w="6831"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▲交换容量≥670Gbps，包转发率≥170Mpps，以官网公布的最小值为准，投标时投标人提供官网截图及链接证明</w:t>
            </w:r>
            <w:r>
              <w:rPr>
                <w:rFonts w:hint="eastAsia" w:ascii="宋体" w:hAnsi="宋体" w:eastAsia="宋体" w:cs="宋体"/>
                <w:color w:val="000000" w:themeColor="text1"/>
                <w:sz w:val="24"/>
                <w:szCs w:val="24"/>
                <w:highlight w:val="none"/>
                <w:lang w:val="en-US" w:eastAsia="zh-CN" w:bidi="ar"/>
              </w:rPr>
              <w:t xml:space="preserve">并</w:t>
            </w:r>
            <w:r>
              <w:rPr>
                <w:rFonts w:hint="eastAsia" w:ascii="宋体" w:hAnsi="宋体" w:eastAsia="宋体" w:cs="宋体"/>
                <w:color w:val="000000" w:themeColor="text1"/>
                <w:sz w:val="24"/>
                <w:szCs w:val="24"/>
                <w:highlight w:val="none"/>
                <w:lang w:val="en-US" w:eastAsia="zh-CN" w:bidi="ar-SA"/>
              </w:rPr>
              <w:t xml:space="preserve">加盖投标人公章。</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2419"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端口配置</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tc>
        <w:tc>
          <w:tcPr>
            <w:tcW w:w="6831"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配置千兆电口≥24个 PoE+电口，万兆光口≥4个，2个万兆单模光模块。</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2419"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N:1虚拟化</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tc>
        <w:tc>
          <w:tcPr>
            <w:tcW w:w="6831"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支持N:1虚拟化技术（多台物理设备虚拟成一台逻辑交换机，简化网络管理且提高可靠性），投标时投标人提供官网截图</w:t>
            </w:r>
            <w:r>
              <w:rPr>
                <w:rFonts w:hint="eastAsia" w:ascii="宋体" w:hAnsi="宋体" w:eastAsia="宋体" w:cs="宋体"/>
                <w:color w:val="000000" w:themeColor="text1"/>
                <w:sz w:val="24"/>
                <w:szCs w:val="24"/>
                <w:highlight w:val="none"/>
                <w:lang w:val="en-US" w:eastAsia="zh-CN" w:bidi="ar"/>
              </w:rPr>
              <w:t xml:space="preserve">并</w:t>
            </w:r>
            <w:r>
              <w:rPr>
                <w:rFonts w:hint="eastAsia" w:ascii="宋体" w:hAnsi="宋体" w:eastAsia="宋体" w:cs="宋体"/>
                <w:color w:val="000000" w:themeColor="text1"/>
                <w:sz w:val="24"/>
                <w:szCs w:val="24"/>
                <w:highlight w:val="none"/>
                <w:lang w:val="en-US" w:eastAsia="zh-CN" w:bidi="ar-SA"/>
              </w:rPr>
              <w:t xml:space="preserve">加盖投标人公章。</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2419"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路由协议</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tc>
        <w:tc>
          <w:tcPr>
            <w:tcW w:w="6831"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支持静态路由、RIP、OSPF。</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2419"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OpenFlow支持</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tc>
        <w:tc>
          <w:tcPr>
            <w:tcW w:w="6831"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支持OpenFlow 1.3标准，投标时投标人提供官网截图</w:t>
            </w:r>
            <w:r>
              <w:rPr>
                <w:rFonts w:hint="eastAsia" w:ascii="宋体" w:hAnsi="宋体" w:eastAsia="宋体" w:cs="宋体"/>
                <w:color w:val="000000" w:themeColor="text1"/>
                <w:sz w:val="24"/>
                <w:szCs w:val="24"/>
                <w:highlight w:val="none"/>
                <w:lang w:val="en-US" w:eastAsia="zh-CN" w:bidi="ar"/>
              </w:rPr>
              <w:t xml:space="preserve">并</w:t>
            </w:r>
            <w:r>
              <w:rPr>
                <w:rFonts w:hint="eastAsia" w:ascii="宋体" w:hAnsi="宋体" w:eastAsia="宋体" w:cs="宋体"/>
                <w:color w:val="000000" w:themeColor="text1"/>
                <w:sz w:val="24"/>
                <w:szCs w:val="24"/>
                <w:highlight w:val="none"/>
                <w:lang w:val="en-US" w:eastAsia="zh-CN" w:bidi="ar-SA"/>
              </w:rPr>
              <w:t xml:space="preserve">加盖投标人公章。</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2419"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防雷功能</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tc>
        <w:tc>
          <w:tcPr>
            <w:tcW w:w="6831"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支持业务端口10KV防雷功能，投标时投标人提供官网截图</w:t>
            </w:r>
            <w:r>
              <w:rPr>
                <w:rFonts w:hint="eastAsia" w:ascii="宋体" w:hAnsi="宋体" w:eastAsia="宋体" w:cs="宋体"/>
                <w:color w:val="000000" w:themeColor="text1"/>
                <w:sz w:val="24"/>
                <w:szCs w:val="24"/>
                <w:highlight w:val="none"/>
                <w:lang w:val="en-US" w:eastAsia="zh-CN" w:bidi="ar"/>
              </w:rPr>
              <w:t xml:space="preserve">并</w:t>
            </w:r>
            <w:r>
              <w:rPr>
                <w:rFonts w:hint="eastAsia" w:ascii="宋体" w:hAnsi="宋体" w:eastAsia="宋体" w:cs="宋体"/>
                <w:color w:val="000000" w:themeColor="text1"/>
                <w:sz w:val="24"/>
                <w:szCs w:val="24"/>
                <w:highlight w:val="none"/>
                <w:lang w:val="en-US" w:eastAsia="zh-CN" w:bidi="ar-SA"/>
              </w:rPr>
              <w:t xml:space="preserve">加盖投标人公章。</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2419"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环网协议</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tc>
        <w:tc>
          <w:tcPr>
            <w:tcW w:w="6831"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支持G.8032以太网环网协议。</w:t>
            </w:r>
            <w:r>
              <w:rPr>
                <w:rFonts w:hint="eastAsia" w:ascii="宋体" w:hAnsi="宋体" w:eastAsia="宋体" w:cs="宋体"/>
                <w:color w:val="000000" w:themeColor="text1"/>
                <w:sz w:val="24"/>
                <w:szCs w:val="24"/>
                <w:highlight w:val="none"/>
                <w:lang w:val="en-US" w:eastAsia="zh-CN" w:bidi="ar-SA"/>
              </w:rPr>
            </w:r>
            <w:r>
              <w:rPr>
                <w:color w:val="000000" w:themeColor="text1"/>
              </w:rPr>
            </w:r>
          </w:p>
        </w:tc>
      </w:tr>
    </w:tbl>
    <w:p>
      <w:pPr>
        <w:pStyle w:val="1053"/>
        <w:numPr>
          <w:ilvl w:val="0"/>
          <w:numId w:val="13"/>
        </w:numPr>
        <w:ind w:left="-200" w:firstLine="200"/>
        <w:rPr>
          <w:rFonts w:hint="eastAsia" w:ascii="宋体" w:hAnsi="宋体" w:eastAsia="宋体" w:cs="宋体"/>
          <w:b/>
          <w:bCs/>
          <w:color w:val="000000" w:themeColor="text1"/>
          <w:highlight w:val="none"/>
        </w:rPr>
      </w:pPr>
      <w:r>
        <w:rPr>
          <w:color w:val="000000" w:themeColor="text1"/>
        </w:rPr>
      </w:r>
      <w:bookmarkStart w:id="58" w:name="_Toc28108"/>
      <w:r>
        <w:rPr>
          <w:rFonts w:hint="eastAsia" w:ascii="宋体" w:hAnsi="宋体" w:eastAsia="宋体" w:cs="宋体"/>
          <w:b/>
          <w:bCs/>
          <w:color w:val="000000" w:themeColor="text1"/>
          <w:highlight w:val="none"/>
          <w:lang w:val="en-US" w:eastAsia="zh-CN"/>
        </w:rPr>
        <w:t xml:space="preserve"> 8口POE供电交换机</w:t>
      </w:r>
      <w:bookmarkEnd w:id="58"/>
      <w:r>
        <w:rPr>
          <w:rFonts w:hint="eastAsia" w:ascii="宋体" w:hAnsi="宋体" w:eastAsia="宋体" w:cs="宋体"/>
          <w:b/>
          <w:bCs/>
          <w:color w:val="000000" w:themeColor="text1"/>
          <w:highlight w:val="none"/>
        </w:rPr>
      </w:r>
      <w:r>
        <w:rPr>
          <w:color w:val="000000" w:themeColor="text1"/>
        </w:rPr>
      </w:r>
    </w:p>
    <w:tbl>
      <w:tblPr>
        <w:tblW w:w="9238" w:type="dxa"/>
        <w:tblInd w:w="-2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2407"/>
        <w:gridCol w:w="6831"/>
      </w:tblGrid>
      <w:tr>
        <w:trPr>
          <w:tblHeader/>
        </w:trPr>
        <w:tc>
          <w:tcPr>
            <w:tcW w:w="2407"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技术指标</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6831"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 </w:t>
            </w:r>
            <w:r>
              <w:rPr>
                <w:rFonts w:hint="eastAsia" w:ascii="宋体" w:hAnsi="宋体" w:eastAsia="宋体" w:cs="宋体"/>
                <w:b/>
                <w:bCs/>
                <w:color w:val="000000" w:themeColor="text1"/>
                <w:sz w:val="24"/>
                <w:szCs w:val="24"/>
                <w:highlight w:val="none"/>
                <w:lang w:val="en-US" w:eastAsia="zh-CN" w:bidi="ar-SA"/>
              </w:rPr>
              <w:t xml:space="preserve">指标要求</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2407"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性能指标</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tc>
        <w:tc>
          <w:tcPr>
            <w:tcW w:w="6831"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交换容量≥670Gbps，包转发率≥120Mpps（以官网公布的最小值为准，投标时投标人提供官网截图及链接证明</w:t>
            </w:r>
            <w:r>
              <w:rPr>
                <w:rFonts w:hint="eastAsia" w:ascii="宋体" w:hAnsi="宋体" w:eastAsia="宋体" w:cs="宋体"/>
                <w:color w:val="000000" w:themeColor="text1"/>
                <w:sz w:val="24"/>
                <w:szCs w:val="24"/>
                <w:highlight w:val="none"/>
                <w:lang w:val="en-US" w:eastAsia="zh-CN" w:bidi="ar"/>
              </w:rPr>
              <w:t xml:space="preserve">并</w:t>
            </w:r>
            <w:r>
              <w:rPr>
                <w:rFonts w:hint="eastAsia" w:ascii="宋体" w:hAnsi="宋体" w:eastAsia="宋体" w:cs="宋体"/>
                <w:color w:val="000000" w:themeColor="text1"/>
                <w:sz w:val="24"/>
                <w:szCs w:val="24"/>
                <w:highlight w:val="none"/>
                <w:lang w:val="en-US" w:eastAsia="zh-CN" w:bidi="ar-SA"/>
              </w:rPr>
              <w:t xml:space="preserve">加盖投标人公章）。</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2407"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端口配置</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tc>
        <w:tc>
          <w:tcPr>
            <w:tcW w:w="6831"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配置千兆电口≥8个 PoE+电口，万兆光口≥2个，配置2个万兆单模光模块。</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2407"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路由协议</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tc>
        <w:tc>
          <w:tcPr>
            <w:tcW w:w="6831"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支持静态路由、RIP、OSPF。</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2407"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OpenFlow支持</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tc>
        <w:tc>
          <w:tcPr>
            <w:tcW w:w="6831"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支持OpenFlow 1.3标准，投标时投标人提供官网截图</w:t>
            </w:r>
            <w:r>
              <w:rPr>
                <w:rFonts w:hint="eastAsia" w:ascii="宋体" w:hAnsi="宋体" w:eastAsia="宋体" w:cs="宋体"/>
                <w:color w:val="000000" w:themeColor="text1"/>
                <w:sz w:val="24"/>
                <w:szCs w:val="24"/>
                <w:highlight w:val="none"/>
                <w:lang w:val="en-US" w:eastAsia="zh-CN" w:bidi="ar"/>
              </w:rPr>
              <w:t xml:space="preserve">并</w:t>
            </w:r>
            <w:r>
              <w:rPr>
                <w:rFonts w:hint="eastAsia" w:ascii="宋体" w:hAnsi="宋体" w:eastAsia="宋体" w:cs="宋体"/>
                <w:color w:val="000000" w:themeColor="text1"/>
                <w:sz w:val="24"/>
                <w:szCs w:val="24"/>
                <w:highlight w:val="none"/>
                <w:lang w:val="en-US" w:eastAsia="zh-CN" w:bidi="ar-SA"/>
              </w:rPr>
              <w:t xml:space="preserve">加盖投标人公章。</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2407"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环网协议</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tc>
        <w:tc>
          <w:tcPr>
            <w:tcW w:w="6831"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支持G.8032以太网环网协议。</w:t>
            </w:r>
            <w:r>
              <w:rPr>
                <w:rFonts w:hint="eastAsia" w:ascii="宋体" w:hAnsi="宋体" w:eastAsia="宋体" w:cs="宋体"/>
                <w:color w:val="000000" w:themeColor="text1"/>
                <w:sz w:val="24"/>
                <w:szCs w:val="24"/>
                <w:highlight w:val="none"/>
                <w:lang w:val="en-US" w:eastAsia="zh-CN" w:bidi="ar-SA"/>
              </w:rPr>
            </w:r>
            <w:r>
              <w:rPr>
                <w:color w:val="000000" w:themeColor="text1"/>
              </w:rPr>
            </w:r>
          </w:p>
        </w:tc>
      </w:tr>
    </w:tbl>
    <w:p>
      <w:pPr>
        <w:pStyle w:val="1053"/>
        <w:numPr>
          <w:ilvl w:val="0"/>
          <w:numId w:val="0"/>
        </w:numPr>
        <w:rPr>
          <w:rFonts w:hint="eastAsia" w:ascii="宋体" w:hAnsi="宋体" w:eastAsia="宋体" w:cs="宋体"/>
          <w:b/>
          <w:bCs/>
          <w:color w:val="000000" w:themeColor="text1"/>
          <w:highlight w:val="none"/>
        </w:rPr>
      </w:pPr>
      <w:r>
        <w:rPr>
          <w:color w:val="000000" w:themeColor="text1"/>
        </w:rPr>
      </w:r>
      <w:bookmarkStart w:id="59" w:name="_Toc10458"/>
      <w:r>
        <w:rPr>
          <w:rFonts w:hint="eastAsia" w:ascii="宋体" w:hAnsi="宋体" w:eastAsia="宋体" w:cs="宋体"/>
          <w:b/>
          <w:bCs/>
          <w:color w:val="000000" w:themeColor="text1"/>
          <w:highlight w:val="none"/>
          <w:lang w:val="en-US" w:eastAsia="zh-CN"/>
        </w:rPr>
        <w:t xml:space="preserve">7.六类双绞线</w:t>
      </w:r>
      <w:bookmarkEnd w:id="59"/>
      <w:r>
        <w:rPr>
          <w:rFonts w:hint="eastAsia" w:ascii="宋体" w:hAnsi="宋体" w:eastAsia="宋体" w:cs="宋体"/>
          <w:b/>
          <w:bCs/>
          <w:color w:val="000000" w:themeColor="text1"/>
          <w:highlight w:val="none"/>
        </w:rPr>
      </w:r>
      <w:r>
        <w:rPr>
          <w:color w:val="000000" w:themeColor="text1"/>
        </w:rPr>
      </w:r>
    </w:p>
    <w:tbl>
      <w:tblPr>
        <w:tblW w:w="9225" w:type="dxa"/>
        <w:tblInd w:w="-2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2394"/>
        <w:gridCol w:w="6831"/>
      </w:tblGrid>
      <w:tr>
        <w:trPr>
          <w:tblHeader/>
        </w:trPr>
        <w:tc>
          <w:tcPr>
            <w:tcW w:w="2394"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技术指标</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6831"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 </w:t>
            </w:r>
            <w:r>
              <w:rPr>
                <w:rFonts w:hint="eastAsia" w:ascii="宋体" w:hAnsi="宋体" w:eastAsia="宋体" w:cs="宋体"/>
                <w:b/>
                <w:bCs/>
                <w:color w:val="000000" w:themeColor="text1"/>
                <w:sz w:val="24"/>
                <w:szCs w:val="24"/>
                <w:highlight w:val="none"/>
                <w:lang w:val="en-US" w:eastAsia="zh-CN" w:bidi="ar-SA"/>
              </w:rPr>
              <w:t xml:space="preserve">指标要求</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2394"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线缆类型标准</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tc>
        <w:tc>
          <w:tcPr>
            <w:tcW w:w="6831" w:type="dxa"/>
            <w:vAlign w:val="center"/>
            <w:textDirection w:val="lrTb"/>
            <w:noWrap w:val="false"/>
          </w:tcPr>
          <w:p>
            <w:pPr>
              <w:pStyle w:val="1012"/>
              <w:ind w:firstLine="200"/>
              <w:jc w:val="both"/>
              <w:spacing w:before="100" w:after="100"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六类非屏蔽4对室内线缆，护套采用聚氯乙烯材料（PVC）材质，放射性有害金属控制在国际最严格标准内。</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2394"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阻抗标准和带宽</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tc>
        <w:tc>
          <w:tcPr>
            <w:tcW w:w="6831"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(f=1-250MHz)100±15%Ω .物理带宽不低于250MHz，传输速率：1000Mbps 。</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2394"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导体材料和直径标准</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tc>
        <w:tc>
          <w:tcPr>
            <w:tcW w:w="6831"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无氧圆铜线（纯度99.99%）23AWG   0.57±0.02mm。</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2394"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导体直流电阻</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tc>
        <w:tc>
          <w:tcPr>
            <w:tcW w:w="6831" w:type="dxa"/>
            <w:vAlign w:val="center"/>
            <w:textDirection w:val="lrTb"/>
            <w:noWrap w:val="false"/>
          </w:tcPr>
          <w:p>
            <w:pPr>
              <w:pStyle w:val="1012"/>
              <w:ind w:firstLine="200"/>
              <w:jc w:val="both"/>
              <w:spacing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最大导体直流电阻：≤7.55Ω/100m(@20℃)、最大时延差异：≤7.55Ω/100m、最大时延差异：45ns/100m(1-250MHz)。</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2394"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质量证明报告</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tc>
        <w:tc>
          <w:tcPr>
            <w:tcW w:w="6831" w:type="dxa"/>
            <w:vAlign w:val="center"/>
            <w:textDirection w:val="lrTb"/>
            <w:noWrap w:val="false"/>
          </w:tcPr>
          <w:p>
            <w:pPr>
              <w:pStyle w:val="1012"/>
              <w:ind w:firstLine="200"/>
              <w:jc w:val="both"/>
              <w:spacing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投标人提供国家权威检测部门报告，报告内容须提供具有30项以上检测内容的证明文件及第三方信道以及永久链路检测报告、第三方六节点信道及永久链路检测报告。网线须通过CE、ROHS、FCC、REACH等认证，并提供认证扫描件加盖投标人公章。</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2394"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品质保证</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tc>
        <w:tc>
          <w:tcPr>
            <w:tcW w:w="6831" w:type="dxa"/>
            <w:vAlign w:val="center"/>
            <w:textDirection w:val="lrTb"/>
            <w:noWrap w:val="false"/>
          </w:tcPr>
          <w:p>
            <w:pPr>
              <w:pStyle w:val="1012"/>
              <w:ind w:firstLine="200"/>
              <w:jc w:val="both"/>
              <w:spacing w:before="100" w:after="100"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选用高质量的材料制成，保证25年性能不变 。</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2394"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网线易用性</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tc>
        <w:tc>
          <w:tcPr>
            <w:tcW w:w="6831" w:type="dxa"/>
            <w:vAlign w:val="center"/>
            <w:textDirection w:val="lrTb"/>
            <w:noWrap w:val="false"/>
          </w:tcPr>
          <w:p>
            <w:pPr>
              <w:pStyle w:val="1012"/>
              <w:ind w:firstLine="200"/>
              <w:jc w:val="both"/>
              <w:spacing w:before="100" w:after="100"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小的外径，安装时不易扭绞和卡住，最小弯曲半径不高于4倍电缆外径</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2394"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生产标准</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tc>
        <w:tc>
          <w:tcPr>
            <w:tcW w:w="6831" w:type="dxa"/>
            <w:vAlign w:val="center"/>
            <w:textDirection w:val="lrTb"/>
            <w:noWrap w:val="false"/>
          </w:tcPr>
          <w:p>
            <w:pPr>
              <w:pStyle w:val="1012"/>
              <w:ind w:firstLine="200"/>
              <w:jc w:val="both"/>
              <w:spacing w:before="100" w:after="100"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符合标准：YD/T 1019-2023。GB/T50311-2016.GB/T50312-2016.ANSI/TIA-568.2-D-2018.ISO/IEC11801.YD/T926-2019.GB/T18380.12-2022。IEC60332-1-2</w:t>
            </w:r>
            <w:r>
              <w:rPr>
                <w:rFonts w:hint="eastAsia" w:ascii="宋体" w:hAnsi="宋体" w:eastAsia="宋体" w:cs="宋体"/>
                <w:color w:val="000000" w:themeColor="text1"/>
                <w:sz w:val="24"/>
                <w:szCs w:val="24"/>
                <w:highlight w:val="none"/>
                <w:lang w:val="en-US" w:eastAsia="zh-CN" w:bidi="ar-SA"/>
              </w:rPr>
            </w:r>
            <w:r>
              <w:rPr>
                <w:color w:val="000000" w:themeColor="text1"/>
              </w:rPr>
            </w:r>
          </w:p>
        </w:tc>
      </w:tr>
    </w:tbl>
    <w:p>
      <w:pPr>
        <w:pStyle w:val="1012"/>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p>
    <w:p>
      <w:pPr>
        <w:pStyle w:val="1053"/>
        <w:numPr>
          <w:ilvl w:val="0"/>
          <w:numId w:val="0"/>
        </w:numPr>
        <w:rPr>
          <w:rFonts w:hint="eastAsia" w:ascii="宋体" w:hAnsi="宋体" w:eastAsia="宋体" w:cs="宋体"/>
          <w:b/>
          <w:bCs/>
          <w:color w:val="000000" w:themeColor="text1"/>
          <w:highlight w:val="none"/>
        </w:rPr>
      </w:pPr>
      <w:r>
        <w:rPr>
          <w:color w:val="000000" w:themeColor="text1"/>
        </w:rPr>
      </w:r>
      <w:bookmarkStart w:id="60" w:name="_Toc3040"/>
      <w:r>
        <w:rPr>
          <w:rFonts w:hint="eastAsia" w:ascii="宋体" w:hAnsi="宋体" w:eastAsia="宋体" w:cs="宋体"/>
          <w:b/>
          <w:bCs/>
          <w:color w:val="000000" w:themeColor="text1"/>
          <w:highlight w:val="none"/>
          <w:lang w:val="en-US" w:eastAsia="zh-CN"/>
        </w:rPr>
        <w:t xml:space="preserve">8.PVC线槽、桥架、电源线等辅助材料</w:t>
      </w:r>
      <w:bookmarkEnd w:id="60"/>
      <w:r>
        <w:rPr>
          <w:rFonts w:hint="eastAsia" w:ascii="宋体" w:hAnsi="宋体" w:eastAsia="宋体" w:cs="宋体"/>
          <w:b/>
          <w:bCs/>
          <w:color w:val="000000" w:themeColor="text1"/>
          <w:highlight w:val="none"/>
        </w:rPr>
      </w:r>
      <w:r>
        <w:rPr>
          <w:color w:val="000000" w:themeColor="text1"/>
        </w:rPr>
      </w:r>
    </w:p>
    <w:tbl>
      <w:tblPr>
        <w:tblW w:w="9263" w:type="dxa"/>
        <w:tblInd w:w="-2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2407"/>
        <w:gridCol w:w="6856"/>
      </w:tblGrid>
      <w:tr>
        <w:trPr>
          <w:tblHeader/>
        </w:trPr>
        <w:tc>
          <w:tcPr>
            <w:tcW w:w="2407"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技术指标</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6856"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 </w:t>
            </w:r>
            <w:r>
              <w:rPr>
                <w:rFonts w:hint="eastAsia" w:ascii="宋体" w:hAnsi="宋体" w:eastAsia="宋体" w:cs="宋体"/>
                <w:b/>
                <w:bCs/>
                <w:color w:val="000000" w:themeColor="text1"/>
                <w:sz w:val="24"/>
                <w:szCs w:val="24"/>
                <w:highlight w:val="none"/>
                <w:lang w:val="en-US" w:eastAsia="zh-CN" w:bidi="ar-SA"/>
              </w:rPr>
              <w:t xml:space="preserve">指标要求</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2407"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性能标准</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tc>
        <w:tc>
          <w:tcPr>
            <w:tcW w:w="6856"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国标产品</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2407"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证明材料</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tc>
        <w:tc>
          <w:tcPr>
            <w:tcW w:w="6856"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投标人提供第三方权威部门出具的链路检测报告扫描件</w:t>
            </w:r>
            <w:r>
              <w:rPr>
                <w:rFonts w:hint="eastAsia" w:ascii="宋体" w:hAnsi="宋体" w:eastAsia="宋体" w:cs="宋体"/>
                <w:color w:val="000000" w:themeColor="text1"/>
                <w:sz w:val="24"/>
                <w:szCs w:val="24"/>
                <w:highlight w:val="none"/>
                <w:lang w:val="en-US" w:eastAsia="zh-CN" w:bidi="ar"/>
              </w:rPr>
              <w:t xml:space="preserve">并</w:t>
            </w:r>
            <w:r>
              <w:rPr>
                <w:rFonts w:hint="eastAsia" w:ascii="宋体" w:hAnsi="宋体" w:eastAsia="宋体" w:cs="宋体"/>
                <w:color w:val="000000" w:themeColor="text1"/>
                <w:sz w:val="24"/>
                <w:szCs w:val="24"/>
                <w:highlight w:val="none"/>
                <w:lang w:val="en-US" w:eastAsia="zh-CN" w:bidi="ar-SA"/>
              </w:rPr>
              <w:t xml:space="preserve">加盖投标人公章。</w:t>
            </w:r>
            <w:r>
              <w:rPr>
                <w:rFonts w:hint="eastAsia" w:ascii="宋体" w:hAnsi="宋体" w:eastAsia="宋体" w:cs="宋体"/>
                <w:color w:val="000000" w:themeColor="text1"/>
                <w:sz w:val="24"/>
                <w:szCs w:val="24"/>
                <w:highlight w:val="none"/>
                <w:lang w:val="en-US" w:eastAsia="zh-CN" w:bidi="ar-SA"/>
              </w:rPr>
            </w:r>
            <w:r>
              <w:rPr>
                <w:color w:val="000000" w:themeColor="text1"/>
              </w:rPr>
            </w:r>
          </w:p>
        </w:tc>
      </w:tr>
    </w:tbl>
    <w:p>
      <w:pPr>
        <w:pStyle w:val="1012"/>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p>
    <w:p>
      <w:pPr>
        <w:pStyle w:val="1053"/>
        <w:numPr>
          <w:ilvl w:val="0"/>
          <w:numId w:val="0"/>
        </w:numPr>
        <w:rPr>
          <w:rFonts w:hint="eastAsia" w:ascii="宋体" w:hAnsi="宋体" w:eastAsia="宋体" w:cs="宋体"/>
          <w:b/>
          <w:bCs/>
          <w:color w:val="000000" w:themeColor="text1"/>
          <w:highlight w:val="none"/>
        </w:rPr>
      </w:pPr>
      <w:r>
        <w:rPr>
          <w:color w:val="000000" w:themeColor="text1"/>
        </w:rPr>
      </w:r>
      <w:bookmarkStart w:id="61" w:name="_Toc6123"/>
      <w:r>
        <w:rPr>
          <w:rFonts w:hint="eastAsia" w:ascii="宋体" w:hAnsi="宋体" w:eastAsia="宋体" w:cs="宋体"/>
          <w:b/>
          <w:bCs/>
          <w:color w:val="000000" w:themeColor="text1"/>
          <w:highlight w:val="none"/>
          <w:lang w:val="en-US" w:eastAsia="zh-CN"/>
        </w:rPr>
        <w:t xml:space="preserve">9.光跳线</w:t>
      </w:r>
      <w:bookmarkEnd w:id="61"/>
      <w:r>
        <w:rPr>
          <w:rFonts w:hint="eastAsia" w:ascii="宋体" w:hAnsi="宋体" w:eastAsia="宋体" w:cs="宋体"/>
          <w:b/>
          <w:bCs/>
          <w:color w:val="000000" w:themeColor="text1"/>
          <w:highlight w:val="none"/>
        </w:rPr>
      </w:r>
      <w:r>
        <w:rPr>
          <w:color w:val="000000" w:themeColor="text1"/>
        </w:rPr>
      </w:r>
    </w:p>
    <w:tbl>
      <w:tblPr>
        <w:tblW w:w="9262" w:type="dxa"/>
        <w:tblInd w:w="-2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2419"/>
        <w:gridCol w:w="6843"/>
      </w:tblGrid>
      <w:tr>
        <w:trPr>
          <w:tblHeader/>
        </w:trPr>
        <w:tc>
          <w:tcPr>
            <w:tcW w:w="2419"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技术指标</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6843"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 </w:t>
            </w:r>
            <w:r>
              <w:rPr>
                <w:rFonts w:hint="eastAsia" w:ascii="宋体" w:hAnsi="宋体" w:eastAsia="宋体" w:cs="宋体"/>
                <w:b/>
                <w:bCs/>
                <w:color w:val="000000" w:themeColor="text1"/>
                <w:sz w:val="24"/>
                <w:szCs w:val="24"/>
                <w:highlight w:val="none"/>
                <w:lang w:val="en-US" w:eastAsia="zh-CN" w:bidi="ar-SA"/>
              </w:rPr>
              <w:t xml:space="preserve">指标要求</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2419"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长度要求</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tc>
        <w:tc>
          <w:tcPr>
            <w:tcW w:w="6843"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光跳线长度根据现场要求提供。</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2419"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性能标准</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tc>
        <w:tc>
          <w:tcPr>
            <w:tcW w:w="6843"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满足ISO/IEC 11801、IEC61754、YD/T 1272性能指标要求。</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2419"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检测报告</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tc>
        <w:tc>
          <w:tcPr>
            <w:tcW w:w="6843"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投标人提供第三方权威部门出具的链路检测报告扫描件</w:t>
            </w:r>
            <w:r>
              <w:rPr>
                <w:rFonts w:hint="eastAsia" w:ascii="宋体" w:hAnsi="宋体" w:eastAsia="宋体" w:cs="宋体"/>
                <w:color w:val="000000" w:themeColor="text1"/>
                <w:sz w:val="24"/>
                <w:szCs w:val="24"/>
                <w:highlight w:val="none"/>
                <w:lang w:val="en-US" w:eastAsia="zh-CN" w:bidi="ar"/>
              </w:rPr>
              <w:t xml:space="preserve">并</w:t>
            </w:r>
            <w:r>
              <w:rPr>
                <w:rFonts w:hint="eastAsia" w:ascii="宋体" w:hAnsi="宋体" w:eastAsia="宋体" w:cs="宋体"/>
                <w:color w:val="000000" w:themeColor="text1"/>
                <w:sz w:val="24"/>
                <w:szCs w:val="24"/>
                <w:highlight w:val="none"/>
                <w:lang w:val="en-US" w:eastAsia="zh-CN" w:bidi="ar-SA"/>
              </w:rPr>
              <w:t xml:space="preserve">加盖投标人公章。</w:t>
            </w:r>
            <w:r>
              <w:rPr>
                <w:rFonts w:hint="eastAsia" w:ascii="宋体" w:hAnsi="宋体" w:eastAsia="宋体" w:cs="宋体"/>
                <w:color w:val="000000" w:themeColor="text1"/>
                <w:sz w:val="24"/>
                <w:szCs w:val="24"/>
                <w:highlight w:val="none"/>
                <w:lang w:val="en-US" w:eastAsia="zh-CN" w:bidi="ar-SA"/>
              </w:rPr>
            </w:r>
            <w:r>
              <w:rPr>
                <w:color w:val="000000" w:themeColor="text1"/>
              </w:rPr>
            </w:r>
          </w:p>
        </w:tc>
      </w:tr>
    </w:tbl>
    <w:p>
      <w:pPr>
        <w:pStyle w:val="1053"/>
        <w:numPr>
          <w:ilvl w:val="0"/>
          <w:numId w:val="0"/>
        </w:numPr>
        <w:rPr>
          <w:rFonts w:hint="eastAsia" w:ascii="宋体" w:hAnsi="宋体" w:eastAsia="宋体" w:cs="宋体"/>
          <w:b/>
          <w:bCs/>
          <w:color w:val="000000" w:themeColor="text1"/>
          <w:highlight w:val="none"/>
        </w:rPr>
      </w:pPr>
      <w:r>
        <w:rPr>
          <w:color w:val="000000" w:themeColor="text1"/>
        </w:rPr>
      </w:r>
      <w:bookmarkStart w:id="62" w:name="_Toc16224"/>
      <w:r>
        <w:rPr>
          <w:rFonts w:hint="eastAsia" w:ascii="宋体" w:hAnsi="宋体" w:eastAsia="宋体" w:cs="宋体"/>
          <w:b/>
          <w:bCs/>
          <w:color w:val="000000" w:themeColor="text1"/>
          <w:highlight w:val="none"/>
          <w:lang w:val="en-US" w:eastAsia="zh-CN"/>
        </w:rPr>
        <w:t xml:space="preserve">10.双绞线跳线</w:t>
      </w:r>
      <w:bookmarkEnd w:id="62"/>
      <w:r>
        <w:rPr>
          <w:rFonts w:hint="eastAsia" w:ascii="宋体" w:hAnsi="宋体" w:eastAsia="宋体" w:cs="宋体"/>
          <w:b/>
          <w:bCs/>
          <w:color w:val="000000" w:themeColor="text1"/>
          <w:highlight w:val="none"/>
        </w:rPr>
      </w:r>
      <w:r>
        <w:rPr>
          <w:color w:val="000000" w:themeColor="text1"/>
        </w:rPr>
      </w:r>
    </w:p>
    <w:p>
      <w:pPr>
        <w:pStyle w:val="1012"/>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p>
    <w:tbl>
      <w:tblPr>
        <w:tblW w:w="9225" w:type="dxa"/>
        <w:tblInd w:w="-1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2382"/>
        <w:gridCol w:w="6843"/>
      </w:tblGrid>
      <w:tr>
        <w:trPr>
          <w:tblHeader/>
        </w:trPr>
        <w:tc>
          <w:tcPr>
            <w:tcW w:w="2382"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技术指标</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6843"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 </w:t>
            </w:r>
            <w:r>
              <w:rPr>
                <w:rFonts w:hint="eastAsia" w:ascii="宋体" w:hAnsi="宋体" w:eastAsia="宋体" w:cs="宋体"/>
                <w:b/>
                <w:bCs/>
                <w:color w:val="000000" w:themeColor="text1"/>
                <w:sz w:val="24"/>
                <w:szCs w:val="24"/>
                <w:highlight w:val="none"/>
                <w:lang w:val="en-US" w:eastAsia="zh-CN" w:bidi="ar-SA"/>
              </w:rPr>
              <w:t xml:space="preserve">指标要求</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2382"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产品类型</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tc>
        <w:tc>
          <w:tcPr>
            <w:tcW w:w="6843"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CAT6 UTP 4对标准RJ45/RJ45信息软跳线。</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2382"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护套要求</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tc>
        <w:tc>
          <w:tcPr>
            <w:tcW w:w="6843"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PVC护套。</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2382"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执行标准</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tc>
        <w:tc>
          <w:tcPr>
            <w:tcW w:w="6843"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完全符合YD/T 926.3、AS/NZS 3080:2003、ISO/IEC11801第2版2002和ANSI/TIA-568.2-D-2018系列连接硬件标准的要求。要求六类非屏蔽跳线通过跳线单体测试，应符合ANSI/TIA-568.2-D-2018，投标人提供第三方权威机构检测报告扫描件</w:t>
            </w:r>
            <w:r>
              <w:rPr>
                <w:rFonts w:hint="eastAsia" w:ascii="宋体" w:hAnsi="宋体" w:eastAsia="宋体" w:cs="宋体"/>
                <w:color w:val="000000" w:themeColor="text1"/>
                <w:sz w:val="24"/>
                <w:szCs w:val="24"/>
                <w:highlight w:val="none"/>
                <w:lang w:val="en-US" w:eastAsia="zh-CN" w:bidi="ar"/>
              </w:rPr>
              <w:t xml:space="preserve">并</w:t>
            </w:r>
            <w:r>
              <w:rPr>
                <w:rFonts w:hint="eastAsia" w:ascii="宋体" w:hAnsi="宋体" w:eastAsia="宋体" w:cs="宋体"/>
                <w:color w:val="000000" w:themeColor="text1"/>
                <w:sz w:val="24"/>
                <w:szCs w:val="24"/>
                <w:highlight w:val="none"/>
                <w:lang w:val="en-US" w:eastAsia="zh-CN" w:bidi="ar-SA"/>
              </w:rPr>
              <w:t xml:space="preserve">加盖投标人公章。</w:t>
            </w:r>
            <w:r>
              <w:rPr>
                <w:rFonts w:hint="eastAsia" w:ascii="宋体" w:hAnsi="宋体" w:eastAsia="宋体" w:cs="宋体"/>
                <w:color w:val="000000" w:themeColor="text1"/>
                <w:sz w:val="24"/>
                <w:szCs w:val="24"/>
                <w:highlight w:val="none"/>
                <w:lang w:val="en-US" w:eastAsia="zh-CN" w:bidi="ar-SA"/>
              </w:rPr>
            </w:r>
            <w:r>
              <w:rPr>
                <w:color w:val="000000" w:themeColor="text1"/>
              </w:rPr>
            </w:r>
          </w:p>
        </w:tc>
      </w:tr>
    </w:tbl>
    <w:p>
      <w:pPr>
        <w:pStyle w:val="1053"/>
        <w:numPr>
          <w:ilvl w:val="0"/>
          <w:numId w:val="0"/>
        </w:numPr>
        <w:rPr>
          <w:rFonts w:hint="eastAsia" w:ascii="宋体" w:hAnsi="宋体" w:eastAsia="宋体" w:cs="宋体"/>
          <w:b/>
          <w:bCs/>
          <w:color w:val="000000" w:themeColor="text1"/>
          <w:highlight w:val="none"/>
        </w:rPr>
      </w:pPr>
      <w:r>
        <w:rPr>
          <w:color w:val="000000" w:themeColor="text1"/>
        </w:rPr>
      </w:r>
      <w:bookmarkStart w:id="63" w:name="_Toc25967"/>
      <w:r>
        <w:rPr>
          <w:rFonts w:hint="eastAsia" w:ascii="宋体" w:hAnsi="宋体" w:eastAsia="宋体" w:cs="宋体"/>
          <w:b/>
          <w:bCs/>
          <w:color w:val="000000" w:themeColor="text1"/>
          <w:highlight w:val="none"/>
          <w:lang w:val="en-US" w:eastAsia="zh-CN"/>
        </w:rPr>
        <w:t xml:space="preserve">11.理线器</w:t>
      </w:r>
      <w:bookmarkEnd w:id="63"/>
      <w:r>
        <w:rPr>
          <w:rFonts w:hint="eastAsia" w:ascii="宋体" w:hAnsi="宋体" w:eastAsia="宋体" w:cs="宋体"/>
          <w:b/>
          <w:bCs/>
          <w:color w:val="000000" w:themeColor="text1"/>
          <w:highlight w:val="none"/>
        </w:rPr>
      </w:r>
      <w:r>
        <w:rPr>
          <w:color w:val="000000" w:themeColor="text1"/>
        </w:rPr>
      </w:r>
    </w:p>
    <w:tbl>
      <w:tblPr>
        <w:tblW w:w="9238" w:type="dxa"/>
        <w:tblInd w:w="-1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2382"/>
        <w:gridCol w:w="6856"/>
      </w:tblGrid>
      <w:tr>
        <w:trPr>
          <w:tblHeader/>
        </w:trPr>
        <w:tc>
          <w:tcPr>
            <w:tcW w:w="2382"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技术指标</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6856"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 </w:t>
            </w:r>
            <w:r>
              <w:rPr>
                <w:rFonts w:hint="eastAsia" w:ascii="宋体" w:hAnsi="宋体" w:eastAsia="宋体" w:cs="宋体"/>
                <w:b/>
                <w:bCs/>
                <w:color w:val="000000" w:themeColor="text1"/>
                <w:sz w:val="24"/>
                <w:szCs w:val="24"/>
                <w:highlight w:val="none"/>
                <w:lang w:val="en-US" w:eastAsia="zh-CN" w:bidi="ar-SA"/>
              </w:rPr>
              <w:t xml:space="preserve">指标要求</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1149"/>
        </w:trPr>
        <w:tc>
          <w:tcPr>
            <w:tcW w:w="2382"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材质及安装方式</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tc>
        <w:tc>
          <w:tcPr>
            <w:tcW w:w="6856"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1.理线器整体材质：钢架+黑色喷塑 </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firstLine="200"/>
              <w:jc w:val="left"/>
              <w:spacing w:before="60" w:after="60"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2.安装高度：1U </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firstLine="200"/>
              <w:jc w:val="left"/>
              <w:spacing w:before="60" w:after="60"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3.安装方式：机柜螺丝安装 </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firstLine="200"/>
              <w:jc w:val="left"/>
              <w:spacing w:before="60" w:after="60"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2382"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其他要求</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tc>
        <w:tc>
          <w:tcPr>
            <w:tcW w:w="6856"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1.配线辅件，用于机柜内水平跳线管理。</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firstLine="200"/>
              <w:jc w:val="left"/>
              <w:spacing w:before="60" w:after="60"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2.与19寸机架式设备（配线架，网络交换机）配套使用，用于跳线的管理，封闭式盖板美观大方。</w:t>
            </w:r>
            <w:r>
              <w:rPr>
                <w:rFonts w:hint="eastAsia" w:ascii="宋体" w:hAnsi="宋体" w:eastAsia="宋体" w:cs="宋体"/>
                <w:color w:val="000000" w:themeColor="text1"/>
                <w:sz w:val="24"/>
                <w:szCs w:val="24"/>
                <w:highlight w:val="none"/>
                <w:lang w:val="en-US" w:eastAsia="zh-CN" w:bidi="ar-SA"/>
              </w:rPr>
            </w:r>
            <w:r>
              <w:rPr>
                <w:color w:val="000000" w:themeColor="text1"/>
              </w:rPr>
            </w:r>
          </w:p>
        </w:tc>
      </w:tr>
    </w:tbl>
    <w:p>
      <w:pPr>
        <w:pStyle w:val="1053"/>
        <w:numPr>
          <w:ilvl w:val="0"/>
          <w:numId w:val="0"/>
        </w:numPr>
        <w:rPr>
          <w:rFonts w:hint="eastAsia" w:ascii="宋体" w:hAnsi="宋体" w:eastAsia="宋体" w:cs="宋体"/>
          <w:b/>
          <w:bCs/>
          <w:color w:val="000000" w:themeColor="text1"/>
          <w:highlight w:val="none"/>
        </w:rPr>
      </w:pPr>
      <w:r>
        <w:rPr>
          <w:color w:val="000000" w:themeColor="text1"/>
        </w:rPr>
      </w:r>
      <w:bookmarkStart w:id="64" w:name="_Toc24682"/>
      <w:r>
        <w:rPr>
          <w:rFonts w:hint="eastAsia" w:ascii="宋体" w:hAnsi="宋体" w:eastAsia="宋体" w:cs="宋体"/>
          <w:b/>
          <w:bCs/>
          <w:color w:val="000000" w:themeColor="text1"/>
          <w:highlight w:val="none"/>
          <w:lang w:val="en-US" w:eastAsia="zh-CN"/>
        </w:rPr>
        <w:t xml:space="preserve">12.显示设备</w:t>
      </w:r>
      <w:bookmarkEnd w:id="64"/>
      <w:r>
        <w:rPr>
          <w:rFonts w:hint="eastAsia" w:ascii="宋体" w:hAnsi="宋体" w:eastAsia="宋体" w:cs="宋体"/>
          <w:b/>
          <w:bCs/>
          <w:color w:val="000000" w:themeColor="text1"/>
          <w:highlight w:val="none"/>
        </w:rPr>
      </w:r>
      <w:r>
        <w:rPr>
          <w:color w:val="000000" w:themeColor="text1"/>
        </w:rPr>
      </w:r>
    </w:p>
    <w:tbl>
      <w:tblPr>
        <w:tblW w:w="9237" w:type="dxa"/>
        <w:tblInd w:w="-2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2394"/>
        <w:gridCol w:w="6843"/>
      </w:tblGrid>
      <w:tr>
        <w:trPr>
          <w:tblHeader/>
        </w:trPr>
        <w:tc>
          <w:tcPr>
            <w:tcW w:w="2394"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技术指标</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6843"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 </w:t>
            </w:r>
            <w:r>
              <w:rPr>
                <w:rFonts w:hint="eastAsia" w:ascii="宋体" w:hAnsi="宋体" w:eastAsia="宋体" w:cs="宋体"/>
                <w:b/>
                <w:bCs/>
                <w:color w:val="000000" w:themeColor="text1"/>
                <w:sz w:val="24"/>
                <w:szCs w:val="24"/>
                <w:highlight w:val="none"/>
                <w:lang w:val="en-US" w:eastAsia="zh-CN" w:bidi="ar-SA"/>
              </w:rPr>
              <w:t xml:space="preserve">指标要求</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2394"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显示屏幕规格</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tc>
        <w:tc>
          <w:tcPr>
            <w:tcW w:w="6843"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shd w:val="clear" w:color="auto" w:fill="auto"/>
                <w:lang w:val="en-US" w:eastAsia="zh-CN" w:bidi="ar-SA"/>
              </w:rPr>
              <w:t xml:space="preserve">主流品牌，不低于55寸液晶显示屏幕。 4K分辨率 </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c>
          <w:tcPr>
            <w:tcW w:w="2394"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安装配件</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tc>
        <w:tc>
          <w:tcPr>
            <w:tcW w:w="6843" w:type="dxa"/>
            <w:vAlign w:val="center"/>
            <w:textDirection w:val="lrTb"/>
            <w:noWrap w:val="false"/>
          </w:tcPr>
          <w:p>
            <w:pPr>
              <w:pStyle w:val="1012"/>
              <w:ind w:firstLine="200"/>
              <w:jc w:val="left"/>
              <w:spacing w:before="60" w:after="60"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含伸缩安装支架。</w:t>
            </w:r>
            <w:r>
              <w:rPr>
                <w:rFonts w:hint="eastAsia" w:ascii="宋体" w:hAnsi="宋体" w:eastAsia="宋体" w:cs="宋体"/>
                <w:color w:val="000000" w:themeColor="text1"/>
                <w:sz w:val="24"/>
                <w:szCs w:val="24"/>
                <w:highlight w:val="none"/>
                <w:lang w:val="en-US" w:eastAsia="zh-CN" w:bidi="ar-SA"/>
              </w:rPr>
            </w:r>
            <w:r>
              <w:rPr>
                <w:color w:val="000000" w:themeColor="text1"/>
              </w:rPr>
            </w:r>
          </w:p>
        </w:tc>
      </w:tr>
    </w:tbl>
    <w:p>
      <w:pPr>
        <w:pStyle w:val="1012"/>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1012"/>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p>
    <w:p>
      <w:pPr>
        <w:pStyle w:val="1053"/>
        <w:keepLines w:val="0"/>
        <w:keepNext w:val="0"/>
        <w:pageBreakBefore/>
        <w:widowControl/>
        <w:rPr>
          <w:rFonts w:hint="eastAsia" w:ascii="宋体" w:hAnsi="宋体" w:eastAsia="宋体" w:cs="宋体"/>
          <w:b/>
          <w:bCs/>
          <w:color w:val="000000" w:themeColor="text1"/>
          <w:highlight w:val="none"/>
        </w:rPr>
      </w:pPr>
      <w:r>
        <w:rPr>
          <w:color w:val="000000" w:themeColor="text1"/>
        </w:rPr>
      </w:r>
      <w:bookmarkStart w:id="65" w:name="_Toc8373"/>
      <w:r>
        <w:rPr>
          <w:rFonts w:hint="eastAsia" w:ascii="宋体" w:hAnsi="宋体" w:eastAsia="宋体" w:cs="宋体"/>
          <w:b/>
          <w:bCs/>
          <w:color w:val="000000" w:themeColor="text1"/>
          <w:highlight w:val="none"/>
          <w:lang w:val="en-US" w:eastAsia="zh-CN"/>
        </w:rPr>
        <w:t xml:space="preserve">2.1.4</w:t>
      </w:r>
      <w:r>
        <w:rPr>
          <w:rFonts w:hint="eastAsia" w:ascii="宋体" w:hAnsi="宋体" w:eastAsia="宋体" w:cs="宋体"/>
          <w:b/>
          <w:bCs/>
          <w:color w:val="000000" w:themeColor="text1"/>
          <w:highlight w:val="none"/>
        </w:rPr>
        <w:t xml:space="preserve">、门诊应急管理系统</w:t>
      </w:r>
      <w:bookmarkEnd w:id="65"/>
      <w:r>
        <w:rPr>
          <w:rFonts w:hint="eastAsia" w:ascii="宋体" w:hAnsi="宋体" w:eastAsia="宋体" w:cs="宋体"/>
          <w:b/>
          <w:bCs/>
          <w:color w:val="000000" w:themeColor="text1"/>
          <w:highlight w:val="none"/>
        </w:rPr>
      </w:r>
      <w:r>
        <w:rPr>
          <w:color w:val="000000" w:themeColor="text1"/>
        </w:rPr>
      </w:r>
    </w:p>
    <w:tbl>
      <w:tblPr>
        <w:tblW w:w="9225" w:type="dxa"/>
        <w:tblInd w:w="-285" w:type="dxa"/>
        <w:tblLayout w:type="autofit"/>
        <w:tblCellMar>
          <w:left w:w="108" w:type="dxa"/>
          <w:top w:w="0" w:type="dxa"/>
          <w:right w:w="108" w:type="dxa"/>
          <w:bottom w:w="0" w:type="dxa"/>
        </w:tblCellMar>
        <w:tblLook w:val="04A0" w:firstRow="1" w:lastRow="0" w:firstColumn="1" w:lastColumn="0" w:noHBand="0" w:noVBand="1"/>
      </w:tblPr>
      <w:tblGrid>
        <w:gridCol w:w="1188"/>
        <w:gridCol w:w="8037"/>
      </w:tblGrid>
      <w:tr>
        <w:trPr>
          <w:trHeight w:val="283"/>
        </w:trPr>
        <w:tc>
          <w:tcPr>
            <w:gridSpan w:val="2"/>
            <w:tcBorders>
              <w:top w:val="single" w:color="000000" w:sz="4" w:space="0"/>
              <w:left w:val="single" w:color="000000" w:sz="4" w:space="0"/>
              <w:bottom w:val="single" w:color="000000" w:sz="4" w:space="0"/>
              <w:right w:val="single" w:color="000000" w:sz="4" w:space="0"/>
            </w:tcBorders>
            <w:tcW w:w="9225" w:type="dxa"/>
            <w:vAlign w:val="center"/>
            <w:textDirection w:val="lrTb"/>
            <w:noWrap/>
          </w:tcPr>
          <w:p>
            <w:pPr>
              <w:pStyle w:val="1012"/>
              <w:ind w:firstLine="200"/>
              <w:jc w:val="center"/>
              <w:spacing w:after="0" w:line="240" w:lineRule="auto"/>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1.离线应急支付管理系统平台技术要求</w:t>
            </w:r>
            <w:r>
              <w:rPr>
                <w:rFonts w:hint="eastAsia" w:ascii="宋体" w:hAnsi="宋体" w:eastAsia="宋体" w:cs="宋体"/>
                <w:b/>
                <w:bCs/>
                <w:color w:val="000000" w:themeColor="text1"/>
                <w:sz w:val="24"/>
                <w:szCs w:val="24"/>
                <w:highlight w:val="none"/>
                <w:lang w:val="en-US" w:eastAsia="zh-CN" w:bidi="ar-SA"/>
              </w:rPr>
            </w:r>
            <w:r>
              <w:rPr>
                <w:color w:val="000000" w:themeColor="text1"/>
              </w:rPr>
            </w:r>
          </w:p>
        </w:tc>
      </w:tr>
      <w:tr>
        <w:trPr>
          <w:trHeight w:val="600"/>
        </w:trPr>
        <w:tc>
          <w:tcPr>
            <w:tcBorders>
              <w:top w:val="none" w:color="000000" w:sz="4" w:space="0"/>
              <w:left w:val="single" w:color="000000" w:sz="4" w:space="0"/>
              <w:bottom w:val="single" w:color="000000" w:sz="4" w:space="0"/>
              <w:right w:val="single" w:color="000000" w:sz="4" w:space="0"/>
            </w:tcBorders>
            <w:tcW w:w="1188" w:type="dxa"/>
            <w:vAlign w:val="center"/>
            <w:textDirection w:val="lrTb"/>
            <w:noWrap/>
          </w:tcPr>
          <w:p>
            <w:pPr>
              <w:pStyle w:val="1012"/>
              <w:ind w:firstLine="200"/>
              <w:jc w:val="center"/>
              <w:spacing w:after="0" w:line="240" w:lineRule="auto"/>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序号</w:t>
            </w:r>
            <w:r>
              <w:rPr>
                <w:rFonts w:hint="eastAsia" w:ascii="宋体" w:hAnsi="宋体" w:eastAsia="宋体" w:cs="宋体"/>
                <w:b/>
                <w:bCs/>
                <w:color w:val="000000" w:themeColor="text1"/>
                <w:sz w:val="24"/>
                <w:szCs w:val="24"/>
                <w:highlight w:val="none"/>
                <w:lang w:val="en-US" w:eastAsia="zh-CN" w:bidi="ar-SA"/>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8037" w:type="dxa"/>
            <w:vAlign w:val="center"/>
            <w:textDirection w:val="lrTb"/>
            <w:noWrap/>
          </w:tcPr>
          <w:p>
            <w:pPr>
              <w:pStyle w:val="1012"/>
              <w:ind w:firstLine="200"/>
              <w:jc w:val="center"/>
              <w:spacing w:after="0" w:line="240" w:lineRule="auto"/>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指标项</w:t>
            </w:r>
            <w:r>
              <w:rPr>
                <w:rFonts w:hint="eastAsia" w:ascii="宋体" w:hAnsi="宋体" w:eastAsia="宋体" w:cs="宋体"/>
                <w:b/>
                <w:bCs/>
                <w:color w:val="000000" w:themeColor="text1"/>
                <w:sz w:val="24"/>
                <w:szCs w:val="24"/>
                <w:highlight w:val="none"/>
                <w:lang w:val="en-US" w:eastAsia="zh-CN" w:bidi="ar-SA"/>
              </w:rPr>
            </w:r>
            <w:r>
              <w:rPr>
                <w:color w:val="000000" w:themeColor="text1"/>
              </w:rPr>
            </w:r>
          </w:p>
        </w:tc>
      </w:tr>
      <w:tr>
        <w:trPr>
          <w:trHeight w:val="600"/>
        </w:trPr>
        <w:tc>
          <w:tcPr>
            <w:tcBorders>
              <w:top w:val="none" w:color="000000" w:sz="4" w:space="0"/>
              <w:left w:val="single" w:color="000000" w:sz="4" w:space="0"/>
              <w:bottom w:val="single" w:color="000000" w:sz="4" w:space="0"/>
              <w:right w:val="single" w:color="000000" w:sz="4" w:space="0"/>
            </w:tcBorders>
            <w:tcW w:w="1188" w:type="dxa"/>
            <w:vAlign w:val="bottom"/>
            <w:textDirection w:val="lrTb"/>
            <w:noWrap/>
          </w:tcPr>
          <w:p>
            <w:pPr>
              <w:pStyle w:val="1012"/>
              <w:ind w:firstLine="200"/>
              <w:jc w:val="center"/>
              <w:spacing w:after="0" w:line="240" w:lineRule="auto"/>
              <w:widowControl/>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4"/>
                <w:szCs w:val="22"/>
                <w:highlight w:val="none"/>
                <w:lang w:val="en-US" w:eastAsia="zh-CN" w:bidi="ar-SA"/>
              </w:rPr>
              <w:t xml:space="preserve">1</w:t>
            </w:r>
            <w:r>
              <w:rPr>
                <w:rFonts w:hint="eastAsia" w:ascii="宋体" w:hAnsi="宋体" w:eastAsia="宋体" w:cs="宋体"/>
                <w:color w:val="000000" w:themeColor="text1"/>
                <w:sz w:val="21"/>
                <w:szCs w:val="22"/>
                <w:highlight w:val="none"/>
                <w:lang w:val="en-US" w:eastAsia="zh-CN" w:bidi="ar-SA"/>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8037" w:type="dxa"/>
            <w:vAlign w:val="center"/>
            <w:textDirection w:val="lrTb"/>
            <w:noWrap/>
          </w:tcPr>
          <w:p>
            <w:pPr>
              <w:pStyle w:val="1012"/>
              <w:ind w:firstLine="200"/>
              <w:jc w:val="left"/>
              <w:spacing w:after="0" w:line="240" w:lineRule="auto"/>
              <w:widowControl/>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4"/>
                <w:highlight w:val="none"/>
                <w:lang w:val="en-US" w:eastAsia="zh-CN" w:bidi="ar-SA"/>
              </w:rPr>
              <w:t xml:space="preserve">系统整体架构设计科学严谨、实用高效，操作流程简洁顺畅，完全贴合医疗机构实际业务场景与使用习惯。</w:t>
            </w:r>
            <w:r>
              <w:rPr>
                <w:rFonts w:hint="eastAsia" w:ascii="宋体" w:hAnsi="宋体" w:eastAsia="宋体" w:cs="宋体"/>
                <w:color w:val="000000" w:themeColor="text1"/>
                <w:sz w:val="24"/>
                <w:szCs w:val="22"/>
                <w:highlight w:val="none"/>
                <w:lang w:val="en-US" w:eastAsia="zh-CN" w:bidi="ar-SA"/>
              </w:rPr>
            </w:r>
            <w:r>
              <w:rPr>
                <w:color w:val="000000" w:themeColor="text1"/>
              </w:rPr>
            </w:r>
          </w:p>
        </w:tc>
      </w:tr>
      <w:tr>
        <w:trPr>
          <w:trHeight w:val="600"/>
        </w:trPr>
        <w:tc>
          <w:tcPr>
            <w:tcBorders>
              <w:top w:val="none" w:color="000000" w:sz="4" w:space="0"/>
              <w:left w:val="single" w:color="000000" w:sz="4" w:space="0"/>
              <w:bottom w:val="single" w:color="000000" w:sz="4" w:space="0"/>
              <w:right w:val="single" w:color="000000" w:sz="4" w:space="0"/>
            </w:tcBorders>
            <w:tcW w:w="1188" w:type="dxa"/>
            <w:vAlign w:val="bottom"/>
            <w:textDirection w:val="lrTb"/>
            <w:noWrap/>
          </w:tcPr>
          <w:p>
            <w:pPr>
              <w:pStyle w:val="1012"/>
              <w:ind w:firstLine="200"/>
              <w:jc w:val="center"/>
              <w:spacing w:after="0" w:line="240" w:lineRule="auto"/>
              <w:widowControl/>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lang w:val="en-US" w:eastAsia="zh-CN" w:bidi="ar-SA"/>
              </w:rPr>
              <w:t xml:space="preserve">2</w:t>
            </w:r>
            <w:r>
              <w:rPr>
                <w:rFonts w:hint="eastAsia" w:ascii="宋体" w:hAnsi="宋体" w:eastAsia="宋体" w:cs="宋体"/>
                <w:color w:val="000000" w:themeColor="text1"/>
                <w:sz w:val="24"/>
                <w:szCs w:val="22"/>
                <w:highlight w:val="none"/>
                <w:lang w:val="en-US" w:eastAsia="zh-CN" w:bidi="ar-SA"/>
              </w:rPr>
            </w:r>
            <w:r>
              <w:rPr>
                <w:color w:val="000000" w:themeColor="text1"/>
              </w:rPr>
            </w:r>
          </w:p>
        </w:tc>
        <w:tc>
          <w:tcPr>
            <w:tcBorders>
              <w:top w:val="none" w:color="000000" w:sz="4" w:space="0"/>
              <w:left w:val="single" w:color="000000" w:sz="4" w:space="0"/>
              <w:bottom w:val="single" w:color="000000" w:sz="4" w:space="0"/>
              <w:right w:val="single" w:color="000000" w:sz="4" w:space="0"/>
            </w:tcBorders>
            <w:tcW w:w="8037" w:type="dxa"/>
            <w:vAlign w:val="center"/>
            <w:textDirection w:val="lrTb"/>
            <w:noWrap/>
          </w:tcPr>
          <w:p>
            <w:pPr>
              <w:pStyle w:val="1012"/>
              <w:ind w:firstLine="200"/>
              <w:jc w:val="left"/>
              <w:spacing w:after="0"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▲桌面应用终端具备单机独立部署运行能力，运行期间无需依赖院内内网、公网及各类专用网络，断网状态下可实现全功能稳定运转。投标人提供系统截图证明</w:t>
            </w:r>
            <w:r>
              <w:rPr>
                <w:rFonts w:hint="eastAsia" w:ascii="宋体" w:hAnsi="宋体" w:eastAsia="宋体" w:cs="宋体"/>
                <w:color w:val="000000" w:themeColor="text1"/>
                <w:sz w:val="24"/>
                <w:szCs w:val="24"/>
                <w:highlight w:val="none"/>
                <w:lang w:val="en-US" w:eastAsia="zh-CN" w:bidi="ar"/>
              </w:rPr>
              <w:t xml:space="preserve">并</w:t>
            </w:r>
            <w:r>
              <w:rPr>
                <w:rFonts w:hint="eastAsia" w:ascii="宋体" w:hAnsi="宋体" w:eastAsia="宋体" w:cs="宋体"/>
                <w:color w:val="000000" w:themeColor="text1"/>
                <w:sz w:val="24"/>
                <w:szCs w:val="24"/>
                <w:highlight w:val="none"/>
                <w:lang w:val="en-US" w:eastAsia="zh-CN" w:bidi="ar-SA"/>
              </w:rPr>
              <w:t xml:space="preserve">加盖投标人公章。</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600"/>
        </w:trPr>
        <w:tc>
          <w:tcPr>
            <w:tcBorders>
              <w:top w:val="none" w:color="000000" w:sz="4" w:space="0"/>
              <w:left w:val="single" w:color="000000" w:sz="4" w:space="0"/>
              <w:bottom w:val="single" w:color="000000" w:sz="4" w:space="0"/>
              <w:right w:val="single" w:color="000000" w:sz="4" w:space="0"/>
            </w:tcBorders>
            <w:tcW w:w="1188" w:type="dxa"/>
            <w:vAlign w:val="bottom"/>
            <w:textDirection w:val="lrTb"/>
            <w:noWrap/>
          </w:tcPr>
          <w:p>
            <w:pPr>
              <w:pStyle w:val="1012"/>
              <w:ind w:firstLine="200"/>
              <w:jc w:val="center"/>
              <w:spacing w:after="0" w:line="240" w:lineRule="auto"/>
              <w:widowControl/>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lang w:val="en-US" w:eastAsia="zh-CN" w:bidi="ar-SA"/>
              </w:rPr>
              <w:t xml:space="preserve">3</w:t>
            </w:r>
            <w:r>
              <w:rPr>
                <w:rFonts w:hint="eastAsia" w:ascii="宋体" w:hAnsi="宋体" w:eastAsia="宋体" w:cs="宋体"/>
                <w:color w:val="000000" w:themeColor="text1"/>
                <w:sz w:val="24"/>
                <w:szCs w:val="22"/>
                <w:highlight w:val="none"/>
                <w:lang w:val="en-US" w:eastAsia="zh-CN" w:bidi="ar-SA"/>
              </w:rPr>
            </w:r>
            <w:r>
              <w:rPr>
                <w:color w:val="000000" w:themeColor="text1"/>
              </w:rPr>
            </w:r>
          </w:p>
        </w:tc>
        <w:tc>
          <w:tcPr>
            <w:tcBorders>
              <w:top w:val="none" w:color="000000" w:sz="4" w:space="0"/>
              <w:left w:val="single" w:color="000000" w:sz="4" w:space="0"/>
              <w:bottom w:val="single" w:color="000000" w:sz="4" w:space="0"/>
              <w:right w:val="single" w:color="000000" w:sz="4" w:space="0"/>
            </w:tcBorders>
            <w:tcW w:w="8037" w:type="dxa"/>
            <w:vAlign w:val="center"/>
            <w:textDirection w:val="lrTb"/>
            <w:noWrap/>
          </w:tcPr>
          <w:p>
            <w:pPr>
              <w:pStyle w:val="1012"/>
              <w:ind w:firstLine="200"/>
              <w:jc w:val="left"/>
              <w:spacing w:after="0"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移动端轻应用配备模拟演练、实战应急两大运行模式，支持人工手动关停应急状态，可根据使用场景灵活切换，实现演练与应急工作的精细化管控。</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600"/>
        </w:trPr>
        <w:tc>
          <w:tcPr>
            <w:tcBorders>
              <w:top w:val="none" w:color="000000" w:sz="4" w:space="0"/>
              <w:left w:val="single" w:color="000000" w:sz="4" w:space="0"/>
              <w:bottom w:val="single" w:color="000000" w:sz="4" w:space="0"/>
              <w:right w:val="single" w:color="000000" w:sz="4" w:space="0"/>
            </w:tcBorders>
            <w:tcW w:w="1188" w:type="dxa"/>
            <w:vAlign w:val="bottom"/>
            <w:textDirection w:val="lrTb"/>
            <w:noWrap/>
          </w:tcPr>
          <w:p>
            <w:pPr>
              <w:pStyle w:val="1012"/>
              <w:ind w:firstLine="200"/>
              <w:jc w:val="center"/>
              <w:spacing w:after="0" w:line="240" w:lineRule="auto"/>
              <w:widowControl/>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lang w:val="en-US" w:eastAsia="zh-CN" w:bidi="ar-SA"/>
              </w:rPr>
              <w:t xml:space="preserve">4</w:t>
            </w:r>
            <w:r>
              <w:rPr>
                <w:rFonts w:hint="eastAsia" w:ascii="宋体" w:hAnsi="宋体" w:eastAsia="宋体" w:cs="宋体"/>
                <w:color w:val="000000" w:themeColor="text1"/>
                <w:sz w:val="24"/>
                <w:szCs w:val="22"/>
                <w:highlight w:val="none"/>
                <w:lang w:val="en-US" w:eastAsia="zh-CN" w:bidi="ar-SA"/>
              </w:rPr>
            </w:r>
            <w:r>
              <w:rPr>
                <w:color w:val="000000" w:themeColor="text1"/>
              </w:rPr>
            </w:r>
          </w:p>
        </w:tc>
        <w:tc>
          <w:tcPr>
            <w:tcBorders>
              <w:top w:val="none" w:color="000000" w:sz="4" w:space="0"/>
              <w:left w:val="single" w:color="000000" w:sz="4" w:space="0"/>
              <w:bottom w:val="single" w:color="000000" w:sz="4" w:space="0"/>
              <w:right w:val="single" w:color="000000" w:sz="4" w:space="0"/>
            </w:tcBorders>
            <w:tcW w:w="8037" w:type="dxa"/>
            <w:vAlign w:val="center"/>
            <w:textDirection w:val="lrTb"/>
            <w:noWrap/>
          </w:tcPr>
          <w:p>
            <w:pPr>
              <w:pStyle w:val="1012"/>
              <w:ind w:firstLine="200"/>
              <w:jc w:val="left"/>
              <w:spacing w:after="0"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后台管理平台基于 B/S 架构搭建，用户可借助任意网页浏览器完成管理操作，全面适配 Chrome、360 浏览器等主流浏览器版本。</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600"/>
        </w:trPr>
        <w:tc>
          <w:tcPr>
            <w:tcBorders>
              <w:top w:val="none" w:color="000000" w:sz="4" w:space="0"/>
              <w:left w:val="single" w:color="000000" w:sz="4" w:space="0"/>
              <w:bottom w:val="single" w:color="000000" w:sz="4" w:space="0"/>
              <w:right w:val="single" w:color="000000" w:sz="4" w:space="0"/>
            </w:tcBorders>
            <w:tcW w:w="1188" w:type="dxa"/>
            <w:vAlign w:val="bottom"/>
            <w:textDirection w:val="lrTb"/>
            <w:noWrap/>
          </w:tcPr>
          <w:p>
            <w:pPr>
              <w:pStyle w:val="1012"/>
              <w:ind w:firstLine="200"/>
              <w:jc w:val="center"/>
              <w:spacing w:after="0" w:line="240" w:lineRule="auto"/>
              <w:widowControl/>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lang w:val="en-US" w:eastAsia="zh-CN" w:bidi="ar-SA"/>
              </w:rPr>
              <w:t xml:space="preserve">5</w:t>
            </w:r>
            <w:r>
              <w:rPr>
                <w:rFonts w:hint="eastAsia" w:ascii="宋体" w:hAnsi="宋体" w:eastAsia="宋体" w:cs="宋体"/>
                <w:color w:val="000000" w:themeColor="text1"/>
                <w:sz w:val="24"/>
                <w:szCs w:val="22"/>
                <w:highlight w:val="none"/>
                <w:lang w:val="en-US" w:eastAsia="zh-CN" w:bidi="ar-SA"/>
              </w:rPr>
            </w:r>
            <w:r>
              <w:rPr>
                <w:color w:val="000000" w:themeColor="text1"/>
              </w:rPr>
            </w:r>
          </w:p>
        </w:tc>
        <w:tc>
          <w:tcPr>
            <w:tcBorders>
              <w:top w:val="none" w:color="000000" w:sz="4" w:space="0"/>
              <w:left w:val="single" w:color="000000" w:sz="4" w:space="0"/>
              <w:bottom w:val="single" w:color="000000" w:sz="4" w:space="0"/>
              <w:right w:val="single" w:color="000000" w:sz="4" w:space="0"/>
            </w:tcBorders>
            <w:tcW w:w="8037" w:type="dxa"/>
            <w:vAlign w:val="center"/>
            <w:textDirection w:val="lrTb"/>
            <w:noWrap/>
          </w:tcPr>
          <w:p>
            <w:pPr>
              <w:pStyle w:val="1012"/>
              <w:ind w:firstLine="200"/>
              <w:jc w:val="left"/>
              <w:spacing w:after="0"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系统具备完整、合法的自主知识产权，属于厂商独立自研产品，产品具备合法知识产权，产品权属清晰、合规可靠。同时系统严格遵循国家密码安全规范，搭载国密标准加密算法，实现业务数据采集、传输、存储、调用全流程加密解密管控，有效防范数据泄露、篡改风险，保障医疗数据安全合规。投标人提供所投门诊应急管理系统厂家具有计算机软件著作权登记证书扫描件</w:t>
            </w:r>
            <w:r>
              <w:rPr>
                <w:rFonts w:hint="eastAsia" w:ascii="宋体" w:hAnsi="宋体" w:eastAsia="宋体" w:cs="宋体"/>
                <w:color w:val="000000" w:themeColor="text1"/>
                <w:sz w:val="24"/>
                <w:szCs w:val="24"/>
                <w:highlight w:val="none"/>
                <w:lang w:val="en-US" w:eastAsia="zh-CN" w:bidi="ar"/>
              </w:rPr>
              <w:t xml:space="preserve">并</w:t>
            </w:r>
            <w:r>
              <w:rPr>
                <w:rFonts w:hint="eastAsia" w:ascii="宋体" w:hAnsi="宋体" w:eastAsia="宋体" w:cs="宋体"/>
                <w:color w:val="000000" w:themeColor="text1"/>
                <w:sz w:val="24"/>
                <w:szCs w:val="24"/>
                <w:highlight w:val="none"/>
                <w:lang w:val="en-US" w:eastAsia="zh-CN" w:bidi="ar-SA"/>
              </w:rPr>
              <w:t xml:space="preserve">加盖投标人公章，软件名称包含：门诊应急管理系统。</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600"/>
        </w:trPr>
        <w:tc>
          <w:tcPr>
            <w:tcBorders>
              <w:top w:val="none" w:color="000000" w:sz="4" w:space="0"/>
              <w:left w:val="single" w:color="000000" w:sz="4" w:space="0"/>
              <w:bottom w:val="single" w:color="000000" w:sz="4" w:space="0"/>
              <w:right w:val="single" w:color="000000" w:sz="4" w:space="0"/>
            </w:tcBorders>
            <w:tcW w:w="1188" w:type="dxa"/>
            <w:vAlign w:val="bottom"/>
            <w:textDirection w:val="lrTb"/>
            <w:noWrap/>
          </w:tcPr>
          <w:p>
            <w:pPr>
              <w:pStyle w:val="1012"/>
              <w:ind w:firstLine="200"/>
              <w:jc w:val="center"/>
              <w:spacing w:after="0" w:line="240" w:lineRule="auto"/>
              <w:widowControl/>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lang w:val="en-US" w:eastAsia="zh-CN" w:bidi="ar-SA"/>
              </w:rPr>
              <w:t xml:space="preserve">6</w:t>
            </w:r>
            <w:r>
              <w:rPr>
                <w:rFonts w:hint="eastAsia" w:ascii="宋体" w:hAnsi="宋体" w:eastAsia="宋体" w:cs="宋体"/>
                <w:color w:val="000000" w:themeColor="text1"/>
                <w:sz w:val="24"/>
                <w:szCs w:val="22"/>
                <w:highlight w:val="none"/>
                <w:lang w:val="en-US" w:eastAsia="zh-CN" w:bidi="ar-SA"/>
              </w:rPr>
            </w:r>
            <w:r>
              <w:rPr>
                <w:color w:val="000000" w:themeColor="text1"/>
              </w:rPr>
            </w:r>
          </w:p>
        </w:tc>
        <w:tc>
          <w:tcPr>
            <w:tcBorders>
              <w:top w:val="none" w:color="000000" w:sz="4" w:space="0"/>
              <w:left w:val="single" w:color="000000" w:sz="4" w:space="0"/>
              <w:bottom w:val="single" w:color="000000" w:sz="4" w:space="0"/>
              <w:right w:val="single" w:color="000000" w:sz="4" w:space="0"/>
            </w:tcBorders>
            <w:tcW w:w="8037" w:type="dxa"/>
            <w:vAlign w:val="center"/>
            <w:textDirection w:val="lrTb"/>
            <w:noWrap/>
          </w:tcPr>
          <w:p>
            <w:pPr>
              <w:pStyle w:val="1012"/>
              <w:ind w:firstLine="200"/>
              <w:jc w:val="left"/>
              <w:spacing w:after="0"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系统兼容5G网络通信技术，断网离线操作后，在网络恢复瞬间可自动完成客户端、云平台及前置机几个端口交易数据、业务记录的即时传输与数据同步，保障业务数据完整不丢失、数据实时可溯源。</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600"/>
        </w:trPr>
        <w:tc>
          <w:tcPr>
            <w:tcBorders>
              <w:top w:val="none" w:color="000000" w:sz="4" w:space="0"/>
              <w:left w:val="single" w:color="000000" w:sz="4" w:space="0"/>
              <w:bottom w:val="single" w:color="000000" w:sz="4" w:space="0"/>
              <w:right w:val="single" w:color="000000" w:sz="4" w:space="0"/>
            </w:tcBorders>
            <w:tcW w:w="1188" w:type="dxa"/>
            <w:vAlign w:val="bottom"/>
            <w:textDirection w:val="lrTb"/>
            <w:noWrap/>
          </w:tcPr>
          <w:p>
            <w:pPr>
              <w:pStyle w:val="1012"/>
              <w:ind w:firstLine="200"/>
              <w:jc w:val="center"/>
              <w:spacing w:after="0" w:line="240" w:lineRule="auto"/>
              <w:widowControl/>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lang w:val="en-US" w:eastAsia="zh-CN" w:bidi="ar-SA"/>
              </w:rPr>
              <w:t xml:space="preserve">7</w:t>
            </w:r>
            <w:r>
              <w:rPr>
                <w:rFonts w:hint="eastAsia" w:ascii="宋体" w:hAnsi="宋体" w:eastAsia="宋体" w:cs="宋体"/>
                <w:color w:val="000000" w:themeColor="text1"/>
                <w:sz w:val="24"/>
                <w:szCs w:val="22"/>
                <w:highlight w:val="none"/>
                <w:lang w:val="en-US" w:eastAsia="zh-CN" w:bidi="ar-SA"/>
              </w:rPr>
            </w:r>
            <w:r>
              <w:rPr>
                <w:color w:val="000000" w:themeColor="text1"/>
              </w:rPr>
            </w:r>
          </w:p>
        </w:tc>
        <w:tc>
          <w:tcPr>
            <w:tcBorders>
              <w:top w:val="none" w:color="000000" w:sz="4" w:space="0"/>
              <w:left w:val="single" w:color="000000" w:sz="4" w:space="0"/>
              <w:bottom w:val="single" w:color="000000" w:sz="4" w:space="0"/>
              <w:right w:val="single" w:color="000000" w:sz="4" w:space="0"/>
            </w:tcBorders>
            <w:tcW w:w="8037" w:type="dxa"/>
            <w:vAlign w:val="center"/>
            <w:textDirection w:val="lrTb"/>
            <w:noWrap/>
          </w:tcPr>
          <w:p>
            <w:pPr>
              <w:pStyle w:val="1012"/>
              <w:ind w:firstLine="200"/>
              <w:jc w:val="left"/>
              <w:spacing w:after="0"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系统深度适配国产操作系统、国产数据库等全品类国产化软硬件生态，全面满足医疗卫生行业信创建设、国产化替代的合规落地要求。</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900"/>
        </w:trPr>
        <w:tc>
          <w:tcPr>
            <w:tcBorders>
              <w:top w:val="none" w:color="000000" w:sz="4" w:space="0"/>
              <w:left w:val="single" w:color="000000" w:sz="4" w:space="0"/>
              <w:bottom w:val="single" w:color="000000" w:sz="4" w:space="0"/>
              <w:right w:val="single" w:color="000000" w:sz="4" w:space="0"/>
            </w:tcBorders>
            <w:tcW w:w="1188" w:type="dxa"/>
            <w:vAlign w:val="bottom"/>
            <w:textDirection w:val="lrTb"/>
            <w:noWrap/>
          </w:tcPr>
          <w:p>
            <w:pPr>
              <w:pStyle w:val="1012"/>
              <w:ind w:firstLine="200"/>
              <w:jc w:val="center"/>
              <w:spacing w:after="0" w:line="240" w:lineRule="auto"/>
              <w:widowControl/>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lang w:val="en-US" w:eastAsia="zh-CN" w:bidi="ar-SA"/>
              </w:rPr>
              <w:t xml:space="preserve">8</w:t>
            </w:r>
            <w:r>
              <w:rPr>
                <w:rFonts w:hint="eastAsia" w:ascii="宋体" w:hAnsi="宋体" w:eastAsia="宋体" w:cs="宋体"/>
                <w:color w:val="000000" w:themeColor="text1"/>
                <w:sz w:val="24"/>
                <w:szCs w:val="22"/>
                <w:highlight w:val="none"/>
                <w:lang w:val="en-US" w:eastAsia="zh-CN" w:bidi="ar-SA"/>
              </w:rPr>
            </w:r>
            <w:r>
              <w:rPr>
                <w:color w:val="000000" w:themeColor="text1"/>
              </w:rPr>
            </w:r>
          </w:p>
        </w:tc>
        <w:tc>
          <w:tcPr>
            <w:tcBorders>
              <w:top w:val="none" w:color="000000" w:sz="4" w:space="0"/>
              <w:left w:val="single" w:color="000000" w:sz="4" w:space="0"/>
              <w:bottom w:val="single" w:color="000000" w:sz="4" w:space="0"/>
              <w:right w:val="single" w:color="000000" w:sz="4" w:space="0"/>
            </w:tcBorders>
            <w:tcW w:w="8037" w:type="dxa"/>
            <w:vAlign w:val="center"/>
            <w:textDirection w:val="lrTb"/>
            <w:noWrap/>
          </w:tcPr>
          <w:p>
            <w:pPr>
              <w:pStyle w:val="1012"/>
              <w:ind w:firstLine="200"/>
              <w:jc w:val="left"/>
              <w:spacing w:after="0"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系统配备标准化通用适配接口，无需额外付费，可无缝对接医院原有各类业务系统，高效实现跨系统数据互通、业务联动衔接，全程保障数据交互安全合规、传输准确、运行稳定。</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283"/>
        </w:trPr>
        <w:tc>
          <w:tcPr>
            <w:gridSpan w:val="2"/>
            <w:tcBorders>
              <w:top w:val="single" w:color="000000" w:sz="4" w:space="0"/>
              <w:left w:val="single" w:color="000000" w:sz="4" w:space="0"/>
              <w:bottom w:val="single" w:color="000000" w:sz="4" w:space="0"/>
              <w:right w:val="single" w:color="000000" w:sz="4" w:space="0"/>
            </w:tcBorders>
            <w:tcW w:w="9225" w:type="dxa"/>
            <w:vAlign w:val="center"/>
            <w:textDirection w:val="lrTb"/>
            <w:noWrap/>
          </w:tcPr>
          <w:p>
            <w:pPr>
              <w:pStyle w:val="1012"/>
              <w:ind w:firstLine="200"/>
              <w:jc w:val="center"/>
              <w:spacing w:after="0" w:line="240" w:lineRule="auto"/>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 </w:t>
            </w:r>
            <w:r>
              <w:rPr>
                <w:rFonts w:hint="eastAsia" w:ascii="宋体" w:hAnsi="宋体" w:eastAsia="宋体" w:cs="宋体"/>
                <w:b/>
                <w:bCs/>
                <w:color w:val="000000" w:themeColor="text1"/>
                <w:sz w:val="24"/>
                <w:szCs w:val="24"/>
                <w:highlight w:val="none"/>
                <w:lang w:val="en-US" w:eastAsia="zh-CN" w:bidi="ar-SA"/>
              </w:rPr>
            </w:r>
            <w:r>
              <w:rPr>
                <w:color w:val="000000" w:themeColor="text1"/>
              </w:rPr>
            </w:r>
          </w:p>
        </w:tc>
      </w:tr>
      <w:tr>
        <w:trPr>
          <w:trHeight w:val="283"/>
        </w:trPr>
        <w:tc>
          <w:tcPr>
            <w:gridSpan w:val="2"/>
            <w:tcBorders>
              <w:top w:val="single" w:color="000000" w:sz="4" w:space="0"/>
              <w:left w:val="single" w:color="000000" w:sz="4" w:space="0"/>
              <w:bottom w:val="single" w:color="000000" w:sz="4" w:space="0"/>
              <w:right w:val="single" w:color="000000" w:sz="4" w:space="0"/>
            </w:tcBorders>
            <w:tcW w:w="9225" w:type="dxa"/>
            <w:vAlign w:val="center"/>
            <w:textDirection w:val="lrTb"/>
            <w:noWrap/>
          </w:tcPr>
          <w:p>
            <w:pPr>
              <w:pStyle w:val="1012"/>
              <w:ind w:firstLine="200"/>
              <w:jc w:val="center"/>
              <w:spacing w:after="0" w:line="240" w:lineRule="auto"/>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2.桌面业务终端</w:t>
            </w:r>
            <w:r>
              <w:rPr>
                <w:rFonts w:hint="eastAsia" w:ascii="宋体" w:hAnsi="宋体" w:eastAsia="宋体" w:cs="宋体"/>
                <w:b/>
                <w:bCs/>
                <w:color w:val="000000" w:themeColor="text1"/>
                <w:sz w:val="24"/>
                <w:szCs w:val="24"/>
                <w:highlight w:val="none"/>
                <w:lang w:val="en-US" w:eastAsia="zh-CN" w:bidi="ar-SA"/>
              </w:rPr>
            </w:r>
            <w:r>
              <w:rPr>
                <w:color w:val="000000" w:themeColor="text1"/>
              </w:rPr>
            </w:r>
          </w:p>
        </w:tc>
      </w:tr>
      <w:tr>
        <w:trPr>
          <w:trHeight w:val="600"/>
        </w:trPr>
        <w:tc>
          <w:tcPr>
            <w:tcBorders>
              <w:top w:val="none" w:color="000000" w:sz="4" w:space="0"/>
              <w:left w:val="single" w:color="000000" w:sz="4" w:space="0"/>
              <w:bottom w:val="single" w:color="000000" w:sz="4" w:space="0"/>
              <w:right w:val="single" w:color="000000" w:sz="4" w:space="0"/>
            </w:tcBorders>
            <w:tcW w:w="1188" w:type="dxa"/>
            <w:vAlign w:val="center"/>
            <w:textDirection w:val="lrTb"/>
            <w:noWrap/>
          </w:tcPr>
          <w:p>
            <w:pPr>
              <w:pStyle w:val="1012"/>
              <w:ind w:firstLine="200"/>
              <w:jc w:val="center"/>
              <w:spacing w:after="0" w:line="240" w:lineRule="auto"/>
              <w:widowControl/>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lang w:val="en-US" w:eastAsia="zh-CN" w:bidi="ar-SA"/>
              </w:rPr>
              <w:t xml:space="preserve">1</w:t>
            </w:r>
            <w:r>
              <w:rPr>
                <w:rFonts w:hint="eastAsia" w:ascii="宋体" w:hAnsi="宋体" w:eastAsia="宋体" w:cs="宋体"/>
                <w:color w:val="000000" w:themeColor="text1"/>
                <w:sz w:val="24"/>
                <w:szCs w:val="22"/>
                <w:highlight w:val="none"/>
                <w:lang w:val="en-US" w:eastAsia="zh-CN" w:bidi="ar-SA"/>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8037" w:type="dxa"/>
            <w:vAlign w:val="center"/>
            <w:textDirection w:val="lrTb"/>
            <w:noWrap/>
          </w:tcPr>
          <w:p>
            <w:pPr>
              <w:pStyle w:val="1012"/>
              <w:ind w:firstLine="200"/>
              <w:jc w:val="left"/>
              <w:spacing w:after="0"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软件支持部署安装至 Windows 7 及全系列更高版本操作系统，同步适配麒麟等国产桌面操作系统，能够直接落地部署于临床医生在岗工作终端。</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600"/>
        </w:trPr>
        <w:tc>
          <w:tcPr>
            <w:tcBorders>
              <w:top w:val="none" w:color="000000" w:sz="4" w:space="0"/>
              <w:left w:val="single" w:color="000000" w:sz="4" w:space="0"/>
              <w:bottom w:val="single" w:color="000000" w:sz="4" w:space="0"/>
              <w:right w:val="single" w:color="000000" w:sz="4" w:space="0"/>
            </w:tcBorders>
            <w:tcW w:w="1188" w:type="dxa"/>
            <w:vAlign w:val="center"/>
            <w:textDirection w:val="lrTb"/>
            <w:noWrap/>
          </w:tcPr>
          <w:p>
            <w:pPr>
              <w:pStyle w:val="1012"/>
              <w:ind w:firstLine="200"/>
              <w:jc w:val="center"/>
              <w:spacing w:after="0" w:line="240" w:lineRule="auto"/>
              <w:widowControl/>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lang w:val="en-US" w:eastAsia="zh-CN" w:bidi="ar-SA"/>
              </w:rPr>
              <w:t xml:space="preserve">2</w:t>
            </w:r>
            <w:r>
              <w:rPr>
                <w:rFonts w:hint="eastAsia" w:ascii="宋体" w:hAnsi="宋体" w:eastAsia="宋体" w:cs="宋体"/>
                <w:color w:val="000000" w:themeColor="text1"/>
                <w:sz w:val="24"/>
                <w:szCs w:val="22"/>
                <w:highlight w:val="none"/>
                <w:lang w:val="en-US" w:eastAsia="zh-CN" w:bidi="ar-SA"/>
              </w:rPr>
            </w:r>
            <w:r>
              <w:rPr>
                <w:color w:val="000000" w:themeColor="text1"/>
              </w:rPr>
            </w:r>
          </w:p>
        </w:tc>
        <w:tc>
          <w:tcPr>
            <w:tcBorders>
              <w:top w:val="none" w:color="000000" w:sz="4" w:space="0"/>
              <w:left w:val="single" w:color="000000" w:sz="4" w:space="0"/>
              <w:bottom w:val="single" w:color="000000" w:sz="4" w:space="0"/>
              <w:right w:val="single" w:color="000000" w:sz="4" w:space="0"/>
            </w:tcBorders>
            <w:tcW w:w="8037" w:type="dxa"/>
            <w:vAlign w:val="center"/>
            <w:textDirection w:val="lrTb"/>
            <w:noWrap/>
          </w:tcPr>
          <w:p>
            <w:pPr>
              <w:pStyle w:val="1012"/>
              <w:ind w:firstLine="200"/>
              <w:jc w:val="left"/>
              <w:spacing w:after="0"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系统支持医护人员凭个人工号完成快捷身份核验登录，根据医护人员所在科室的角色权限，系统自动为医护人员分配相应角色功能，登录后自动带出登录人员姓名、所在科室信息，实现信息自动比对校验。系统支持医护人员多科室排班出诊功能，可根据当日出诊情况具体选择科室进行登录。</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600"/>
        </w:trPr>
        <w:tc>
          <w:tcPr>
            <w:tcBorders>
              <w:top w:val="none" w:color="000000" w:sz="4" w:space="0"/>
              <w:left w:val="single" w:color="000000" w:sz="4" w:space="0"/>
              <w:bottom w:val="single" w:color="000000" w:sz="4" w:space="0"/>
              <w:right w:val="single" w:color="000000" w:sz="4" w:space="0"/>
            </w:tcBorders>
            <w:tcW w:w="1188" w:type="dxa"/>
            <w:vAlign w:val="center"/>
            <w:textDirection w:val="lrTb"/>
            <w:noWrap/>
          </w:tcPr>
          <w:p>
            <w:pPr>
              <w:pStyle w:val="1012"/>
              <w:ind w:firstLine="200"/>
              <w:jc w:val="center"/>
              <w:spacing w:after="0" w:line="240" w:lineRule="auto"/>
              <w:widowControl/>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lang w:val="en-US" w:eastAsia="zh-CN" w:bidi="ar-SA"/>
              </w:rPr>
              <w:t xml:space="preserve">3</w:t>
            </w:r>
            <w:r>
              <w:rPr>
                <w:rFonts w:hint="eastAsia" w:ascii="宋体" w:hAnsi="宋体" w:eastAsia="宋体" w:cs="宋体"/>
                <w:color w:val="000000" w:themeColor="text1"/>
                <w:sz w:val="24"/>
                <w:szCs w:val="22"/>
                <w:highlight w:val="none"/>
                <w:lang w:val="en-US" w:eastAsia="zh-CN" w:bidi="ar-SA"/>
              </w:rPr>
            </w:r>
            <w:r>
              <w:rPr>
                <w:color w:val="000000" w:themeColor="text1"/>
              </w:rPr>
            </w:r>
          </w:p>
        </w:tc>
        <w:tc>
          <w:tcPr>
            <w:tcBorders>
              <w:top w:val="none" w:color="000000" w:sz="4" w:space="0"/>
              <w:left w:val="single" w:color="000000" w:sz="4" w:space="0"/>
              <w:bottom w:val="single" w:color="000000" w:sz="4" w:space="0"/>
              <w:right w:val="single" w:color="000000" w:sz="4" w:space="0"/>
            </w:tcBorders>
            <w:tcW w:w="8037" w:type="dxa"/>
            <w:vAlign w:val="center"/>
            <w:textDirection w:val="lrTb"/>
            <w:noWrap/>
          </w:tcPr>
          <w:p>
            <w:pPr>
              <w:pStyle w:val="1012"/>
              <w:ind w:firstLine="200"/>
              <w:jc w:val="left"/>
              <w:spacing w:after="0"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系统支持医护人员手工录入患者姓名、身份证号、性别、年龄等基础身份信息，完善患者建档资料，对身份证号码及年龄进行相应的规则校验。</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600"/>
        </w:trPr>
        <w:tc>
          <w:tcPr>
            <w:tcBorders>
              <w:top w:val="none" w:color="000000" w:sz="4" w:space="0"/>
              <w:left w:val="single" w:color="000000" w:sz="4" w:space="0"/>
              <w:bottom w:val="single" w:color="000000" w:sz="4" w:space="0"/>
              <w:right w:val="single" w:color="000000" w:sz="4" w:space="0"/>
            </w:tcBorders>
            <w:tcW w:w="1188" w:type="dxa"/>
            <w:vAlign w:val="center"/>
            <w:textDirection w:val="lrTb"/>
            <w:noWrap/>
          </w:tcPr>
          <w:p>
            <w:pPr>
              <w:pStyle w:val="1012"/>
              <w:ind w:firstLine="200"/>
              <w:jc w:val="center"/>
              <w:spacing w:after="0" w:line="240" w:lineRule="auto"/>
              <w:widowControl/>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lang w:val="en-US" w:eastAsia="zh-CN" w:bidi="ar-SA"/>
              </w:rPr>
              <w:t xml:space="preserve">4</w:t>
            </w:r>
            <w:r>
              <w:rPr>
                <w:rFonts w:hint="eastAsia" w:ascii="宋体" w:hAnsi="宋体" w:eastAsia="宋体" w:cs="宋体"/>
                <w:color w:val="000000" w:themeColor="text1"/>
                <w:sz w:val="24"/>
                <w:szCs w:val="22"/>
                <w:highlight w:val="none"/>
                <w:lang w:val="en-US" w:eastAsia="zh-CN" w:bidi="ar-SA"/>
              </w:rPr>
            </w:r>
            <w:r>
              <w:rPr>
                <w:color w:val="000000" w:themeColor="text1"/>
              </w:rPr>
            </w:r>
          </w:p>
        </w:tc>
        <w:tc>
          <w:tcPr>
            <w:tcBorders>
              <w:top w:val="none" w:color="000000" w:sz="4" w:space="0"/>
              <w:left w:val="single" w:color="000000" w:sz="4" w:space="0"/>
              <w:bottom w:val="single" w:color="000000" w:sz="4" w:space="0"/>
              <w:right w:val="single" w:color="000000" w:sz="4" w:space="0"/>
            </w:tcBorders>
            <w:tcW w:w="8037" w:type="dxa"/>
            <w:vAlign w:val="center"/>
            <w:textDirection w:val="lrTb"/>
            <w:noWrap/>
          </w:tcPr>
          <w:p>
            <w:pPr>
              <w:pStyle w:val="1012"/>
              <w:ind w:firstLine="200"/>
              <w:jc w:val="left"/>
              <w:spacing w:after="0"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系统支持对接身份识别读卡设备，可快速读取患者身份信息并自动填充至系统对应字段，大幅提升患者信息录入的工作效率与数据录入准确性，减少人工录入失误。</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1200"/>
        </w:trPr>
        <w:tc>
          <w:tcPr>
            <w:tcBorders>
              <w:top w:val="none" w:color="000000" w:sz="4" w:space="0"/>
              <w:left w:val="single" w:color="000000" w:sz="4" w:space="0"/>
              <w:bottom w:val="single" w:color="000000" w:sz="4" w:space="0"/>
              <w:right w:val="single" w:color="000000" w:sz="4" w:space="0"/>
            </w:tcBorders>
            <w:tcW w:w="1188" w:type="dxa"/>
            <w:vAlign w:val="center"/>
            <w:textDirection w:val="lrTb"/>
            <w:noWrap/>
          </w:tcPr>
          <w:p>
            <w:pPr>
              <w:pStyle w:val="1012"/>
              <w:ind w:firstLine="200"/>
              <w:jc w:val="center"/>
              <w:spacing w:after="0" w:line="240" w:lineRule="auto"/>
              <w:widowControl/>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lang w:val="en-US" w:eastAsia="zh-CN" w:bidi="ar-SA"/>
              </w:rPr>
              <w:t xml:space="preserve">5</w:t>
            </w:r>
            <w:r>
              <w:rPr>
                <w:rFonts w:hint="eastAsia" w:ascii="宋体" w:hAnsi="宋体" w:eastAsia="宋体" w:cs="宋体"/>
                <w:color w:val="000000" w:themeColor="text1"/>
                <w:sz w:val="24"/>
                <w:szCs w:val="22"/>
                <w:highlight w:val="none"/>
                <w:lang w:val="en-US" w:eastAsia="zh-CN" w:bidi="ar-SA"/>
              </w:rPr>
            </w:r>
            <w:r>
              <w:rPr>
                <w:color w:val="000000" w:themeColor="text1"/>
              </w:rPr>
            </w:r>
          </w:p>
        </w:tc>
        <w:tc>
          <w:tcPr>
            <w:tcBorders>
              <w:top w:val="none" w:color="000000" w:sz="4" w:space="0"/>
              <w:left w:val="single" w:color="000000" w:sz="4" w:space="0"/>
              <w:bottom w:val="single" w:color="000000" w:sz="4" w:space="0"/>
              <w:right w:val="single" w:color="000000" w:sz="4" w:space="0"/>
            </w:tcBorders>
            <w:tcW w:w="8037" w:type="dxa"/>
            <w:vAlign w:val="center"/>
            <w:textDirection w:val="lrTb"/>
            <w:noWrap/>
          </w:tcPr>
          <w:p>
            <w:pPr>
              <w:pStyle w:val="1012"/>
              <w:ind w:firstLine="200"/>
              <w:jc w:val="left"/>
              <w:spacing w:after="0"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系统支持开具西药、中成药处方医嘱单据，所有医嘱数据采用本地加密存储方式保障数据安全。系统可自动生成国密加密防伪二维码，通过小程序移动端扫码即可完整解析还原全量医嘱内容，涵盖患者信息、诊断信息、医师信息、药品信息、药品用法用量、使用频次、治疗疗程、药品总量、皮试标识等核心数据，实现医嘱信息可查、可验、可追溯。投标人提供系统截图证明</w:t>
            </w:r>
            <w:r>
              <w:rPr>
                <w:rFonts w:hint="eastAsia" w:ascii="宋体" w:hAnsi="宋体" w:eastAsia="宋体" w:cs="宋体"/>
                <w:color w:val="000000" w:themeColor="text1"/>
                <w:sz w:val="24"/>
                <w:szCs w:val="24"/>
                <w:highlight w:val="none"/>
                <w:lang w:val="en-US" w:eastAsia="zh-CN" w:bidi="ar"/>
              </w:rPr>
              <w:t xml:space="preserve">并</w:t>
            </w:r>
            <w:r>
              <w:rPr>
                <w:rFonts w:hint="eastAsia" w:ascii="宋体" w:hAnsi="宋体" w:eastAsia="宋体" w:cs="宋体"/>
                <w:color w:val="000000" w:themeColor="text1"/>
                <w:sz w:val="24"/>
                <w:szCs w:val="24"/>
                <w:highlight w:val="none"/>
                <w:lang w:val="en-US" w:eastAsia="zh-CN" w:bidi="ar-SA"/>
              </w:rPr>
              <w:t xml:space="preserve">加盖投标人公章。</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600"/>
        </w:trPr>
        <w:tc>
          <w:tcPr>
            <w:tcBorders>
              <w:top w:val="none" w:color="000000" w:sz="4" w:space="0"/>
              <w:left w:val="single" w:color="000000" w:sz="4" w:space="0"/>
              <w:bottom w:val="single" w:color="000000" w:sz="4" w:space="0"/>
              <w:right w:val="single" w:color="000000" w:sz="4" w:space="0"/>
            </w:tcBorders>
            <w:tcW w:w="1188" w:type="dxa"/>
            <w:vAlign w:val="center"/>
            <w:textDirection w:val="lrTb"/>
            <w:noWrap/>
          </w:tcPr>
          <w:p>
            <w:pPr>
              <w:pStyle w:val="1012"/>
              <w:ind w:firstLine="200"/>
              <w:jc w:val="center"/>
              <w:spacing w:after="0" w:line="240" w:lineRule="auto"/>
              <w:widowControl/>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lang w:val="en-US" w:eastAsia="zh-CN" w:bidi="ar-SA"/>
              </w:rPr>
              <w:t xml:space="preserve">6</w:t>
            </w:r>
            <w:r>
              <w:rPr>
                <w:rFonts w:hint="eastAsia" w:ascii="宋体" w:hAnsi="宋体" w:eastAsia="宋体" w:cs="宋体"/>
                <w:color w:val="000000" w:themeColor="text1"/>
                <w:sz w:val="24"/>
                <w:szCs w:val="22"/>
                <w:highlight w:val="none"/>
                <w:lang w:val="en-US" w:eastAsia="zh-CN" w:bidi="ar-SA"/>
              </w:rPr>
            </w:r>
            <w:r>
              <w:rPr>
                <w:color w:val="000000" w:themeColor="text1"/>
              </w:rPr>
            </w:r>
          </w:p>
        </w:tc>
        <w:tc>
          <w:tcPr>
            <w:tcBorders>
              <w:top w:val="none" w:color="000000" w:sz="4" w:space="0"/>
              <w:left w:val="single" w:color="000000" w:sz="4" w:space="0"/>
              <w:bottom w:val="single" w:color="000000" w:sz="4" w:space="0"/>
              <w:right w:val="single" w:color="000000" w:sz="4" w:space="0"/>
            </w:tcBorders>
            <w:tcW w:w="8037" w:type="dxa"/>
            <w:vAlign w:val="center"/>
            <w:textDirection w:val="lrTb"/>
            <w:noWrap/>
          </w:tcPr>
          <w:p>
            <w:pPr>
              <w:pStyle w:val="1012"/>
              <w:ind w:firstLine="200"/>
              <w:jc w:val="left"/>
              <w:spacing w:after="0"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系统支持快速切换更换接诊新患者，可一键清空上一患者的各类业务数据，杜绝不同患者信息交叉混淆问题，保障接诊数据精准无误，规范临床接诊流程。</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600"/>
        </w:trPr>
        <w:tc>
          <w:tcPr>
            <w:tcBorders>
              <w:top w:val="none" w:color="000000" w:sz="4" w:space="0"/>
              <w:left w:val="single" w:color="000000" w:sz="4" w:space="0"/>
              <w:bottom w:val="single" w:color="000000" w:sz="4" w:space="0"/>
              <w:right w:val="single" w:color="000000" w:sz="4" w:space="0"/>
            </w:tcBorders>
            <w:tcW w:w="1188" w:type="dxa"/>
            <w:vAlign w:val="center"/>
            <w:textDirection w:val="lrTb"/>
            <w:noWrap/>
          </w:tcPr>
          <w:p>
            <w:pPr>
              <w:pStyle w:val="1012"/>
              <w:ind w:firstLine="200"/>
              <w:jc w:val="center"/>
              <w:spacing w:after="0" w:line="240" w:lineRule="auto"/>
              <w:widowControl/>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lang w:val="en-US" w:eastAsia="zh-CN" w:bidi="ar-SA"/>
              </w:rPr>
              <w:t xml:space="preserve">7</w:t>
            </w:r>
            <w:r>
              <w:rPr>
                <w:rFonts w:hint="eastAsia" w:ascii="宋体" w:hAnsi="宋体" w:eastAsia="宋体" w:cs="宋体"/>
                <w:color w:val="000000" w:themeColor="text1"/>
                <w:sz w:val="24"/>
                <w:szCs w:val="22"/>
                <w:highlight w:val="none"/>
                <w:lang w:val="en-US" w:eastAsia="zh-CN" w:bidi="ar-SA"/>
              </w:rPr>
            </w:r>
            <w:r>
              <w:rPr>
                <w:color w:val="000000" w:themeColor="text1"/>
              </w:rPr>
            </w:r>
          </w:p>
        </w:tc>
        <w:tc>
          <w:tcPr>
            <w:tcBorders>
              <w:top w:val="none" w:color="000000" w:sz="4" w:space="0"/>
              <w:left w:val="single" w:color="000000" w:sz="4" w:space="0"/>
              <w:bottom w:val="single" w:color="000000" w:sz="4" w:space="0"/>
              <w:right w:val="single" w:color="000000" w:sz="4" w:space="0"/>
            </w:tcBorders>
            <w:tcW w:w="8037" w:type="dxa"/>
            <w:vAlign w:val="center"/>
            <w:textDirection w:val="lrTb"/>
            <w:noWrap/>
          </w:tcPr>
          <w:p>
            <w:pPr>
              <w:pStyle w:val="1012"/>
              <w:ind w:firstLine="200"/>
              <w:jc w:val="left"/>
              <w:spacing w:after="0"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系统支持通过药品名称拼音码实现快速检索筛选，可精准匹配对应药品规格，提升药品选取效率。支持药品分库选择，避免医嘱单上出现不同药房的药品。针对需皮试类药品，系统将自动弹出智能提示信息，支持医护人员自主选择、标注对应皮试属性，规范皮试药品开具流程，规避用药安全风险。</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900"/>
        </w:trPr>
        <w:tc>
          <w:tcPr>
            <w:tcBorders>
              <w:top w:val="none" w:color="000000" w:sz="4" w:space="0"/>
              <w:left w:val="single" w:color="000000" w:sz="4" w:space="0"/>
              <w:bottom w:val="single" w:color="000000" w:sz="4" w:space="0"/>
              <w:right w:val="single" w:color="000000" w:sz="4" w:space="0"/>
            </w:tcBorders>
            <w:tcW w:w="1188" w:type="dxa"/>
            <w:vAlign w:val="center"/>
            <w:textDirection w:val="lrTb"/>
            <w:noWrap/>
          </w:tcPr>
          <w:p>
            <w:pPr>
              <w:pStyle w:val="1012"/>
              <w:ind w:firstLine="200"/>
              <w:jc w:val="center"/>
              <w:spacing w:after="0" w:line="240" w:lineRule="auto"/>
              <w:widowControl/>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lang w:val="en-US" w:eastAsia="zh-CN" w:bidi="ar-SA"/>
              </w:rPr>
              <w:t xml:space="preserve">8</w:t>
            </w:r>
            <w:r>
              <w:rPr>
                <w:rFonts w:hint="eastAsia" w:ascii="宋体" w:hAnsi="宋体" w:eastAsia="宋体" w:cs="宋体"/>
                <w:color w:val="000000" w:themeColor="text1"/>
                <w:sz w:val="24"/>
                <w:szCs w:val="22"/>
                <w:highlight w:val="none"/>
                <w:lang w:val="en-US" w:eastAsia="zh-CN" w:bidi="ar-SA"/>
              </w:rPr>
            </w:r>
            <w:r>
              <w:rPr>
                <w:color w:val="000000" w:themeColor="text1"/>
              </w:rPr>
            </w:r>
          </w:p>
        </w:tc>
        <w:tc>
          <w:tcPr>
            <w:tcBorders>
              <w:top w:val="none" w:color="000000" w:sz="4" w:space="0"/>
              <w:left w:val="single" w:color="000000" w:sz="4" w:space="0"/>
              <w:bottom w:val="single" w:color="000000" w:sz="4" w:space="0"/>
              <w:right w:val="single" w:color="000000" w:sz="4" w:space="0"/>
            </w:tcBorders>
            <w:tcW w:w="8037" w:type="dxa"/>
            <w:vAlign w:val="center"/>
            <w:textDirection w:val="lrTb"/>
            <w:noWrap/>
          </w:tcPr>
          <w:p>
            <w:pPr>
              <w:pStyle w:val="1012"/>
              <w:ind w:firstLine="200"/>
              <w:jc w:val="left"/>
              <w:spacing w:after="0"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支持检验申请单开具功能，检验项目数据本地安全存储并生成加密二维码，移动端扫码可完整解析患者信息、诊断信息、开单医师、检验项目、执行科室等全量内容。</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900"/>
        </w:trPr>
        <w:tc>
          <w:tcPr>
            <w:tcBorders>
              <w:top w:val="none" w:color="000000" w:sz="4" w:space="0"/>
              <w:left w:val="single" w:color="000000" w:sz="4" w:space="0"/>
              <w:bottom w:val="single" w:color="000000" w:sz="4" w:space="0"/>
              <w:right w:val="single" w:color="000000" w:sz="4" w:space="0"/>
            </w:tcBorders>
            <w:tcW w:w="1188" w:type="dxa"/>
            <w:vAlign w:val="center"/>
            <w:textDirection w:val="lrTb"/>
            <w:noWrap/>
          </w:tcPr>
          <w:p>
            <w:pPr>
              <w:pStyle w:val="1012"/>
              <w:ind w:firstLine="200"/>
              <w:jc w:val="center"/>
              <w:spacing w:after="0" w:line="240" w:lineRule="auto"/>
              <w:widowControl/>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lang w:val="en-US" w:eastAsia="zh-CN" w:bidi="ar-SA"/>
              </w:rPr>
              <w:t xml:space="preserve">9</w:t>
            </w:r>
            <w:r>
              <w:rPr>
                <w:rFonts w:hint="eastAsia" w:ascii="宋体" w:hAnsi="宋体" w:eastAsia="宋体" w:cs="宋体"/>
                <w:color w:val="000000" w:themeColor="text1"/>
                <w:sz w:val="24"/>
                <w:szCs w:val="22"/>
                <w:highlight w:val="none"/>
                <w:lang w:val="en-US" w:eastAsia="zh-CN" w:bidi="ar-SA"/>
              </w:rPr>
            </w:r>
            <w:r>
              <w:rPr>
                <w:color w:val="000000" w:themeColor="text1"/>
              </w:rPr>
            </w:r>
          </w:p>
        </w:tc>
        <w:tc>
          <w:tcPr>
            <w:tcBorders>
              <w:top w:val="none" w:color="000000" w:sz="4" w:space="0"/>
              <w:left w:val="single" w:color="000000" w:sz="4" w:space="0"/>
              <w:bottom w:val="single" w:color="000000" w:sz="4" w:space="0"/>
              <w:right w:val="single" w:color="000000" w:sz="4" w:space="0"/>
            </w:tcBorders>
            <w:tcW w:w="8037" w:type="dxa"/>
            <w:vAlign w:val="center"/>
            <w:textDirection w:val="lrTb"/>
            <w:noWrap/>
          </w:tcPr>
          <w:p>
            <w:pPr>
              <w:pStyle w:val="1012"/>
              <w:ind w:firstLine="200"/>
              <w:jc w:val="left"/>
              <w:spacing w:after="0"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支持中药饮片处方开具功能，饮片处方数据本地存储并生成加密二维码，移动端扫码可解析患者信息、诊断信息、饮片名称、单剂用量、用法、频次、总剂数等内容。</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900"/>
        </w:trPr>
        <w:tc>
          <w:tcPr>
            <w:tcBorders>
              <w:top w:val="none" w:color="000000" w:sz="4" w:space="0"/>
              <w:left w:val="single" w:color="000000" w:sz="4" w:space="0"/>
              <w:bottom w:val="single" w:color="000000" w:sz="4" w:space="0"/>
              <w:right w:val="single" w:color="000000" w:sz="4" w:space="0"/>
            </w:tcBorders>
            <w:tcW w:w="1188" w:type="dxa"/>
            <w:vAlign w:val="center"/>
            <w:textDirection w:val="lrTb"/>
            <w:noWrap/>
          </w:tcPr>
          <w:p>
            <w:pPr>
              <w:pStyle w:val="1012"/>
              <w:ind w:firstLine="200"/>
              <w:jc w:val="center"/>
              <w:spacing w:after="0" w:line="240" w:lineRule="auto"/>
              <w:widowControl/>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lang w:val="en-US" w:eastAsia="zh-CN" w:bidi="ar-SA"/>
              </w:rPr>
              <w:t xml:space="preserve">10</w:t>
            </w:r>
            <w:r>
              <w:rPr>
                <w:rFonts w:hint="eastAsia" w:ascii="宋体" w:hAnsi="宋体" w:eastAsia="宋体" w:cs="宋体"/>
                <w:color w:val="000000" w:themeColor="text1"/>
                <w:sz w:val="24"/>
                <w:szCs w:val="22"/>
                <w:highlight w:val="none"/>
                <w:lang w:val="en-US" w:eastAsia="zh-CN" w:bidi="ar-SA"/>
              </w:rPr>
            </w:r>
            <w:r>
              <w:rPr>
                <w:color w:val="000000" w:themeColor="text1"/>
              </w:rPr>
            </w:r>
          </w:p>
        </w:tc>
        <w:tc>
          <w:tcPr>
            <w:tcBorders>
              <w:top w:val="none" w:color="000000" w:sz="4" w:space="0"/>
              <w:left w:val="single" w:color="000000" w:sz="4" w:space="0"/>
              <w:bottom w:val="single" w:color="000000" w:sz="4" w:space="0"/>
              <w:right w:val="single" w:color="000000" w:sz="4" w:space="0"/>
            </w:tcBorders>
            <w:tcW w:w="8037" w:type="dxa"/>
            <w:vAlign w:val="center"/>
            <w:textDirection w:val="lrTb"/>
            <w:noWrap/>
          </w:tcPr>
          <w:p>
            <w:pPr>
              <w:pStyle w:val="1012"/>
              <w:ind w:firstLine="200"/>
              <w:jc w:val="left"/>
              <w:spacing w:after="0"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支持检查项目申请单开具功能，检查数据本地加密存储并生成加密二维码，移动端扫码可完整还原患者信息、诊断信息、开单医师、检查科室、检查项目、检查体位、检查部位、备注说明等信息。</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600"/>
        </w:trPr>
        <w:tc>
          <w:tcPr>
            <w:tcBorders>
              <w:top w:val="none" w:color="000000" w:sz="4" w:space="0"/>
              <w:left w:val="single" w:color="000000" w:sz="4" w:space="0"/>
              <w:bottom w:val="single" w:color="000000" w:sz="4" w:space="0"/>
              <w:right w:val="single" w:color="000000" w:sz="4" w:space="0"/>
            </w:tcBorders>
            <w:tcW w:w="1188" w:type="dxa"/>
            <w:vAlign w:val="center"/>
            <w:textDirection w:val="lrTb"/>
            <w:noWrap/>
          </w:tcPr>
          <w:p>
            <w:pPr>
              <w:pStyle w:val="1012"/>
              <w:ind w:firstLine="200"/>
              <w:jc w:val="center"/>
              <w:spacing w:after="0" w:line="240" w:lineRule="auto"/>
              <w:widowControl/>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lang w:val="en-US" w:eastAsia="zh-CN" w:bidi="ar-SA"/>
              </w:rPr>
              <w:t xml:space="preserve">11</w:t>
            </w:r>
            <w:r>
              <w:rPr>
                <w:rFonts w:hint="eastAsia" w:ascii="宋体" w:hAnsi="宋体" w:eastAsia="宋体" w:cs="宋体"/>
                <w:color w:val="000000" w:themeColor="text1"/>
                <w:sz w:val="24"/>
                <w:szCs w:val="22"/>
                <w:highlight w:val="none"/>
                <w:lang w:val="en-US" w:eastAsia="zh-CN" w:bidi="ar-SA"/>
              </w:rPr>
            </w:r>
            <w:r>
              <w:rPr>
                <w:color w:val="000000" w:themeColor="text1"/>
              </w:rPr>
            </w:r>
          </w:p>
        </w:tc>
        <w:tc>
          <w:tcPr>
            <w:tcBorders>
              <w:top w:val="none" w:color="000000" w:sz="4" w:space="0"/>
              <w:left w:val="single" w:color="000000" w:sz="4" w:space="0"/>
              <w:bottom w:val="single" w:color="000000" w:sz="4" w:space="0"/>
              <w:right w:val="single" w:color="000000" w:sz="4" w:space="0"/>
            </w:tcBorders>
            <w:tcW w:w="8037" w:type="dxa"/>
            <w:vAlign w:val="center"/>
            <w:textDirection w:val="lrTb"/>
            <w:noWrap/>
          </w:tcPr>
          <w:p>
            <w:pPr>
              <w:pStyle w:val="1012"/>
              <w:ind w:firstLine="200"/>
              <w:jc w:val="left"/>
              <w:spacing w:after="0"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系统支持在挂号支付、开单支付场景下生成全局唯一的统一二维码，实现医嘱码与支付码合二为一，融合复用。患者使用手机扫描该二维码，既可以实现医嘱单据的传递，通过移动端小程序在线查看完整医嘱单据，实时查询单据待缴费、待执行等状态信息，又可以通过扫描该二维码，实现费用识别和缴费支付操作。</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600"/>
        </w:trPr>
        <w:tc>
          <w:tcPr>
            <w:tcBorders>
              <w:top w:val="none" w:color="000000" w:sz="4" w:space="0"/>
              <w:left w:val="single" w:color="000000" w:sz="4" w:space="0"/>
              <w:bottom w:val="single" w:color="000000" w:sz="4" w:space="0"/>
              <w:right w:val="single" w:color="000000" w:sz="4" w:space="0"/>
            </w:tcBorders>
            <w:tcW w:w="1188" w:type="dxa"/>
            <w:vAlign w:val="center"/>
            <w:textDirection w:val="lrTb"/>
            <w:noWrap/>
          </w:tcPr>
          <w:p>
            <w:pPr>
              <w:pStyle w:val="1012"/>
              <w:ind w:firstLine="200"/>
              <w:jc w:val="center"/>
              <w:spacing w:after="0" w:line="240" w:lineRule="auto"/>
              <w:widowControl/>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lang w:val="en-US" w:eastAsia="zh-CN" w:bidi="ar-SA"/>
              </w:rPr>
              <w:t xml:space="preserve">12</w:t>
            </w:r>
            <w:r>
              <w:rPr>
                <w:rFonts w:hint="eastAsia" w:ascii="宋体" w:hAnsi="宋体" w:eastAsia="宋体" w:cs="宋体"/>
                <w:color w:val="000000" w:themeColor="text1"/>
                <w:sz w:val="24"/>
                <w:szCs w:val="22"/>
                <w:highlight w:val="none"/>
                <w:lang w:val="en-US" w:eastAsia="zh-CN" w:bidi="ar-SA"/>
              </w:rPr>
            </w:r>
            <w:r>
              <w:rPr>
                <w:color w:val="000000" w:themeColor="text1"/>
              </w:rPr>
            </w:r>
          </w:p>
        </w:tc>
        <w:tc>
          <w:tcPr>
            <w:tcBorders>
              <w:top w:val="none" w:color="000000" w:sz="4" w:space="0"/>
              <w:left w:val="single" w:color="000000" w:sz="4" w:space="0"/>
              <w:bottom w:val="single" w:color="000000" w:sz="4" w:space="0"/>
              <w:right w:val="single" w:color="000000" w:sz="4" w:space="0"/>
            </w:tcBorders>
            <w:tcW w:w="8037" w:type="dxa"/>
            <w:vAlign w:val="center"/>
            <w:textDirection w:val="lrTb"/>
            <w:noWrap/>
          </w:tcPr>
          <w:p>
            <w:pPr>
              <w:pStyle w:val="1012"/>
              <w:ind w:firstLine="200"/>
              <w:jc w:val="left"/>
              <w:spacing w:after="0"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系统支持门诊收费处接收移动端展示的医嘱二维码，快速解析并将对应业务单据信息显示在医嘱收费模块页面，患者可以在该模块完成缴费操作。</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600"/>
        </w:trPr>
        <w:tc>
          <w:tcPr>
            <w:tcBorders>
              <w:top w:val="none" w:color="000000" w:sz="4" w:space="0"/>
              <w:left w:val="single" w:color="000000" w:sz="4" w:space="0"/>
              <w:bottom w:val="single" w:color="000000" w:sz="4" w:space="0"/>
              <w:right w:val="single" w:color="000000" w:sz="4" w:space="0"/>
            </w:tcBorders>
            <w:tcW w:w="1188" w:type="dxa"/>
            <w:vAlign w:val="center"/>
            <w:textDirection w:val="lrTb"/>
            <w:noWrap/>
          </w:tcPr>
          <w:p>
            <w:pPr>
              <w:pStyle w:val="1012"/>
              <w:ind w:firstLine="200"/>
              <w:jc w:val="center"/>
              <w:spacing w:after="0" w:line="240" w:lineRule="auto"/>
              <w:widowControl/>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lang w:val="en-US" w:eastAsia="zh-CN" w:bidi="ar-SA"/>
              </w:rPr>
              <w:t xml:space="preserve">13</w:t>
            </w:r>
            <w:r>
              <w:rPr>
                <w:rFonts w:hint="eastAsia" w:ascii="宋体" w:hAnsi="宋体" w:eastAsia="宋体" w:cs="宋体"/>
                <w:color w:val="000000" w:themeColor="text1"/>
                <w:sz w:val="24"/>
                <w:szCs w:val="22"/>
                <w:highlight w:val="none"/>
                <w:lang w:val="en-US" w:eastAsia="zh-CN" w:bidi="ar-SA"/>
              </w:rPr>
            </w:r>
            <w:r>
              <w:rPr>
                <w:color w:val="000000" w:themeColor="text1"/>
              </w:rPr>
            </w:r>
          </w:p>
        </w:tc>
        <w:tc>
          <w:tcPr>
            <w:tcBorders>
              <w:top w:val="none" w:color="000000" w:sz="4" w:space="0"/>
              <w:left w:val="single" w:color="000000" w:sz="4" w:space="0"/>
              <w:bottom w:val="single" w:color="000000" w:sz="4" w:space="0"/>
              <w:right w:val="single" w:color="000000" w:sz="4" w:space="0"/>
            </w:tcBorders>
            <w:tcW w:w="8037" w:type="dxa"/>
            <w:vAlign w:val="center"/>
            <w:textDirection w:val="lrTb"/>
            <w:noWrap/>
          </w:tcPr>
          <w:p>
            <w:pPr>
              <w:pStyle w:val="1012"/>
              <w:ind w:firstLine="200"/>
              <w:jc w:val="left"/>
              <w:spacing w:after="0"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执行科室工作人员扫描移动端展示的二维码，快速解析并将对应业务单据信息显示在医嘱执行模块页面，医技人员可以在该模块完成发药或检查检验执行操作，系统支持药品追溯码扫码识别机制，支持追溯码信息自动填充、本地存储与归档留存，完善药品使用全流程追溯体系，满足临床合规管理要求。</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300"/>
        </w:trPr>
        <w:tc>
          <w:tcPr>
            <w:tcBorders>
              <w:top w:val="none" w:color="000000" w:sz="4" w:space="0"/>
              <w:left w:val="single" w:color="000000" w:sz="4" w:space="0"/>
              <w:bottom w:val="single" w:color="000000" w:sz="4" w:space="0"/>
              <w:right w:val="single" w:color="000000" w:sz="4" w:space="0"/>
            </w:tcBorders>
            <w:tcW w:w="1188" w:type="dxa"/>
            <w:vAlign w:val="center"/>
            <w:textDirection w:val="lrTb"/>
            <w:noWrap/>
          </w:tcPr>
          <w:p>
            <w:pPr>
              <w:pStyle w:val="1012"/>
              <w:ind w:firstLine="200"/>
              <w:jc w:val="center"/>
              <w:spacing w:after="0" w:line="240" w:lineRule="auto"/>
              <w:widowControl/>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lang w:val="en-US" w:eastAsia="zh-CN" w:bidi="ar-SA"/>
              </w:rPr>
              <w:t xml:space="preserve">14</w:t>
            </w:r>
            <w:r>
              <w:rPr>
                <w:rFonts w:hint="eastAsia" w:ascii="宋体" w:hAnsi="宋体" w:eastAsia="宋体" w:cs="宋体"/>
                <w:color w:val="000000" w:themeColor="text1"/>
                <w:sz w:val="24"/>
                <w:szCs w:val="22"/>
                <w:highlight w:val="none"/>
                <w:lang w:val="en-US" w:eastAsia="zh-CN" w:bidi="ar-SA"/>
              </w:rPr>
            </w:r>
            <w:r>
              <w:rPr>
                <w:color w:val="000000" w:themeColor="text1"/>
              </w:rPr>
            </w:r>
          </w:p>
        </w:tc>
        <w:tc>
          <w:tcPr>
            <w:tcBorders>
              <w:top w:val="none" w:color="000000" w:sz="4" w:space="0"/>
              <w:left w:val="single" w:color="000000" w:sz="4" w:space="0"/>
              <w:bottom w:val="single" w:color="000000" w:sz="4" w:space="0"/>
              <w:right w:val="single" w:color="000000" w:sz="4" w:space="0"/>
            </w:tcBorders>
            <w:tcW w:w="8037" w:type="dxa"/>
            <w:vAlign w:val="center"/>
            <w:textDirection w:val="lrTb"/>
            <w:noWrap/>
          </w:tcPr>
          <w:p>
            <w:pPr>
              <w:pStyle w:val="1012"/>
              <w:ind w:firstLine="200"/>
              <w:jc w:val="left"/>
              <w:spacing w:after="0"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系统全部业务二维码均采用国产化国密算法加密生成，内置动态安全校验机制，严格满足商用密码应用要求，具备高强度防伪造、防篡改、防复制特性，可有效抵御二维码仿制、非法篡改、批量复制、冒用核验等安全隐患，确保各类诊疗、支付码单信息完整真实、全程可溯、不可篡改。投标人提供系统截图证明</w:t>
            </w:r>
            <w:r>
              <w:rPr>
                <w:rFonts w:hint="eastAsia" w:ascii="宋体" w:hAnsi="宋体" w:eastAsia="宋体" w:cs="宋体"/>
                <w:color w:val="000000" w:themeColor="text1"/>
                <w:sz w:val="24"/>
                <w:szCs w:val="24"/>
                <w:highlight w:val="none"/>
                <w:lang w:val="en-US" w:eastAsia="zh-CN" w:bidi="ar"/>
              </w:rPr>
              <w:t xml:space="preserve">并</w:t>
            </w:r>
            <w:r>
              <w:rPr>
                <w:rFonts w:hint="eastAsia" w:ascii="宋体" w:hAnsi="宋体" w:eastAsia="宋体" w:cs="宋体"/>
                <w:color w:val="000000" w:themeColor="text1"/>
                <w:sz w:val="24"/>
                <w:szCs w:val="24"/>
                <w:highlight w:val="none"/>
                <w:lang w:val="en-US" w:eastAsia="zh-CN" w:bidi="ar-SA"/>
              </w:rPr>
              <w:t xml:space="preserve">加盖投标人公章。</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300"/>
        </w:trPr>
        <w:tc>
          <w:tcPr>
            <w:tcBorders>
              <w:top w:val="none" w:color="000000" w:sz="4" w:space="0"/>
              <w:left w:val="single" w:color="000000" w:sz="4" w:space="0"/>
              <w:bottom w:val="single" w:color="000000" w:sz="4" w:space="0"/>
              <w:right w:val="single" w:color="000000" w:sz="4" w:space="0"/>
            </w:tcBorders>
            <w:tcW w:w="1188" w:type="dxa"/>
            <w:vAlign w:val="center"/>
            <w:textDirection w:val="lrTb"/>
            <w:noWrap/>
          </w:tcPr>
          <w:p>
            <w:pPr>
              <w:pStyle w:val="1012"/>
              <w:ind w:firstLine="200"/>
              <w:jc w:val="center"/>
              <w:spacing w:after="0" w:line="240" w:lineRule="auto"/>
              <w:widowControl/>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lang w:val="en-US" w:eastAsia="zh-CN" w:bidi="ar-SA"/>
              </w:rPr>
              <w:t xml:space="preserve">15</w:t>
            </w:r>
            <w:r>
              <w:rPr>
                <w:rFonts w:hint="eastAsia" w:ascii="宋体" w:hAnsi="宋体" w:eastAsia="宋体" w:cs="宋体"/>
                <w:color w:val="000000" w:themeColor="text1"/>
                <w:sz w:val="24"/>
                <w:szCs w:val="22"/>
                <w:highlight w:val="none"/>
                <w:lang w:val="en-US" w:eastAsia="zh-CN" w:bidi="ar-SA"/>
              </w:rPr>
            </w:r>
            <w:r>
              <w:rPr>
                <w:color w:val="000000" w:themeColor="text1"/>
              </w:rPr>
            </w:r>
          </w:p>
        </w:tc>
        <w:tc>
          <w:tcPr>
            <w:tcBorders>
              <w:top w:val="none" w:color="000000" w:sz="4" w:space="0"/>
              <w:left w:val="single" w:color="000000" w:sz="4" w:space="0"/>
              <w:bottom w:val="single" w:color="000000" w:sz="4" w:space="0"/>
              <w:right w:val="single" w:color="000000" w:sz="4" w:space="0"/>
            </w:tcBorders>
            <w:tcW w:w="8037" w:type="dxa"/>
            <w:vAlign w:val="center"/>
            <w:textDirection w:val="lrTb"/>
            <w:noWrap/>
          </w:tcPr>
          <w:p>
            <w:pPr>
              <w:pStyle w:val="1012"/>
              <w:ind w:firstLine="200"/>
              <w:jc w:val="center"/>
              <w:spacing w:after="0"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系统支持微信线上支付渠道接入，打通线上缴费结算通道，聚焦应急诊疗场景，实现医疗费用一站式、闭环式结算，极大地精简应急缴费流程，提升突发场景下的诊疗服务效率。</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300"/>
        </w:trPr>
        <w:tc>
          <w:tcPr>
            <w:tcBorders>
              <w:top w:val="none" w:color="000000" w:sz="4" w:space="0"/>
              <w:left w:val="single" w:color="000000" w:sz="4" w:space="0"/>
              <w:bottom w:val="single" w:color="000000" w:sz="4" w:space="0"/>
              <w:right w:val="single" w:color="000000" w:sz="4" w:space="0"/>
            </w:tcBorders>
            <w:tcW w:w="1188" w:type="dxa"/>
            <w:vAlign w:val="center"/>
            <w:textDirection w:val="lrTb"/>
            <w:noWrap/>
          </w:tcPr>
          <w:p>
            <w:pPr>
              <w:pStyle w:val="1012"/>
              <w:ind w:firstLine="200"/>
              <w:jc w:val="center"/>
              <w:spacing w:after="0" w:line="240" w:lineRule="auto"/>
              <w:widowControl/>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lang w:val="en-US" w:eastAsia="zh-CN" w:bidi="ar-SA"/>
              </w:rPr>
              <w:t xml:space="preserve">16</w:t>
            </w:r>
            <w:r>
              <w:rPr>
                <w:rFonts w:hint="eastAsia" w:ascii="宋体" w:hAnsi="宋体" w:eastAsia="宋体" w:cs="宋体"/>
                <w:color w:val="000000" w:themeColor="text1"/>
                <w:sz w:val="24"/>
                <w:szCs w:val="22"/>
                <w:highlight w:val="none"/>
                <w:lang w:val="en-US" w:eastAsia="zh-CN" w:bidi="ar-SA"/>
              </w:rPr>
            </w:r>
            <w:r>
              <w:rPr>
                <w:color w:val="000000" w:themeColor="text1"/>
              </w:rPr>
            </w:r>
          </w:p>
        </w:tc>
        <w:tc>
          <w:tcPr>
            <w:tcBorders>
              <w:top w:val="none" w:color="000000" w:sz="4" w:space="0"/>
              <w:left w:val="single" w:color="000000" w:sz="4" w:space="0"/>
              <w:bottom w:val="single" w:color="000000" w:sz="4" w:space="0"/>
              <w:right w:val="single" w:color="000000" w:sz="4" w:space="0"/>
            </w:tcBorders>
            <w:tcW w:w="8037" w:type="dxa"/>
            <w:vAlign w:val="center"/>
            <w:textDirection w:val="lrTb"/>
            <w:noWrap/>
          </w:tcPr>
          <w:p>
            <w:pPr>
              <w:pStyle w:val="1012"/>
              <w:ind w:firstLine="200"/>
              <w:jc w:val="center"/>
              <w:spacing w:after="0"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针对门诊挂号、医嘱开具、医嘱执行等全流程关键业务场景，系统通过醒目标识与提示功能，包括但不限于文字和图标等多种方式，实时展示业务节点状态，便于医护人员明确当前业务运行情况。</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283"/>
        </w:trPr>
        <w:tc>
          <w:tcPr>
            <w:gridSpan w:val="2"/>
            <w:tcBorders>
              <w:top w:val="single" w:color="000000" w:sz="4" w:space="0"/>
              <w:left w:val="single" w:color="000000" w:sz="4" w:space="0"/>
              <w:bottom w:val="single" w:color="000000" w:sz="4" w:space="0"/>
              <w:right w:val="single" w:color="000000" w:sz="4" w:space="0"/>
            </w:tcBorders>
            <w:tcW w:w="9225" w:type="dxa"/>
            <w:vAlign w:val="center"/>
            <w:textDirection w:val="lrTb"/>
            <w:noWrap/>
          </w:tcPr>
          <w:p>
            <w:pPr>
              <w:pStyle w:val="1012"/>
              <w:ind w:firstLine="200"/>
              <w:jc w:val="center"/>
              <w:spacing w:after="0"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3. 移动端轻应用</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300"/>
        </w:trPr>
        <w:tc>
          <w:tcPr>
            <w:tcBorders>
              <w:top w:val="none" w:color="000000" w:sz="4" w:space="0"/>
              <w:left w:val="single" w:color="000000" w:sz="4" w:space="0"/>
              <w:bottom w:val="single" w:color="000000" w:sz="4" w:space="0"/>
              <w:right w:val="single" w:color="000000" w:sz="4" w:space="0"/>
            </w:tcBorders>
            <w:tcW w:w="1188" w:type="dxa"/>
            <w:vAlign w:val="center"/>
            <w:textDirection w:val="lrTb"/>
            <w:noWrap/>
          </w:tcPr>
          <w:p>
            <w:pPr>
              <w:pStyle w:val="1012"/>
              <w:ind w:firstLine="200"/>
              <w:jc w:val="center"/>
              <w:spacing w:after="0" w:line="240" w:lineRule="auto"/>
              <w:widowControl/>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lang w:val="en-US" w:eastAsia="zh-CN" w:bidi="ar-SA"/>
              </w:rPr>
              <w:t xml:space="preserve">1</w:t>
            </w:r>
            <w:r>
              <w:rPr>
                <w:rFonts w:hint="eastAsia" w:ascii="宋体" w:hAnsi="宋体" w:eastAsia="宋体" w:cs="宋体"/>
                <w:color w:val="000000" w:themeColor="text1"/>
                <w:sz w:val="24"/>
                <w:szCs w:val="22"/>
                <w:highlight w:val="none"/>
                <w:lang w:val="en-US" w:eastAsia="zh-CN" w:bidi="ar-SA"/>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8037" w:type="dxa"/>
            <w:vAlign w:val="center"/>
            <w:textDirection w:val="lrTb"/>
            <w:noWrap/>
          </w:tcPr>
          <w:p>
            <w:pPr>
              <w:pStyle w:val="1012"/>
              <w:ind w:firstLine="200"/>
              <w:jc w:val="left"/>
              <w:spacing w:after="0"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系统配套患者端小程序，作为独立服务入口，支持患者实名认证登录。患者可线上提前填报身份证、出生日期、年龄、联系方式等就诊基础资料，生成动态就诊二维码。院内终端设备扫码识别后，快速完成挂号及接诊流程，简化现场操作，提升整体就医流转效率。</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300"/>
        </w:trPr>
        <w:tc>
          <w:tcPr>
            <w:tcBorders>
              <w:top w:val="none" w:color="000000" w:sz="4" w:space="0"/>
              <w:left w:val="single" w:color="000000" w:sz="4" w:space="0"/>
              <w:bottom w:val="single" w:color="000000" w:sz="4" w:space="0"/>
              <w:right w:val="single" w:color="000000" w:sz="4" w:space="0"/>
            </w:tcBorders>
            <w:tcW w:w="1188" w:type="dxa"/>
            <w:vAlign w:val="center"/>
            <w:textDirection w:val="lrTb"/>
            <w:noWrap/>
          </w:tcPr>
          <w:p>
            <w:pPr>
              <w:pStyle w:val="1012"/>
              <w:ind w:firstLine="200"/>
              <w:jc w:val="center"/>
              <w:spacing w:after="0" w:line="240" w:lineRule="auto"/>
              <w:widowControl/>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lang w:val="en-US" w:eastAsia="zh-CN" w:bidi="ar-SA"/>
              </w:rPr>
              <w:t xml:space="preserve">2</w:t>
            </w:r>
            <w:r>
              <w:rPr>
                <w:rFonts w:hint="eastAsia" w:ascii="宋体" w:hAnsi="宋体" w:eastAsia="宋体" w:cs="宋体"/>
                <w:color w:val="000000" w:themeColor="text1"/>
                <w:sz w:val="24"/>
                <w:szCs w:val="22"/>
                <w:highlight w:val="none"/>
                <w:lang w:val="en-US" w:eastAsia="zh-CN" w:bidi="ar-SA"/>
              </w:rPr>
            </w:r>
            <w:r>
              <w:rPr>
                <w:color w:val="000000" w:themeColor="text1"/>
              </w:rPr>
            </w:r>
          </w:p>
        </w:tc>
        <w:tc>
          <w:tcPr>
            <w:tcBorders>
              <w:top w:val="none" w:color="000000" w:sz="4" w:space="0"/>
              <w:left w:val="single" w:color="000000" w:sz="4" w:space="0"/>
              <w:bottom w:val="single" w:color="000000" w:sz="4" w:space="0"/>
              <w:right w:val="single" w:color="000000" w:sz="4" w:space="0"/>
            </w:tcBorders>
            <w:tcW w:w="8037" w:type="dxa"/>
            <w:vAlign w:val="center"/>
            <w:textDirection w:val="lrTb"/>
            <w:noWrap/>
          </w:tcPr>
          <w:p>
            <w:pPr>
              <w:pStyle w:val="1012"/>
              <w:ind w:firstLine="200"/>
              <w:jc w:val="left"/>
              <w:spacing w:after="0"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小程序集成微信授权接口，支持用户一键授权获取绑定手机号，替代传统手动填写方式，精简登录与身份校验流程，提升操作便捷度。</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300"/>
        </w:trPr>
        <w:tc>
          <w:tcPr>
            <w:tcBorders>
              <w:top w:val="none" w:color="000000" w:sz="4" w:space="0"/>
              <w:left w:val="single" w:color="000000" w:sz="4" w:space="0"/>
              <w:bottom w:val="single" w:color="000000" w:sz="4" w:space="0"/>
              <w:right w:val="single" w:color="000000" w:sz="4" w:space="0"/>
            </w:tcBorders>
            <w:tcW w:w="1188" w:type="dxa"/>
            <w:vAlign w:val="center"/>
            <w:textDirection w:val="lrTb"/>
            <w:noWrap/>
          </w:tcPr>
          <w:p>
            <w:pPr>
              <w:pStyle w:val="1012"/>
              <w:ind w:firstLine="200"/>
              <w:jc w:val="center"/>
              <w:spacing w:after="0" w:line="240" w:lineRule="auto"/>
              <w:widowControl/>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lang w:val="en-US" w:eastAsia="zh-CN" w:bidi="ar-SA"/>
              </w:rPr>
              <w:t xml:space="preserve">3</w:t>
            </w:r>
            <w:r>
              <w:rPr>
                <w:rFonts w:hint="eastAsia" w:ascii="宋体" w:hAnsi="宋体" w:eastAsia="宋体" w:cs="宋体"/>
                <w:color w:val="000000" w:themeColor="text1"/>
                <w:sz w:val="24"/>
                <w:szCs w:val="22"/>
                <w:highlight w:val="none"/>
                <w:lang w:val="en-US" w:eastAsia="zh-CN" w:bidi="ar-SA"/>
              </w:rPr>
            </w:r>
            <w:r>
              <w:rPr>
                <w:color w:val="000000" w:themeColor="text1"/>
              </w:rPr>
            </w:r>
          </w:p>
        </w:tc>
        <w:tc>
          <w:tcPr>
            <w:tcBorders>
              <w:top w:val="none" w:color="000000" w:sz="4" w:space="0"/>
              <w:left w:val="single" w:color="000000" w:sz="4" w:space="0"/>
              <w:bottom w:val="single" w:color="000000" w:sz="4" w:space="0"/>
              <w:right w:val="single" w:color="000000" w:sz="4" w:space="0"/>
            </w:tcBorders>
            <w:tcW w:w="8037" w:type="dxa"/>
            <w:vAlign w:val="center"/>
            <w:textDirection w:val="lrTb"/>
            <w:noWrap/>
          </w:tcPr>
          <w:p>
            <w:pPr>
              <w:pStyle w:val="1012"/>
              <w:ind w:firstLine="200"/>
              <w:jc w:val="left"/>
              <w:spacing w:after="0"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小程序内置扫码识别功能，可快速扫描桌面客户端生成的二维码。</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600"/>
        </w:trPr>
        <w:tc>
          <w:tcPr>
            <w:tcBorders>
              <w:top w:val="none" w:color="000000" w:sz="4" w:space="0"/>
              <w:left w:val="single" w:color="000000" w:sz="4" w:space="0"/>
              <w:bottom w:val="single" w:color="000000" w:sz="4" w:space="0"/>
              <w:right w:val="single" w:color="000000" w:sz="4" w:space="0"/>
            </w:tcBorders>
            <w:tcW w:w="1188" w:type="dxa"/>
            <w:vAlign w:val="center"/>
            <w:textDirection w:val="lrTb"/>
            <w:noWrap/>
          </w:tcPr>
          <w:p>
            <w:pPr>
              <w:pStyle w:val="1012"/>
              <w:ind w:firstLine="200"/>
              <w:jc w:val="center"/>
              <w:spacing w:after="0" w:line="240" w:lineRule="auto"/>
              <w:widowControl/>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lang w:val="en-US" w:eastAsia="zh-CN" w:bidi="ar-SA"/>
              </w:rPr>
              <w:t xml:space="preserve">4</w:t>
            </w:r>
            <w:r>
              <w:rPr>
                <w:rFonts w:hint="eastAsia" w:ascii="宋体" w:hAnsi="宋体" w:eastAsia="宋体" w:cs="宋体"/>
                <w:color w:val="000000" w:themeColor="text1"/>
                <w:sz w:val="24"/>
                <w:szCs w:val="22"/>
                <w:highlight w:val="none"/>
                <w:lang w:val="en-US" w:eastAsia="zh-CN" w:bidi="ar-SA"/>
              </w:rPr>
            </w:r>
            <w:r>
              <w:rPr>
                <w:color w:val="000000" w:themeColor="text1"/>
              </w:rPr>
            </w:r>
          </w:p>
        </w:tc>
        <w:tc>
          <w:tcPr>
            <w:tcBorders>
              <w:top w:val="none" w:color="000000" w:sz="4" w:space="0"/>
              <w:left w:val="single" w:color="000000" w:sz="4" w:space="0"/>
              <w:bottom w:val="single" w:color="000000" w:sz="4" w:space="0"/>
              <w:right w:val="single" w:color="000000" w:sz="4" w:space="0"/>
            </w:tcBorders>
            <w:tcW w:w="8037" w:type="dxa"/>
            <w:vAlign w:val="center"/>
            <w:textDirection w:val="lrTb"/>
            <w:noWrap/>
          </w:tcPr>
          <w:p>
            <w:pPr>
              <w:pStyle w:val="1012"/>
              <w:ind w:firstLine="200"/>
              <w:jc w:val="left"/>
              <w:spacing w:after="0"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小程序支持展示扫码解析后的医嘱单据列表及详情，清晰地呈现当前待缴费、待执行业务等数据。</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600"/>
        </w:trPr>
        <w:tc>
          <w:tcPr>
            <w:tcBorders>
              <w:top w:val="none" w:color="000000" w:sz="4" w:space="0"/>
              <w:left w:val="single" w:color="000000" w:sz="4" w:space="0"/>
              <w:bottom w:val="single" w:color="000000" w:sz="4" w:space="0"/>
              <w:right w:val="single" w:color="000000" w:sz="4" w:space="0"/>
            </w:tcBorders>
            <w:tcW w:w="1188" w:type="dxa"/>
            <w:vAlign w:val="center"/>
            <w:textDirection w:val="lrTb"/>
            <w:noWrap/>
          </w:tcPr>
          <w:p>
            <w:pPr>
              <w:pStyle w:val="1012"/>
              <w:ind w:firstLine="200"/>
              <w:jc w:val="center"/>
              <w:spacing w:after="0" w:line="240" w:lineRule="auto"/>
              <w:widowControl/>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lang w:val="en-US" w:eastAsia="zh-CN" w:bidi="ar-SA"/>
              </w:rPr>
              <w:t xml:space="preserve">5</w:t>
            </w:r>
            <w:r>
              <w:rPr>
                <w:rFonts w:hint="eastAsia" w:ascii="宋体" w:hAnsi="宋体" w:eastAsia="宋体" w:cs="宋体"/>
                <w:color w:val="000000" w:themeColor="text1"/>
                <w:sz w:val="24"/>
                <w:szCs w:val="22"/>
                <w:highlight w:val="none"/>
                <w:lang w:val="en-US" w:eastAsia="zh-CN" w:bidi="ar-SA"/>
              </w:rPr>
            </w:r>
            <w:r>
              <w:rPr>
                <w:color w:val="000000" w:themeColor="text1"/>
              </w:rPr>
            </w:r>
          </w:p>
        </w:tc>
        <w:tc>
          <w:tcPr>
            <w:tcBorders>
              <w:top w:val="none" w:color="000000" w:sz="4" w:space="0"/>
              <w:left w:val="single" w:color="000000" w:sz="4" w:space="0"/>
              <w:bottom w:val="single" w:color="000000" w:sz="4" w:space="0"/>
              <w:right w:val="single" w:color="000000" w:sz="4" w:space="0"/>
            </w:tcBorders>
            <w:tcW w:w="8037" w:type="dxa"/>
            <w:vAlign w:val="center"/>
            <w:textDirection w:val="lrTb"/>
            <w:noWrap/>
          </w:tcPr>
          <w:p>
            <w:pPr>
              <w:pStyle w:val="1012"/>
              <w:ind w:firstLine="200"/>
              <w:jc w:val="left"/>
              <w:spacing w:after="0"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提供历史记录查询功能，支持患者查看全部医嘱处方记录、支付记录与执行记录。</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900"/>
        </w:trPr>
        <w:tc>
          <w:tcPr>
            <w:tcBorders>
              <w:top w:val="none" w:color="000000" w:sz="4" w:space="0"/>
              <w:left w:val="single" w:color="000000" w:sz="4" w:space="0"/>
              <w:bottom w:val="single" w:color="000000" w:sz="4" w:space="0"/>
              <w:right w:val="single" w:color="000000" w:sz="4" w:space="0"/>
            </w:tcBorders>
            <w:tcW w:w="1188" w:type="dxa"/>
            <w:vAlign w:val="center"/>
            <w:textDirection w:val="lrTb"/>
            <w:noWrap/>
          </w:tcPr>
          <w:p>
            <w:pPr>
              <w:pStyle w:val="1012"/>
              <w:ind w:firstLine="200"/>
              <w:jc w:val="center"/>
              <w:spacing w:after="0" w:line="240" w:lineRule="auto"/>
              <w:widowControl/>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lang w:val="en-US" w:eastAsia="zh-CN" w:bidi="ar-SA"/>
              </w:rPr>
              <w:t xml:space="preserve">6</w:t>
            </w:r>
            <w:r>
              <w:rPr>
                <w:rFonts w:hint="eastAsia" w:ascii="宋体" w:hAnsi="宋体" w:eastAsia="宋体" w:cs="宋体"/>
                <w:color w:val="000000" w:themeColor="text1"/>
                <w:sz w:val="24"/>
                <w:szCs w:val="22"/>
                <w:highlight w:val="none"/>
                <w:lang w:val="en-US" w:eastAsia="zh-CN" w:bidi="ar-SA"/>
              </w:rPr>
            </w:r>
            <w:r>
              <w:rPr>
                <w:color w:val="000000" w:themeColor="text1"/>
              </w:rPr>
            </w:r>
          </w:p>
        </w:tc>
        <w:tc>
          <w:tcPr>
            <w:tcBorders>
              <w:top w:val="none" w:color="000000" w:sz="4" w:space="0"/>
              <w:left w:val="single" w:color="000000" w:sz="4" w:space="0"/>
              <w:bottom w:val="single" w:color="000000" w:sz="4" w:space="0"/>
              <w:right w:val="single" w:color="000000" w:sz="4" w:space="0"/>
            </w:tcBorders>
            <w:tcW w:w="8037" w:type="dxa"/>
            <w:vAlign w:val="center"/>
            <w:textDirection w:val="lrTb"/>
            <w:noWrap/>
          </w:tcPr>
          <w:p>
            <w:pPr>
              <w:pStyle w:val="1012"/>
              <w:ind w:firstLine="200"/>
              <w:jc w:val="left"/>
              <w:spacing w:after="0"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▲支持生成患者业务二维码，供药房、检验、检查、收费、注射、输液等科室工作人员扫码进行业务核对、追加、确认、执行、退费等操作。投标人提供系统截图证明</w:t>
            </w:r>
            <w:r>
              <w:rPr>
                <w:rFonts w:hint="eastAsia" w:ascii="宋体" w:hAnsi="宋体" w:eastAsia="宋体" w:cs="宋体"/>
                <w:color w:val="000000" w:themeColor="text1"/>
                <w:sz w:val="24"/>
                <w:szCs w:val="24"/>
                <w:highlight w:val="none"/>
                <w:lang w:val="en-US" w:eastAsia="zh-CN" w:bidi="ar"/>
              </w:rPr>
              <w:t xml:space="preserve">并</w:t>
            </w:r>
            <w:r>
              <w:rPr>
                <w:rFonts w:hint="eastAsia" w:ascii="宋体" w:hAnsi="宋体" w:eastAsia="宋体" w:cs="宋体"/>
                <w:color w:val="000000" w:themeColor="text1"/>
                <w:sz w:val="24"/>
                <w:szCs w:val="24"/>
                <w:highlight w:val="none"/>
                <w:lang w:val="en-US" w:eastAsia="zh-CN" w:bidi="ar-SA"/>
              </w:rPr>
              <w:t xml:space="preserve">加盖投标人公章。</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300"/>
        </w:trPr>
        <w:tc>
          <w:tcPr>
            <w:tcBorders>
              <w:top w:val="none" w:color="000000" w:sz="4" w:space="0"/>
              <w:left w:val="single" w:color="000000" w:sz="4" w:space="0"/>
              <w:bottom w:val="single" w:color="000000" w:sz="4" w:space="0"/>
              <w:right w:val="single" w:color="000000" w:sz="4" w:space="0"/>
            </w:tcBorders>
            <w:tcW w:w="1188" w:type="dxa"/>
            <w:vAlign w:val="center"/>
            <w:textDirection w:val="lrTb"/>
            <w:noWrap/>
          </w:tcPr>
          <w:p>
            <w:pPr>
              <w:pStyle w:val="1012"/>
              <w:ind w:firstLine="200"/>
              <w:jc w:val="center"/>
              <w:spacing w:after="0" w:line="240" w:lineRule="auto"/>
              <w:widowControl/>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lang w:val="en-US" w:eastAsia="zh-CN" w:bidi="ar-SA"/>
              </w:rPr>
              <w:t xml:space="preserve">7</w:t>
            </w:r>
            <w:r>
              <w:rPr>
                <w:rFonts w:hint="eastAsia" w:ascii="宋体" w:hAnsi="宋体" w:eastAsia="宋体" w:cs="宋体"/>
                <w:color w:val="000000" w:themeColor="text1"/>
                <w:sz w:val="24"/>
                <w:szCs w:val="22"/>
                <w:highlight w:val="none"/>
                <w:lang w:val="en-US" w:eastAsia="zh-CN" w:bidi="ar-SA"/>
              </w:rPr>
            </w:r>
            <w:r>
              <w:rPr>
                <w:color w:val="000000" w:themeColor="text1"/>
              </w:rPr>
            </w:r>
          </w:p>
        </w:tc>
        <w:tc>
          <w:tcPr>
            <w:tcBorders>
              <w:top w:val="none" w:color="000000" w:sz="4" w:space="0"/>
              <w:left w:val="single" w:color="000000" w:sz="4" w:space="0"/>
              <w:bottom w:val="single" w:color="000000" w:sz="4" w:space="0"/>
              <w:right w:val="single" w:color="000000" w:sz="4" w:space="0"/>
            </w:tcBorders>
            <w:tcW w:w="8037" w:type="dxa"/>
            <w:vAlign w:val="center"/>
            <w:textDirection w:val="lrTb"/>
            <w:noWrap/>
          </w:tcPr>
          <w:p>
            <w:pPr>
              <w:pStyle w:val="1012"/>
              <w:ind w:firstLine="200"/>
              <w:jc w:val="left"/>
              <w:spacing w:after="0"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小程序集成微信支付功能，实现挂号、诊疗医嘱单据费用线上缴付，全程安全可控、操作简易。系统支持患者选中多笔待缴单据，进行合并批量缴费，提升结算效率。</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300"/>
        </w:trPr>
        <w:tc>
          <w:tcPr>
            <w:tcBorders>
              <w:top w:val="none" w:color="000000" w:sz="4" w:space="0"/>
              <w:left w:val="single" w:color="000000" w:sz="4" w:space="0"/>
              <w:bottom w:val="single" w:color="000000" w:sz="4" w:space="0"/>
              <w:right w:val="single" w:color="000000" w:sz="4" w:space="0"/>
            </w:tcBorders>
            <w:tcW w:w="1188" w:type="dxa"/>
            <w:vAlign w:val="center"/>
            <w:textDirection w:val="lrTb"/>
            <w:noWrap/>
          </w:tcPr>
          <w:p>
            <w:pPr>
              <w:pStyle w:val="1012"/>
              <w:ind w:firstLine="200"/>
              <w:jc w:val="center"/>
              <w:spacing w:after="0" w:line="240" w:lineRule="auto"/>
              <w:widowControl/>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lang w:val="en-US" w:eastAsia="zh-CN" w:bidi="ar-SA"/>
              </w:rPr>
              <w:t xml:space="preserve">8</w:t>
            </w:r>
            <w:r>
              <w:rPr>
                <w:rFonts w:hint="eastAsia" w:ascii="宋体" w:hAnsi="宋体" w:eastAsia="宋体" w:cs="宋体"/>
                <w:color w:val="000000" w:themeColor="text1"/>
                <w:sz w:val="24"/>
                <w:szCs w:val="22"/>
                <w:highlight w:val="none"/>
                <w:lang w:val="en-US" w:eastAsia="zh-CN" w:bidi="ar-SA"/>
              </w:rPr>
            </w:r>
            <w:r>
              <w:rPr>
                <w:color w:val="000000" w:themeColor="text1"/>
              </w:rPr>
            </w:r>
          </w:p>
        </w:tc>
        <w:tc>
          <w:tcPr>
            <w:tcBorders>
              <w:top w:val="none" w:color="000000" w:sz="4" w:space="0"/>
              <w:left w:val="single" w:color="000000" w:sz="4" w:space="0"/>
              <w:bottom w:val="single" w:color="000000" w:sz="4" w:space="0"/>
              <w:right w:val="single" w:color="000000" w:sz="4" w:space="0"/>
            </w:tcBorders>
            <w:tcW w:w="8037" w:type="dxa"/>
            <w:vAlign w:val="center"/>
            <w:textDirection w:val="lrTb"/>
            <w:noWrap/>
          </w:tcPr>
          <w:p>
            <w:pPr>
              <w:pStyle w:val="1012"/>
              <w:ind w:firstLine="200"/>
              <w:jc w:val="left"/>
              <w:spacing w:after="0"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患者微信扫码客户端生成的二维码，实现医嘱单据和业务状态的上传更新，小程序医嘱列表同时支持支付缴费和查看二维码功能。</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283"/>
        </w:trPr>
        <w:tc>
          <w:tcPr>
            <w:gridSpan w:val="2"/>
            <w:tcBorders>
              <w:top w:val="single" w:color="000000" w:sz="4" w:space="0"/>
              <w:left w:val="single" w:color="000000" w:sz="4" w:space="0"/>
              <w:bottom w:val="single" w:color="000000" w:sz="4" w:space="0"/>
              <w:right w:val="single" w:color="000000" w:sz="4" w:space="0"/>
            </w:tcBorders>
            <w:tcW w:w="9225" w:type="dxa"/>
            <w:vAlign w:val="center"/>
            <w:textDirection w:val="lrTb"/>
            <w:noWrap/>
          </w:tcPr>
          <w:p>
            <w:pPr>
              <w:pStyle w:val="1012"/>
              <w:ind w:firstLine="200"/>
              <w:jc w:val="center"/>
              <w:spacing w:after="0" w:line="240" w:lineRule="auto"/>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4. Web管理控制台</w:t>
            </w:r>
            <w:r>
              <w:rPr>
                <w:rFonts w:hint="eastAsia" w:ascii="宋体" w:hAnsi="宋体" w:eastAsia="宋体" w:cs="宋体"/>
                <w:b/>
                <w:bCs/>
                <w:color w:val="000000" w:themeColor="text1"/>
                <w:sz w:val="24"/>
                <w:szCs w:val="24"/>
                <w:highlight w:val="none"/>
                <w:lang w:val="en-US" w:eastAsia="zh-CN" w:bidi="ar-SA"/>
              </w:rPr>
            </w:r>
            <w:r>
              <w:rPr>
                <w:color w:val="000000" w:themeColor="text1"/>
              </w:rPr>
            </w:r>
          </w:p>
        </w:tc>
      </w:tr>
      <w:tr>
        <w:trPr>
          <w:trHeight w:val="600"/>
        </w:trPr>
        <w:tc>
          <w:tcPr>
            <w:tcBorders>
              <w:top w:val="none" w:color="000000" w:sz="4" w:space="0"/>
              <w:left w:val="single" w:color="000000" w:sz="4" w:space="0"/>
              <w:bottom w:val="single" w:color="000000" w:sz="4" w:space="0"/>
              <w:right w:val="single" w:color="000000" w:sz="4" w:space="0"/>
            </w:tcBorders>
            <w:tcW w:w="1188" w:type="dxa"/>
            <w:vAlign w:val="center"/>
            <w:textDirection w:val="lrTb"/>
            <w:noWrap/>
          </w:tcPr>
          <w:p>
            <w:pPr>
              <w:pStyle w:val="1012"/>
              <w:ind w:firstLine="200"/>
              <w:jc w:val="center"/>
              <w:spacing w:after="0" w:line="240" w:lineRule="auto"/>
              <w:widowControl/>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lang w:val="en-US" w:eastAsia="zh-CN" w:bidi="ar-SA"/>
              </w:rPr>
              <w:t xml:space="preserve">1</w:t>
            </w:r>
            <w:r>
              <w:rPr>
                <w:rFonts w:hint="eastAsia" w:ascii="宋体" w:hAnsi="宋体" w:eastAsia="宋体" w:cs="宋体"/>
                <w:color w:val="000000" w:themeColor="text1"/>
                <w:sz w:val="24"/>
                <w:szCs w:val="22"/>
                <w:highlight w:val="none"/>
                <w:lang w:val="en-US" w:eastAsia="zh-CN" w:bidi="ar-SA"/>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8037" w:type="dxa"/>
            <w:vAlign w:val="center"/>
            <w:textDirection w:val="lrTb"/>
            <w:noWrap/>
          </w:tcPr>
          <w:p>
            <w:pPr>
              <w:pStyle w:val="1012"/>
              <w:ind w:firstLine="200"/>
              <w:jc w:val="left"/>
              <w:spacing w:after="0"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应急场景管理：支持查看应急模式类型、启动时间、结束时间等运行信息，演练完成后可自动生成标准化演练总结报告。</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600"/>
        </w:trPr>
        <w:tc>
          <w:tcPr>
            <w:tcBorders>
              <w:top w:val="none" w:color="000000" w:sz="4" w:space="0"/>
              <w:left w:val="single" w:color="000000" w:sz="4" w:space="0"/>
              <w:bottom w:val="single" w:color="000000" w:sz="4" w:space="0"/>
              <w:right w:val="single" w:color="000000" w:sz="4" w:space="0"/>
            </w:tcBorders>
            <w:tcW w:w="1188" w:type="dxa"/>
            <w:vAlign w:val="center"/>
            <w:textDirection w:val="lrTb"/>
            <w:noWrap/>
          </w:tcPr>
          <w:p>
            <w:pPr>
              <w:pStyle w:val="1012"/>
              <w:ind w:firstLine="200"/>
              <w:jc w:val="center"/>
              <w:spacing w:after="0" w:line="240" w:lineRule="auto"/>
              <w:widowControl/>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lang w:val="en-US" w:eastAsia="zh-CN" w:bidi="ar-SA"/>
              </w:rPr>
              <w:t xml:space="preserve">2</w:t>
            </w:r>
            <w:r>
              <w:rPr>
                <w:rFonts w:hint="eastAsia" w:ascii="宋体" w:hAnsi="宋体" w:eastAsia="宋体" w:cs="宋体"/>
                <w:color w:val="000000" w:themeColor="text1"/>
                <w:sz w:val="24"/>
                <w:szCs w:val="22"/>
                <w:highlight w:val="none"/>
                <w:lang w:val="en-US" w:eastAsia="zh-CN" w:bidi="ar-SA"/>
              </w:rPr>
            </w:r>
            <w:r>
              <w:rPr>
                <w:color w:val="000000" w:themeColor="text1"/>
              </w:rPr>
            </w:r>
          </w:p>
        </w:tc>
        <w:tc>
          <w:tcPr>
            <w:tcBorders>
              <w:top w:val="none" w:color="000000" w:sz="4" w:space="0"/>
              <w:left w:val="single" w:color="000000" w:sz="4" w:space="0"/>
              <w:bottom w:val="single" w:color="000000" w:sz="4" w:space="0"/>
              <w:right w:val="single" w:color="000000" w:sz="4" w:space="0"/>
            </w:tcBorders>
            <w:tcW w:w="8037" w:type="dxa"/>
            <w:vAlign w:val="center"/>
            <w:textDirection w:val="lrTb"/>
            <w:noWrap/>
          </w:tcPr>
          <w:p>
            <w:pPr>
              <w:pStyle w:val="1012"/>
              <w:ind w:firstLine="200"/>
              <w:jc w:val="left"/>
              <w:spacing w:after="0"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退费业务管理：支持查询所有退费单据明细，展示退费项目、金额、时间、操作人员等信息。</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600"/>
        </w:trPr>
        <w:tc>
          <w:tcPr>
            <w:tcBorders>
              <w:top w:val="none" w:color="000000" w:sz="4" w:space="0"/>
              <w:left w:val="single" w:color="000000" w:sz="4" w:space="0"/>
              <w:bottom w:val="single" w:color="000000" w:sz="4" w:space="0"/>
              <w:right w:val="single" w:color="000000" w:sz="4" w:space="0"/>
            </w:tcBorders>
            <w:tcW w:w="1188" w:type="dxa"/>
            <w:vAlign w:val="center"/>
            <w:textDirection w:val="lrTb"/>
            <w:noWrap/>
          </w:tcPr>
          <w:p>
            <w:pPr>
              <w:pStyle w:val="1012"/>
              <w:ind w:firstLine="200"/>
              <w:jc w:val="center"/>
              <w:spacing w:after="0" w:line="240" w:lineRule="auto"/>
              <w:widowControl/>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lang w:val="en-US" w:eastAsia="zh-CN" w:bidi="ar-SA"/>
              </w:rPr>
              <w:t xml:space="preserve">3</w:t>
            </w:r>
            <w:r>
              <w:rPr>
                <w:rFonts w:hint="eastAsia" w:ascii="宋体" w:hAnsi="宋体" w:eastAsia="宋体" w:cs="宋体"/>
                <w:color w:val="000000" w:themeColor="text1"/>
                <w:sz w:val="24"/>
                <w:szCs w:val="22"/>
                <w:highlight w:val="none"/>
                <w:lang w:val="en-US" w:eastAsia="zh-CN" w:bidi="ar-SA"/>
              </w:rPr>
            </w:r>
            <w:r>
              <w:rPr>
                <w:color w:val="000000" w:themeColor="text1"/>
              </w:rPr>
            </w:r>
          </w:p>
        </w:tc>
        <w:tc>
          <w:tcPr>
            <w:tcBorders>
              <w:top w:val="none" w:color="000000" w:sz="4" w:space="0"/>
              <w:left w:val="single" w:color="000000" w:sz="4" w:space="0"/>
              <w:bottom w:val="single" w:color="000000" w:sz="4" w:space="0"/>
              <w:right w:val="single" w:color="000000" w:sz="4" w:space="0"/>
            </w:tcBorders>
            <w:tcW w:w="8037" w:type="dxa"/>
            <w:vAlign w:val="center"/>
            <w:textDirection w:val="lrTb"/>
            <w:noWrap/>
          </w:tcPr>
          <w:p>
            <w:pPr>
              <w:pStyle w:val="1012"/>
              <w:ind w:firstLine="200"/>
              <w:jc w:val="left"/>
              <w:spacing w:after="0"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基础数据字典：支持查看与桌面终端自动同步的科室、诊断、频次、皮试属性、药品、中药、检验检查项目等标准字典数据。</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466"/>
        </w:trPr>
        <w:tc>
          <w:tcPr>
            <w:tcBorders>
              <w:top w:val="none" w:color="000000" w:sz="4" w:space="0"/>
              <w:left w:val="single" w:color="000000" w:sz="4" w:space="0"/>
              <w:bottom w:val="single" w:color="000000" w:sz="4" w:space="0"/>
              <w:right w:val="single" w:color="000000" w:sz="4" w:space="0"/>
            </w:tcBorders>
            <w:tcW w:w="1188" w:type="dxa"/>
            <w:vAlign w:val="center"/>
            <w:textDirection w:val="lrTb"/>
            <w:noWrap/>
          </w:tcPr>
          <w:p>
            <w:pPr>
              <w:pStyle w:val="1012"/>
              <w:ind w:firstLine="200"/>
              <w:jc w:val="center"/>
              <w:spacing w:after="0" w:line="240" w:lineRule="auto"/>
              <w:widowControl/>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lang w:val="en-US" w:eastAsia="zh-CN" w:bidi="ar-SA"/>
              </w:rPr>
              <w:t xml:space="preserve">4</w:t>
            </w:r>
            <w:r>
              <w:rPr>
                <w:rFonts w:hint="eastAsia" w:ascii="宋体" w:hAnsi="宋体" w:eastAsia="宋体" w:cs="宋体"/>
                <w:color w:val="000000" w:themeColor="text1"/>
                <w:sz w:val="24"/>
                <w:szCs w:val="22"/>
                <w:highlight w:val="none"/>
                <w:lang w:val="en-US" w:eastAsia="zh-CN" w:bidi="ar-SA"/>
              </w:rPr>
            </w:r>
            <w:r>
              <w:rPr>
                <w:color w:val="000000" w:themeColor="text1"/>
              </w:rPr>
            </w:r>
          </w:p>
        </w:tc>
        <w:tc>
          <w:tcPr>
            <w:tcBorders>
              <w:top w:val="none" w:color="000000" w:sz="4" w:space="0"/>
              <w:left w:val="single" w:color="000000" w:sz="4" w:space="0"/>
              <w:bottom w:val="single" w:color="000000" w:sz="4" w:space="0"/>
              <w:right w:val="single" w:color="000000" w:sz="4" w:space="0"/>
            </w:tcBorders>
            <w:tcW w:w="8037" w:type="dxa"/>
            <w:vAlign w:val="center"/>
            <w:textDirection w:val="lrTb"/>
            <w:noWrap/>
          </w:tcPr>
          <w:p>
            <w:pPr>
              <w:pStyle w:val="1012"/>
              <w:ind w:firstLine="200"/>
              <w:jc w:val="left"/>
              <w:spacing w:after="0"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交易流水查询：提供应急状态下全量交易流水明细查询、筛选与导出功能。</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600"/>
        </w:trPr>
        <w:tc>
          <w:tcPr>
            <w:tcBorders>
              <w:top w:val="none" w:color="000000" w:sz="4" w:space="0"/>
              <w:left w:val="single" w:color="000000" w:sz="4" w:space="0"/>
              <w:bottom w:val="single" w:color="000000" w:sz="4" w:space="0"/>
              <w:right w:val="single" w:color="000000" w:sz="4" w:space="0"/>
            </w:tcBorders>
            <w:tcW w:w="1188" w:type="dxa"/>
            <w:vAlign w:val="center"/>
            <w:textDirection w:val="lrTb"/>
            <w:noWrap/>
          </w:tcPr>
          <w:p>
            <w:pPr>
              <w:pStyle w:val="1012"/>
              <w:ind w:firstLine="200"/>
              <w:jc w:val="center"/>
              <w:spacing w:after="0" w:line="240" w:lineRule="auto"/>
              <w:widowControl/>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lang w:val="en-US" w:eastAsia="zh-CN" w:bidi="ar-SA"/>
              </w:rPr>
              <w:t xml:space="preserve">5</w:t>
            </w:r>
            <w:r>
              <w:rPr>
                <w:rFonts w:hint="eastAsia" w:ascii="宋体" w:hAnsi="宋体" w:eastAsia="宋体" w:cs="宋体"/>
                <w:color w:val="000000" w:themeColor="text1"/>
                <w:sz w:val="24"/>
                <w:szCs w:val="22"/>
                <w:highlight w:val="none"/>
                <w:lang w:val="en-US" w:eastAsia="zh-CN" w:bidi="ar-SA"/>
              </w:rPr>
            </w:r>
            <w:r>
              <w:rPr>
                <w:color w:val="000000" w:themeColor="text1"/>
              </w:rPr>
            </w:r>
          </w:p>
        </w:tc>
        <w:tc>
          <w:tcPr>
            <w:tcBorders>
              <w:top w:val="none" w:color="000000" w:sz="4" w:space="0"/>
              <w:left w:val="single" w:color="000000" w:sz="4" w:space="0"/>
              <w:bottom w:val="single" w:color="000000" w:sz="4" w:space="0"/>
              <w:right w:val="single" w:color="000000" w:sz="4" w:space="0"/>
            </w:tcBorders>
            <w:tcW w:w="8037" w:type="dxa"/>
            <w:vAlign w:val="center"/>
            <w:textDirection w:val="lrTb"/>
            <w:noWrap/>
          </w:tcPr>
          <w:p>
            <w:pPr>
              <w:pStyle w:val="1012"/>
              <w:ind w:firstLine="200"/>
              <w:jc w:val="left"/>
              <w:spacing w:after="0"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数据对账管理：应急任务结束后，自动完成云端与本地终端交易数据核对、差异比对与结果确认。</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340"/>
        </w:trPr>
        <w:tc>
          <w:tcPr>
            <w:tcBorders>
              <w:top w:val="none" w:color="000000" w:sz="4" w:space="0"/>
              <w:left w:val="single" w:color="000000" w:sz="4" w:space="0"/>
              <w:bottom w:val="single" w:color="000000" w:sz="4" w:space="0"/>
              <w:right w:val="single" w:color="000000" w:sz="4" w:space="0"/>
            </w:tcBorders>
            <w:tcW w:w="1188" w:type="dxa"/>
            <w:vAlign w:val="center"/>
            <w:textDirection w:val="lrTb"/>
            <w:noWrap/>
          </w:tcPr>
          <w:p>
            <w:pPr>
              <w:pStyle w:val="1012"/>
              <w:ind w:firstLine="200"/>
              <w:jc w:val="center"/>
              <w:spacing w:after="0" w:line="240" w:lineRule="auto"/>
              <w:widowControl/>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lang w:val="en-US" w:eastAsia="zh-CN" w:bidi="ar-SA"/>
              </w:rPr>
              <w:t xml:space="preserve">6</w:t>
            </w:r>
            <w:r>
              <w:rPr>
                <w:rFonts w:hint="eastAsia" w:ascii="宋体" w:hAnsi="宋体" w:eastAsia="宋体" w:cs="宋体"/>
                <w:color w:val="000000" w:themeColor="text1"/>
                <w:sz w:val="24"/>
                <w:szCs w:val="22"/>
                <w:highlight w:val="none"/>
                <w:lang w:val="en-US" w:eastAsia="zh-CN" w:bidi="ar-SA"/>
              </w:rPr>
            </w:r>
            <w:r>
              <w:rPr>
                <w:color w:val="000000" w:themeColor="text1"/>
              </w:rPr>
            </w:r>
          </w:p>
        </w:tc>
        <w:tc>
          <w:tcPr>
            <w:tcBorders>
              <w:top w:val="none" w:color="000000" w:sz="4" w:space="0"/>
              <w:left w:val="single" w:color="000000" w:sz="4" w:space="0"/>
              <w:bottom w:val="single" w:color="000000" w:sz="4" w:space="0"/>
              <w:right w:val="single" w:color="000000" w:sz="4" w:space="0"/>
            </w:tcBorders>
            <w:tcW w:w="8037" w:type="dxa"/>
            <w:vAlign w:val="center"/>
            <w:textDirection w:val="lrTb"/>
            <w:noWrap/>
          </w:tcPr>
          <w:p>
            <w:pPr>
              <w:pStyle w:val="1012"/>
              <w:ind w:firstLine="200"/>
              <w:jc w:val="left"/>
              <w:spacing w:after="0"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数据统计报表：支持收费窗口、收费人员业务数据统计与报表生成。</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600"/>
        </w:trPr>
        <w:tc>
          <w:tcPr>
            <w:tcBorders>
              <w:top w:val="none" w:color="000000" w:sz="4" w:space="0"/>
              <w:left w:val="single" w:color="000000" w:sz="4" w:space="0"/>
              <w:bottom w:val="single" w:color="000000" w:sz="4" w:space="0"/>
              <w:right w:val="single" w:color="000000" w:sz="4" w:space="0"/>
            </w:tcBorders>
            <w:tcW w:w="1188" w:type="dxa"/>
            <w:vAlign w:val="center"/>
            <w:textDirection w:val="lrTb"/>
            <w:noWrap/>
          </w:tcPr>
          <w:p>
            <w:pPr>
              <w:pStyle w:val="1012"/>
              <w:ind w:firstLine="200"/>
              <w:jc w:val="center"/>
              <w:spacing w:after="0" w:line="240" w:lineRule="auto"/>
              <w:widowControl/>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lang w:val="en-US" w:eastAsia="zh-CN" w:bidi="ar-SA"/>
              </w:rPr>
              <w:t xml:space="preserve">7</w:t>
            </w:r>
            <w:r>
              <w:rPr>
                <w:rFonts w:hint="eastAsia" w:ascii="宋体" w:hAnsi="宋体" w:eastAsia="宋体" w:cs="宋体"/>
                <w:color w:val="000000" w:themeColor="text1"/>
                <w:sz w:val="24"/>
                <w:szCs w:val="22"/>
                <w:highlight w:val="none"/>
                <w:lang w:val="en-US" w:eastAsia="zh-CN" w:bidi="ar-SA"/>
              </w:rPr>
            </w:r>
            <w:r>
              <w:rPr>
                <w:color w:val="000000" w:themeColor="text1"/>
              </w:rPr>
            </w:r>
          </w:p>
        </w:tc>
        <w:tc>
          <w:tcPr>
            <w:tcBorders>
              <w:top w:val="none" w:color="000000" w:sz="4" w:space="0"/>
              <w:left w:val="single" w:color="000000" w:sz="4" w:space="0"/>
              <w:bottom w:val="single" w:color="000000" w:sz="4" w:space="0"/>
              <w:right w:val="single" w:color="000000" w:sz="4" w:space="0"/>
            </w:tcBorders>
            <w:tcW w:w="8037" w:type="dxa"/>
            <w:vAlign w:val="center"/>
            <w:textDirection w:val="lrTb"/>
            <w:noWrap/>
          </w:tcPr>
          <w:p>
            <w:pPr>
              <w:pStyle w:val="1012"/>
              <w:ind w:firstLine="200"/>
              <w:jc w:val="left"/>
              <w:spacing w:after="0"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标准数据管理：支持人员、药品、检查、检验等基础字典实时同步，提供自动与手动两种同步方式，可通过管理后台定向同步推送客户端数据，支持离线终端数据自动更新。</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600"/>
        </w:trPr>
        <w:tc>
          <w:tcPr>
            <w:tcBorders>
              <w:top w:val="none" w:color="000000" w:sz="4" w:space="0"/>
              <w:left w:val="single" w:color="000000" w:sz="4" w:space="0"/>
              <w:bottom w:val="single" w:color="000000" w:sz="4" w:space="0"/>
              <w:right w:val="single" w:color="000000" w:sz="4" w:space="0"/>
            </w:tcBorders>
            <w:tcW w:w="1188" w:type="dxa"/>
            <w:vAlign w:val="center"/>
            <w:textDirection w:val="lrTb"/>
            <w:noWrap/>
          </w:tcPr>
          <w:p>
            <w:pPr>
              <w:pStyle w:val="1012"/>
              <w:ind w:firstLine="200"/>
              <w:jc w:val="center"/>
              <w:spacing w:after="0" w:line="240" w:lineRule="auto"/>
              <w:widowControl/>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lang w:val="en-US" w:eastAsia="zh-CN" w:bidi="ar-SA"/>
              </w:rPr>
              <w:t xml:space="preserve">8</w:t>
            </w:r>
            <w:r>
              <w:rPr>
                <w:rFonts w:hint="eastAsia" w:ascii="宋体" w:hAnsi="宋体" w:eastAsia="宋体" w:cs="宋体"/>
                <w:color w:val="000000" w:themeColor="text1"/>
                <w:sz w:val="24"/>
                <w:szCs w:val="22"/>
                <w:highlight w:val="none"/>
                <w:lang w:val="en-US" w:eastAsia="zh-CN" w:bidi="ar-SA"/>
              </w:rPr>
            </w:r>
            <w:r>
              <w:rPr>
                <w:color w:val="000000" w:themeColor="text1"/>
              </w:rPr>
            </w:r>
          </w:p>
        </w:tc>
        <w:tc>
          <w:tcPr>
            <w:tcBorders>
              <w:top w:val="none" w:color="000000" w:sz="4" w:space="0"/>
              <w:left w:val="single" w:color="000000" w:sz="4" w:space="0"/>
              <w:bottom w:val="single" w:color="000000" w:sz="4" w:space="0"/>
              <w:right w:val="single" w:color="000000" w:sz="4" w:space="0"/>
            </w:tcBorders>
            <w:tcW w:w="8037" w:type="dxa"/>
            <w:vAlign w:val="center"/>
            <w:textDirection w:val="lrTb"/>
            <w:noWrap/>
          </w:tcPr>
          <w:p>
            <w:pPr>
              <w:pStyle w:val="1012"/>
              <w:ind w:firstLine="200"/>
              <w:jc w:val="left"/>
              <w:spacing w:after="0"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终端在线监控：对所有桌面离线终端运行状态进行可视化展示，实时监控终端在线、离线、异常等状态。</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283"/>
        </w:trPr>
        <w:tc>
          <w:tcPr>
            <w:gridSpan w:val="2"/>
            <w:tcBorders>
              <w:top w:val="single" w:color="000000" w:sz="4" w:space="0"/>
              <w:left w:val="single" w:color="000000" w:sz="4" w:space="0"/>
              <w:bottom w:val="single" w:color="000000" w:sz="4" w:space="0"/>
              <w:right w:val="single" w:color="000000" w:sz="4" w:space="0"/>
            </w:tcBorders>
            <w:tcW w:w="9225" w:type="dxa"/>
            <w:vAlign w:val="center"/>
            <w:textDirection w:val="lrTb"/>
            <w:noWrap/>
          </w:tcPr>
          <w:p>
            <w:pPr>
              <w:pStyle w:val="1012"/>
              <w:ind w:firstLine="200"/>
              <w:jc w:val="center"/>
              <w:spacing w:after="0" w:line="240" w:lineRule="auto"/>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5. 云端服务支撑体系</w:t>
            </w:r>
            <w:r>
              <w:rPr>
                <w:rFonts w:hint="eastAsia" w:ascii="宋体" w:hAnsi="宋体" w:eastAsia="宋体" w:cs="宋体"/>
                <w:b/>
                <w:bCs/>
                <w:color w:val="000000" w:themeColor="text1"/>
                <w:sz w:val="24"/>
                <w:szCs w:val="24"/>
                <w:highlight w:val="none"/>
                <w:lang w:val="en-US" w:eastAsia="zh-CN" w:bidi="ar-SA"/>
              </w:rPr>
            </w:r>
            <w:r>
              <w:rPr>
                <w:color w:val="000000" w:themeColor="text1"/>
              </w:rPr>
            </w:r>
          </w:p>
        </w:tc>
      </w:tr>
      <w:tr>
        <w:trPr>
          <w:trHeight w:val="300"/>
        </w:trPr>
        <w:tc>
          <w:tcPr>
            <w:tcBorders>
              <w:top w:val="none" w:color="000000" w:sz="4" w:space="0"/>
              <w:left w:val="single" w:color="000000" w:sz="4" w:space="0"/>
              <w:bottom w:val="single" w:color="000000" w:sz="4" w:space="0"/>
              <w:right w:val="single" w:color="000000" w:sz="4" w:space="0"/>
            </w:tcBorders>
            <w:tcW w:w="1188" w:type="dxa"/>
            <w:vAlign w:val="center"/>
            <w:textDirection w:val="lrTb"/>
            <w:noWrap/>
          </w:tcPr>
          <w:p>
            <w:pPr>
              <w:pStyle w:val="1012"/>
              <w:ind w:firstLine="200"/>
              <w:jc w:val="center"/>
              <w:spacing w:after="0" w:line="240" w:lineRule="auto"/>
              <w:widowControl/>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lang w:val="en-US" w:eastAsia="zh-CN" w:bidi="ar-SA"/>
              </w:rPr>
              <w:t xml:space="preserve">1</w:t>
            </w:r>
            <w:r>
              <w:rPr>
                <w:rFonts w:hint="eastAsia" w:ascii="宋体" w:hAnsi="宋体" w:eastAsia="宋体" w:cs="宋体"/>
                <w:color w:val="000000" w:themeColor="text1"/>
                <w:sz w:val="24"/>
                <w:szCs w:val="22"/>
                <w:highlight w:val="none"/>
                <w:lang w:val="en-US" w:eastAsia="zh-CN" w:bidi="ar-SA"/>
              </w:rPr>
            </w:r>
            <w:r>
              <w:rPr>
                <w:color w:val="000000" w:themeColor="text1"/>
              </w:rPr>
            </w:r>
          </w:p>
        </w:tc>
        <w:tc>
          <w:tcPr>
            <w:tcBorders>
              <w:top w:val="none" w:color="000000" w:sz="4" w:space="0"/>
              <w:left w:val="none" w:color="000000" w:sz="4" w:space="0"/>
              <w:bottom w:val="single" w:color="000000" w:sz="4" w:space="0"/>
              <w:right w:val="single" w:color="000000" w:sz="4" w:space="0"/>
            </w:tcBorders>
            <w:tcW w:w="8037" w:type="dxa"/>
            <w:vAlign w:val="center"/>
            <w:textDirection w:val="lrTb"/>
            <w:noWrap/>
          </w:tcPr>
          <w:p>
            <w:pPr>
              <w:pStyle w:val="1012"/>
              <w:ind w:firstLine="200"/>
              <w:jc w:val="left"/>
              <w:spacing w:after="0"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提供7×24小时常态化技术响应与问题处理服务。</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300"/>
        </w:trPr>
        <w:tc>
          <w:tcPr>
            <w:tcBorders>
              <w:top w:val="none" w:color="000000" w:sz="4" w:space="0"/>
              <w:left w:val="single" w:color="000000" w:sz="4" w:space="0"/>
              <w:bottom w:val="single" w:color="000000" w:sz="4" w:space="0"/>
              <w:right w:val="single" w:color="000000" w:sz="4" w:space="0"/>
            </w:tcBorders>
            <w:tcW w:w="1188" w:type="dxa"/>
            <w:vAlign w:val="center"/>
            <w:textDirection w:val="lrTb"/>
            <w:noWrap/>
          </w:tcPr>
          <w:p>
            <w:pPr>
              <w:pStyle w:val="1012"/>
              <w:ind w:firstLine="200"/>
              <w:jc w:val="center"/>
              <w:spacing w:after="0" w:line="240" w:lineRule="auto"/>
              <w:widowControl/>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lang w:val="en-US" w:eastAsia="zh-CN" w:bidi="ar-SA"/>
              </w:rPr>
              <w:t xml:space="preserve">2</w:t>
            </w:r>
            <w:r>
              <w:rPr>
                <w:rFonts w:hint="eastAsia" w:ascii="宋体" w:hAnsi="宋体" w:eastAsia="宋体" w:cs="宋体"/>
                <w:color w:val="000000" w:themeColor="text1"/>
                <w:sz w:val="24"/>
                <w:szCs w:val="22"/>
                <w:highlight w:val="none"/>
                <w:lang w:val="en-US" w:eastAsia="zh-CN" w:bidi="ar-SA"/>
              </w:rPr>
            </w:r>
            <w:r>
              <w:rPr>
                <w:color w:val="000000" w:themeColor="text1"/>
              </w:rPr>
            </w:r>
          </w:p>
        </w:tc>
        <w:tc>
          <w:tcPr>
            <w:tcBorders>
              <w:top w:val="none" w:color="000000" w:sz="4" w:space="0"/>
              <w:left w:val="none" w:color="000000" w:sz="4" w:space="0"/>
              <w:bottom w:val="single" w:color="000000" w:sz="4" w:space="0"/>
              <w:right w:val="single" w:color="000000" w:sz="4" w:space="0"/>
            </w:tcBorders>
            <w:tcW w:w="8037" w:type="dxa"/>
            <w:vAlign w:val="center"/>
            <w:textDirection w:val="lrTb"/>
            <w:noWrap/>
          </w:tcPr>
          <w:p>
            <w:pPr>
              <w:pStyle w:val="1012"/>
              <w:ind w:firstLine="200"/>
              <w:jc w:val="left"/>
              <w:spacing w:after="0"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建立安全运维沟通群组，实现快速沟通与问题反馈。</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300"/>
        </w:trPr>
        <w:tc>
          <w:tcPr>
            <w:tcBorders>
              <w:top w:val="none" w:color="000000" w:sz="4" w:space="0"/>
              <w:left w:val="single" w:color="000000" w:sz="4" w:space="0"/>
              <w:bottom w:val="single" w:color="000000" w:sz="4" w:space="0"/>
              <w:right w:val="single" w:color="000000" w:sz="4" w:space="0"/>
            </w:tcBorders>
            <w:tcW w:w="1188" w:type="dxa"/>
            <w:vAlign w:val="center"/>
            <w:textDirection w:val="lrTb"/>
            <w:noWrap/>
          </w:tcPr>
          <w:p>
            <w:pPr>
              <w:pStyle w:val="1012"/>
              <w:ind w:firstLine="200"/>
              <w:jc w:val="center"/>
              <w:spacing w:after="0" w:line="240" w:lineRule="auto"/>
              <w:widowControl/>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lang w:val="en-US" w:eastAsia="zh-CN" w:bidi="ar-SA"/>
              </w:rPr>
              <w:t xml:space="preserve">3</w:t>
            </w:r>
            <w:r>
              <w:rPr>
                <w:rFonts w:hint="eastAsia" w:ascii="宋体" w:hAnsi="宋体" w:eastAsia="宋体" w:cs="宋体"/>
                <w:color w:val="000000" w:themeColor="text1"/>
                <w:sz w:val="24"/>
                <w:szCs w:val="22"/>
                <w:highlight w:val="none"/>
                <w:lang w:val="en-US" w:eastAsia="zh-CN" w:bidi="ar-SA"/>
              </w:rPr>
            </w:r>
            <w:r>
              <w:rPr>
                <w:color w:val="000000" w:themeColor="text1"/>
              </w:rPr>
            </w:r>
          </w:p>
        </w:tc>
        <w:tc>
          <w:tcPr>
            <w:tcBorders>
              <w:top w:val="none" w:color="000000" w:sz="4" w:space="0"/>
              <w:left w:val="none" w:color="000000" w:sz="4" w:space="0"/>
              <w:bottom w:val="single" w:color="000000" w:sz="4" w:space="0"/>
              <w:right w:val="single" w:color="000000" w:sz="4" w:space="0"/>
            </w:tcBorders>
            <w:tcW w:w="8037" w:type="dxa"/>
            <w:vAlign w:val="center"/>
            <w:textDirection w:val="lrTb"/>
            <w:noWrap/>
          </w:tcPr>
          <w:p>
            <w:pPr>
              <w:pStyle w:val="1012"/>
              <w:ind w:firstLine="200"/>
              <w:jc w:val="left"/>
              <w:spacing w:after="0"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定期开展系统安全策略检测与参数优化配置。</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300"/>
        </w:trPr>
        <w:tc>
          <w:tcPr>
            <w:tcBorders>
              <w:top w:val="none" w:color="000000" w:sz="4" w:space="0"/>
              <w:left w:val="single" w:color="000000" w:sz="4" w:space="0"/>
              <w:bottom w:val="single" w:color="000000" w:sz="4" w:space="0"/>
              <w:right w:val="single" w:color="000000" w:sz="4" w:space="0"/>
            </w:tcBorders>
            <w:tcW w:w="1188" w:type="dxa"/>
            <w:vAlign w:val="center"/>
            <w:textDirection w:val="lrTb"/>
            <w:noWrap/>
          </w:tcPr>
          <w:p>
            <w:pPr>
              <w:pStyle w:val="1012"/>
              <w:ind w:firstLine="200"/>
              <w:jc w:val="center"/>
              <w:spacing w:after="0" w:line="240" w:lineRule="auto"/>
              <w:widowControl/>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lang w:val="en-US" w:eastAsia="zh-CN" w:bidi="ar-SA"/>
              </w:rPr>
              <w:t xml:space="preserve">4</w:t>
            </w:r>
            <w:r>
              <w:rPr>
                <w:rFonts w:hint="eastAsia" w:ascii="宋体" w:hAnsi="宋体" w:eastAsia="宋体" w:cs="宋体"/>
                <w:color w:val="000000" w:themeColor="text1"/>
                <w:sz w:val="24"/>
                <w:szCs w:val="22"/>
                <w:highlight w:val="none"/>
                <w:lang w:val="en-US" w:eastAsia="zh-CN" w:bidi="ar-SA"/>
              </w:rPr>
            </w:r>
            <w:r>
              <w:rPr>
                <w:color w:val="000000" w:themeColor="text1"/>
              </w:rPr>
            </w:r>
          </w:p>
        </w:tc>
        <w:tc>
          <w:tcPr>
            <w:tcBorders>
              <w:top w:val="none" w:color="000000" w:sz="4" w:space="0"/>
              <w:left w:val="none" w:color="000000" w:sz="4" w:space="0"/>
              <w:bottom w:val="single" w:color="000000" w:sz="4" w:space="0"/>
              <w:right w:val="single" w:color="000000" w:sz="4" w:space="0"/>
            </w:tcBorders>
            <w:tcW w:w="8037" w:type="dxa"/>
            <w:vAlign w:val="center"/>
            <w:textDirection w:val="lrTb"/>
            <w:noWrap/>
          </w:tcPr>
          <w:p>
            <w:pPr>
              <w:pStyle w:val="1012"/>
              <w:ind w:firstLine="200"/>
              <w:jc w:val="left"/>
              <w:spacing w:after="0"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定期开展业务安全巡检与健康度评估。</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300"/>
        </w:trPr>
        <w:tc>
          <w:tcPr>
            <w:tcBorders>
              <w:top w:val="none" w:color="000000" w:sz="4" w:space="0"/>
              <w:left w:val="single" w:color="000000" w:sz="4" w:space="0"/>
              <w:bottom w:val="single" w:color="000000" w:sz="4" w:space="0"/>
              <w:right w:val="single" w:color="000000" w:sz="4" w:space="0"/>
            </w:tcBorders>
            <w:tcW w:w="1188" w:type="dxa"/>
            <w:vAlign w:val="center"/>
            <w:textDirection w:val="lrTb"/>
            <w:noWrap/>
          </w:tcPr>
          <w:p>
            <w:pPr>
              <w:pStyle w:val="1012"/>
              <w:ind w:firstLine="200"/>
              <w:jc w:val="center"/>
              <w:spacing w:after="0" w:line="240" w:lineRule="auto"/>
              <w:widowControl/>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lang w:val="en-US" w:eastAsia="zh-CN" w:bidi="ar-SA"/>
              </w:rPr>
              <w:t xml:space="preserve">5</w:t>
            </w:r>
            <w:r>
              <w:rPr>
                <w:rFonts w:hint="eastAsia" w:ascii="宋体" w:hAnsi="宋体" w:eastAsia="宋体" w:cs="宋体"/>
                <w:color w:val="000000" w:themeColor="text1"/>
                <w:sz w:val="24"/>
                <w:szCs w:val="22"/>
                <w:highlight w:val="none"/>
                <w:lang w:val="en-US" w:eastAsia="zh-CN" w:bidi="ar-SA"/>
              </w:rPr>
            </w:r>
            <w:r>
              <w:rPr>
                <w:color w:val="000000" w:themeColor="text1"/>
              </w:rPr>
            </w:r>
          </w:p>
        </w:tc>
        <w:tc>
          <w:tcPr>
            <w:tcBorders>
              <w:top w:val="none" w:color="000000" w:sz="4" w:space="0"/>
              <w:left w:val="none" w:color="000000" w:sz="4" w:space="0"/>
              <w:bottom w:val="single" w:color="000000" w:sz="4" w:space="0"/>
              <w:right w:val="single" w:color="000000" w:sz="4" w:space="0"/>
            </w:tcBorders>
            <w:tcW w:w="8037" w:type="dxa"/>
            <w:vAlign w:val="center"/>
            <w:textDirection w:val="lrTb"/>
            <w:noWrap/>
          </w:tcPr>
          <w:p>
            <w:pPr>
              <w:pStyle w:val="1012"/>
              <w:ind w:firstLine="200"/>
              <w:jc w:val="left"/>
              <w:spacing w:after="0"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持续优化系统安全策略与防护机制。</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300"/>
        </w:trPr>
        <w:tc>
          <w:tcPr>
            <w:tcBorders>
              <w:top w:val="none" w:color="000000" w:sz="4" w:space="0"/>
              <w:left w:val="single" w:color="000000" w:sz="4" w:space="0"/>
              <w:bottom w:val="single" w:color="000000" w:sz="4" w:space="0"/>
              <w:right w:val="single" w:color="000000" w:sz="4" w:space="0"/>
            </w:tcBorders>
            <w:tcW w:w="1188" w:type="dxa"/>
            <w:vAlign w:val="center"/>
            <w:textDirection w:val="lrTb"/>
            <w:noWrap/>
          </w:tcPr>
          <w:p>
            <w:pPr>
              <w:pStyle w:val="1012"/>
              <w:ind w:firstLine="200"/>
              <w:jc w:val="center"/>
              <w:spacing w:after="0" w:line="240" w:lineRule="auto"/>
              <w:widowControl/>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lang w:val="en-US" w:eastAsia="zh-CN" w:bidi="ar-SA"/>
              </w:rPr>
              <w:t xml:space="preserve">6</w:t>
            </w:r>
            <w:r>
              <w:rPr>
                <w:rFonts w:hint="eastAsia" w:ascii="宋体" w:hAnsi="宋体" w:eastAsia="宋体" w:cs="宋体"/>
                <w:color w:val="000000" w:themeColor="text1"/>
                <w:sz w:val="24"/>
                <w:szCs w:val="22"/>
                <w:highlight w:val="none"/>
                <w:lang w:val="en-US" w:eastAsia="zh-CN" w:bidi="ar-SA"/>
              </w:rPr>
            </w:r>
            <w:r>
              <w:rPr>
                <w:color w:val="000000" w:themeColor="text1"/>
              </w:rPr>
            </w:r>
          </w:p>
        </w:tc>
        <w:tc>
          <w:tcPr>
            <w:tcBorders>
              <w:top w:val="none" w:color="000000" w:sz="4" w:space="0"/>
              <w:left w:val="none" w:color="000000" w:sz="4" w:space="0"/>
              <w:bottom w:val="single" w:color="000000" w:sz="4" w:space="0"/>
              <w:right w:val="single" w:color="000000" w:sz="4" w:space="0"/>
            </w:tcBorders>
            <w:tcW w:w="8037" w:type="dxa"/>
            <w:vAlign w:val="center"/>
            <w:textDirection w:val="lrTb"/>
            <w:noWrap/>
          </w:tcPr>
          <w:p>
            <w:pPr>
              <w:pStyle w:val="1012"/>
              <w:ind w:firstLine="200"/>
              <w:jc w:val="left"/>
              <w:spacing w:after="0"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提供安全威胁事件实时监测与处置服务。</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300"/>
        </w:trPr>
        <w:tc>
          <w:tcPr>
            <w:tcBorders>
              <w:top w:val="none" w:color="000000" w:sz="4" w:space="0"/>
              <w:left w:val="single" w:color="000000" w:sz="4" w:space="0"/>
              <w:bottom w:val="single" w:color="000000" w:sz="4" w:space="0"/>
              <w:right w:val="single" w:color="000000" w:sz="4" w:space="0"/>
            </w:tcBorders>
            <w:tcW w:w="1188" w:type="dxa"/>
            <w:vAlign w:val="center"/>
            <w:textDirection w:val="lrTb"/>
            <w:noWrap/>
          </w:tcPr>
          <w:p>
            <w:pPr>
              <w:pStyle w:val="1012"/>
              <w:ind w:firstLine="200"/>
              <w:jc w:val="center"/>
              <w:spacing w:after="0" w:line="240" w:lineRule="auto"/>
              <w:widowControl/>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lang w:val="en-US" w:eastAsia="zh-CN" w:bidi="ar-SA"/>
              </w:rPr>
              <w:t xml:space="preserve">7</w:t>
            </w:r>
            <w:r>
              <w:rPr>
                <w:rFonts w:hint="eastAsia" w:ascii="宋体" w:hAnsi="宋体" w:eastAsia="宋体" w:cs="宋体"/>
                <w:color w:val="000000" w:themeColor="text1"/>
                <w:sz w:val="24"/>
                <w:szCs w:val="22"/>
                <w:highlight w:val="none"/>
                <w:lang w:val="en-US" w:eastAsia="zh-CN" w:bidi="ar-SA"/>
              </w:rPr>
            </w:r>
            <w:r>
              <w:rPr>
                <w:color w:val="000000" w:themeColor="text1"/>
              </w:rPr>
            </w:r>
          </w:p>
        </w:tc>
        <w:tc>
          <w:tcPr>
            <w:tcBorders>
              <w:top w:val="none" w:color="000000" w:sz="4" w:space="0"/>
              <w:left w:val="none" w:color="000000" w:sz="4" w:space="0"/>
              <w:bottom w:val="single" w:color="000000" w:sz="4" w:space="0"/>
              <w:right w:val="single" w:color="000000" w:sz="4" w:space="0"/>
            </w:tcBorders>
            <w:tcW w:w="8037" w:type="dxa"/>
            <w:vAlign w:val="center"/>
            <w:textDirection w:val="lrTb"/>
            <w:noWrap/>
          </w:tcPr>
          <w:p>
            <w:pPr>
              <w:pStyle w:val="1012"/>
              <w:ind w:firstLine="200"/>
              <w:jc w:val="left"/>
              <w:spacing w:after="0"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重大突发事件场景下提供7×24小时专职应急响应支撑服务。</w:t>
            </w:r>
            <w:r>
              <w:rPr>
                <w:rFonts w:hint="eastAsia" w:ascii="宋体" w:hAnsi="宋体" w:eastAsia="宋体" w:cs="宋体"/>
                <w:color w:val="000000" w:themeColor="text1"/>
                <w:sz w:val="24"/>
                <w:szCs w:val="24"/>
                <w:highlight w:val="none"/>
                <w:lang w:val="en-US" w:eastAsia="zh-CN" w:bidi="ar-SA"/>
              </w:rPr>
            </w:r>
            <w:r>
              <w:rPr>
                <w:color w:val="000000" w:themeColor="text1"/>
              </w:rPr>
            </w:r>
          </w:p>
        </w:tc>
      </w:tr>
    </w:tbl>
    <w:p>
      <w:pPr>
        <w:pStyle w:val="1012"/>
        <w:ind w:left="0" w:firstLine="0"/>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r>
      <w:r>
        <w:rPr>
          <w:color w:val="000000" w:themeColor="text1"/>
        </w:rPr>
      </w:r>
    </w:p>
    <w:p>
      <w:pPr>
        <w:pStyle w:val="1053"/>
        <w:ind w:left="420" w:firstLine="420"/>
        <w:rPr>
          <w:rFonts w:hint="eastAsia" w:ascii="宋体" w:hAnsi="宋体" w:eastAsia="宋体" w:cs="宋体"/>
          <w:color w:val="000000" w:themeColor="text1"/>
          <w:highlight w:val="none"/>
        </w:rPr>
      </w:pPr>
      <w:r>
        <w:rPr>
          <w:color w:val="000000" w:themeColor="text1"/>
        </w:rPr>
      </w:r>
      <w:bookmarkStart w:id="66" w:name="_Toc8718"/>
      <w:r>
        <w:rPr>
          <w:rFonts w:hint="eastAsia" w:ascii="宋体" w:hAnsi="宋体" w:eastAsia="宋体" w:cs="宋体"/>
          <w:b/>
          <w:bCs/>
          <w:color w:val="000000" w:themeColor="text1"/>
          <w:highlight w:val="none"/>
          <w:lang w:val="en-US" w:eastAsia="zh-CN"/>
        </w:rPr>
        <w:t xml:space="preserve">2.1.5</w:t>
      </w:r>
      <w:r>
        <w:rPr>
          <w:rFonts w:hint="eastAsia" w:ascii="宋体" w:hAnsi="宋体" w:eastAsia="宋体" w:cs="宋体"/>
          <w:b/>
          <w:bCs/>
          <w:color w:val="000000" w:themeColor="text1"/>
          <w:highlight w:val="none"/>
        </w:rPr>
        <w:t xml:space="preserve">、一期利旧设备及配置迁移服务</w:t>
      </w:r>
      <w:bookmarkEnd w:id="66"/>
      <w:r>
        <w:rPr>
          <w:rFonts w:hint="eastAsia" w:ascii="宋体" w:hAnsi="宋体" w:eastAsia="宋体" w:cs="宋体"/>
          <w:color w:val="000000" w:themeColor="text1"/>
          <w:highlight w:val="none"/>
        </w:rPr>
      </w:r>
      <w:r>
        <w:rPr>
          <w:color w:val="000000" w:themeColor="text1"/>
        </w:rPr>
      </w:r>
    </w:p>
    <w:p>
      <w:pPr>
        <w:pStyle w:val="1012"/>
        <w:ind w:firstLine="420"/>
        <w:keepLines w:val="0"/>
        <w:keepNext w:val="0"/>
        <w:pageBreakBefore w:val="0"/>
        <w:spacing w:before="100" w:after="10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投标人有能力配合</w:t>
      </w:r>
      <w:r>
        <w:rPr>
          <w:rFonts w:hint="eastAsia" w:ascii="宋体" w:hAnsi="宋体" w:eastAsia="宋体" w:cs="宋体"/>
          <w:color w:val="000000" w:themeColor="text1"/>
          <w:sz w:val="24"/>
          <w:szCs w:val="24"/>
          <w:highlight w:val="none"/>
          <w:lang w:eastAsia="zh-CN"/>
        </w:rPr>
        <w:t xml:space="preserve">做好</w:t>
      </w:r>
      <w:r>
        <w:rPr>
          <w:rFonts w:hint="eastAsia" w:ascii="宋体" w:hAnsi="宋体" w:eastAsia="宋体" w:cs="宋体"/>
          <w:color w:val="000000" w:themeColor="text1"/>
          <w:sz w:val="24"/>
          <w:szCs w:val="24"/>
          <w:highlight w:val="none"/>
        </w:rPr>
        <w:t xml:space="preserve">本次机房搬迁所</w:t>
      </w:r>
      <w:r>
        <w:rPr>
          <w:rFonts w:hint="eastAsia" w:ascii="宋体" w:hAnsi="宋体" w:eastAsia="宋体" w:cs="宋体"/>
          <w:color w:val="000000" w:themeColor="text1"/>
          <w:sz w:val="24"/>
          <w:szCs w:val="24"/>
          <w:highlight w:val="none"/>
          <w:lang w:eastAsia="zh-CN"/>
        </w:rPr>
        <w:t xml:space="preserve">涉及</w:t>
      </w:r>
      <w:r>
        <w:rPr>
          <w:rFonts w:hint="eastAsia" w:ascii="宋体" w:hAnsi="宋体" w:eastAsia="宋体" w:cs="宋体"/>
          <w:color w:val="000000" w:themeColor="text1"/>
          <w:sz w:val="24"/>
          <w:szCs w:val="24"/>
          <w:highlight w:val="none"/>
        </w:rPr>
        <w:t xml:space="preserve">原有利旧的网络及安全设备迁移（详见设备利旧清单）、相关数据配置及与其他新增设备的各种配合等工作。</w:t>
      </w:r>
      <w:r>
        <w:rPr>
          <w:rFonts w:hint="eastAsia" w:ascii="宋体" w:hAnsi="宋体" w:eastAsia="宋体" w:cs="宋体"/>
          <w:color w:val="000000" w:themeColor="text1"/>
          <w:sz w:val="24"/>
          <w:szCs w:val="24"/>
          <w:highlight w:val="none"/>
        </w:rPr>
      </w:r>
      <w:r>
        <w:rPr>
          <w:color w:val="000000" w:themeColor="text1"/>
        </w:rPr>
      </w:r>
    </w:p>
    <w:p>
      <w:pPr>
        <w:pStyle w:val="1051"/>
        <w:keepLines w:val="0"/>
        <w:keepNext w:val="0"/>
        <w:pageBreakBefore/>
        <w:spacing w:line="360" w:lineRule="auto"/>
        <w:widowControl/>
        <w:rPr>
          <w:rFonts w:hint="eastAsia" w:ascii="宋体" w:hAnsi="宋体" w:eastAsia="宋体" w:cs="宋体"/>
          <w:b/>
          <w:bCs/>
          <w:color w:val="000000" w:themeColor="text1"/>
          <w:highlight w:val="none"/>
        </w:rPr>
      </w:pPr>
      <w:r>
        <w:rPr>
          <w:color w:val="000000" w:themeColor="text1"/>
        </w:rPr>
      </w:r>
      <w:bookmarkStart w:id="67" w:name="_Toc5509"/>
      <w:r>
        <w:rPr>
          <w:rFonts w:hint="eastAsia" w:ascii="宋体" w:hAnsi="宋体" w:eastAsia="宋体" w:cs="宋体"/>
          <w:b/>
          <w:bCs/>
          <w:color w:val="000000" w:themeColor="text1"/>
          <w:highlight w:val="none"/>
          <w:lang w:val="en-US" w:eastAsia="zh-CN"/>
        </w:rPr>
        <w:t xml:space="preserve">2.2、机房基础建设技术要求</w:t>
      </w:r>
      <w:bookmarkEnd w:id="67"/>
      <w:r>
        <w:rPr>
          <w:rFonts w:hint="eastAsia" w:ascii="宋体" w:hAnsi="宋体" w:eastAsia="宋体" w:cs="宋体"/>
          <w:b/>
          <w:bCs/>
          <w:color w:val="000000" w:themeColor="text1"/>
          <w:highlight w:val="none"/>
        </w:rPr>
      </w:r>
      <w:r>
        <w:rPr>
          <w:color w:val="000000" w:themeColor="text1"/>
        </w:rPr>
      </w:r>
    </w:p>
    <w:p>
      <w:pPr>
        <w:pStyle w:val="1053"/>
        <w:keepLines w:val="0"/>
        <w:keepNext w:val="0"/>
        <w:pageBreakBefore w:val="0"/>
        <w:spacing w:line="360" w:lineRule="auto"/>
        <w:rPr>
          <w:rFonts w:hint="eastAsia" w:ascii="宋体" w:hAnsi="宋体" w:eastAsia="宋体" w:cs="宋体"/>
          <w:b/>
          <w:bCs/>
          <w:color w:val="000000" w:themeColor="text1"/>
          <w:highlight w:val="none"/>
        </w:rPr>
      </w:pPr>
      <w:r>
        <w:rPr>
          <w:color w:val="000000" w:themeColor="text1"/>
        </w:rPr>
      </w:r>
      <w:bookmarkStart w:id="68" w:name="_Toc23050"/>
      <w:r>
        <w:rPr>
          <w:rFonts w:hint="eastAsia" w:ascii="宋体" w:hAnsi="宋体" w:eastAsia="宋体" w:cs="宋体"/>
          <w:b/>
          <w:bCs/>
          <w:color w:val="000000" w:themeColor="text1"/>
          <w:highlight w:val="none"/>
          <w:lang w:val="en-US" w:eastAsia="zh-CN"/>
        </w:rPr>
        <w:t xml:space="preserve">2.2.1机房基础架构</w:t>
      </w:r>
      <w:bookmarkEnd w:id="68"/>
      <w:r>
        <w:rPr>
          <w:rFonts w:hint="eastAsia" w:ascii="宋体" w:hAnsi="宋体" w:eastAsia="宋体" w:cs="宋体"/>
          <w:b/>
          <w:bCs/>
          <w:color w:val="000000" w:themeColor="text1"/>
          <w:highlight w:val="none"/>
        </w:rPr>
      </w:r>
      <w:r>
        <w:rPr>
          <w:color w:val="000000" w:themeColor="text1"/>
        </w:rPr>
      </w:r>
    </w:p>
    <w:tbl>
      <w:tblPr>
        <w:tblW w:w="9036" w:type="dxa"/>
        <w:jc w:val="center"/>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 w:type="dxa"/>
          <w:top w:w="-1" w:type="dxa"/>
          <w:right w:w="-1" w:type="dxa"/>
          <w:bottom w:w="-1" w:type="dxa"/>
        </w:tblCellMar>
        <w:tblLook w:val="04A0" w:firstRow="1" w:lastRow="0" w:firstColumn="1" w:lastColumn="0" w:noHBand="0" w:noVBand="1"/>
      </w:tblPr>
      <w:tblGrid>
        <w:gridCol w:w="470"/>
        <w:gridCol w:w="1520"/>
        <w:gridCol w:w="7046"/>
      </w:tblGrid>
      <w:tr>
        <w:trPr>
          <w:tblHeade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序号</w:t>
            </w:r>
            <w:r>
              <w:rPr>
                <w:rFonts w:hint="eastAsia" w:ascii="宋体" w:hAnsi="宋体" w:eastAsia="宋体" w:cs="宋体"/>
                <w:b/>
                <w:bCs/>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设备名称</w:t>
            </w:r>
            <w:r>
              <w:rPr>
                <w:rFonts w:hint="eastAsia" w:ascii="宋体" w:hAnsi="宋体" w:eastAsia="宋体" w:cs="宋体"/>
                <w:b/>
                <w:bCs/>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项目特征描述及技术要求</w:t>
            </w:r>
            <w:r>
              <w:rPr>
                <w:rFonts w:hint="eastAsia" w:ascii="宋体" w:hAnsi="宋体" w:eastAsia="宋体" w:cs="宋体"/>
                <w:b/>
                <w:bCs/>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服务器机柜</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400"/>
              <w:numPr>
                <w:ilvl w:val="0"/>
                <w:numId w:val="0"/>
              </w:numPr>
              <w:ind w:left="0" w:right="0" w:firstLine="0"/>
              <w:jc w:val="left"/>
              <w:spacing w:before="60" w:after="60" w:line="240" w:lineRule="auto"/>
              <w:widowControl w:val="off"/>
              <w:tabs>
                <w:tab w:val="left" w:pos="1050" w:leader="none"/>
              </w:tabs>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lang w:val="en-US" w:eastAsia="zh-CN" w:bidi="ar"/>
              </w:rPr>
              <w:t xml:space="preserve">服务器机柜规格（W*D*H）：600mm*1200mm*2000mm。</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网络柜规格（W*D*H）：600mm*1200mm*2000mm。 </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满足标准19 IT和网络设备的放置。</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机柜可支持带底座安装、水泥地板安装，防静电地板安装。</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前后门应采用外开门方式，前门单开，后门双开，开启角度应不小于120°，以满足设备的安装要求。机柜前后门均应采用圆形，通孔率需不小于70%。</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w:t>
            </w:r>
            <w:r>
              <w:rPr>
                <w:rFonts w:hint="eastAsia" w:ascii="宋体" w:hAnsi="宋体" w:eastAsia="宋体" w:cs="宋体"/>
                <w:color w:val="000000" w:themeColor="text1"/>
                <w:sz w:val="24"/>
                <w:szCs w:val="24"/>
                <w:highlight w:val="none"/>
                <w:lang w:val="en-US" w:eastAsia="zh-CN" w:bidi="ar-SA"/>
              </w:rPr>
              <w:t xml:space="preserve">为保证机柜具有较强的抗震性能，机柜应按照标准YD5083-2005《电信设备抗地震性能检测规范》和普通医院机房按GB50174 B级要求设计，投标人提供第三方权威机构测试报告证明扫描件并加盖投标人公章</w:t>
            </w:r>
            <w:r>
              <w:rPr>
                <w:rFonts w:hint="eastAsia" w:ascii="宋体" w:hAnsi="宋体" w:eastAsia="宋体" w:cs="宋体"/>
                <w:i w:val="0"/>
                <w:iCs w:val="0"/>
                <w:color w:val="000000" w:themeColor="text1"/>
                <w:sz w:val="24"/>
                <w:szCs w:val="24"/>
                <w:highlight w:val="none"/>
                <w:u w:val="none"/>
                <w:lang w:val="en-US" w:eastAsia="zh-CN" w:bidi="ar"/>
              </w:rPr>
              <w:t xml:space="preserve">。</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▲机柜静态承载能力≥2400Kg，投标人需提供第三方机构抗震测试报告扫描件并加盖投标人公章。</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机柜立柱采用八折型材一次滚压成型技术，保证承重要求。机柜主要承重部件包括立柱、横梁、框架等板材厚度不小于1.5mm，顶板、侧板、底板等非承重部件9、板材厚度不小于1.0mm。</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机柜内部有效承载空间：≥42U，可按要求配置不同规格的设备托盘，每个机柜单元配置的托盘可根据用户需求增加。</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每个机柜标配2条PDU，每条PDU支持不少于20个10A和4个16A的输出口。</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机柜侧板</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用于1200mm深，2000mm高落地机柜-M机柜专用－每个编码包含2pcs</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固定托盘</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固定托盘-1U－承载100kg－用于1200mm深机柜及1100mm深服务器机柜</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PDU</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32A输入，20口国标10A+4口国标16A</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gridSpan w:val="3"/>
            <w:tcMar>
              <w:left w:w="-1" w:type="dxa"/>
              <w:top w:w="-1" w:type="dxa"/>
              <w:right w:w="-1" w:type="dxa"/>
              <w:bottom w:w="-1" w:type="dxa"/>
            </w:tcMar>
            <w:tcW w:w="903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2.微模块－冷通道组件</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控制天窗（固定天窗）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钣金天窗，600mm。</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1、用于安装通道内温湿度传感器和监控摄像头</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2、用于跨列机柜之间布线。</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天窗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全玻璃天窗，600mm。</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1、天窗透光材质应使用覆膜钢化玻璃，厚度不小于5mm。</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2、为保证通道亮度及美观性，天窗玻璃面积占比应保证不小于90%。</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3、天窗玻璃透光率≥90%</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大屏门盒</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双开推拉门大屏门盒－配套新造型双开推拉门使用－用于2000mm高1200mm深机柜</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分为高端造型大屏前门盒（支持智慧屏安装）和高端造型大屏后门盒（不支持智慧屏安装）－配套新造型双开推拉门使用－用于2000mm高1200mm深机柜</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围框</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600mm宽机柜顶部围板－用于密封600mm宽机柜顶部线槽－每2台机柜配置1PCS</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自动移门</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新造型双开推拉门-用于2000mm高M型机柜1200mm宽密封通道</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密封冷通道的两端需设置封闭性良好的自动平移端门，以保证通道的气密性</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线槽</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每2台600mm宽柜体配置1pcs</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模块应具备强弱电走线装置，应支持去工程化安装特性，并能以机柜为单位进行扩展，走线槽应能满足跨立柱、跨机柜列及跨模块安装要求。走线槽具有信号线和电源线隔离设计，且根据线缆数量的不同，隔板的位置可调。</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7</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LED灯</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RGB-LED灯-220～240V－单相-50Hz/60Hz－支持RGB混色</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8</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照明系统</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模块应有明确的状态指示，可支持状态指示灯，与门禁及告警等级联动，红色表示识别失败，绿色表示识别成功。门框采用告警联动指示灯，需保证至少有4种颜色，且具备四种颜色指示灯灯光与告警指示联动功能，在微模块产生告警后可与灯光进行联动。能够与紧急告警、重要告警、一般告警、提示告警进行联动，投标人提供第三方测试报告关键页证明扫描件并加盖投标人公章。</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制造商应保证产品解决方案的成熟及可靠，微模块须具备UPTIME等相关权威机构认证，微模块产品系列中方案获得Uptime TIER IV Ready认证，投标人提供认证证书扫描件并加盖投标人公章。</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9</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其他配套附件</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含机柜下封板、0号包装（安装指南及辅料）等必需附件。</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▲整体要求：投标人投标时提供具备CMA/CNAS资质机构出具第三方检测报告关键页扫描件并加盖投标单位公章。</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gridSpan w:val="3"/>
            <w:tcMar>
              <w:left w:w="-1" w:type="dxa"/>
              <w:top w:w="-1" w:type="dxa"/>
              <w:right w:w="-1" w:type="dxa"/>
              <w:bottom w:w="-1" w:type="dxa"/>
            </w:tcMar>
            <w:tcW w:w="903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3.微模块－供配电系统</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市电配电柜</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名称：入户动力柜 尺寸：1200*1000*2200mm</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配电柜中所使用的断路器应为优质品牌；规格：输入双路400A/4P(ATS），输出：400A/3PX1;</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预留回路63A/3P*4+40A/3P*4+32A/1P*4</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辅助回路：照明空开C16A微断*6+插座回路C20A*6</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配置电涌保护器；防雷模块等</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含柜体、铜排、带通讯的智能仪表等；</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一体化UPS</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numPr>
                <w:ilvl w:val="0"/>
                <w:numId w:val="0"/>
              </w:numPr>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UPS类型应为在线双变换式模块化UPS，制式为三相输入，三相输出。机架容量≥120KVA  N+1，输入输出空开要求：总输入空开容量≥400A/3P、UPS输入输出空开容量≥250A/3P、空调空开容量≥63A/3P、IT空开容量≥32A/1P*48、照明空开容量≥10A/1P。功率模块≥30KVA，投标所采用一体化UPS支持将UPS电源、IT配电、空调配电、照明配电UPS输入开关、UPS输入配电和UPS输出配电集成于一个柜体中，投标人提供相应产品彩页扫描件证明</w:t>
            </w:r>
            <w:r>
              <w:rPr>
                <w:rFonts w:hint="eastAsia" w:ascii="宋体" w:hAnsi="宋体" w:eastAsia="宋体" w:cs="宋体"/>
                <w:color w:val="000000" w:themeColor="text1"/>
                <w:sz w:val="24"/>
                <w:szCs w:val="24"/>
                <w:highlight w:val="none"/>
                <w:lang w:val="en-US" w:eastAsia="zh-CN" w:bidi="ar"/>
              </w:rPr>
              <w:t xml:space="preserve">并</w:t>
            </w:r>
            <w:r>
              <w:rPr>
                <w:rFonts w:hint="eastAsia" w:ascii="宋体" w:hAnsi="宋体" w:eastAsia="宋体" w:cs="宋体"/>
                <w:color w:val="000000" w:themeColor="text1"/>
                <w:sz w:val="24"/>
                <w:szCs w:val="24"/>
                <w:highlight w:val="none"/>
                <w:lang w:val="en-US" w:eastAsia="zh-CN" w:bidi="ar-SA"/>
              </w:rPr>
              <w:t xml:space="preserve">加盖投标人公章</w:t>
            </w:r>
            <w:r>
              <w:rPr>
                <w:rFonts w:hint="eastAsia" w:ascii="宋体" w:hAnsi="宋体" w:eastAsia="宋体" w:cs="宋体"/>
                <w:i w:val="0"/>
                <w:iCs w:val="0"/>
                <w:color w:val="000000" w:themeColor="text1"/>
                <w:sz w:val="24"/>
                <w:szCs w:val="24"/>
                <w:highlight w:val="none"/>
                <w:u w:val="none"/>
                <w:lang w:val="en-US" w:eastAsia="zh-CN" w:bidi="ar"/>
              </w:rPr>
              <w:t xml:space="preserve">。</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输入断路器应采用知名品牌，断路器应满足国家标准要求。</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p>
            <w:pPr>
              <w:pStyle w:val="1012"/>
              <w:numPr>
                <w:ilvl w:val="0"/>
                <w:numId w:val="0"/>
              </w:numPr>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模块化UPS的功率模块、旁路模块 和监控模块均支持热插拔。</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w:t>
            </w:r>
            <w:r>
              <w:rPr>
                <w:rFonts w:hint="eastAsia" w:ascii="宋体" w:hAnsi="宋体" w:eastAsia="宋体" w:cs="宋体"/>
                <w:i w:val="0"/>
                <w:iCs w:val="0"/>
                <w:color w:val="000000" w:themeColor="text1"/>
                <w:sz w:val="24"/>
                <w:szCs w:val="24"/>
                <w:highlight w:val="none"/>
                <w:u w:val="none"/>
                <w:shd w:val="clear" w:color="auto" w:fill="auto"/>
                <w:lang w:val="en-US" w:eastAsia="zh-CN" w:bidi="ar"/>
              </w:rPr>
              <w:t xml:space="preserve">市电模式下，UPS模块在线模式下效率在50%负载时系统效率应达到94%及以上，投标人提供检测报告关键页证明扫描件并加盖投标人公章。</w:t>
            </w:r>
            <w:r>
              <w:rPr>
                <w:rFonts w:hint="eastAsia" w:ascii="宋体" w:hAnsi="宋体" w:eastAsia="宋体" w:cs="宋体"/>
                <w:i w:val="0"/>
                <w:iCs w:val="0"/>
                <w:color w:val="000000" w:themeColor="text1"/>
                <w:sz w:val="24"/>
                <w:szCs w:val="24"/>
                <w:highlight w:val="none"/>
                <w:u w:val="none"/>
                <w:shd w:val="clear" w:color="auto" w:fill="auto"/>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▲投标人投标产品满足网络安全要求和国家规范，提供抗震合格证、节能、安全认证证书等扫描件并加盖投标人公章。</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电气特性要求</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额定输入电压：380V</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输入功率因数：100%额定负载时&gt;0.99</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输入电流谐波成分：100%额定负载时，THDi&lt;3%。 </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输出电压稳压精度：±1%</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输出功率因数要求1.0</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输出波形失真度：线性满载时≤1%，非线性满载时≤3%</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输出电压不平衡度：100%不平衡负载时≤5%</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输出电流不均衡度：100%负载时≤1%</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UPS系统应具备RS485、FE(SNMP通讯口）、干接点接口及环境监控传感器接口。</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具备≥7英寸液晶彩色触摸屏，单屏可管理供配电系统，显示供电链路图。</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噪音：100%负载时≤ 65dB（A）</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防护等级满足IP20要求，且机柜配电母排要求具有绝缘防护。</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功率模块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功能模块-30kVA功率模块-2U。</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电池架</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开放式电池架。每个电池架可以安装40节100AH电池 。</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电池开关盒</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160A/3P，所使用的断路器应为优质品牌。</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蓄电池</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电池容量：12V/100AH。</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外观要求：无变形、漏液、裂纹及污迹。标识清晰。</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阻燃性能：蓄电池壳、盖、安全阀、连接条保护罩等应符合GB/T 2408-2021中的第8.4.2条HB(水平级）和第9.4条V-0垂直级的要求，投标人须提供蓄电池同系列产品的国内权威的检测认证以及检测报告扫描件并加盖投标人公章。 </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蓄电池连接条压降：5.5I10放电条件下，电压差≤3.8mV。</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容量保存率：蓄电池封置28天后，其荷电保持能力≥98.2%。密封反应效率：蓄电池的密封反应效率≥98.5%，投标人须提供蓄电池同系列产品的国内权威的检测认证以及检测报告扫描件并加盖投标人公章。</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内阻一致性：要求同组蓄电池内阻偏差应≤4.5%，投标人应提供电池生产厂商出具的电池内阻值。</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安全阀动作：蓄电池在使用期间安全阀应自动开启闭合，闭阀压力应在3kPa～30kPa范围内，开阀压力应在10kPa～35kPa范围内。 </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端电压均衡性：开路电压最高与最低差值≤14mV。</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容量一致性：同组蓄电池10h率容量的最大值和最小值的差值＜2%。</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以上参数投标人须提供蓄电池同系列产品的国内权威的检测认证以及检测报告扫描件并加盖投标人公章。</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▲蓄电池必须标配防漏液绝缘毯或防护托盘等防漏液措施，须具备防碰撞及控制蓄电池有效安装距离的设计，投标人提供第三方技术证明文件扫描件并加盖投标人公章。</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▲电池产品需提供提升蓄电池自身安全性及高效性所采取的方案及措施，投标人提供第三方权威机构证明文件扫描件并加盖投标人公章。</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w:t>
            </w:r>
            <w:r>
              <w:rPr>
                <w:rFonts w:hint="eastAsia" w:ascii="宋体" w:hAnsi="宋体" w:eastAsia="宋体" w:cs="宋体"/>
                <w:i w:val="0"/>
                <w:iCs w:val="0"/>
                <w:color w:val="000000" w:themeColor="text1"/>
                <w:sz w:val="24"/>
                <w:szCs w:val="24"/>
                <w:highlight w:val="none"/>
                <w:u w:val="none"/>
                <w:shd w:val="clear" w:color="auto" w:fill="auto"/>
                <w:lang w:val="en-US" w:eastAsia="zh-CN" w:bidi="ar"/>
              </w:rPr>
              <w:t xml:space="preserve">投标蓄电池品牌应具有</w:t>
            </w:r>
            <w:r>
              <w:rPr>
                <w:rFonts w:hint="eastAsia" w:ascii="宋体" w:hAnsi="宋体" w:eastAsia="宋体" w:cs="宋体"/>
                <w:color w:val="000000" w:themeColor="text1"/>
                <w:sz w:val="24"/>
                <w:szCs w:val="24"/>
                <w:highlight w:val="none"/>
                <w:shd w:val="clear" w:color="auto" w:fill="auto"/>
                <w:lang w:val="en-US" w:eastAsia="zh-CN" w:bidi="ar-SA"/>
              </w:rPr>
              <w:t xml:space="preserve">第三方机构 CCID 或 ICT 等出具的相关证明文件扫描件</w:t>
            </w:r>
            <w:r>
              <w:rPr>
                <w:rFonts w:hint="eastAsia" w:ascii="宋体" w:hAnsi="宋体" w:eastAsia="宋体" w:cs="宋体"/>
                <w:color w:val="000000" w:themeColor="text1"/>
                <w:sz w:val="24"/>
                <w:szCs w:val="24"/>
                <w:highlight w:val="none"/>
                <w:shd w:val="clear" w:color="auto" w:fill="auto"/>
                <w:lang w:val="en-US" w:eastAsia="zh-CN" w:bidi="ar"/>
              </w:rPr>
              <w:t xml:space="preserve">并</w:t>
            </w:r>
            <w:r>
              <w:rPr>
                <w:rFonts w:hint="eastAsia" w:ascii="宋体" w:hAnsi="宋体" w:eastAsia="宋体" w:cs="宋体"/>
                <w:color w:val="000000" w:themeColor="text1"/>
                <w:sz w:val="24"/>
                <w:szCs w:val="24"/>
                <w:highlight w:val="none"/>
                <w:shd w:val="clear" w:color="auto" w:fill="auto"/>
                <w:lang w:val="en-US" w:eastAsia="zh-CN" w:bidi="ar-SA"/>
              </w:rPr>
              <w:t xml:space="preserve">加盖投标人公章</w:t>
            </w:r>
            <w:r>
              <w:rPr>
                <w:rFonts w:hint="eastAsia" w:ascii="宋体" w:hAnsi="宋体" w:eastAsia="宋体" w:cs="宋体"/>
                <w:i w:val="0"/>
                <w:iCs w:val="0"/>
                <w:color w:val="000000" w:themeColor="text1"/>
                <w:sz w:val="24"/>
                <w:szCs w:val="24"/>
                <w:highlight w:val="none"/>
                <w:u w:val="none"/>
                <w:shd w:val="clear" w:color="auto" w:fill="auto"/>
                <w:lang w:val="en-US" w:eastAsia="zh-CN" w:bidi="ar"/>
              </w:rPr>
              <w:t xml:space="preserve">。</w:t>
            </w:r>
            <w:r>
              <w:rPr>
                <w:rFonts w:hint="eastAsia" w:ascii="宋体" w:hAnsi="宋体" w:eastAsia="宋体" w:cs="宋体"/>
                <w:i w:val="0"/>
                <w:iCs w:val="0"/>
                <w:color w:val="000000" w:themeColor="text1"/>
                <w:sz w:val="24"/>
                <w:szCs w:val="24"/>
                <w:highlight w:val="none"/>
                <w:u w:val="none"/>
                <w:shd w:val="clear" w:color="auto" w:fill="auto"/>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投标人提供具备ISO9001质量管理体系、ISO14001环境管理体系、ISO45001职业健康管理体系认证及ISO50001能源管理体系认证等相关证书扫描件并加盖投标人公章。</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7</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市电柜至UPS输入线缆</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YJV-(4x95+1x50)mm^2-黑(4+1芯：黄，绿，红蓝黑），国标</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8</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PDU线缆</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ZRRVV3*6平方阻燃，国标。</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9</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UPS至电池连接线缆</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ZR-BVR-50mm^2阻燃，国标。</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10</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蓄电池连接线</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ZR-BVR-35mm^2阻燃，国标</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底座</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为防止设备底座在机房焊接时产生火灾风险，设备承重底座采用拼装式模块化结构，工厂预制，无需现场焊接，材质为优质钢板，表面采用黑色静电喷塑工艺（与机柜一致），板材厚度为2.0mm，其中承重框为整体焊接结构，水平脚的调节范围为0~50mm。底座满足静载3000KG和抗震8烈度的要求，投标人提供第三方权威检测报告扫描件并加盖投标人公章。</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gridSpan w:val="3"/>
            <w:tcMar>
              <w:left w:w="-1" w:type="dxa"/>
              <w:top w:w="-1" w:type="dxa"/>
              <w:right w:w="-1" w:type="dxa"/>
              <w:bottom w:w="-1" w:type="dxa"/>
            </w:tcMar>
            <w:tcW w:w="903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4.微模块-温控系统</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行级精密空调室内机（加热加湿）</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▲本项目行级空调精密空调机组需满足如下技术指标：室内风机形式：EC风机。总冷量：≥45kW。显冷量：≥45kW。风量：≥9000 m3/h。加湿量：≥3kg/h。加热量：≥6kW。制冷量是在室内进风温度低于38℃，相对湿度20%，室外环境温度不低于35℃的条件下测定的。</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为提高行级空调运行的可靠性，空调需提供可靠准确的检测手段，对冷媒容量进行自动检测并能在冷媒泄漏量超过阈值时产生制冷剂不足告警，避免由于制冷剂不足导致空调宕机或者制冷能力下降使机房产生局部热点，投标人提供第三方检测报告关键页扫描件并加盖投标人公章。</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输入电压允许波动范围：380～415V ±10%，频率：50/60Hz±3Hz。精密空调室内机应由直流变频压缩机、蒸发器、EC风机、控制器、电子膨胀阀、油分、视液镜、干燥过滤器、加湿器和加热器等主要部件组成。</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电子膨胀阀驱动自带储能单元，异常断电可以正常关闭，防止冷媒异常迁移，造成再开机后的压缩机带液启动等风险</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▲具有低载除湿功能，可实现10%以下负载工况下稳定除湿，降低高湿环境下数据中心低载运行的IT设备结露风险，投标人提供第三方检测报告关键页扫描件并加盖投标人公章。 </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▲精密空调原厂内置防雷模块，投标人提供同系列产品电磁兼容性检测报告关键页证明扫描件并加盖投标人公章。</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空调应具有RS485或FE通讯接口，对系统进行远程巡检和参数的设置，及提供Modbus或SNMP开放协议，以接入机房环境监控系统，降低服务成本。</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机组压缩机和干燥过滤器需可支持免动火原地维护，降低维护难度，降低维护时间。</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密空调蒸发器应采用内螺纹铜管和蓝色亲水铝箔设计，防止冷凝水聚集造成吹水，同时提高换热性能。 蒸发器形式宜采用“V”形设计，气流组织更合理，风阻更小。</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机组应标配1个送风、1个回风内置温度传感器和1个回风内置温湿度传感器，精确检测送回风温度场。</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精密空调机组启动电流应小于额定电流，减小空调启动对上层电网造成的冲击。</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▲精密空调应采用节能型的湿膜加湿器，加湿功耗≤50W，投标人能提供同系列产品三方测试报告关键页证明扫描件并加盖投标人公章。</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室内机的强电控盒和压缩机驱动采用整体抽拉式维护模式，降低维护难度。</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空调室外机</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高效EC风机，实现大风量、低噪声、高效率的优越性能。</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驱动器采用变频驱动器，低载运行更稳定。</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采用镀锌板和表面磷化＋粉末涂层工艺，具有良好的刚性和防腐性能，适应恶劣环境。</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冷凝器出厂已保压，管路端口已妥善密封，防止异物进入。</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房间空调（含室外机）</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numPr>
                <w:ilvl w:val="0"/>
                <w:numId w:val="0"/>
              </w:numPr>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▲空调类型：风冷房间级精密空调，上送风，总冷量≥12.5kW，显冷量≥11.5kW，风量≥3100m3/h，投标人提供彩页扫描件</w:t>
            </w:r>
            <w:r>
              <w:rPr>
                <w:rFonts w:hint="eastAsia" w:ascii="宋体" w:hAnsi="宋体" w:eastAsia="宋体" w:cs="宋体"/>
                <w:color w:val="000000" w:themeColor="text1"/>
                <w:sz w:val="24"/>
                <w:szCs w:val="24"/>
                <w:highlight w:val="none"/>
                <w:lang w:val="en-US" w:eastAsia="zh-CN" w:bidi="ar"/>
              </w:rPr>
              <w:t xml:space="preserve">并</w:t>
            </w:r>
            <w:r>
              <w:rPr>
                <w:rFonts w:hint="eastAsia" w:ascii="宋体" w:hAnsi="宋体" w:eastAsia="宋体" w:cs="宋体"/>
                <w:color w:val="000000" w:themeColor="text1"/>
                <w:sz w:val="24"/>
                <w:szCs w:val="24"/>
                <w:highlight w:val="none"/>
                <w:lang w:val="en-US" w:eastAsia="zh-CN" w:bidi="ar-SA"/>
              </w:rPr>
              <w:t xml:space="preserve">加盖投标人公章</w:t>
            </w:r>
            <w:r>
              <w:rPr>
                <w:rFonts w:hint="eastAsia" w:ascii="宋体" w:hAnsi="宋体" w:eastAsia="宋体" w:cs="宋体"/>
                <w:i w:val="0"/>
                <w:iCs w:val="0"/>
                <w:color w:val="000000" w:themeColor="text1"/>
                <w:sz w:val="24"/>
                <w:szCs w:val="24"/>
                <w:highlight w:val="none"/>
                <w:u w:val="none"/>
                <w:lang w:val="en-US" w:eastAsia="zh-CN" w:bidi="ar"/>
              </w:rPr>
              <w:t xml:space="preserve">。</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p>
            <w:pPr>
              <w:pStyle w:val="1012"/>
              <w:numPr>
                <w:ilvl w:val="0"/>
                <w:numId w:val="0"/>
              </w:numPr>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制冷量额定工况：24ºC回风温度，50%相对湿度，室外温度35ºC。</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精密空调应能按要求自动调节室内温度，温度调节精度±1℃、温度变化率</w:t>
            </w:r>
            <w:r>
              <w:rPr>
                <w:rFonts w:ascii="宋体" w:hAnsi="Arial" w:eastAsia="宋体" w:cs="Arial"/>
                <w:i w:val="0"/>
                <w:iCs w:val="0"/>
                <w:color w:val="000000" w:themeColor="text1"/>
                <w:sz w:val="24"/>
                <w:szCs w:val="24"/>
                <w:highlight w:val="none"/>
                <w:u w:val="none"/>
                <w:lang w:val="en-US" w:eastAsia="zh-CN" w:bidi="ar"/>
              </w:rPr>
              <w:t xml:space="preserve">≤</w:t>
            </w:r>
            <w:r>
              <w:rPr>
                <w:rFonts w:hint="eastAsia" w:ascii="宋体" w:hAnsi="宋体" w:eastAsia="宋体" w:cs="宋体"/>
                <w:i w:val="0"/>
                <w:iCs w:val="0"/>
                <w:color w:val="000000" w:themeColor="text1"/>
                <w:sz w:val="24"/>
                <w:szCs w:val="24"/>
                <w:highlight w:val="none"/>
                <w:u w:val="none"/>
                <w:lang w:val="en-US" w:eastAsia="zh-CN" w:bidi="ar"/>
              </w:rPr>
              <w:t xml:space="preserve"> 5℃/小时，湿度调节范围20% ~ 80%RH，湿度调节精度±5 %RH，温、湿度波动超限应能发出报警信号。</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采用直流变频压缩机、EC风机，冷量可在30%—100%无级调节，按需输出冷量，精确控温，大幅降低能耗，为用户节能。</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精密空调控制器应采用不低于3.0英寸LCD屏，人机交互好。</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具备联动与群控功能，将同一区域机组进行统一控制管理。每台机组控制器均可作为主控机组，控制功能包括：1）备份：备份自动切换功能，当群组中机组发生故障时，备份机组自动投入运行，提高空调系统的可靠性。 2）轮巡：定时切换备份机组 。3）层叠：根据机房内热负荷的变化，自动控制机组中空调机的运行数量，及时响应需求，消除热点，达到节能的目的 4）避免竞争运行：避免同一机房内多台空调机同时运行在相反的运行状态（制冷/加热、加湿/除湿），达到节能的目的。</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空调机组应具有送回风温度过高、过低报警、风扇故障报警、温湿度传感器故障报警等功能。</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精密空调机组应具有方便的现场监控及远程监控能力，应具有RS485接口，对系统进行远程巡检和参数的设置，及提供Modbus协议，以接入机房环境监控系统。</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机组应具备不低于6kV防雷滤波规格，在极端浪涌条件下更加安全可靠。</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▲投标人提供节能产品认证证书、3C认证证书扫描件并加盖投标人公章。</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铜管</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空调冷媒配套，汽管液管</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铜弯头</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配套铜弯头。</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铜直接</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配套铜直接。</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7</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室外风机平台</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外机平台，与空调外机底座尺寸一致。</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10</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保温材料</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配套空调铜管组件保温材料。</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过墙水穿孔</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配套开孔400*100mm。</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制冷剂</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R410A冷媒。</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13</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辅材</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制冷配套辅材：割焊气组、进水材料、排水材料、地板切割、铜管焊接等。</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spacing w:line="274" w:lineRule="auto"/>
              <w:widowControl w:val="off"/>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gridSpan w:val="2"/>
            <w:tcMar>
              <w:left w:w="-1" w:type="dxa"/>
              <w:top w:w="-1" w:type="dxa"/>
              <w:right w:w="-1" w:type="dxa"/>
              <w:bottom w:w="-1" w:type="dxa"/>
            </w:tcMar>
            <w:tcW w:w="8566" w:type="dxa"/>
            <w:vAlign w:val="center"/>
            <w:textDirection w:val="lrTb"/>
            <w:noWrap w:val="false"/>
          </w:tcPr>
          <w:p>
            <w:pPr>
              <w:pStyle w:val="1012"/>
              <w:ind w:left="0" w:right="0" w:firstLine="0"/>
              <w:jc w:val="center"/>
              <w:spacing w:line="274" w:lineRule="auto"/>
              <w:widowControl w:val="off"/>
              <w:rPr>
                <w:rFonts w:hint="eastAsia" w:ascii="宋体" w:hAnsi="宋体" w:eastAsia="宋体" w:cs="宋体"/>
                <w:b/>
                <w:bCs/>
                <w:i w:val="0"/>
                <w:iCs w:val="0"/>
                <w:color w:val="000000" w:themeColor="text1"/>
                <w:sz w:val="24"/>
                <w:szCs w:val="24"/>
                <w:highlight w:val="none"/>
                <w:u w:val="none"/>
              </w:rPr>
            </w:pPr>
            <w:r>
              <w:rPr>
                <w:rFonts w:hint="eastAsia" w:ascii="宋体" w:hAnsi="宋体" w:eastAsia="宋体" w:cs="宋体"/>
                <w:b/>
                <w:bCs/>
                <w:i w:val="0"/>
                <w:iCs w:val="0"/>
                <w:color w:val="000000" w:themeColor="text1"/>
                <w:sz w:val="24"/>
                <w:szCs w:val="24"/>
                <w:highlight w:val="none"/>
                <w:u w:val="none"/>
                <w:lang w:val="en-US" w:eastAsia="zh-CN" w:bidi="ar"/>
              </w:rPr>
              <w:t xml:space="preserve">（二）动力环境监控系统</w:t>
            </w:r>
            <w:r>
              <w:rPr>
                <w:rFonts w:hint="eastAsia" w:ascii="宋体" w:hAnsi="宋体" w:eastAsia="宋体" w:cs="宋体"/>
                <w:b/>
                <w:bCs/>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配电柜监测软件授权</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主要实现配电柜的输出相电压、电流、频率、输出功率（有功、无功、视在）、谐波率、功率因素等。</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监测输出电压、电流、频率超限，过载，负载不平衡，交流电源失效等告警信息。</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系统可以对电量仪参数进行历史曲线记录，并可随时查看任意时段的曲线记录。</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提供将历史数据导入Excel表格的功能，便于在Excel中做各种分析比较。</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系统可以将供配电的电能数据生成报警报表，并可按需求查询或打印。</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电池检测仪主机</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实时监测电池单体电压、内阻，超限时自动告警。实时监测电池组电压、电流与环境温度，超限时自动告警。监测每节及整组电池的剩余容量。需要提供安装位置，提供AC 220V电压。安装在电池架上。最大带360节、4组。</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单体电池检测模块（含内阻）</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监测电池单体电压、内阻、温度，贴片在电池表面。</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电流采集模块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配套单元。</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蓄电池监测软件授权</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实时显示并保存各电池检测仪主机通讯协议所提供的能远程监测的电池电压、内阻、温度。</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实时判断电池的部件是否发生报警，当某个电池发生故障或越限时，系统发出报警。</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精密空调监测软件授权</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要求监测精密空调运行状态，用图形和颜色变化来显示空调的工作情况，故障时进行报警。</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能够实现空调的制冷器运行状态、压缩机高压故障、过滤网阻塞等的监测与报警。</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可以通过本监控系统在远端监控室内控制空调机的启、停，及改变温度与湿度的设定值。</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能够实时显示并保存各空调通讯协议所提供的能远程监测的运行参数、各部件状态及报警情况。</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7</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区域式漏水变送器</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工作电压：12VDC </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输出端口：继电器 </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输出形式 正常输出开路，灯为绿色，闪烁，蜂鸣器停叫。告警输出短路，灯为红色，闪烁，蜂鸣器鸣叫。</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8</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漏水绳</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要求10米及以上，高灵敏度，少量水即可感应。</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9</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区域式漏水监控软件授权</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要求在漏水监测系统中所监控漏水感应线的状态以动态线条和图标的形式显示。2、一旦有漏水发生，整条线条会立即变成红色，线条正常情况下是绿色的。3、漏水绳呈现动态流动效果。</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10</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智能温湿度传感器</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供电电源：12VDC、2、电流：&lt;10mA3、显示：液晶LCD显示测量值</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测湿范围：0～100％RH、5、精度：±2.1%RH（25℃时）6、测温范围：-20～60℃、7、精度：±0.2℃（全量程内）8、通讯接口：RS485。</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尺寸：100mm×80mm×30mm</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投标人要求有长亮型液晶屏可直接显示室内的当前温度和湿度。温度修正值必须控制在0.2及以内，湿度修正值在2.1及以内，投标人提供检测报告扫描件并加盖投标人公章。</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温湿度监测软件授权</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实时显示温度信号、湿度信号。</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新风机监测软件授权</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实时监测新风机运行状态、过滤网堵漏情况。</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实现对新风机远程开关机的控制。</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以电子地图方式实时显示并记录新风机运行状态。</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13</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消防监测软件授权</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监测机房内消防火警报警信号。采用电子地图方式显示烟雾探测器实际的分布，当消防报警时，系统能够及时通过短信告知管理人员</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系统应记录相关事件以备查询。</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14</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氢气传感器</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检测原理：电化学2、检测方式：在线监测、扩散式3、T90响应时间：&lt;30秒，4、调试方式：红外遥控器5、信号输出：RS4856、报警值：分为低报警值和高报警值7、低报警值：自行设置（默认20%F.S）。高报警阈值自行设置（默认50%F.S）壳体材料：铸铝9、隔爆等级：Ex d IIC T6 10、防护等级：IP6611、精度：±5%F.S.12、工作环境温度：(-30~+50）℃ 工作环境湿度：(10% ~ 95%） RH 无凝露。</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15</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工业电源</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24V直流电源。</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16</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氢气监测软件授权</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实时显示并记录每个氢气传感器所检测到的氢气浓度（电池间内）的数值，显示短时间段内的变化情况曲线图。</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并可设定每个氢气传感器的浓度的上限与下限值。</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当任意一个氢气传感器检测到的数据超过设定的上限或下限时，监控主系统发出报警。</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17</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吸顶式红外探测器</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工作电压：DC12V，≤20mA 。安装方式：吸顶 。安装高度：2.5～6M 探测范围：直径6m(安装高度3.6m时）。探测角度：全方位360°。环境温度：-10℃ ～ +50℃。产品特点：防拆盒盖。采用微处理器。自动温度补偿。LED ON&amp;OFF可选择。可调节报警延时（5S）。采用贴片技术，抗EMI、RFI干扰。探测报警输出：常闭。防拆开关：常闭。尺寸：φ116×28.2mm。</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18</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红外防盗监测软件授权</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采用电子地图方式显示红外探测器实际的分布                                                                             以电子地图的方式在管理主机展示红外的报警状态，以判断是否有入侵。3、系统应记录相关事件以备查询。</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19</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摄像头</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400万1/2.7CMOS ICR日夜型半球型网络摄像机，支持20～30米红外</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20</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硬盘录像机</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8路，可接2块硬盘。</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8口POE交换机</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8口全千兆交换机POE。</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监控级硬盘</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8TB 256MB 5400转。</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23</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视频集成接口软件授权</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以电子地图的形式，实时播放各个重要监控区域的监控图像。</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24</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人脸+密码+指纹+刷卡读卡器</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采用4.3英寸LCD液晶触摸屏，支持本地视频预览，支持实时检测人脸；</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存储容量：本地支持1500 人脸库、3000 张卡、3000 枚指纹（-F 型号）、15 万条事件记录。</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采用深度学习算法，面部识别距离0.3m—2.0m，人脸比对时间 ＜0.2s/人，人脸验证准确率 ≥ 99%。同时支持照片视频防假。</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采用200万广角宽动态摄像头，采用星光级图像传感器，支持在暗光环境下识别。</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支持人脸、刷卡（Mifare 卡/IC 卡、手机NFC 卡、CPU 卡序列号、身份证卡序列号）、密码、指纹、二维码、人脸+指纹、人脸+刷卡，人脸或指纹或刷卡或密码、人脸＋ 指纹＋刷卡等不同组合方式。</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设备可进行本地管理，支持本地注册人脸、查询、设置、管理设备参数，本地考勤配置，本地修改管理员密码、M1卡和NFC关闭开启等功能。</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设备支持通过U盘导入/导出加密数据，以确保数据安全性。</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25</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出门按钮</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结构：塑料面板。性能：最大耐电流1.25A，电压250V。</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输出：常开。类型：适合埋入式电器盒使用。尺寸：86*86mm。</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26</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双门电磁锁（带门磁）</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双门磁力锁，铝材选用阳极氧化，锁体和吸板选用化学电镀使附着力更强，防腐蚀性能更高。此锁提供门磁信号接入，方便联动应用。</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27</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超声波驱鼠器</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输入电源：AC220V 50Hz </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最大电源功率：18W </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驱鼠方式：多频超声波、仿生猫叫声 </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操作屏幕：3.5寸 320*480262K色 电容/阻屏 </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通讯方式：RS485/LORA; 9600bps ,8n1 </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工作模式：自控循环模式、感应触发模式、混合模式、停止模式</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安装方式：壁挂、自由摆放  </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工作温度：-10-60℃ </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工作湿度：10%—90%RH</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投标人所投产品需提供第三方权威机构颁发的证书扫描件加盖投标人公章。</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28</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驱鼠器监测软件模块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SA"/>
              </w:rPr>
              <w:t xml:space="preserve">可自定义时间</w:t>
            </w:r>
            <w:r>
              <w:rPr>
                <w:rFonts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29</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空气净化消毒机</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须达到以下要求：</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产品为二类消毒产品，符合《WS/T648-2019空气消毒机通用卫生要求》。</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通过卫健委认可或推荐的CMA资质检测机构检测，空气模拟现场实验白色葡萄球菌杀灭率＞99.90%，现场实验自然菌消亡率＞90.00%，符合《消毒技术规范（2002年版）》标准。</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产品使用时不产生臭氧，符合《室内空气中臭氧卫生标准》。</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产品单一使用核壳结构纳米杀菌材料。</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产品不使用重金属、金属离子、UVC产品作为杀菌因子，以及有气味的杀菌产品（投标人出具承诺函并加盖公章）</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采用杀菌兼照明一体化设计，作为空气消毒机杀菌的同时也可作为正常的照明灯具使用。</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照明设计符合《建筑照明设计标准 GB50034-2013》中“医疗建筑照明标准值”的要求。</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照明和杀菌功能采用独立控制设计，两个功能可单独选择不同模式。</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照明的色温和亮度可调节。</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产品的控制系统可采用无线控制。</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▲投标人提供产品在全国消毒产品网上备案通过卫生安全评价结论“合格”的证明（网上公开信息截屏扫描件）并加盖投标人公章。</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▲投标人提供产品CMA实验室模拟现场自然菌消杀率测试报告扫描件并加盖投标人公章。</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30</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展示管理工控机</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要求不低于酷睿i7-6700 8G 1T硬盘 1G显卡 6串口 。</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显示器</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23.8寸及以上液晶显示器。</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嵌入式采集主机</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要求采用基于Linux嵌入式服务器，具备配电设施数据采集模块、动力设备数据采集模块、环境状况数据采集模块、安防系统数据采集模块、网络通信模块、应急控制模块、故障告警模块、来电自启动模块、远程数据采集模块、数据预处理模块、脱网运行模块、数据断电恢复模块、WEB配置网页模块、远程软件升级模块、数据保存模块、网管功能模块功能。</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▲以上功能要求投标人须在证书的技术说明书中体现，所投产品需提供第三方权威机构颁发的证书扫描件加盖投标人公章。</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须具备高低温及温度冲击检测报告，投标人提供所投产品检测报告扫描件加盖投标人公章，要求与监控系统平台软件同一品牌或各设备应支持 RS485、Modbus、SNMP、ONVIF 等标准接口，并能与机房动环监控平台完成对接联调。</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须提供工频磁场抗扰度合格检验报告，所投产品检验报告扫描件 加盖投标人公章，要求与监控系统平台软件同一品牌或各设备应支持 RS485、Modbus、SNMP、ONVIF 等标准接口，并能与机房动环监控平台完成对接联调。</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33</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开关量采集模块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配有16路开关采集端口，可同时采集16路开关量信号。装置面板上有相应16路指示灯显示结果。可采集干(无源）接点和湿(有源）接点。每路检测输入端口都有光电隔离电路，使得保</w:t>
            </w:r>
            <w:r>
              <w:rPr>
                <w:rFonts w:hint="eastAsia" w:ascii="宋体" w:hAnsi="宋体" w:eastAsia="宋体" w:cs="宋体"/>
                <w:i w:val="0"/>
                <w:iCs w:val="0"/>
                <w:color w:val="000000" w:themeColor="text1"/>
                <w:sz w:val="24"/>
                <w:szCs w:val="24"/>
                <w:highlight w:val="none"/>
                <w:u w:val="none"/>
                <w:lang w:val="en-US" w:eastAsia="zh-CN" w:bidi="ar"/>
              </w:rPr>
              <w:t xml:space="preserve">护模块不受外来浪涌高压损坏。要求可设定不同地址，同一RS-485总线可连接多个设备。针对干接点(无源），要求开关状态为对地线短路或开路。针对湿接点(有源），开关状态为0电压(+1V以下）或有电压(3V以上至12V）。要求通过上位软件设定地址，最多可设置256个不同地址(0-255）。同一RS-485总线可连接256个设备并地址不能重复。要求其可用于网络长度达4000英寸。宽电压供电+10～+30V DC，电源消耗1.2W，使用温度0-70C，湿度5％～95％，不冷凝。以上功能要求须在证书的技术说明书中体现。</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▲投标人所投产品需提供第三方权威机构颁发的证书扫描件加盖投标人公章，要求与机房监控系统软件同一品牌或各设备应支持 RS485、Modbus、SNMP、ONVIF 等标准接口，并能与机房动环监控平台完成对接联调。</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35</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USB电话语音盒</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支持1路电话输入，支持输出USB接口。</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36</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信号控制模块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输入通道：4。</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输出继电器触点容量：6A@125VAC，2A@30VDC。</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数字电平0：+1Vmax。数字电平1：+4～+30V。</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宽电压供电：+10～+30VDC。</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简单轨道式安装。</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尺寸：118mm×72mm×44mm。</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37</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声光报警器</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ABS外壳，具有一定阻燃性</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能多种安装方式可选，灵活方便</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超大报警音量，威慑力强</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额定工作电压：DC12V</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工作电压范围(V）：9—15V</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工作电流范围(Ma）：≤300</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工作温度-20℃-60℃(-15-70)</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声压(dB)≥105dB/m</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连续工作时间≥42min DC12V(差异取小）</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闪灯次数(分钟） 220(差异取小）</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尺寸(mm）：124.6*73*48.2</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投标人要求提供通过MA、ilac-MRA和CNAS认可的第三方机构出具的检测报告</w:t>
            </w:r>
            <w:r>
              <w:rPr>
                <w:rFonts w:hint="eastAsia" w:ascii="宋体" w:hAnsi="宋体" w:eastAsia="宋体" w:cs="宋体"/>
                <w:color w:val="000000" w:themeColor="text1"/>
                <w:sz w:val="24"/>
                <w:szCs w:val="24"/>
                <w:highlight w:val="none"/>
                <w:lang w:val="en-US" w:eastAsia="zh-CN" w:bidi="ar-SA"/>
              </w:rPr>
              <w:t xml:space="preserve">扫描件</w:t>
            </w:r>
            <w:r>
              <w:rPr>
                <w:rFonts w:hint="eastAsia" w:ascii="宋体" w:hAnsi="宋体" w:eastAsia="宋体" w:cs="宋体"/>
                <w:color w:val="000000" w:themeColor="text1"/>
                <w:sz w:val="24"/>
                <w:szCs w:val="24"/>
                <w:highlight w:val="none"/>
                <w:lang w:val="en-US" w:eastAsia="zh-CN" w:bidi="ar"/>
              </w:rPr>
              <w:t xml:space="preserve">并</w:t>
            </w:r>
            <w:r>
              <w:rPr>
                <w:rFonts w:hint="eastAsia" w:ascii="宋体" w:hAnsi="宋体" w:eastAsia="宋体" w:cs="宋体"/>
                <w:color w:val="000000" w:themeColor="text1"/>
                <w:sz w:val="24"/>
                <w:szCs w:val="24"/>
                <w:highlight w:val="none"/>
                <w:lang w:val="en-US" w:eastAsia="zh-CN" w:bidi="ar-SA"/>
              </w:rPr>
              <w:t xml:space="preserve">加盖投标人公章</w:t>
            </w:r>
            <w:r>
              <w:rPr>
                <w:rFonts w:hint="eastAsia" w:ascii="宋体" w:hAnsi="宋体" w:eastAsia="宋体" w:cs="宋体"/>
                <w:i w:val="0"/>
                <w:iCs w:val="0"/>
                <w:color w:val="000000" w:themeColor="text1"/>
                <w:sz w:val="24"/>
                <w:szCs w:val="24"/>
                <w:highlight w:val="none"/>
                <w:u w:val="none"/>
                <w:lang w:val="en-US" w:eastAsia="zh-CN" w:bidi="ar"/>
              </w:rPr>
              <w:t xml:space="preserve">，要求与机房监控系统软件同一品牌或能与机房动环监控平台完成对接联调。</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38</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机房监控系统软件</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numPr>
                <w:ilvl w:val="0"/>
                <w:numId w:val="0"/>
              </w:numPr>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要求动环系统登录具备多种登录功能，即可输入用户名、密码等方式 ，又可采用“记住我”功能，直接登录，方便快捷。</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系统提供B/S架构软件，具备总线模块功能，通过企业服务总线ESB建设一座信息的桥梁，各大系统通过各类适配器与ESB进行互连，这样的话就屏蔽了系统之间的技术差异，使得服务在各个系统之间的传递变得更加透明。</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系统监控界面友好的人机界面：参数实时动态显示，全中文显示界面、3D效果图或者电子地图显示。系统提供丰富的控件及控件库可供用户自己组态，所有控件的大小、颜色等属性均可自定义。</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要求动环系统提供一屏多功能界面展示，对不同种类的监控设备采用归纳总结一屏展示，并提供各种绘图元素，减少软件界面，提高系统运行效率。界面更具人性化，场景仿真。监控中心平台应与下属机房监控系统建立统一的报警管理标准，对报警进行统一设定与管理，具有多地点、多事件的并发告警功能，不丢失告警信息，告警准确率100%。</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要求动环系统监控界面具备报警提示音、自动跳转功能，支持手机短信、电话语音、邮件、声光、微信、手机APP、第三方平台报警等功能。</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▲投标人为保证产品采用的软件版权，投标产品必须通过相关软件评测中心评测，并提供证明。</w:t>
            </w:r>
            <w:r>
              <w:rPr>
                <w:rFonts w:hint="eastAsia" w:ascii="宋体" w:hAnsi="宋体" w:eastAsia="宋体" w:cs="宋体"/>
                <w:color w:val="000000" w:themeColor="text1"/>
                <w:sz w:val="24"/>
                <w:szCs w:val="24"/>
                <w:highlight w:val="none"/>
                <w:lang w:val="en-US" w:eastAsia="zh-CN" w:bidi="ar-SA"/>
              </w:rPr>
              <w:t xml:space="preserve">要求提供《企业数据服务总线ESB系统软件》或《物联网嵌入式服务管理软件》或《DCIM数据中心智能管理系统》的计算机软件著作权登记证书其中一项扫描件</w:t>
            </w:r>
            <w:r>
              <w:rPr>
                <w:rFonts w:hint="eastAsia" w:ascii="宋体" w:hAnsi="宋体" w:eastAsia="宋体" w:cs="宋体"/>
                <w:color w:val="000000" w:themeColor="text1"/>
                <w:sz w:val="24"/>
                <w:szCs w:val="24"/>
                <w:highlight w:val="none"/>
                <w:lang w:val="en-US" w:eastAsia="zh-CN" w:bidi="ar"/>
              </w:rPr>
              <w:t xml:space="preserve">并</w:t>
            </w:r>
            <w:r>
              <w:rPr>
                <w:rFonts w:hint="eastAsia" w:ascii="宋体" w:hAnsi="宋体" w:eastAsia="宋体" w:cs="宋体"/>
                <w:color w:val="000000" w:themeColor="text1"/>
                <w:sz w:val="24"/>
                <w:szCs w:val="24"/>
                <w:highlight w:val="none"/>
                <w:lang w:val="en-US" w:eastAsia="zh-CN" w:bidi="ar-SA"/>
              </w:rPr>
              <w:t xml:space="preserve">加盖投标人公章</w:t>
            </w:r>
            <w:r>
              <w:rPr>
                <w:rFonts w:hint="eastAsia" w:ascii="宋体" w:hAnsi="宋体" w:eastAsia="宋体" w:cs="宋体"/>
                <w:i w:val="0"/>
                <w:iCs w:val="0"/>
                <w:color w:val="000000" w:themeColor="text1"/>
                <w:sz w:val="24"/>
                <w:szCs w:val="24"/>
                <w:highlight w:val="none"/>
                <w:u w:val="none"/>
                <w:lang w:val="en-US" w:eastAsia="zh-CN" w:bidi="ar"/>
              </w:rPr>
              <w:t xml:space="preserve">。</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p>
            <w:pPr>
              <w:pStyle w:val="1012"/>
              <w:numPr>
                <w:ilvl w:val="0"/>
                <w:numId w:val="0"/>
              </w:numPr>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投标人提供投标产品考虑未来系统的功能延展性，投标产品还《必须具有机房巡检系统》《数据中心管理系统软件》《容量管理系统软件》《运维管理系统软件》《资产管理系统软件》提供其中二项及以上的国家版权局的计算机软件著作权登记证书扫描件</w:t>
            </w:r>
            <w:r>
              <w:rPr>
                <w:rFonts w:hint="eastAsia" w:ascii="宋体" w:hAnsi="宋体" w:eastAsia="宋体" w:cs="宋体"/>
                <w:color w:val="000000" w:themeColor="text1"/>
                <w:sz w:val="24"/>
                <w:szCs w:val="24"/>
                <w:highlight w:val="none"/>
                <w:lang w:val="en-US" w:eastAsia="zh-CN" w:bidi="ar"/>
              </w:rPr>
              <w:t xml:space="preserve">并</w:t>
            </w:r>
            <w:r>
              <w:rPr>
                <w:rFonts w:hint="eastAsia" w:ascii="宋体" w:hAnsi="宋体" w:eastAsia="宋体" w:cs="宋体"/>
                <w:color w:val="000000" w:themeColor="text1"/>
                <w:sz w:val="24"/>
                <w:szCs w:val="24"/>
                <w:highlight w:val="none"/>
                <w:lang w:val="en-US" w:eastAsia="zh-CN" w:bidi="ar-SA"/>
              </w:rPr>
              <w:t xml:space="preserve">加盖投标人公章</w:t>
            </w:r>
            <w:r>
              <w:rPr>
                <w:rFonts w:hint="eastAsia" w:ascii="宋体" w:hAnsi="宋体" w:eastAsia="宋体" w:cs="宋体"/>
                <w:i w:val="0"/>
                <w:iCs w:val="0"/>
                <w:color w:val="000000" w:themeColor="text1"/>
                <w:sz w:val="24"/>
                <w:szCs w:val="24"/>
                <w:highlight w:val="none"/>
                <w:u w:val="none"/>
                <w:lang w:val="en-US" w:eastAsia="zh-CN" w:bidi="ar"/>
              </w:rPr>
              <w:t xml:space="preserve">即可。</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p>
            <w:pPr>
              <w:pStyle w:val="1012"/>
              <w:numPr>
                <w:ilvl w:val="0"/>
                <w:numId w:val="0"/>
              </w:numPr>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▲投标人提供投标产品具备ISO9001认证。ISO14001环境管理体系认证证书、OHSAS 18001职业健康安全管理体系认证证书、ISO27001信息安全管理体系认证证书等</w:t>
            </w:r>
            <w:r>
              <w:rPr>
                <w:rFonts w:hint="eastAsia" w:ascii="宋体" w:hAnsi="宋体" w:eastAsia="宋体" w:cs="宋体"/>
                <w:color w:val="000000" w:themeColor="text1"/>
                <w:sz w:val="24"/>
                <w:szCs w:val="24"/>
                <w:highlight w:val="none"/>
                <w:lang w:val="en-US" w:eastAsia="zh-CN" w:bidi="ar-SA"/>
              </w:rPr>
              <w:t xml:space="preserve">扫描件</w:t>
            </w:r>
            <w:r>
              <w:rPr>
                <w:rFonts w:hint="eastAsia" w:ascii="宋体" w:hAnsi="宋体" w:eastAsia="宋体" w:cs="宋体"/>
                <w:color w:val="000000" w:themeColor="text1"/>
                <w:sz w:val="24"/>
                <w:szCs w:val="24"/>
                <w:highlight w:val="none"/>
                <w:lang w:val="en-US" w:eastAsia="zh-CN" w:bidi="ar"/>
              </w:rPr>
              <w:t xml:space="preserve">并</w:t>
            </w:r>
            <w:r>
              <w:rPr>
                <w:rFonts w:hint="eastAsia" w:ascii="宋体" w:hAnsi="宋体" w:eastAsia="宋体" w:cs="宋体"/>
                <w:color w:val="000000" w:themeColor="text1"/>
                <w:sz w:val="24"/>
                <w:szCs w:val="24"/>
                <w:highlight w:val="none"/>
                <w:lang w:val="en-US" w:eastAsia="zh-CN" w:bidi="ar-SA"/>
              </w:rPr>
              <w:t xml:space="preserve">加盖投标人公章</w:t>
            </w:r>
            <w:r>
              <w:rPr>
                <w:rFonts w:hint="eastAsia" w:ascii="宋体" w:hAnsi="宋体" w:eastAsia="宋体" w:cs="宋体"/>
                <w:i w:val="0"/>
                <w:iCs w:val="0"/>
                <w:color w:val="000000" w:themeColor="text1"/>
                <w:sz w:val="24"/>
                <w:szCs w:val="24"/>
                <w:highlight w:val="none"/>
                <w:u w:val="none"/>
                <w:lang w:val="en-US" w:eastAsia="zh-CN" w:bidi="ar"/>
              </w:rPr>
              <w:t xml:space="preserve">。</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39</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短信告警功能</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通过短信网关对外报警。</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告警短信发送延时不超过3s。</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针对不同的用户权限设置不同的报警方式，具备4级以上的报警等级划分。另将按报警事件重要程度不同，划分为提示、一般、重要、紧急四个报警等级。</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短信定时查询：系统可设置定时查询某一时段的数据内容。</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40</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邮件告警功能</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通过邮件报告警信息。</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电话告警功能</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通过电话拨打对外报警。</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多媒体语音告警功能</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通过外接音响播报告警信息。</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43</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声光告警功能</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通过外接声光报警器播报告警信息。</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44</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微信端报警</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通过公众号平台进行微信对外报警。</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45</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短信平台对接</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通过用户的短信平台进行对外报警。</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46</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报警管理</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要求根据不同的报警阀值需求，可以设定不同的报警等级，最高支持四级。系统提供告警查询具备确认、屏蔽、解除、删除、导出、筛选功能，筛选功能可根据报警时间段、级别、状态、自定义类型进行选择。系统要求具备多种告警策略，如：升级、屏蔽、防抖动、归并等。 </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要求动环系统可以通过各设备的监控界面的监控值直接进行报警阀值修改，历史数据查询，告警查询，避免需要通过其他方式查找设备监控值再进行报警阀值修改，历史数据查询，告警查询。</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投标人要求提供系统截图并加盖扫描件并加盖投标人公章。</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47</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告警分析功能</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实现告警的事件分析与统计，饼状图和曲线分析等。</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投标人要求提供系统截图并加盖扫描件并加盖投标人公章。</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48</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管理主机IT运维管理功能</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要求机房监控软件具备硬件自检功能。能自动监测到软件服务器的CPU\内存\硬盘的实时数据，系统名称及运行时长等信息。</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投标人要求提供系统截图并加盖投标人公章。</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49</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数据分析</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要求机房监控系统的历史数据展示，具有提示功能，通过鼠标移动自动展示当前数据值、最大、最小值、平均值，直接通过拖拉时间轴来调整查询时间。</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投标人要求提供系统截图扫描件并加盖投标人公章。</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50</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系统阈值即改即生效功能</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要求机房监控系统具备实时数据浏览、设备启停控制、设备报警启停设置、设备报警旁路设置、设备实时值校准、设备报警阀值修改等相关功能。系统阈值修改，即改即生效，不允许重启服务实现，直观，简单、明了。</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▲投标人要求提供系统截图扫描件并加盖投标人公章。</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实时值校准功能</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要求机房监控系统具备参数设置功能。主要实现监控设备是否开启数据存储功能、是否开启报表功能以及相关参数设置。要求机房监控系统具备实时值校准功能。主要是对某些存在误差的设备属性进行校验值的设置。</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投标人要求提供系统截图扫描件并加盖投标人公章。</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53</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web远程访问</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实现远程直接通过浏览器登录查看，支持BS架构。</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支持WEB登录嵌入式服务器操作系统，对设备及环境进行查看和管理，实现对各楼层的嵌入式服务器的控制，发送管理命令。</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支持WEB访问机房基础设施管理系统。</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54</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安装箱</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供安放漏水控制器、工业电源、模块等。</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55</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工业电源</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DC12V10A 给传感器和模块等供电。</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56</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网线</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六类网线或4芯信号线。</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57</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管材</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DN32镀锌钢管。</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58</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微模块监控采集器</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要求模块整体提供一个整体的环境和动力监控接口，实现对模块内供配电、空调、温湿度、漏水检测、烟雾、视频等设备的不间断监控，发现部件故障或参数异常，及时采取颜色、E-mail、SMS和声音告警等多种报警方式，记录历史数据和报警事件，支持实时查看设备信息。</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为保证系统通讯和供电的可靠性，管理系统通信总线具备容错能力，单点故障应不影响其他设备。管理系统电源总线应具有热备份，具备支持热插拔，在线更换功能，投标人提供监控系统组网图和第三方认证机构测试报告证明扫描件并加盖投标人公章。</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为满足网络安全要求，监控系统的采集器硬件或软件可以满足网络安全的要求，可以通过行业主流的病毒与漏洞软件的安全扫描，通过智能联网产品网络安全认证。投标人需要提供公安部直属单位出具的产品安全认证证书扫描件并加盖投标人公章。</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▲采集器配置：ARM Cortex A7 32位处理器及以上，512MB ROM及以上，64MB+1GB Flash存储及以上。支持双路供电，投标人提供产品彩页证明扫描件加盖投标人公章。</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▲为方便后期运维管理，投标人需提供手机APP功能并提供手机APP软件著作权证书</w:t>
            </w:r>
            <w:r>
              <w:rPr>
                <w:rFonts w:hint="eastAsia" w:ascii="宋体" w:hAnsi="宋体" w:eastAsia="宋体" w:cs="宋体"/>
                <w:color w:val="000000" w:themeColor="text1"/>
                <w:sz w:val="24"/>
                <w:szCs w:val="24"/>
                <w:highlight w:val="none"/>
                <w:lang w:val="en-US" w:eastAsia="zh-CN" w:bidi="ar-SA"/>
              </w:rPr>
              <w:t xml:space="preserve">扫描件</w:t>
            </w:r>
            <w:r>
              <w:rPr>
                <w:rFonts w:hint="eastAsia" w:ascii="宋体" w:hAnsi="宋体" w:eastAsia="宋体" w:cs="宋体"/>
                <w:color w:val="000000" w:themeColor="text1"/>
                <w:sz w:val="24"/>
                <w:szCs w:val="24"/>
                <w:highlight w:val="none"/>
                <w:lang w:val="en-US" w:eastAsia="zh-CN" w:bidi="ar"/>
              </w:rPr>
              <w:t xml:space="preserve">并</w:t>
            </w:r>
            <w:r>
              <w:rPr>
                <w:rFonts w:hint="eastAsia" w:ascii="宋体" w:hAnsi="宋体" w:eastAsia="宋体" w:cs="宋体"/>
                <w:color w:val="000000" w:themeColor="text1"/>
                <w:sz w:val="24"/>
                <w:szCs w:val="24"/>
                <w:highlight w:val="none"/>
                <w:lang w:val="en-US" w:eastAsia="zh-CN" w:bidi="ar-SA"/>
              </w:rPr>
              <w:t xml:space="preserve">加盖投标人公章。</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数据采集器支持</w:t>
            </w:r>
            <w:r>
              <w:rPr>
                <w:rFonts w:ascii="Arial" w:hAnsi="Arial" w:eastAsia="宋体" w:cs="Arial"/>
                <w:i w:val="0"/>
                <w:iCs w:val="0"/>
                <w:color w:val="000000" w:themeColor="text1"/>
                <w:sz w:val="24"/>
                <w:szCs w:val="24"/>
                <w:highlight w:val="none"/>
                <w:u w:val="none"/>
                <w:lang w:val="en-US" w:eastAsia="zh-CN" w:bidi="ar"/>
              </w:rPr>
              <w:t xml:space="preserve">≥</w:t>
            </w:r>
            <w:r>
              <w:rPr>
                <w:rFonts w:hint="eastAsia" w:ascii="宋体" w:hAnsi="宋体" w:eastAsia="宋体" w:cs="宋体"/>
                <w:i w:val="0"/>
                <w:iCs w:val="0"/>
                <w:color w:val="000000" w:themeColor="text1"/>
                <w:sz w:val="24"/>
                <w:szCs w:val="24"/>
                <w:highlight w:val="none"/>
                <w:u w:val="none"/>
                <w:lang w:val="en-US" w:eastAsia="zh-CN" w:bidi="ar"/>
              </w:rPr>
              <w:t xml:space="preserve">2路WAN接口，</w:t>
            </w:r>
            <w:r>
              <w:rPr>
                <w:rFonts w:ascii="Arial" w:hAnsi="Arial" w:eastAsia="宋体" w:cs="Arial"/>
                <w:i w:val="0"/>
                <w:iCs w:val="0"/>
                <w:color w:val="000000" w:themeColor="text1"/>
                <w:sz w:val="24"/>
                <w:szCs w:val="24"/>
                <w:highlight w:val="none"/>
                <w:u w:val="none"/>
                <w:lang w:val="en-US" w:eastAsia="zh-CN" w:bidi="ar"/>
              </w:rPr>
              <w:t xml:space="preserve">≥</w:t>
            </w:r>
            <w:r>
              <w:rPr>
                <w:rFonts w:hint="eastAsia" w:ascii="宋体" w:hAnsi="宋体" w:eastAsia="宋体" w:cs="宋体"/>
                <w:i w:val="0"/>
                <w:iCs w:val="0"/>
                <w:color w:val="000000" w:themeColor="text1"/>
                <w:sz w:val="24"/>
                <w:szCs w:val="24"/>
                <w:highlight w:val="none"/>
                <w:u w:val="none"/>
                <w:lang w:val="en-US" w:eastAsia="zh-CN" w:bidi="ar"/>
              </w:rPr>
              <w:t xml:space="preserve">2路LAN接口，100Mbps通讯速率。</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模块化机房设备需满足如下功能技术指标： </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温湿度监控：对微模块内环境的温湿度进行检测和数据统计</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漏水监控：对微模块底部进行漏水检测，提供实时告警信号</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烟雾监控：实时监测微模块内的烟雾状态，提供实时告警信号</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配电监控：</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供电链路可视：设备应具备供电全链路显示功能：从微模块的总输入到IT机柜的PDU，整个配电拓扑展示、开关状态、能量流图、设备故障状态、支路对应关系、关键信号参数（电压、电流、温度等）。</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同时支持如下监控信息：</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支持微模块总输入相电压、电流、频率、功率因数、频率、电能、有功功率、视在功率、负载率、电压电流谐波率、柜内母排温度等检测和数据统计；</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支持IT配电支路及空调配电支路的电流、电能、开关状态、负载率等检测，电能支持按月、按年统计；</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精密空调监控：</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设备应具备制冷链路显示功能：</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显示整个微模块的温湿度状态、风道示意显示、冷媒流动显示、通道内外温湿度、室外温度、空调进出风温度、机柜温度。</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可以显示空调单机的制冷链路、状态（制冷、制热、加湿、除湿）、关键部件的状态和参数、风道冷媒流动状态。</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视频监控：核心控制器支持至少4路摄像机接入，并提供POE供电。可通过web访问摄像机实时画面，并支持调用历史监控数据</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平面视图：</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支持在平面图上直观显示温湿度、漏水监测、烟雾传感器实时状态监测和告警；</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支持通过点击平面视图中的配电柜、精密空调、温湿度等设备，可查看该设备的实时运行详细参数</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支持以数据仪表盘的方式显示微模块的PUE值并可查看历史PUE曲线；</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告警功能：</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可监测空调、配电、环境等状态，如有故障或参数异常，系统会实时告警；</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支持按紧急、重要、一般、提示四种级别进行告警，告警级别可自定义：现场可在显示器上及时采取颜色标示告警，支持声光告警</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远程可通过E-mail、短信进行告警通知（SIM卡甲供）；</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记录历史数据和报警事件：</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支持配电、精密空调、温湿度等历史数据和告警统计，储存时间不少于15天；</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支持SD卡转储，并可导出数据；</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支持查看历史数据和统计，以图表的方式在触摸屏上显示；</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联动功能：</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支持通道内烟感或温度告警联动天窗自动掉电打开；</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支持烟感告警联动局部精密空调自动关机，避免空调送风导致火势增大；</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支持手工配置微模块内部各监测系统联动策略；</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为实现微模块的智能运维，微模块须具备灯光与告警指示联动功能，在微模块产生告警后可与灯光进行联动。需保证至少有4种颜色，能够与紧急告警、重要告警、次要告警、提示告警进行联动。</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59</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智能网络设备</w:t>
            </w:r>
            <w:r>
              <w:rPr>
                <w:rFonts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名称：网络设备；</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规格：PoE交换机；</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其他说明：支持监控主机电源及FE通讯扩展，可在智能微模块内灵活布局。提供2路FE级联接口。用于组成环网通信。提供4路PoE接口，用于设备的接入.</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60</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大屏及软件</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ascii="Arial" w:hAnsi="Arial" w:eastAsia="宋体" w:cs="Arial"/>
                <w:i w:val="0"/>
                <w:iCs w:val="0"/>
                <w:color w:val="000000" w:themeColor="text1"/>
                <w:sz w:val="24"/>
                <w:szCs w:val="24"/>
                <w:highlight w:val="none"/>
                <w:u w:val="none"/>
                <w:lang w:val="en-US" w:eastAsia="zh-CN" w:bidi="ar"/>
              </w:rPr>
              <w:t xml:space="preserve">≥</w:t>
            </w:r>
            <w:r>
              <w:rPr>
                <w:rFonts w:hint="eastAsia" w:ascii="宋体" w:hAnsi="宋体" w:eastAsia="宋体" w:cs="宋体"/>
                <w:i w:val="0"/>
                <w:iCs w:val="0"/>
                <w:color w:val="000000" w:themeColor="text1"/>
                <w:sz w:val="24"/>
                <w:szCs w:val="24"/>
                <w:highlight w:val="none"/>
                <w:u w:val="none"/>
                <w:lang w:val="en-US" w:eastAsia="zh-CN" w:bidi="ar"/>
              </w:rPr>
              <w:t xml:space="preserve">43寸触摸显示屏-含本地管理软件40英寸，分辨率1920×1080，多点触控。</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机身：32GB，内存：4GB，触摸按键+实体电源键+遥控器。</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天窗磁力锁</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天窗磁力锁-12VDC供电-8kg。</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通道内照明系统-LED灯</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名称：通道照明灯</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其他说明：通道照明采用LED灯，安装在通道的两侧顶部。灯座与灯为一体式。正白色，保证通道照明亮度不小于300LUX，满足GB50174《数据中心设计规范》中对机房照明的要求。应具备人来灯亮、人走灯灭功能。应支持门禁联动，开门亮灯。人员在通道内时灯亮，应能保证通道内照明常开。应支持手动开关灯。应支持远程开关灯。</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63</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通道门禁系统</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名称：指纹/密码/刷卡门禁系统</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规格：额定工作电压：12VDC±15%。额定工作电流：300mA±15%。支持卡类型：IC卡最大授权用户3000个，最大指纹容量6000枚RS485通信接口，韦根通信接口。</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其他说明：应支持多种门禁类型(刷卡、密码、指纹）。应支持通道内手动开门、火灾应急开门、远程开门。非法开门、长时间未关门、刷卡器被拆，门禁管理应上报告警。消防情况下，门禁应自动释放。电动门应具备防夹设计。</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64</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多功能传感器</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集成温度、湿度、烟感和红外于一体的多参数监测传感器</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温度监测 –40℃～70℃，精度 ≤ ±0.5℃</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湿度监测 0～100%RH，精度 ≤ ±5% RH</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烟雾监测 符合Ul217号标准，测试值每英尺3.2%微弱灰，烟雾传感器可报警</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POE接口 提供1路POE接口，支持IEEE802.3at标准</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RS485接口 预留1个RS485接口</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DI输入 支持1路DI输入接口，支持12V DC电源输入</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BLINK按键 支持无线通信。</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65</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空调回风温度传感器</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名称：温度传感器</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规格：温度监测–40℃～70℃，精度≤±0.5℃（25℃），RS485 通信输出，MODBUS协议，支持强磁力磁铁安装。</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66</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蜂鸣器</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名称：声光告警器</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规格：微模块数据机房内出现火灾或烟雾时，会引发警报声音并闪烁警示灯对模块内部的消防安全进行警示。</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67</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执行器</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名称：智能微模块执行器</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其他说明：应用于微模块内，通过门禁系统、上位机指令或红外联动信息（默认禁止）或照明按钮控制微模块内照明。通过消防告警的联动信息或上位机的控制信息，控制通道的翻转天窗。通过检测读卡器刷卡信息、开门按钮信息以及消防联动信息，执行打开电磁锁，同时具备门禁权限管理、进出门事件记录、告警记录等功能</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68</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模块内部信号线缆</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微模块内部功率线缆、信号线等线缆</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传统信号电缆－标准网线-3m-(网口8位-I）-(CC4P0.5GY)-(网口8位-I）－供电专用；</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传统信号电缆－标准网线-5m-(网口8位-I）-(CC4P0.5GY)-(网口8位-I）－供电专用；</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线束智能插座级联线-7.5m；</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传统信号电缆－标准网线-19m-(网口8位-I）-(CC4P0.5GY)-(网口8位-I）－供电专用；</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传统信号电缆－屏蔽直通网线-10m-网口8位-II-CC4P0.5灰(S）-网口8位-II-FTP；</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制式电源线－中国交流250V10A-1.5m-(PI直公）－(227IEC53(RVV)1.0mm^2(3C))-(C13直母）-250V—10A-黑。</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spacing w:line="274" w:lineRule="auto"/>
              <w:widowControl w:val="off"/>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gridSpan w:val="2"/>
            <w:tcMar>
              <w:left w:w="-1" w:type="dxa"/>
              <w:top w:w="-1" w:type="dxa"/>
              <w:right w:w="-1" w:type="dxa"/>
              <w:bottom w:w="-1" w:type="dxa"/>
            </w:tcMar>
            <w:tcW w:w="8566" w:type="dxa"/>
            <w:vAlign w:val="center"/>
            <w:textDirection w:val="lrTb"/>
            <w:noWrap w:val="false"/>
          </w:tcPr>
          <w:p>
            <w:pPr>
              <w:pStyle w:val="1012"/>
              <w:ind w:left="0" w:right="0" w:firstLine="0"/>
              <w:jc w:val="center"/>
              <w:spacing w:line="274" w:lineRule="auto"/>
              <w:widowControl w:val="off"/>
              <w:rPr>
                <w:rFonts w:hint="eastAsia" w:ascii="宋体" w:hAnsi="宋体" w:eastAsia="宋体" w:cs="宋体"/>
                <w:b/>
                <w:bCs/>
                <w:i w:val="0"/>
                <w:iCs w:val="0"/>
                <w:color w:val="000000" w:themeColor="text1"/>
                <w:sz w:val="24"/>
                <w:szCs w:val="24"/>
                <w:highlight w:val="none"/>
                <w:u w:val="none"/>
              </w:rPr>
            </w:pPr>
            <w:r>
              <w:rPr>
                <w:rFonts w:hint="eastAsia" w:ascii="宋体" w:hAnsi="宋体" w:eastAsia="宋体" w:cs="宋体"/>
                <w:b/>
                <w:bCs/>
                <w:i w:val="0"/>
                <w:iCs w:val="0"/>
                <w:color w:val="000000" w:themeColor="text1"/>
                <w:sz w:val="24"/>
                <w:szCs w:val="24"/>
                <w:highlight w:val="none"/>
                <w:u w:val="none"/>
                <w:lang w:val="en-US" w:eastAsia="zh-CN" w:bidi="ar"/>
              </w:rPr>
              <w:t xml:space="preserve">（三）电气系统</w:t>
            </w:r>
            <w:r>
              <w:rPr>
                <w:rFonts w:hint="eastAsia" w:ascii="宋体" w:hAnsi="宋体" w:eastAsia="宋体" w:cs="宋体"/>
                <w:b/>
                <w:bCs/>
                <w:i w:val="0"/>
                <w:iCs w:val="0"/>
                <w:color w:val="000000" w:themeColor="text1"/>
                <w:sz w:val="24"/>
                <w:szCs w:val="24"/>
                <w:highlight w:val="none"/>
                <w:u w:val="none"/>
                <w:lang w:val="en-US" w:eastAsia="zh-CN" w:bidi="ar-SA"/>
              </w:rPr>
            </w:r>
            <w:r>
              <w:rPr>
                <w:color w:val="000000" w:themeColor="text1"/>
              </w:rPr>
            </w:r>
          </w:p>
        </w:tc>
      </w:tr>
      <w:tr>
        <w:trPr/>
        <w:tc>
          <w:tcPr>
            <w:gridSpan w:val="3"/>
            <w:tcMar>
              <w:left w:w="-1" w:type="dxa"/>
              <w:top w:w="-1" w:type="dxa"/>
              <w:right w:w="-1" w:type="dxa"/>
              <w:bottom w:w="-1" w:type="dxa"/>
            </w:tcMar>
            <w:tcW w:w="903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1）电线(缆）工程</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入户总线缆</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YJV-4×120+1×70mm²阻燃国标。</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空调电力电缆</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YJV-5×16mm²阻燃国标。</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灯具插座电力电缆</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BV2.5mm2阻燃国标。</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gridSpan w:val="3"/>
            <w:tcMar>
              <w:left w:w="-1" w:type="dxa"/>
              <w:top w:w="-1" w:type="dxa"/>
              <w:right w:w="-1" w:type="dxa"/>
              <w:bottom w:w="-1" w:type="dxa"/>
            </w:tcMar>
            <w:tcW w:w="903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2）电源插座及照明工程</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面板开关</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10A,220VAC.</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照明LED灯</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尺寸600mm×600mm</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支吊架制作、安装</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接线金属波纹管敷设</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灯具安装</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按图纸及规范规定的其他工作，满足消防要求。</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应急照明LED灯</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600mm×600mm，带后备电源，应急时间：≥90分钟应急转换时间。</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安全出口门指示灯</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AC220V，充电时间：&lt;24小时</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LED超亮半导体发光管，应急时间：≥90分钟应急转换时间。</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应急双头灯</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AC220V，充电时间：&lt;24小时</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≥90分钟应急转换时间，IP30，3C认证。</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五孔插座</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10A,220VAC.</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gridSpan w:val="3"/>
            <w:tcMar>
              <w:left w:w="-1" w:type="dxa"/>
              <w:top w:w="-1" w:type="dxa"/>
              <w:right w:w="-1" w:type="dxa"/>
              <w:bottom w:w="-1" w:type="dxa"/>
            </w:tcMar>
            <w:tcW w:w="903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3）线路敷设工程</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JDG镀锌钢管</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KBG，直径20。</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金属软管</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直径20，黑色金属波纹管。</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强电桥架</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热镀锌钢制（Q235），高承重、抗氧化。300mm×100mm，厚度：≥1mm。</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弱电桥架</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热镀锌钢制（Q235），高承重、抗氧化、屏蔽抗干扰网格桥架。300mm×100mm，厚度：≥1.2mm。</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等电位接地端子箱</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内含50*5mm铜带。</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B级电源系统防雷器</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一级防雷器（总配电柜处，B级）</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 类别：B级浪涌保护器（SPD）</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 最大放电电流：Imax ≥ 60kA/8/20μs</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 标称放电电流：In ≥ 30kA</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 保护模式：L1</w:t>
            </w:r>
            <w:r>
              <w:rPr>
                <w:rFonts w:hint="eastAsia" w:ascii="宋体" w:hAnsi="宋体" w:eastAsia="宋体" w:cs="宋体"/>
                <w:i w:val="0"/>
                <w:iCs w:val="0"/>
                <w:color w:val="000000" w:themeColor="text1"/>
                <w:sz w:val="24"/>
                <w:szCs w:val="24"/>
                <w:highlight w:val="none"/>
                <w:u w:val="none"/>
                <w:lang w:val="en-US" w:eastAsia="zh-CN" w:bidi="ar"/>
              </w:rPr>
              <w:t xml:space="preserve">PE、L2</w:t>
            </w:r>
            <w:r>
              <w:rPr>
                <w:rFonts w:hint="eastAsia" w:ascii="宋体" w:hAnsi="宋体" w:eastAsia="宋体" w:cs="宋体"/>
                <w:i w:val="0"/>
                <w:iCs w:val="0"/>
                <w:color w:val="000000" w:themeColor="text1"/>
                <w:sz w:val="24"/>
                <w:szCs w:val="24"/>
                <w:highlight w:val="none"/>
                <w:u w:val="none"/>
                <w:lang w:val="en-US" w:eastAsia="zh-CN" w:bidi="ar"/>
              </w:rPr>
              <w:t xml:space="preserve">PE、L3</w:t>
            </w:r>
            <w:r>
              <w:rPr>
                <w:rFonts w:hint="eastAsia" w:ascii="宋体" w:hAnsi="宋体" w:eastAsia="宋体" w:cs="宋体"/>
                <w:i w:val="0"/>
                <w:iCs w:val="0"/>
                <w:color w:val="000000" w:themeColor="text1"/>
                <w:sz w:val="24"/>
                <w:szCs w:val="24"/>
                <w:highlight w:val="none"/>
                <w:u w:val="none"/>
                <w:lang w:val="en-US" w:eastAsia="zh-CN" w:bidi="ar"/>
              </w:rPr>
              <w:t xml:space="preserve">PE、N</w:t>
            </w:r>
            <w:r>
              <w:rPr>
                <w:rFonts w:hint="eastAsia" w:ascii="宋体" w:hAnsi="宋体" w:eastAsia="宋体" w:cs="宋体"/>
                <w:i w:val="0"/>
                <w:iCs w:val="0"/>
                <w:color w:val="000000" w:themeColor="text1"/>
                <w:sz w:val="24"/>
                <w:szCs w:val="24"/>
                <w:highlight w:val="none"/>
                <w:u w:val="none"/>
                <w:lang w:val="en-US" w:eastAsia="zh-CN" w:bidi="ar"/>
              </w:rPr>
              <w:t xml:space="preserve">PE、L</w:t>
            </w:r>
            <w:r>
              <w:rPr>
                <w:rFonts w:hint="eastAsia" w:ascii="宋体" w:hAnsi="宋体" w:eastAsia="宋体" w:cs="宋体"/>
                <w:i w:val="0"/>
                <w:iCs w:val="0"/>
                <w:color w:val="000000" w:themeColor="text1"/>
                <w:sz w:val="24"/>
                <w:szCs w:val="24"/>
                <w:highlight w:val="none"/>
                <w:u w:val="none"/>
                <w:lang w:val="en-US" w:eastAsia="zh-CN" w:bidi="ar"/>
              </w:rPr>
              <w:t xml:space="preserve">N</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 最大持续运行电压Uc：AC385V（三相）</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 电压保护水平Up：≤2.5kV</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 安装位置：机房总进线配电柜。</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C级电源系统防雷器</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二级防雷器（UPS输入柜，C级）</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 类别：C级浪涌保护器</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 最大放电电流：Imax ≥ 40kA/8/20μs</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 标称放电电流：In ≥ 20kA</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 Uc：AC385V</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 Up：≤1.8kV</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 安装位置：UPS前端配电柜。</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接地紫铜带</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接地，30×3mm。</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绝缘支撑件</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≥100mm高。</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接地母线</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BVR50mm²阻燃国标。</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7</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接地跨接线</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BVR6mm²阻燃国标，机房联合接地网接地电阻：≤1Ω。</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gridSpan w:val="3"/>
            <w:tcMar>
              <w:left w:w="-1" w:type="dxa"/>
              <w:top w:w="-1" w:type="dxa"/>
              <w:right w:w="-1" w:type="dxa"/>
              <w:bottom w:w="-1" w:type="dxa"/>
            </w:tcMar>
            <w:tcW w:w="903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（五）气体灭火系统</w:t>
            </w:r>
            <w:r>
              <w:rPr>
                <w:rFonts w:hint="eastAsia" w:ascii="宋体" w:hAnsi="宋体" w:eastAsia="宋体" w:cs="宋体"/>
                <w:b/>
                <w:bCs/>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钢瓶（含组件）</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灭火形式：全淹没，贮存压力2.5MPa，最大工作压力4.2MPa，安全泄放装置动作压力(Mpa）：5.6±0.28.</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2.容器容积70L，灭火剂充装量误差&lt;0.3kg/瓶，最大充装密度1120kg/m3。工作电压 DC24V;</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电流1.6A，喷射时间≤10s，启动方式有三种：自动启动、手动启动和机械应急启动。</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七氟丙烷药剂</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灭火浓度：电气火灾基础灭火浓度5.8%；</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喷放时间：计算机房/通讯机房喷放时间≤8s，快速灭火减少设备损伤；</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浸渍时间：机房电气火灾浸渍时间≥5min，确保彻底灭火、防止复燃。</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瓶体控制器</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消防配套。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烟感报警器</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使用环境温度：-10℃～+55℃</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监视电流：&lt;0.3mA</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使用环境湿度：≤95%RH(不凝露）</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报警电流：&lt;0.8mA</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总线工作电压：DC24V脉动电压  报警确认灯：红色，报警常亮</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巡检指示灯：红色故障指示灯：黄色，传感器故障时常亮</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线制：两总线，无极性</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总线长度：≤2000m</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外壳保护等级：IP30。</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温感报警器</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使用环境温度：-10°℃~+65℃</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监视电流：≤0.2mA</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使用环境湿度：≤95%RH(不凝露）</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报警电流：≤0.6mA</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总线工作电压：总线24V              </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保护面积：30m²</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动作温度：58℃±2℃(A2R)     线制：两总线，无极性</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巡检指示灯：红色闪亮。</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报警指示灯：红色常亮。故障指示灯：黄色常亮。</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总线长度：≤2000米(1.0mm²双绞线）。</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气体灭火控制器</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使用环境：温度：-10℃-+45℃;</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总线长度：≤2000m(截面积≥1.0mm²双绞线）</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相对湿度≤96%RH，不凝露</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设备容量：火灾报警回路：1个(≤242编址点）；</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交流艳入电压：220V。%；频率：50Hz±1%</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气体灭火分区：4个，每个气体灭火分区≤40个编址点</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交流输入功率：≤200W</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多线联动盘数量。标配块(多线盘共2组按键）</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DC24V电源输出电流：≤2A</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液晶规格：7英寸彩色液晶，800*480点阵</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直流备电：DC24V/5Ah，全密封免维护铅酸蓄电池</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外壳防护等级：IP30</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回路线制：两总线制。</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7</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紧急启停</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总线工作电压：DC24V脉动电压</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动作电流：&lt;1.2mA</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线制：两总线(无极性）</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监视电流：&lt;0.4mA</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适用温度：-10℃～50℃</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总线长度：≤1500米(截面积≥1.0mm²的RVS铜质双绞线）</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湿度：≤95%RH(不凝露）。</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8</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强制启停</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总线工作电压：DC24V脉动电压</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动作电流：&lt;1.2mA</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线制：两总线(无极性）</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监视电流：&lt;0.4mA</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适用温度：-10℃～50℃</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总线长度：≤1500米(截面积≥1.0mm²的RVS铜质双绞线）</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湿度：≤95%RH(不凝露）。</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9</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放气指示灯</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总线工作电压：DC24V脉动电压</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工作电流：&lt;15mA</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适用温度：-10℃~50℃</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湿度：≤95%RH</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线制：两总线(无极性）</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总线长度：≤1500米(截面积1.5mm²铜质双绞线）</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监视电流：&lt;0.5mA</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表面亮度：50cd/m²~300cd/m²;</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声压级：75dB~115dB;</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闪光频率：1Hz～1.5Hz。</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10</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声光报警器</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具有电子编码，唯一ID地址，火灾报警控制器和编码器在线设置地址和读地址。</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可设为非编码模式、光模式或声光模式。</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具有两种声调模式满足不同应用场景。</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使用环境湿度：≤95%RH(不凝露）</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工作电压：总线24V</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线制：两总线(无极性）</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工作电流：监视电流≤0.35mA</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声调1启动电流≤3.5mA(平均值）声调2启动电流≤12mA(平均值）</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总线长度：≤1500米(1.5mm²双绞线）</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报警声压级：距正前方3m处80dB～115dB(A计权）</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变调周期：3s～5s(声调1），0.3s～0.9s(声调2）闪光频率：1Hz～1.5Hz</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外壳防护等级：IP30。</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泄压口</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400*400开口。</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消防线材</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BVR2*1.5mm阻燃国标。</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gridSpan w:val="3"/>
            <w:tcMar>
              <w:left w:w="-1" w:type="dxa"/>
              <w:top w:w="-1" w:type="dxa"/>
              <w:right w:w="-1" w:type="dxa"/>
              <w:bottom w:w="-1" w:type="dxa"/>
            </w:tcMar>
            <w:tcW w:w="9036"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（六）新风排烟系统</w:t>
            </w:r>
            <w:r>
              <w:rPr>
                <w:rFonts w:hint="eastAsia" w:ascii="宋体" w:hAnsi="宋体" w:eastAsia="宋体" w:cs="宋体"/>
                <w:b/>
                <w:bCs/>
                <w:i w:val="0"/>
                <w:iCs w:val="0"/>
                <w:color w:val="000000" w:themeColor="text1"/>
                <w:sz w:val="24"/>
                <w:szCs w:val="24"/>
                <w:highlight w:val="none"/>
                <w:u w:val="none"/>
                <w:lang w:val="en-US" w:eastAsia="zh-CN" w:bidi="ar-SA"/>
              </w:rPr>
            </w:r>
            <w:r>
              <w:rPr>
                <w:color w:val="000000" w:themeColor="text1"/>
              </w:rPr>
            </w:r>
          </w:p>
        </w:tc>
      </w:tr>
      <w:tr>
        <w:trPr/>
        <w:tc>
          <w:tcPr>
            <w:gridSpan w:val="3"/>
            <w:tcMar>
              <w:left w:w="-1" w:type="dxa"/>
              <w:top w:w="-1" w:type="dxa"/>
              <w:right w:w="-1" w:type="dxa"/>
              <w:bottom w:w="-1" w:type="dxa"/>
            </w:tcMar>
            <w:tcW w:w="9036" w:type="dxa"/>
            <w:vAlign w:val="center"/>
            <w:textDirection w:val="lrTb"/>
            <w:noWrap w:val="false"/>
          </w:tcPr>
          <w:p>
            <w:pPr>
              <w:pStyle w:val="1012"/>
              <w:ind w:left="0" w:right="0" w:firstLine="0"/>
              <w:jc w:val="center"/>
              <w:spacing w:line="274" w:lineRule="auto"/>
              <w:widowControl w:val="off"/>
              <w:rPr>
                <w:rFonts w:hint="eastAsia" w:ascii="宋体" w:hAnsi="宋体" w:eastAsia="宋体" w:cs="宋体"/>
                <w:b/>
                <w:bCs/>
                <w:i w:val="0"/>
                <w:iCs w:val="0"/>
                <w:color w:val="000000" w:themeColor="text1"/>
                <w:sz w:val="24"/>
                <w:szCs w:val="24"/>
                <w:highlight w:val="none"/>
                <w:u w:val="none"/>
              </w:rPr>
            </w:pPr>
            <w:r>
              <w:rPr>
                <w:rFonts w:hint="eastAsia" w:ascii="宋体" w:hAnsi="宋体" w:eastAsia="宋体" w:cs="宋体"/>
                <w:b w:val="0"/>
                <w:bCs w:val="0"/>
                <w:i w:val="0"/>
                <w:iCs w:val="0"/>
                <w:color w:val="000000" w:themeColor="text1"/>
                <w:sz w:val="24"/>
                <w:szCs w:val="24"/>
                <w:highlight w:val="none"/>
                <w:u w:val="none"/>
                <w:lang w:val="en-US" w:eastAsia="zh-CN" w:bidi="ar"/>
              </w:rPr>
              <w:t xml:space="preserve">1）新风工程</w:t>
            </w:r>
            <w:r>
              <w:rPr>
                <w:rFonts w:hint="eastAsia" w:ascii="宋体" w:hAnsi="宋体" w:eastAsia="宋体" w:cs="宋体"/>
                <w:b/>
                <w:bCs/>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新风机</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尺寸：≤380mm×280mm×725mm</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外壳材料：冷轧钢板外壳+亚克力面板</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安装方式：壁挂式安装，螺丝固定式挂板</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电源：宽电压AC200-250V、50/60Hz</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最大功耗：加热状态≤1500W，非加热状态≤200W</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显示屏：≥4.3寸电阻屏、rgb功能氛围灯</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控制方式：手动/自动/远程操控</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通讯方式：RS485</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过滤方式：G4级初效过滤网(活性炭粒+银离子活性炭棉）+H13高效过滤网（HEPA滤网）</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净化方式：紫外线灯（8kv）+负离子发生器（500W/h）</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加热方式：PTC电辅热1200W</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有效新风量：大于每小时500m³</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空气检测项目：温度、湿度、CO2、CH2O、TVOC、PM2.5、PM10</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故障自检项目：风机、紫外线灯、负离子发生器、PTC电辅热、滤网使用寿命</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投标人需提供带CMA、ilac-MRA、CNAS标识的检测报告证明</w:t>
            </w:r>
            <w:r>
              <w:rPr>
                <w:rFonts w:hint="eastAsia" w:ascii="宋体" w:hAnsi="宋体" w:eastAsia="宋体" w:cs="宋体"/>
                <w:color w:val="000000" w:themeColor="text1"/>
                <w:sz w:val="24"/>
                <w:szCs w:val="24"/>
                <w:highlight w:val="none"/>
                <w:lang w:val="en-US" w:eastAsia="zh-CN" w:bidi="ar-SA"/>
              </w:rPr>
              <w:t xml:space="preserve">扫描件</w:t>
            </w:r>
            <w:r>
              <w:rPr>
                <w:rFonts w:hint="eastAsia" w:ascii="宋体" w:hAnsi="宋体" w:eastAsia="宋体" w:cs="宋体"/>
                <w:color w:val="000000" w:themeColor="text1"/>
                <w:sz w:val="24"/>
                <w:szCs w:val="24"/>
                <w:highlight w:val="none"/>
                <w:lang w:val="en-US" w:eastAsia="zh-CN" w:bidi="ar"/>
              </w:rPr>
              <w:t xml:space="preserve">并</w:t>
            </w:r>
            <w:r>
              <w:rPr>
                <w:rFonts w:hint="eastAsia" w:ascii="宋体" w:hAnsi="宋体" w:eastAsia="宋体" w:cs="宋体"/>
                <w:color w:val="000000" w:themeColor="text1"/>
                <w:sz w:val="24"/>
                <w:szCs w:val="24"/>
                <w:highlight w:val="none"/>
                <w:lang w:val="en-US" w:eastAsia="zh-CN" w:bidi="ar-SA"/>
              </w:rPr>
              <w:t xml:space="preserve">加盖投标人公章，</w:t>
            </w:r>
            <w:r>
              <w:rPr>
                <w:rFonts w:hint="eastAsia" w:ascii="宋体" w:hAnsi="宋体" w:eastAsia="宋体" w:cs="宋体"/>
                <w:i w:val="0"/>
                <w:iCs w:val="0"/>
                <w:color w:val="000000" w:themeColor="text1"/>
                <w:sz w:val="24"/>
                <w:szCs w:val="24"/>
                <w:highlight w:val="none"/>
                <w:u w:val="none"/>
                <w:lang w:val="en-US" w:eastAsia="zh-CN" w:bidi="ar"/>
              </w:rPr>
              <w:t xml:space="preserve">与机房动环管理平台同一品牌或设备应支持与机房动环监控平台完成对接联调。</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防火阀</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600×300mm，3C型式认证。</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可与消防主机联动，接收24V信号启动。常开模式。</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风管</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0.6mm厚镀锌钢板，20mm橡塑板保温管道。</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含三通、弯头、变径等异形风管。</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风口</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散流器，300×300mm。</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防雨百叶风口</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配套 。</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外墙洞口开洞</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外墙洞口制作，200*200开口。</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7</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控制线及铺设</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满足新风机使用及控制要求。</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gridSpan w:val="3"/>
            <w:tcMar>
              <w:left w:w="-1" w:type="dxa"/>
              <w:top w:w="-1" w:type="dxa"/>
              <w:right w:w="-1" w:type="dxa"/>
              <w:bottom w:w="-1" w:type="dxa"/>
            </w:tcMar>
            <w:tcW w:w="9036" w:type="dxa"/>
            <w:vAlign w:val="center"/>
            <w:textDirection w:val="lrTb"/>
            <w:noWrap w:val="false"/>
          </w:tcPr>
          <w:p>
            <w:pPr>
              <w:pStyle w:val="1012"/>
              <w:ind w:left="0" w:right="0" w:firstLine="0"/>
              <w:jc w:val="center"/>
              <w:spacing w:line="274" w:lineRule="auto"/>
              <w:widowControl w:val="off"/>
              <w:rPr>
                <w:rFonts w:hint="eastAsia" w:ascii="宋体" w:hAnsi="宋体" w:eastAsia="宋体" w:cs="宋体"/>
                <w:b w:val="0"/>
                <w:bCs w:val="0"/>
                <w:i w:val="0"/>
                <w:iCs w:val="0"/>
                <w:color w:val="000000" w:themeColor="text1"/>
                <w:sz w:val="24"/>
                <w:szCs w:val="24"/>
                <w:highlight w:val="none"/>
                <w:u w:val="none"/>
              </w:rPr>
            </w:pPr>
            <w:r>
              <w:rPr>
                <w:rFonts w:hint="eastAsia" w:ascii="宋体" w:hAnsi="宋体" w:eastAsia="宋体" w:cs="宋体"/>
                <w:b w:val="0"/>
                <w:bCs w:val="0"/>
                <w:i w:val="0"/>
                <w:iCs w:val="0"/>
                <w:color w:val="000000" w:themeColor="text1"/>
                <w:sz w:val="24"/>
                <w:szCs w:val="24"/>
                <w:highlight w:val="none"/>
                <w:u w:val="none"/>
                <w:lang w:val="en-US" w:eastAsia="zh-CN" w:bidi="ar"/>
              </w:rPr>
              <w:t xml:space="preserve">2）事故排烟工程</w:t>
            </w:r>
            <w:r>
              <w:rPr>
                <w:rFonts w:hint="eastAsia" w:ascii="宋体" w:hAnsi="宋体" w:eastAsia="宋体" w:cs="宋体"/>
                <w:b w:val="0"/>
                <w:bCs w:val="0"/>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排烟管道密闭防火阀（280°）</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电动防火阀 电动防火阀（280°）可与消防联动。</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通风管道绝热</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B1级橡塑棉保温20mm。</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轴流排风机</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功率550W，风量1500m³/h，噪声48db，静压500pa。</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双层百叶风口</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排风口 排风口（含密封连接件）。</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墙洞新风口</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300×300mm.</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排风管</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管道 排风管道双面铝箔酚醛复合板。</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Mar>
              <w:left w:w="-1" w:type="dxa"/>
              <w:top w:w="-1" w:type="dxa"/>
              <w:right w:w="-1" w:type="dxa"/>
              <w:bottom w:w="-1" w:type="dxa"/>
            </w:tcMar>
            <w:tcW w:w="470"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7</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1520"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墙洞排风口</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Mar>
              <w:left w:w="-1" w:type="dxa"/>
              <w:top w:w="-1" w:type="dxa"/>
              <w:right w:w="-1" w:type="dxa"/>
              <w:bottom w:w="-1" w:type="dxa"/>
            </w:tcMar>
            <w:tcW w:w="7046"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300×300mm.</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bl>
    <w:p>
      <w:pPr>
        <w:pStyle w:val="1012"/>
        <w:numPr>
          <w:ilvl w:val="0"/>
          <w:numId w:val="0"/>
        </w:numPr>
        <w:rPr>
          <w:rFonts w:hint="eastAsia" w:ascii="宋体" w:hAnsi="宋体" w:eastAsia="宋体" w:cs="宋体"/>
          <w:b/>
          <w:bCs/>
          <w:i w:val="0"/>
          <w:iCs w:val="0"/>
          <w:color w:val="000000" w:themeColor="text1"/>
          <w:sz w:val="21"/>
          <w:szCs w:val="21"/>
          <w:highlight w:val="none"/>
          <w:u w:val="none"/>
        </w:rPr>
      </w:pPr>
      <w:r>
        <w:rPr>
          <w:rFonts w:hint="eastAsia" w:ascii="宋体" w:hAnsi="宋体" w:eastAsia="宋体" w:cs="宋体"/>
          <w:b/>
          <w:bCs/>
          <w:i w:val="0"/>
          <w:iCs w:val="0"/>
          <w:color w:val="000000" w:themeColor="text1"/>
          <w:sz w:val="21"/>
          <w:szCs w:val="21"/>
          <w:highlight w:val="none"/>
          <w:u w:val="none"/>
        </w:rPr>
      </w:r>
      <w:r>
        <w:rPr>
          <w:color w:val="000000" w:themeColor="text1"/>
        </w:rPr>
      </w:r>
    </w:p>
    <w:p>
      <w:pPr>
        <w:pStyle w:val="1012"/>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1053"/>
        <w:keepLines w:val="0"/>
        <w:keepNext w:val="0"/>
        <w:pageBreakBefore w:val="0"/>
        <w:spacing w:line="360" w:lineRule="auto"/>
        <w:rPr>
          <w:rFonts w:hint="eastAsia" w:ascii="宋体" w:hAnsi="宋体" w:eastAsia="宋体" w:cs="宋体"/>
          <w:b/>
          <w:bCs/>
          <w:color w:val="000000" w:themeColor="text1"/>
          <w:highlight w:val="none"/>
        </w:rPr>
      </w:pPr>
      <w:r>
        <w:rPr>
          <w:color w:val="000000" w:themeColor="text1"/>
        </w:rPr>
      </w:r>
      <w:bookmarkStart w:id="69" w:name="_Toc24434"/>
      <w:r>
        <w:rPr>
          <w:rFonts w:hint="eastAsia" w:ascii="宋体" w:hAnsi="宋体" w:eastAsia="宋体" w:cs="宋体"/>
          <w:b/>
          <w:bCs/>
          <w:color w:val="000000" w:themeColor="text1"/>
          <w:highlight w:val="none"/>
        </w:rPr>
      </w:r>
      <w:r>
        <w:rPr>
          <w:color w:val="000000" w:themeColor="text1"/>
        </w:rPr>
      </w:r>
    </w:p>
    <w:p>
      <w:pPr>
        <w:pStyle w:val="1053"/>
        <w:keepLines w:val="0"/>
        <w:keepNext w:val="0"/>
        <w:pageBreakBefore w:val="0"/>
        <w:spacing w:line="360" w:lineRule="auto"/>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r>
      <w:r>
        <w:rPr>
          <w:color w:val="000000" w:themeColor="text1"/>
        </w:rPr>
      </w:r>
    </w:p>
    <w:p>
      <w:pPr>
        <w:pStyle w:val="1053"/>
        <w:keepLines w:val="0"/>
        <w:keepNext w:val="0"/>
        <w:pageBreakBefore w:val="0"/>
        <w:spacing w:line="360" w:lineRule="auto"/>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r>
      <w:r>
        <w:rPr>
          <w:color w:val="000000" w:themeColor="text1"/>
        </w:rPr>
      </w:r>
    </w:p>
    <w:p>
      <w:pPr>
        <w:pStyle w:val="1053"/>
        <w:keepLines w:val="0"/>
        <w:keepNext w:val="0"/>
        <w:pageBreakBefore w:val="0"/>
        <w:spacing w:line="360" w:lineRule="auto"/>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lang w:val="en-US" w:eastAsia="zh-CN"/>
        </w:rPr>
        <w:t xml:space="preserve">2.2.2机房装修</w:t>
      </w:r>
      <w:bookmarkEnd w:id="69"/>
      <w:r>
        <w:rPr>
          <w:rFonts w:hint="eastAsia" w:ascii="宋体" w:hAnsi="宋体" w:eastAsia="宋体" w:cs="宋体"/>
          <w:b/>
          <w:bCs/>
          <w:color w:val="000000" w:themeColor="text1"/>
          <w:highlight w:val="none"/>
        </w:rPr>
      </w:r>
      <w:r>
        <w:rPr>
          <w:color w:val="000000" w:themeColor="text1"/>
        </w:rPr>
      </w:r>
    </w:p>
    <w:tbl>
      <w:tblPr>
        <w:tblW w:w="9036"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04"/>
        <w:gridCol w:w="2444"/>
        <w:gridCol w:w="6088"/>
      </w:tblGrid>
      <w:tr>
        <w:trPr>
          <w:tblHeader/>
        </w:trPr>
        <w:tc>
          <w:tcPr>
            <w:tcW w:w="504"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b/>
                <w:i w:val="0"/>
                <w:iCs w:val="0"/>
                <w:color w:val="000000" w:themeColor="text1"/>
                <w:sz w:val="24"/>
                <w:szCs w:val="24"/>
                <w:highlight w:val="none"/>
                <w:u w:val="none"/>
              </w:rPr>
              <w:suppressLineNumbers w:val="0"/>
            </w:pPr>
            <w:r>
              <w:rPr>
                <w:rFonts w:hint="eastAsia" w:ascii="宋体" w:hAnsi="宋体" w:eastAsia="宋体" w:cs="宋体"/>
                <w:b/>
                <w:i w:val="0"/>
                <w:iCs w:val="0"/>
                <w:color w:val="000000" w:themeColor="text1"/>
                <w:sz w:val="24"/>
                <w:szCs w:val="24"/>
                <w:highlight w:val="none"/>
                <w:u w:val="none"/>
                <w:lang w:val="en-US" w:eastAsia="zh-CN" w:bidi="ar"/>
              </w:rPr>
              <w:t xml:space="preserve">序号</w:t>
            </w:r>
            <w:r>
              <w:rPr>
                <w:rFonts w:hint="eastAsia" w:ascii="宋体" w:hAnsi="宋体" w:eastAsia="宋体" w:cs="宋体"/>
                <w:b/>
                <w:i w:val="0"/>
                <w:iCs w:val="0"/>
                <w:color w:val="000000" w:themeColor="text1"/>
                <w:sz w:val="24"/>
                <w:szCs w:val="24"/>
                <w:highlight w:val="none"/>
                <w:u w:val="none"/>
                <w:lang w:val="en-US" w:eastAsia="zh-CN" w:bidi="ar-SA"/>
              </w:rPr>
            </w:r>
            <w:r>
              <w:rPr>
                <w:color w:val="000000" w:themeColor="text1"/>
              </w:rPr>
            </w:r>
          </w:p>
        </w:tc>
        <w:tc>
          <w:tcPr>
            <w:tcW w:w="2444"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设备名称</w:t>
            </w:r>
            <w:r>
              <w:rPr>
                <w:rFonts w:hint="eastAsia" w:ascii="宋体" w:hAnsi="宋体" w:eastAsia="宋体" w:cs="宋体"/>
                <w:b/>
                <w:bCs/>
                <w:i w:val="0"/>
                <w:iCs w:val="0"/>
                <w:color w:val="000000" w:themeColor="text1"/>
                <w:sz w:val="24"/>
                <w:szCs w:val="24"/>
                <w:highlight w:val="none"/>
                <w:u w:val="none"/>
                <w:lang w:val="en-US" w:eastAsia="zh-CN" w:bidi="ar-SA"/>
              </w:rPr>
            </w:r>
            <w:r>
              <w:rPr>
                <w:color w:val="000000" w:themeColor="text1"/>
              </w:rPr>
            </w:r>
          </w:p>
        </w:tc>
        <w:tc>
          <w:tcPr>
            <w:tcW w:w="6088" w:type="dxa"/>
            <w:vAlign w:val="center"/>
            <w:textDirection w:val="lrTb"/>
            <w:noWrap w:val="false"/>
          </w:tcPr>
          <w:p>
            <w:pPr>
              <w:pStyle w:val="1012"/>
              <w:ind w:left="0" w:right="0" w:firstLine="0"/>
              <w:jc w:val="center"/>
              <w:keepLines w:val="0"/>
              <w:keepNext w:val="0"/>
              <w:spacing w:line="274" w:lineRule="auto"/>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项目特征描述及技术要求</w:t>
            </w:r>
            <w:r>
              <w:rPr>
                <w:rFonts w:hint="eastAsia" w:ascii="宋体" w:hAnsi="宋体" w:eastAsia="宋体" w:cs="宋体"/>
                <w:b/>
                <w:bCs/>
                <w:i w:val="0"/>
                <w:iCs w:val="0"/>
                <w:color w:val="000000" w:themeColor="text1"/>
                <w:sz w:val="24"/>
                <w:szCs w:val="24"/>
                <w:highlight w:val="none"/>
                <w:u w:val="none"/>
                <w:lang w:val="en-US" w:eastAsia="zh-CN" w:bidi="ar-SA"/>
              </w:rPr>
            </w:r>
            <w:r>
              <w:rPr>
                <w:color w:val="000000" w:themeColor="text1"/>
              </w:rPr>
            </w:r>
          </w:p>
        </w:tc>
      </w:tr>
      <w:tr>
        <w:trPr/>
        <w:tc>
          <w:tcPr>
            <w:gridSpan w:val="3"/>
            <w:tcW w:w="9036" w:type="dxa"/>
            <w:vAlign w:val="center"/>
            <w:textDirection w:val="lrTb"/>
            <w:noWrap w:val="false"/>
          </w:tcPr>
          <w:p>
            <w:pPr>
              <w:pStyle w:val="1012"/>
              <w:ind w:left="0" w:right="0" w:firstLine="0"/>
              <w:jc w:val="center"/>
              <w:spacing w:line="274" w:lineRule="auto"/>
              <w:widowControl w:val="off"/>
              <w:rPr>
                <w:rFonts w:hint="eastAsia" w:ascii="宋体" w:hAnsi="宋体" w:eastAsia="宋体" w:cs="宋体"/>
                <w:b w:val="0"/>
                <w:bCs w:val="0"/>
                <w:i w:val="0"/>
                <w:iCs w:val="0"/>
                <w:color w:val="000000" w:themeColor="text1"/>
                <w:sz w:val="24"/>
                <w:szCs w:val="24"/>
                <w:highlight w:val="none"/>
                <w:u w:val="none"/>
              </w:rPr>
            </w:pPr>
            <w:r>
              <w:rPr>
                <w:rFonts w:hint="eastAsia" w:ascii="宋体" w:hAnsi="宋体" w:eastAsia="宋体" w:cs="宋体"/>
                <w:b w:val="0"/>
                <w:bCs w:val="0"/>
                <w:i w:val="0"/>
                <w:iCs w:val="0"/>
                <w:color w:val="000000" w:themeColor="text1"/>
                <w:sz w:val="24"/>
                <w:szCs w:val="24"/>
                <w:highlight w:val="none"/>
                <w:u w:val="none"/>
                <w:lang w:val="en-US" w:eastAsia="zh-CN" w:bidi="ar"/>
              </w:rPr>
              <w:t xml:space="preserve">1）拆除工程</w:t>
            </w:r>
            <w:r>
              <w:rPr>
                <w:rFonts w:hint="eastAsia" w:ascii="宋体" w:hAnsi="宋体" w:eastAsia="宋体" w:cs="宋体"/>
                <w:b w:val="0"/>
                <w:bCs w:val="0"/>
                <w:i w:val="0"/>
                <w:iCs w:val="0"/>
                <w:color w:val="000000" w:themeColor="text1"/>
                <w:sz w:val="24"/>
                <w:szCs w:val="24"/>
                <w:highlight w:val="none"/>
                <w:u w:val="none"/>
                <w:lang w:val="en-US" w:eastAsia="zh-CN" w:bidi="ar-SA"/>
              </w:rPr>
            </w:r>
            <w:r>
              <w:rPr>
                <w:color w:val="000000" w:themeColor="text1"/>
              </w:rPr>
            </w:r>
          </w:p>
        </w:tc>
      </w:tr>
      <w:tr>
        <w:trPr/>
        <w:tc>
          <w:tcPr>
            <w:tcW w:w="504"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2444"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墙体拆除</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6088"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墙体拆除。</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504"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2444"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墙面装饰拆除</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6088"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原墙面装饰拆除。</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504"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2444"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地面拆除</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6088"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原地面静电地板拆除。</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504"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2444"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顶面拆除</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6088"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原吊顶拆除。</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504"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2444"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垃圾清运</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6088"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垃圾装袋，搬运下楼装车。</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504"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2444"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承重梁找平美化</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6088"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砂浆找平两边，打磨美化两遍，乳胶漆刷两遍修补。</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504"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7</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2444"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防鼠封堵及挡鼠板</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6088"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防火泥洞口封堵。不锈钢材质挡鼠板，尺寸与防火门宽度一致。</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504"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8</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2444"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窗户封堵</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6088"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国标双层12mm防火板封堵。</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gridSpan w:val="3"/>
            <w:tcW w:w="9036" w:type="dxa"/>
            <w:vAlign w:val="center"/>
            <w:textDirection w:val="lrTb"/>
            <w:noWrap w:val="false"/>
          </w:tcPr>
          <w:p>
            <w:pPr>
              <w:pStyle w:val="1012"/>
              <w:ind w:left="0" w:right="0" w:firstLine="0"/>
              <w:jc w:val="center"/>
              <w:spacing w:line="274" w:lineRule="auto"/>
              <w:widowControl w:val="off"/>
              <w:rPr>
                <w:rFonts w:hint="eastAsia" w:ascii="宋体" w:hAnsi="宋体" w:eastAsia="宋体" w:cs="宋体"/>
                <w:b w:val="0"/>
                <w:bCs w:val="0"/>
                <w:i w:val="0"/>
                <w:iCs w:val="0"/>
                <w:color w:val="000000" w:themeColor="text1"/>
                <w:sz w:val="24"/>
                <w:szCs w:val="24"/>
                <w:highlight w:val="none"/>
                <w:u w:val="none"/>
              </w:rPr>
            </w:pPr>
            <w:r>
              <w:rPr>
                <w:rFonts w:hint="eastAsia" w:ascii="宋体" w:hAnsi="宋体" w:eastAsia="宋体" w:cs="宋体"/>
                <w:b w:val="0"/>
                <w:bCs w:val="0"/>
                <w:i w:val="0"/>
                <w:iCs w:val="0"/>
                <w:color w:val="000000" w:themeColor="text1"/>
                <w:sz w:val="24"/>
                <w:szCs w:val="24"/>
                <w:highlight w:val="none"/>
                <w:u w:val="none"/>
                <w:lang w:val="en-US" w:eastAsia="zh-CN" w:bidi="ar"/>
              </w:rPr>
              <w:t xml:space="preserve">2）地面工程</w:t>
            </w:r>
            <w:r>
              <w:rPr>
                <w:rFonts w:hint="eastAsia" w:ascii="宋体" w:hAnsi="宋体" w:eastAsia="宋体" w:cs="宋体"/>
                <w:b w:val="0"/>
                <w:bCs w:val="0"/>
                <w:i w:val="0"/>
                <w:iCs w:val="0"/>
                <w:color w:val="000000" w:themeColor="text1"/>
                <w:sz w:val="24"/>
                <w:szCs w:val="24"/>
                <w:highlight w:val="none"/>
                <w:u w:val="none"/>
                <w:lang w:val="en-US" w:eastAsia="zh-CN" w:bidi="ar-SA"/>
              </w:rPr>
            </w:r>
            <w:r>
              <w:rPr>
                <w:color w:val="000000" w:themeColor="text1"/>
              </w:rPr>
            </w:r>
          </w:p>
        </w:tc>
      </w:tr>
      <w:tr>
        <w:trPr/>
        <w:tc>
          <w:tcPr>
            <w:tcW w:w="504"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2444"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地面找平</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6088"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水泥砂浆找平。</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504"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2444"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地面防尘漆</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6088"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防尘漆刷两遍。</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504"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2444"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橡塑保温棉</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6088"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厚度≥20mm厚，达到防火B1级，带铝箔。</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504"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2444"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全钢无边防静电活动地板</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6088"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地板结构：由全钢外壳、发泡水泥、HPL贴面组成，钢板厚度06mm。</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地板规格：600*600*35mm （1.2mm防静电贴面）。</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地板厚度极限公差：±0.3mm，地板边长极限公差：0-0.4mm。</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表面平整度≦0.6mm 相邻边垂直度≦0.3mm。</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地板集中载荷（每片板的中心点受力）：≥300kg时挠度≤2.0mm。</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贴面材料：“1.2mmHPL”防静电贴面，贴面表面电阻值：106∽109Ω（测试电压100v时），贴面耐磨性能：≥1000转（耐磨10年左右）。</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嵌条电阻值：106∽109Ω（测试电压100v左右），嵌条必须完全接触贴面、不允许松动或脱落。</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支撑架（缩管支架）：由上托板、圆管、螺杆、螺母、底板组成，支撑上托板厚：≥3mm（冷轧钢板），支撑圆管壁厚：≥1.2mm  管径：25mm，支撑底板厚：≥2mm（冷轧钢板），支撑底板与圆管连接处必须焊接，支撑表面须镀白锌处理，以防止氧化生锈。</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横梁壁厚：≥0.8mm（导电环氧树脂黑色喷塑 防锈 耐腐蚀 表面电阻106∽109Ω）</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机房环境温度要求：15 ℃～35 ℃，机房环境相对湿度要求：45%RH～75%RH。</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504"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2444"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挡水围堰</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6088"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4台空调下方使用，使用挡水围挡，结构胶封闭，表面刷防水涂料。高度≥10cm。</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504"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2444"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空调进水管道</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6088"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PPR, DN32.</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从本层卫生间取水。</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504"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7</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2444"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空调排水管道</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6088"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PPR, DN50.</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排至本层下水通道或卫生间。</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gridSpan w:val="3"/>
            <w:tcW w:w="9036" w:type="dxa"/>
            <w:vAlign w:val="center"/>
            <w:textDirection w:val="lrTb"/>
            <w:noWrap w:val="false"/>
          </w:tcPr>
          <w:p>
            <w:pPr>
              <w:pStyle w:val="1012"/>
              <w:ind w:left="0" w:right="0" w:firstLine="0"/>
              <w:jc w:val="center"/>
              <w:spacing w:line="274" w:lineRule="auto"/>
              <w:widowControl w:val="off"/>
              <w:rPr>
                <w:rFonts w:hint="eastAsia" w:ascii="宋体" w:hAnsi="宋体" w:eastAsia="宋体" w:cs="宋体"/>
                <w:b w:val="0"/>
                <w:bCs w:val="0"/>
                <w:i w:val="0"/>
                <w:iCs w:val="0"/>
                <w:color w:val="000000" w:themeColor="text1"/>
                <w:sz w:val="24"/>
                <w:szCs w:val="24"/>
                <w:highlight w:val="none"/>
                <w:u w:val="none"/>
              </w:rPr>
            </w:pPr>
            <w:r>
              <w:rPr>
                <w:rFonts w:hint="eastAsia" w:ascii="宋体" w:hAnsi="宋体" w:eastAsia="宋体" w:cs="宋体"/>
                <w:b w:val="0"/>
                <w:bCs w:val="0"/>
                <w:i w:val="0"/>
                <w:iCs w:val="0"/>
                <w:color w:val="000000" w:themeColor="text1"/>
                <w:sz w:val="24"/>
                <w:szCs w:val="24"/>
                <w:highlight w:val="none"/>
                <w:u w:val="none"/>
                <w:lang w:val="en-US" w:eastAsia="zh-CN" w:bidi="ar"/>
              </w:rPr>
              <w:t xml:space="preserve">3）顶面工程</w:t>
            </w:r>
            <w:r>
              <w:rPr>
                <w:rFonts w:hint="eastAsia" w:ascii="宋体" w:hAnsi="宋体" w:eastAsia="宋体" w:cs="宋体"/>
                <w:b w:val="0"/>
                <w:bCs w:val="0"/>
                <w:i w:val="0"/>
                <w:iCs w:val="0"/>
                <w:color w:val="000000" w:themeColor="text1"/>
                <w:sz w:val="24"/>
                <w:szCs w:val="24"/>
                <w:highlight w:val="none"/>
                <w:u w:val="none"/>
                <w:lang w:val="en-US" w:eastAsia="zh-CN" w:bidi="ar-SA"/>
              </w:rPr>
            </w:r>
            <w:r>
              <w:rPr>
                <w:color w:val="000000" w:themeColor="text1"/>
              </w:rPr>
            </w:r>
          </w:p>
        </w:tc>
      </w:tr>
      <w:tr>
        <w:trPr/>
        <w:tc>
          <w:tcPr>
            <w:tcW w:w="504"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2444"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顶面防尘漆</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6088"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天棚，防尘漆刷两遍。</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504"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2444"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橡塑保温棉</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6088"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厚度≥20mm厚，达到防火B1级。</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504"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2444"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铝合金吊顶龙骨</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6088"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U38/U50:38镀锌主龙骨，厚度08mm，98烤漆三角龙骨，材质轻钢。</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504"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2444"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铝合金微孔吊顶板</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6088"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600×600×0.8mm.</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504"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2444"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铝合金收边条</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6088"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铝合金烤漆收边条。</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504"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2444"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顶面吊筋及辅材</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6088"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直径≥8mm镀锌吊筋。</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gridSpan w:val="3"/>
            <w:tcW w:w="9036" w:type="dxa"/>
            <w:vAlign w:val="center"/>
            <w:textDirection w:val="lrTb"/>
            <w:noWrap w:val="false"/>
          </w:tcPr>
          <w:p>
            <w:pPr>
              <w:pStyle w:val="1012"/>
              <w:ind w:left="0" w:right="0" w:firstLine="0"/>
              <w:jc w:val="center"/>
              <w:spacing w:line="274" w:lineRule="auto"/>
              <w:widowControl w:val="off"/>
              <w:rPr>
                <w:rFonts w:hint="eastAsia" w:ascii="宋体" w:hAnsi="宋体" w:eastAsia="宋体" w:cs="宋体"/>
                <w:b w:val="0"/>
                <w:bCs w:val="0"/>
                <w:i w:val="0"/>
                <w:iCs w:val="0"/>
                <w:color w:val="000000" w:themeColor="text1"/>
                <w:sz w:val="24"/>
                <w:szCs w:val="24"/>
                <w:highlight w:val="none"/>
                <w:u w:val="none"/>
              </w:rPr>
            </w:pPr>
            <w:r>
              <w:rPr>
                <w:rFonts w:hint="eastAsia" w:ascii="宋体" w:hAnsi="宋体" w:eastAsia="宋体" w:cs="宋体"/>
                <w:b w:val="0"/>
                <w:bCs w:val="0"/>
                <w:i w:val="0"/>
                <w:iCs w:val="0"/>
                <w:color w:val="000000" w:themeColor="text1"/>
                <w:sz w:val="24"/>
                <w:szCs w:val="24"/>
                <w:highlight w:val="none"/>
                <w:u w:val="none"/>
                <w:lang w:val="en-US" w:eastAsia="zh-CN" w:bidi="ar"/>
              </w:rPr>
              <w:t xml:space="preserve">4）墙面及隔断工程</w:t>
            </w:r>
            <w:r>
              <w:rPr>
                <w:rFonts w:hint="eastAsia" w:ascii="宋体" w:hAnsi="宋体" w:eastAsia="宋体" w:cs="宋体"/>
                <w:b w:val="0"/>
                <w:bCs w:val="0"/>
                <w:i w:val="0"/>
                <w:iCs w:val="0"/>
                <w:color w:val="000000" w:themeColor="text1"/>
                <w:sz w:val="24"/>
                <w:szCs w:val="24"/>
                <w:highlight w:val="none"/>
                <w:u w:val="none"/>
                <w:lang w:val="en-US" w:eastAsia="zh-CN" w:bidi="ar-SA"/>
              </w:rPr>
            </w:r>
            <w:r>
              <w:rPr>
                <w:color w:val="000000" w:themeColor="text1"/>
              </w:rPr>
            </w:r>
          </w:p>
        </w:tc>
      </w:tr>
      <w:tr>
        <w:trPr/>
        <w:tc>
          <w:tcPr>
            <w:tcW w:w="504"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2444"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墙面轻钢龙骨</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6088"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国标QC75墙面轻钢龙骨。</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504"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2444"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墙面彩钢板</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6088"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尺寸：W*H=1200*2800mm。</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采用RAL9003色系暖色，简洁，美观，大气。</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厚度≥0.5/0.6，内衬12mm圣戈班石膏板，单面墙板符合GB 8624-2012判定达到A1(不燃性）级。</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符合GB/T 12754标准的规定，烤漆金属钢板正面PE烤漆厚度不小于25μm，背漆厚度不小于12μm。具有良好的抗氧化、抗拉强度等性能。</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固定件长度不得小于12cm，单个固定件自攻螺丝不少于3个</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所有辅材均应采用与主体烤漆板同材质加工而成，不得使用铝合金之类的辅材与之混合使用。</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504"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2444"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墙面保温岩棉</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6088"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厚50mm，达到防火B1级。</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504"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2444"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防火玻璃隔断</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6088"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12mm色钾防火钢化玻璃隔断、框架、包边等。达到甲级耐火≥1.5小时要求。</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504"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2444"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玻璃隔断基础</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6088"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国标40×80mm镀锌方钢+5#镀锌角钢。</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504"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2444"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不锈钢包边</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6088"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阻燃多层板、不锈钢饰面。</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504"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7</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2444"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门套</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6088"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金属壁板100mm高拉丝不锈钢。</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504"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8</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2444"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不锈钢踢脚板</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6088"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射钉、连接件、胶水等。</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gridSpan w:val="3"/>
            <w:tcW w:w="9036" w:type="dxa"/>
            <w:vAlign w:val="center"/>
            <w:textDirection w:val="lrTb"/>
            <w:noWrap/>
          </w:tcPr>
          <w:p>
            <w:pPr>
              <w:pStyle w:val="1012"/>
              <w:ind w:left="0" w:right="0" w:firstLine="0"/>
              <w:jc w:val="center"/>
              <w:spacing w:line="274" w:lineRule="auto"/>
              <w:widowControl w:val="off"/>
              <w:rPr>
                <w:rFonts w:hint="eastAsia" w:ascii="宋体" w:hAnsi="宋体" w:eastAsia="宋体" w:cs="宋体"/>
                <w:b w:val="0"/>
                <w:bCs w:val="0"/>
                <w:i w:val="0"/>
                <w:iCs w:val="0"/>
                <w:color w:val="000000" w:themeColor="text1"/>
                <w:sz w:val="24"/>
                <w:szCs w:val="24"/>
                <w:highlight w:val="none"/>
                <w:u w:val="none"/>
              </w:rPr>
            </w:pPr>
            <w:r>
              <w:rPr>
                <w:rFonts w:hint="eastAsia" w:ascii="宋体" w:hAnsi="宋体" w:eastAsia="宋体" w:cs="宋体"/>
                <w:b w:val="0"/>
                <w:bCs w:val="0"/>
                <w:i w:val="0"/>
                <w:iCs w:val="0"/>
                <w:color w:val="000000" w:themeColor="text1"/>
                <w:sz w:val="24"/>
                <w:szCs w:val="24"/>
                <w:highlight w:val="none"/>
                <w:u w:val="none"/>
                <w:lang w:val="en-US" w:eastAsia="zh-CN" w:bidi="ar"/>
              </w:rPr>
              <w:t xml:space="preserve">5）门窗、踏步</w:t>
            </w:r>
            <w:r>
              <w:rPr>
                <w:rFonts w:hint="eastAsia" w:ascii="宋体" w:hAnsi="宋体" w:eastAsia="宋体" w:cs="宋体"/>
                <w:b w:val="0"/>
                <w:bCs w:val="0"/>
                <w:i w:val="0"/>
                <w:iCs w:val="0"/>
                <w:color w:val="000000" w:themeColor="text1"/>
                <w:sz w:val="24"/>
                <w:szCs w:val="24"/>
                <w:highlight w:val="none"/>
                <w:u w:val="none"/>
                <w:lang w:val="en-US" w:eastAsia="zh-CN" w:bidi="ar-SA"/>
              </w:rPr>
            </w:r>
            <w:r>
              <w:rPr>
                <w:color w:val="000000" w:themeColor="text1"/>
              </w:rPr>
            </w:r>
          </w:p>
        </w:tc>
      </w:tr>
      <w:tr>
        <w:trPr/>
        <w:tc>
          <w:tcPr>
            <w:tcW w:w="504"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2444"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双开钢制防火门</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6088"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尺寸为1200×2300mm。</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门框为不小于1.5mm厚镀锌钢板，门扇为不小于1mm厚镀锌钢板。</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符合甲级防火门防火要求：耐火等级大于1.5h。</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内填充物应为符合环保及规范要求的防火填充物，且提供国家相关部门颁发的检测合格报告。</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504"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2444"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防火玻璃门</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6088"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900×2100mm防火玻璃门及五金件等。</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504"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2444"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防火门顺位器</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6088"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达到甲级耐火1.5小时要求。</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门扇在任何位置放开后都可以回到关闭位置。</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504"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2444"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入口踏步</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6088"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采用静电地板制作，宽1200mm，深600mm，带封边条。</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gridSpan w:val="3"/>
            <w:tcW w:w="9036" w:type="dxa"/>
            <w:vAlign w:val="center"/>
            <w:textDirection w:val="lrTb"/>
            <w:noWrap/>
          </w:tcPr>
          <w:p>
            <w:pPr>
              <w:pStyle w:val="1012"/>
              <w:ind w:left="0" w:right="0" w:firstLine="0"/>
              <w:jc w:val="center"/>
              <w:spacing w:line="274" w:lineRule="auto"/>
              <w:widowControl w:val="off"/>
              <w:rPr>
                <w:rFonts w:hint="eastAsia" w:ascii="宋体" w:hAnsi="宋体" w:eastAsia="宋体" w:cs="宋体"/>
                <w:b w:val="0"/>
                <w:bCs w:val="0"/>
                <w:i w:val="0"/>
                <w:iCs w:val="0"/>
                <w:color w:val="000000" w:themeColor="text1"/>
                <w:sz w:val="24"/>
                <w:szCs w:val="24"/>
                <w:highlight w:val="none"/>
                <w:u w:val="none"/>
              </w:rPr>
            </w:pPr>
            <w:r>
              <w:rPr>
                <w:rFonts w:hint="eastAsia" w:ascii="宋体" w:hAnsi="宋体" w:eastAsia="宋体" w:cs="宋体"/>
                <w:b w:val="0"/>
                <w:bCs w:val="0"/>
                <w:i w:val="0"/>
                <w:iCs w:val="0"/>
                <w:color w:val="000000" w:themeColor="text1"/>
                <w:sz w:val="24"/>
                <w:szCs w:val="24"/>
                <w:highlight w:val="none"/>
                <w:u w:val="none"/>
                <w:lang w:val="en-US" w:eastAsia="zh-CN" w:bidi="ar"/>
              </w:rPr>
              <w:t xml:space="preserve">5）户外工程</w:t>
            </w:r>
            <w:r>
              <w:rPr>
                <w:rFonts w:hint="eastAsia" w:ascii="宋体" w:hAnsi="宋体" w:eastAsia="宋体" w:cs="宋体"/>
                <w:b w:val="0"/>
                <w:bCs w:val="0"/>
                <w:i w:val="0"/>
                <w:iCs w:val="0"/>
                <w:color w:val="000000" w:themeColor="text1"/>
                <w:sz w:val="24"/>
                <w:szCs w:val="24"/>
                <w:highlight w:val="none"/>
                <w:u w:val="none"/>
                <w:lang w:val="en-US" w:eastAsia="zh-CN" w:bidi="ar-SA"/>
              </w:rPr>
            </w:r>
            <w:r>
              <w:rPr>
                <w:color w:val="000000" w:themeColor="text1"/>
              </w:rPr>
            </w:r>
          </w:p>
        </w:tc>
      </w:tr>
      <w:tr>
        <w:trPr/>
        <w:tc>
          <w:tcPr>
            <w:tcW w:w="504"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2444"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精密空调室外机摆放基础</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6088"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黄砂水泥石子制作，长400mm宽300mm高200mm。</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r>
        <w:trPr/>
        <w:tc>
          <w:tcPr>
            <w:tcW w:w="504" w:type="dxa"/>
            <w:vAlign w:val="center"/>
            <w:textDirection w:val="lrTb"/>
            <w:noWrap/>
          </w:tcPr>
          <w:p>
            <w:pPr>
              <w:pStyle w:val="1012"/>
              <w:ind w:left="0" w:right="0" w:firstLine="0"/>
              <w:jc w:val="center"/>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2444"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精密空调室外机抗震垫</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c>
          <w:tcPr>
            <w:tcW w:w="6088" w:type="dxa"/>
            <w:vAlign w:val="center"/>
            <w:textDirection w:val="lrTb"/>
            <w:noWrap w:val="false"/>
          </w:tcPr>
          <w:p>
            <w:pPr>
              <w:pStyle w:val="1012"/>
              <w:ind w:left="0" w:right="0" w:firstLine="0"/>
              <w:jc w:val="left"/>
              <w:keepLines w:val="0"/>
              <w:keepNext w:val="0"/>
              <w:spacing w:line="274"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国标橡胶材质，长400mm宽300mm厚20mm。（争议）</w:t>
            </w: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rPr>
            </w:r>
          </w:p>
        </w:tc>
      </w:tr>
    </w:tbl>
    <w:p>
      <w:pPr>
        <w:pStyle w:val="1012"/>
        <w:rPr>
          <w:color w:val="000000" w:themeColor="text1"/>
          <w:highlight w:val="none"/>
        </w:rPr>
      </w:pPr>
      <w:r>
        <w:rPr>
          <w:color w:val="000000" w:themeColor="text1"/>
          <w:highlight w:val="none"/>
        </w:rPr>
      </w:r>
      <w:r>
        <w:rPr>
          <w:color w:val="000000" w:themeColor="text1"/>
        </w:rPr>
      </w:r>
    </w:p>
    <w:p>
      <w:pPr>
        <w:pStyle w:val="1012"/>
        <w:ind w:left="0" w:firstLine="482"/>
        <w:keepLines w:val="0"/>
        <w:keepNext w:val="0"/>
        <w:pageBreakBefore w:val="0"/>
        <w:spacing w:line="500" w:lineRule="exact"/>
        <w:widowControl w:val="off"/>
        <w:rPr>
          <w:rFonts w:hint="eastAsia" w:ascii="宋体" w:hAnsi="宋体" w:eastAsia="宋体" w:cs="宋体"/>
          <w:b/>
          <w:bCs w:val="0"/>
          <w:color w:val="000000" w:themeColor="text1"/>
          <w:sz w:val="24"/>
          <w:highlight w:val="none"/>
        </w:rPr>
        <w:outlineLvl w:val="9"/>
      </w:pPr>
      <w:r>
        <w:rPr>
          <w:rFonts w:hint="eastAsia" w:ascii="宋体" w:hAnsi="宋体" w:eastAsia="宋体" w:cs="宋体"/>
          <w:b/>
          <w:bCs w:val="0"/>
          <w:color w:val="000000" w:themeColor="text1"/>
          <w:sz w:val="24"/>
          <w:highlight w:val="none"/>
        </w:rPr>
      </w:r>
      <w:r>
        <w:rPr>
          <w:color w:val="000000" w:themeColor="text1"/>
        </w:rPr>
      </w:r>
    </w:p>
    <w:p>
      <w:pPr>
        <w:pStyle w:val="1012"/>
        <w:ind w:left="0" w:firstLine="482"/>
        <w:keepLines w:val="0"/>
        <w:keepNext w:val="0"/>
        <w:pageBreakBefore w:val="0"/>
        <w:spacing w:line="500" w:lineRule="exact"/>
        <w:widowControl w:val="off"/>
        <w:rPr>
          <w:rFonts w:hint="eastAsia" w:ascii="宋体" w:hAnsi="宋体" w:eastAsia="宋体" w:cs="宋体"/>
          <w:b/>
          <w:bCs w:val="0"/>
          <w:color w:val="000000" w:themeColor="text1"/>
          <w:sz w:val="24"/>
          <w:highlight w:val="none"/>
        </w:rPr>
        <w:outlineLvl w:val="9"/>
      </w:pPr>
      <w:r>
        <w:rPr>
          <w:rFonts w:hint="eastAsia" w:ascii="宋体" w:hAnsi="宋体" w:eastAsia="宋体" w:cs="宋体"/>
          <w:b/>
          <w:bCs w:val="0"/>
          <w:color w:val="000000" w:themeColor="text1"/>
          <w:sz w:val="24"/>
          <w:highlight w:val="none"/>
        </w:rPr>
      </w:r>
      <w:r>
        <w:rPr>
          <w:color w:val="000000" w:themeColor="text1"/>
        </w:rPr>
      </w:r>
    </w:p>
    <w:p>
      <w:pPr>
        <w:pStyle w:val="1012"/>
        <w:ind w:left="0" w:firstLine="482"/>
        <w:keepLines w:val="0"/>
        <w:keepNext w:val="0"/>
        <w:pageBreakBefore w:val="0"/>
        <w:spacing w:line="500" w:lineRule="exact"/>
        <w:widowControl w:val="off"/>
        <w:rPr>
          <w:rFonts w:hint="eastAsia" w:ascii="宋体" w:hAnsi="宋体" w:eastAsia="宋体" w:cs="宋体"/>
          <w:b/>
          <w:bCs w:val="0"/>
          <w:color w:val="000000" w:themeColor="text1"/>
          <w:sz w:val="24"/>
          <w:highlight w:val="none"/>
        </w:rPr>
        <w:outlineLvl w:val="9"/>
      </w:pPr>
      <w:r>
        <w:rPr>
          <w:rFonts w:hint="eastAsia" w:ascii="宋体" w:hAnsi="宋体" w:eastAsia="宋体" w:cs="宋体"/>
          <w:b/>
          <w:bCs w:val="0"/>
          <w:color w:val="000000" w:themeColor="text1"/>
          <w:sz w:val="24"/>
          <w:highlight w:val="none"/>
        </w:rPr>
      </w:r>
      <w:r>
        <w:rPr>
          <w:color w:val="000000" w:themeColor="text1"/>
        </w:rPr>
      </w:r>
    </w:p>
    <w:p>
      <w:pPr>
        <w:pStyle w:val="1012"/>
        <w:ind w:left="0" w:firstLine="482"/>
        <w:keepLines w:val="0"/>
        <w:keepNext w:val="0"/>
        <w:pageBreakBefore w:val="0"/>
        <w:spacing w:line="500" w:lineRule="exact"/>
        <w:widowControl w:val="off"/>
        <w:rPr>
          <w:rFonts w:hint="eastAsia" w:ascii="宋体" w:hAnsi="宋体" w:eastAsia="宋体" w:cs="宋体"/>
          <w:b/>
          <w:bCs w:val="0"/>
          <w:color w:val="000000" w:themeColor="text1"/>
          <w:sz w:val="24"/>
          <w:highlight w:val="none"/>
        </w:rPr>
        <w:outlineLvl w:val="9"/>
      </w:pPr>
      <w:r>
        <w:rPr>
          <w:rFonts w:hint="eastAsia" w:ascii="宋体" w:hAnsi="宋体" w:eastAsia="宋体" w:cs="宋体"/>
          <w:b/>
          <w:bCs w:val="0"/>
          <w:color w:val="000000" w:themeColor="text1"/>
          <w:sz w:val="24"/>
          <w:highlight w:val="none"/>
        </w:rPr>
      </w:r>
      <w:r>
        <w:rPr>
          <w:color w:val="000000" w:themeColor="text1"/>
        </w:rPr>
      </w:r>
    </w:p>
    <w:p>
      <w:pPr>
        <w:pStyle w:val="1012"/>
        <w:ind w:left="0" w:firstLine="482"/>
        <w:keepLines w:val="0"/>
        <w:keepNext w:val="0"/>
        <w:pageBreakBefore w:val="0"/>
        <w:spacing w:line="500" w:lineRule="exact"/>
        <w:widowControl w:val="off"/>
        <w:rPr>
          <w:rFonts w:hint="eastAsia" w:ascii="宋体" w:hAnsi="宋体" w:eastAsia="宋体" w:cs="宋体"/>
          <w:b/>
          <w:bCs w:val="0"/>
          <w:color w:val="000000" w:themeColor="text1"/>
          <w:sz w:val="24"/>
          <w:highlight w:val="none"/>
        </w:rPr>
        <w:outlineLvl w:val="9"/>
      </w:pPr>
      <w:r>
        <w:rPr>
          <w:rFonts w:hint="eastAsia" w:ascii="宋体" w:hAnsi="宋体" w:eastAsia="宋体" w:cs="宋体"/>
          <w:b/>
          <w:bCs w:val="0"/>
          <w:color w:val="000000" w:themeColor="text1"/>
          <w:sz w:val="24"/>
          <w:highlight w:val="none"/>
        </w:rPr>
      </w:r>
      <w:r>
        <w:rPr>
          <w:color w:val="000000" w:themeColor="text1"/>
        </w:rPr>
      </w:r>
    </w:p>
    <w:p>
      <w:pPr>
        <w:pStyle w:val="1012"/>
        <w:ind w:left="0" w:firstLine="482"/>
        <w:keepLines w:val="0"/>
        <w:keepNext w:val="0"/>
        <w:pageBreakBefore w:val="0"/>
        <w:spacing w:line="500" w:lineRule="exact"/>
        <w:widowControl w:val="off"/>
        <w:rPr>
          <w:rFonts w:hint="eastAsia" w:ascii="宋体" w:hAnsi="宋体" w:eastAsia="宋体" w:cs="宋体"/>
          <w:b/>
          <w:bCs w:val="0"/>
          <w:color w:val="000000" w:themeColor="text1"/>
          <w:sz w:val="24"/>
          <w:highlight w:val="none"/>
        </w:rPr>
        <w:outlineLvl w:val="9"/>
      </w:pPr>
      <w:r>
        <w:rPr>
          <w:rFonts w:hint="eastAsia" w:ascii="宋体" w:hAnsi="宋体" w:eastAsia="宋体" w:cs="宋体"/>
          <w:b/>
          <w:bCs w:val="0"/>
          <w:color w:val="000000" w:themeColor="text1"/>
          <w:sz w:val="24"/>
          <w:highlight w:val="none"/>
        </w:rPr>
      </w:r>
      <w:r>
        <w:rPr>
          <w:color w:val="000000" w:themeColor="text1"/>
        </w:rPr>
      </w:r>
    </w:p>
    <w:p>
      <w:pPr>
        <w:pStyle w:val="1012"/>
        <w:ind w:left="0" w:firstLine="482"/>
        <w:keepLines w:val="0"/>
        <w:keepNext w:val="0"/>
        <w:pageBreakBefore w:val="0"/>
        <w:spacing w:line="500" w:lineRule="exact"/>
        <w:widowControl w:val="off"/>
        <w:rPr>
          <w:rFonts w:hint="eastAsia" w:ascii="宋体" w:hAnsi="宋体" w:eastAsia="宋体" w:cs="宋体"/>
          <w:b/>
          <w:bCs w:val="0"/>
          <w:color w:val="000000" w:themeColor="text1"/>
          <w:sz w:val="24"/>
          <w:highlight w:val="none"/>
        </w:rPr>
        <w:outlineLvl w:val="9"/>
      </w:pPr>
      <w:r>
        <w:rPr>
          <w:rFonts w:hint="eastAsia" w:ascii="宋体" w:hAnsi="宋体" w:eastAsia="宋体" w:cs="宋体"/>
          <w:b/>
          <w:bCs w:val="0"/>
          <w:color w:val="000000" w:themeColor="text1"/>
          <w:sz w:val="24"/>
          <w:highlight w:val="none"/>
        </w:rPr>
      </w:r>
      <w:r>
        <w:rPr>
          <w:color w:val="000000" w:themeColor="text1"/>
        </w:rPr>
      </w:r>
    </w:p>
    <w:p>
      <w:pPr>
        <w:pStyle w:val="1012"/>
        <w:ind w:left="0" w:firstLine="482"/>
        <w:keepLines w:val="0"/>
        <w:keepNext w:val="0"/>
        <w:pageBreakBefore w:val="0"/>
        <w:spacing w:line="500" w:lineRule="exact"/>
        <w:widowControl w:val="off"/>
        <w:rPr>
          <w:rFonts w:hint="eastAsia" w:ascii="宋体" w:hAnsi="宋体" w:eastAsia="宋体" w:cs="宋体"/>
          <w:b/>
          <w:bCs w:val="0"/>
          <w:color w:val="000000" w:themeColor="text1"/>
          <w:sz w:val="24"/>
          <w:highlight w:val="none"/>
        </w:rPr>
        <w:outlineLvl w:val="9"/>
      </w:pPr>
      <w:r>
        <w:rPr>
          <w:rFonts w:hint="eastAsia" w:ascii="宋体" w:hAnsi="宋体" w:eastAsia="宋体" w:cs="宋体"/>
          <w:b/>
          <w:bCs w:val="0"/>
          <w:color w:val="000000" w:themeColor="text1"/>
          <w:sz w:val="24"/>
          <w:highlight w:val="none"/>
        </w:rPr>
      </w:r>
      <w:r>
        <w:rPr>
          <w:color w:val="000000" w:themeColor="text1"/>
        </w:rPr>
      </w:r>
    </w:p>
    <w:p>
      <w:pPr>
        <w:pStyle w:val="1012"/>
        <w:ind w:left="0" w:firstLine="482"/>
        <w:keepLines w:val="0"/>
        <w:keepNext w:val="0"/>
        <w:pageBreakBefore w:val="0"/>
        <w:spacing w:line="500" w:lineRule="exact"/>
        <w:widowControl w:val="off"/>
        <w:rPr>
          <w:rFonts w:hint="eastAsia" w:ascii="宋体" w:hAnsi="宋体" w:eastAsia="宋体" w:cs="宋体"/>
          <w:b/>
          <w:bCs w:val="0"/>
          <w:color w:val="000000" w:themeColor="text1"/>
          <w:sz w:val="24"/>
          <w:highlight w:val="none"/>
        </w:rPr>
        <w:outlineLvl w:val="9"/>
      </w:pPr>
      <w:r>
        <w:rPr>
          <w:rFonts w:hint="eastAsia" w:ascii="宋体" w:hAnsi="宋体" w:eastAsia="宋体" w:cs="宋体"/>
          <w:b/>
          <w:bCs w:val="0"/>
          <w:color w:val="000000" w:themeColor="text1"/>
          <w:sz w:val="24"/>
          <w:highlight w:val="none"/>
        </w:rPr>
      </w:r>
      <w:r>
        <w:rPr>
          <w:color w:val="000000" w:themeColor="text1"/>
        </w:rPr>
      </w:r>
    </w:p>
    <w:p>
      <w:pPr>
        <w:pStyle w:val="1012"/>
        <w:ind w:left="0" w:firstLine="482"/>
        <w:keepLines w:val="0"/>
        <w:keepNext w:val="0"/>
        <w:pageBreakBefore w:val="0"/>
        <w:spacing w:line="500" w:lineRule="exact"/>
        <w:widowControl w:val="off"/>
        <w:rPr>
          <w:rFonts w:hint="eastAsia" w:ascii="宋体" w:hAnsi="宋体" w:eastAsia="宋体" w:cs="宋体"/>
          <w:b/>
          <w:bCs w:val="0"/>
          <w:color w:val="000000" w:themeColor="text1"/>
          <w:sz w:val="24"/>
          <w:highlight w:val="none"/>
        </w:rPr>
        <w:outlineLvl w:val="9"/>
      </w:pPr>
      <w:r>
        <w:rPr>
          <w:rFonts w:hint="eastAsia" w:ascii="宋体" w:hAnsi="宋体" w:eastAsia="宋体" w:cs="宋体"/>
          <w:b/>
          <w:bCs w:val="0"/>
          <w:color w:val="000000" w:themeColor="text1"/>
          <w:sz w:val="24"/>
          <w:highlight w:val="none"/>
        </w:rPr>
      </w:r>
      <w:r>
        <w:rPr>
          <w:color w:val="000000" w:themeColor="text1"/>
        </w:rPr>
      </w:r>
    </w:p>
    <w:p>
      <w:pPr>
        <w:pStyle w:val="1012"/>
        <w:ind w:left="0" w:firstLine="482"/>
        <w:keepLines w:val="0"/>
        <w:keepNext w:val="0"/>
        <w:pageBreakBefore w:val="0"/>
        <w:spacing w:line="500" w:lineRule="exact"/>
        <w:widowControl w:val="off"/>
        <w:rPr>
          <w:rFonts w:hint="eastAsia" w:ascii="宋体" w:hAnsi="宋体" w:eastAsia="宋体" w:cs="宋体"/>
          <w:b/>
          <w:bCs w:val="0"/>
          <w:color w:val="000000" w:themeColor="text1"/>
          <w:sz w:val="24"/>
          <w:highlight w:val="none"/>
        </w:rPr>
        <w:outlineLvl w:val="9"/>
      </w:pPr>
      <w:r>
        <w:rPr>
          <w:rFonts w:hint="eastAsia" w:ascii="宋体" w:hAnsi="宋体" w:eastAsia="宋体" w:cs="宋体"/>
          <w:b/>
          <w:bCs w:val="0"/>
          <w:color w:val="000000" w:themeColor="text1"/>
          <w:sz w:val="24"/>
          <w:highlight w:val="none"/>
        </w:rPr>
      </w:r>
      <w:r>
        <w:rPr>
          <w:color w:val="000000" w:themeColor="text1"/>
        </w:rPr>
      </w:r>
    </w:p>
    <w:p>
      <w:pPr>
        <w:pStyle w:val="1012"/>
        <w:ind w:left="0" w:firstLine="482"/>
        <w:keepLines w:val="0"/>
        <w:keepNext w:val="0"/>
        <w:pageBreakBefore w:val="0"/>
        <w:spacing w:line="500" w:lineRule="exact"/>
        <w:widowControl w:val="off"/>
        <w:rPr>
          <w:rFonts w:hint="eastAsia" w:ascii="宋体" w:hAnsi="宋体" w:eastAsia="宋体" w:cs="宋体"/>
          <w:b/>
          <w:bCs w:val="0"/>
          <w:color w:val="000000" w:themeColor="text1"/>
          <w:sz w:val="24"/>
          <w:highlight w:val="none"/>
        </w:rPr>
        <w:outlineLvl w:val="9"/>
      </w:pPr>
      <w:r>
        <w:rPr>
          <w:rFonts w:hint="eastAsia" w:ascii="宋体" w:hAnsi="宋体" w:eastAsia="宋体" w:cs="宋体"/>
          <w:b/>
          <w:bCs w:val="0"/>
          <w:color w:val="000000" w:themeColor="text1"/>
          <w:sz w:val="24"/>
          <w:highlight w:val="none"/>
        </w:rPr>
      </w:r>
      <w:r>
        <w:rPr>
          <w:color w:val="000000" w:themeColor="text1"/>
        </w:rPr>
      </w:r>
    </w:p>
    <w:p>
      <w:pPr>
        <w:pStyle w:val="1012"/>
        <w:ind w:left="0" w:firstLine="482"/>
        <w:keepLines w:val="0"/>
        <w:keepNext w:val="0"/>
        <w:pageBreakBefore w:val="0"/>
        <w:spacing w:line="500" w:lineRule="exact"/>
        <w:widowControl w:val="off"/>
        <w:rPr>
          <w:rFonts w:hint="eastAsia" w:ascii="宋体" w:hAnsi="宋体" w:eastAsia="宋体" w:cs="宋体"/>
          <w:b/>
          <w:bCs w:val="0"/>
          <w:color w:val="000000" w:themeColor="text1"/>
          <w:sz w:val="24"/>
          <w:highlight w:val="none"/>
        </w:rPr>
        <w:outlineLvl w:val="9"/>
      </w:pPr>
      <w:r>
        <w:rPr>
          <w:rFonts w:hint="eastAsia" w:ascii="宋体" w:hAnsi="宋体" w:eastAsia="宋体" w:cs="宋体"/>
          <w:b/>
          <w:bCs w:val="0"/>
          <w:color w:val="000000" w:themeColor="text1"/>
          <w:sz w:val="24"/>
          <w:highlight w:val="none"/>
        </w:rPr>
      </w:r>
      <w:r>
        <w:rPr>
          <w:color w:val="000000" w:themeColor="text1"/>
        </w:rPr>
      </w:r>
    </w:p>
    <w:p>
      <w:pPr>
        <w:pStyle w:val="1012"/>
        <w:ind w:left="0" w:firstLine="482"/>
        <w:keepLines w:val="0"/>
        <w:keepNext w:val="0"/>
        <w:pageBreakBefore w:val="0"/>
        <w:spacing w:line="500" w:lineRule="exact"/>
        <w:widowControl w:val="off"/>
        <w:rPr>
          <w:rFonts w:hint="eastAsia" w:ascii="宋体" w:hAnsi="宋体" w:eastAsia="宋体" w:cs="宋体"/>
          <w:b/>
          <w:bCs w:val="0"/>
          <w:color w:val="000000" w:themeColor="text1"/>
          <w:sz w:val="24"/>
          <w:highlight w:val="none"/>
        </w:rPr>
        <w:outlineLvl w:val="9"/>
      </w:pPr>
      <w:r>
        <w:rPr>
          <w:rFonts w:hint="eastAsia" w:ascii="宋体" w:hAnsi="宋体" w:eastAsia="宋体" w:cs="宋体"/>
          <w:b/>
          <w:bCs w:val="0"/>
          <w:color w:val="000000" w:themeColor="text1"/>
          <w:sz w:val="24"/>
          <w:highlight w:val="none"/>
        </w:rPr>
      </w:r>
      <w:r>
        <w:rPr>
          <w:color w:val="000000" w:themeColor="text1"/>
        </w:rPr>
      </w:r>
    </w:p>
    <w:p>
      <w:pPr>
        <w:pStyle w:val="1281"/>
        <w:ind w:left="0" w:firstLine="0"/>
        <w:jc w:val="left"/>
        <w:rPr>
          <w:rFonts w:hint="eastAsia" w:ascii="宋体" w:hAnsi="宋体" w:eastAsia="宋体" w:cs="宋体"/>
          <w:color w:val="000000" w:themeColor="text1"/>
          <w:highlight w:val="none"/>
        </w:rPr>
      </w:pPr>
      <w:r>
        <w:rPr>
          <w:color w:val="000000" w:themeColor="text1"/>
        </w:rPr>
      </w:r>
      <w:bookmarkStart w:id="70" w:name="_Toc4773"/>
      <w:r>
        <w:rPr>
          <w:rFonts w:hint="eastAsia" w:ascii="宋体" w:hAnsi="宋体" w:eastAsia="宋体" w:cs="宋体"/>
          <w:color w:val="000000" w:themeColor="text1"/>
          <w:highlight w:val="none"/>
        </w:rPr>
      </w:r>
      <w:r>
        <w:rPr>
          <w:color w:val="000000" w:themeColor="text1"/>
        </w:rPr>
      </w:r>
    </w:p>
    <w:p>
      <w:pPr>
        <w:pStyle w:val="1281"/>
        <w:ind w:left="0" w:firstLine="2168"/>
        <w:jc w:val="lef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第七章 投标文件相关格式</w:t>
      </w:r>
      <w:bookmarkEnd w:id="12"/>
      <w:r>
        <w:rPr>
          <w:color w:val="000000" w:themeColor="text1"/>
        </w:rPr>
      </w:r>
      <w:bookmarkEnd w:id="70"/>
      <w:r>
        <w:rPr>
          <w:rFonts w:hint="eastAsia" w:ascii="宋体" w:hAnsi="宋体" w:eastAsia="宋体" w:cs="宋体"/>
          <w:color w:val="000000" w:themeColor="text1"/>
          <w:highlight w:val="none"/>
        </w:rPr>
      </w:r>
      <w:r>
        <w:rPr>
          <w:color w:val="000000" w:themeColor="text1"/>
        </w:rPr>
      </w:r>
    </w:p>
    <w:p>
      <w:pPr>
        <w:pStyle w:val="1012"/>
        <w:ind w:firstLine="480"/>
        <w:rPr>
          <w:rFonts w:hint="eastAsia"/>
          <w:color w:val="000000" w:themeColor="text1"/>
          <w:highlight w:val="none"/>
        </w:rPr>
      </w:pPr>
      <w:r>
        <w:rPr>
          <w:rFonts w:hint="eastAsia"/>
          <w:color w:val="000000" w:themeColor="text1"/>
          <w:highlight w:val="none"/>
        </w:rPr>
      </w:r>
      <w:r>
        <w:rPr>
          <w:color w:val="000000" w:themeColor="text1"/>
        </w:rPr>
      </w:r>
    </w:p>
    <w:p>
      <w:pPr>
        <w:pStyle w:val="1012"/>
        <w:ind w:firstLine="0"/>
        <w:jc w:val="center"/>
        <w:rPr>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t xml:space="preserve">目     录</w:t>
      </w:r>
      <w:r>
        <w:rPr>
          <w:rFonts w:hint="eastAsia" w:ascii="宋体" w:hAnsi="宋体" w:eastAsia="宋体" w:cs="宋体"/>
          <w:color w:val="000000" w:themeColor="text1"/>
          <w:sz w:val="32"/>
          <w:szCs w:val="32"/>
          <w:highlight w:val="none"/>
        </w:rPr>
      </w:r>
      <w:r>
        <w:rPr>
          <w:color w:val="000000" w:themeColor="text1"/>
        </w:rPr>
      </w:r>
    </w:p>
    <w:p>
      <w:pPr>
        <w:pStyle w:val="1071"/>
        <w:rPr>
          <w:rFonts w:hint="eastAsia"/>
          <w:color w:val="000000" w:themeColor="text1"/>
          <w:highlight w:val="none"/>
        </w:rPr>
      </w:pPr>
      <w:r>
        <w:rPr>
          <w:rFonts w:hint="eastAsia"/>
          <w:color w:val="000000" w:themeColor="text1"/>
          <w:highlight w:val="none"/>
        </w:rPr>
      </w:r>
      <w:r>
        <w:rPr>
          <w:color w:val="000000" w:themeColor="text1"/>
        </w:rPr>
      </w:r>
    </w:p>
    <w:p>
      <w:pPr>
        <w:pStyle w:val="1249"/>
        <w:ind w:firstLine="560"/>
        <w:spacing w:line="460" w:lineRule="exact"/>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1.投标函</w:t>
      </w:r>
      <w:r>
        <w:rPr>
          <w:rFonts w:hint="eastAsia" w:ascii="宋体" w:hAnsi="宋体" w:cs="宋体"/>
          <w:color w:val="000000" w:themeColor="text1"/>
          <w:sz w:val="28"/>
          <w:szCs w:val="28"/>
          <w:highlight w:val="none"/>
        </w:rPr>
      </w:r>
      <w:r>
        <w:rPr>
          <w:color w:val="000000" w:themeColor="text1"/>
        </w:rPr>
      </w:r>
    </w:p>
    <w:p>
      <w:pPr>
        <w:pStyle w:val="1249"/>
        <w:ind w:firstLine="560"/>
        <w:spacing w:line="460" w:lineRule="exact"/>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2.开标一览表</w:t>
      </w:r>
      <w:r>
        <w:rPr>
          <w:rFonts w:hint="eastAsia" w:ascii="宋体" w:hAnsi="宋体" w:cs="宋体"/>
          <w:color w:val="000000" w:themeColor="text1"/>
          <w:sz w:val="28"/>
          <w:szCs w:val="28"/>
          <w:highlight w:val="none"/>
        </w:rPr>
      </w:r>
      <w:r>
        <w:rPr>
          <w:color w:val="000000" w:themeColor="text1"/>
        </w:rPr>
      </w:r>
    </w:p>
    <w:p>
      <w:pPr>
        <w:pStyle w:val="1249"/>
        <w:ind w:firstLine="560"/>
        <w:spacing w:line="460" w:lineRule="exact"/>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val="en-US" w:eastAsia="zh-CN"/>
        </w:rPr>
        <w:t xml:space="preserve">3.</w:t>
      </w:r>
      <w:r>
        <w:rPr>
          <w:rFonts w:hint="eastAsia" w:ascii="宋体" w:hAnsi="宋体" w:cs="宋体"/>
          <w:color w:val="000000" w:themeColor="text1"/>
          <w:sz w:val="28"/>
          <w:szCs w:val="28"/>
          <w:highlight w:val="none"/>
        </w:rPr>
        <w:t xml:space="preserve">偏离表</w:t>
      </w:r>
      <w:r>
        <w:rPr>
          <w:rFonts w:hint="eastAsia" w:ascii="宋体" w:hAnsi="宋体" w:cs="宋体"/>
          <w:color w:val="000000" w:themeColor="text1"/>
          <w:sz w:val="28"/>
          <w:szCs w:val="28"/>
          <w:highlight w:val="none"/>
        </w:rPr>
      </w:r>
      <w:r>
        <w:rPr>
          <w:color w:val="000000" w:themeColor="text1"/>
        </w:rPr>
      </w:r>
    </w:p>
    <w:p>
      <w:pPr>
        <w:pStyle w:val="1249"/>
        <w:ind w:firstLine="560"/>
        <w:spacing w:line="460" w:lineRule="exact"/>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val="en-US" w:eastAsia="zh-CN"/>
        </w:rPr>
        <w:t xml:space="preserve">4</w:t>
      </w:r>
      <w:r>
        <w:rPr>
          <w:rFonts w:hint="eastAsia" w:ascii="宋体" w:hAnsi="宋体" w:cs="宋体"/>
          <w:color w:val="000000" w:themeColor="text1"/>
          <w:sz w:val="28"/>
          <w:szCs w:val="28"/>
          <w:highlight w:val="none"/>
        </w:rPr>
        <w:t xml:space="preserve">.法定代表人授权书</w:t>
      </w:r>
      <w:r>
        <w:rPr>
          <w:rFonts w:hint="eastAsia" w:ascii="宋体" w:hAnsi="宋体" w:cs="宋体"/>
          <w:color w:val="000000" w:themeColor="text1"/>
          <w:sz w:val="28"/>
          <w:szCs w:val="28"/>
          <w:highlight w:val="none"/>
        </w:rPr>
      </w:r>
      <w:r>
        <w:rPr>
          <w:color w:val="000000" w:themeColor="text1"/>
        </w:rPr>
      </w:r>
    </w:p>
    <w:p>
      <w:pPr>
        <w:pStyle w:val="1249"/>
        <w:ind w:firstLine="560"/>
        <w:spacing w:line="460" w:lineRule="exact"/>
        <w:rPr>
          <w:rFonts w:ascii="宋体" w:hAnsi="宋体" w:eastAsia="宋体" w:cs="宋体"/>
          <w:color w:val="000000" w:themeColor="text1"/>
          <w:sz w:val="28"/>
          <w:szCs w:val="28"/>
          <w:highlight w:val="none"/>
        </w:rPr>
      </w:pPr>
      <w:r>
        <w:rPr>
          <w:rFonts w:hint="eastAsia" w:ascii="宋体" w:hAnsi="宋体" w:cs="宋体"/>
          <w:color w:val="000000" w:themeColor="text1"/>
          <w:sz w:val="28"/>
          <w:szCs w:val="28"/>
          <w:highlight w:val="none"/>
          <w:lang w:val="en-US" w:eastAsia="zh-CN"/>
        </w:rPr>
        <w:t xml:space="preserve">5</w:t>
      </w:r>
      <w:r>
        <w:rPr>
          <w:rFonts w:hint="eastAsia" w:ascii="宋体" w:hAnsi="宋体" w:cs="宋体"/>
          <w:color w:val="000000" w:themeColor="text1"/>
          <w:sz w:val="28"/>
          <w:szCs w:val="28"/>
          <w:highlight w:val="none"/>
        </w:rPr>
        <w:t xml:space="preserve">.</w:t>
      </w:r>
      <w:r>
        <w:rPr>
          <w:rFonts w:hint="eastAsia" w:ascii="宋体" w:hAnsi="宋体" w:cs="宋体"/>
          <w:color w:val="000000" w:themeColor="text1"/>
          <w:sz w:val="28"/>
          <w:szCs w:val="28"/>
          <w:highlight w:val="none"/>
          <w:lang w:val="en-US" w:eastAsia="zh-CN"/>
        </w:rPr>
        <w:t xml:space="preserve">企业资质证明</w:t>
      </w:r>
      <w:r>
        <w:rPr>
          <w:rFonts w:ascii="宋体" w:hAnsi="宋体" w:eastAsia="宋体" w:cs="宋体"/>
          <w:color w:val="000000" w:themeColor="text1"/>
          <w:sz w:val="28"/>
          <w:szCs w:val="28"/>
          <w:highlight w:val="none"/>
        </w:rPr>
      </w:r>
      <w:r>
        <w:rPr>
          <w:color w:val="000000" w:themeColor="text1"/>
        </w:rPr>
      </w:r>
    </w:p>
    <w:p>
      <w:pPr>
        <w:pStyle w:val="1249"/>
        <w:ind w:firstLine="560"/>
        <w:spacing w:line="460" w:lineRule="exact"/>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val="en-US" w:eastAsia="zh-CN"/>
        </w:rPr>
        <w:t xml:space="preserve">6</w:t>
      </w:r>
      <w:r>
        <w:rPr>
          <w:rFonts w:hint="eastAsia" w:ascii="宋体" w:hAnsi="宋体" w:cs="宋体"/>
          <w:color w:val="000000" w:themeColor="text1"/>
          <w:sz w:val="28"/>
          <w:szCs w:val="28"/>
          <w:highlight w:val="none"/>
        </w:rPr>
        <w:t xml:space="preserve">.具备履行合同所必需的设备和专业技术能力的书面声明</w:t>
      </w:r>
      <w:r>
        <w:rPr>
          <w:rFonts w:hint="eastAsia" w:ascii="宋体" w:hAnsi="宋体" w:cs="宋体"/>
          <w:color w:val="000000" w:themeColor="text1"/>
          <w:sz w:val="28"/>
          <w:szCs w:val="28"/>
          <w:highlight w:val="none"/>
        </w:rPr>
      </w:r>
      <w:r>
        <w:rPr>
          <w:color w:val="000000" w:themeColor="text1"/>
        </w:rPr>
      </w:r>
    </w:p>
    <w:p>
      <w:pPr>
        <w:pStyle w:val="1249"/>
        <w:ind w:firstLine="560"/>
        <w:spacing w:line="460" w:lineRule="exact"/>
        <w:rPr>
          <w:rFonts w:hint="eastAsia" w:ascii="宋体" w:hAnsi="宋体" w:eastAsia="宋体" w:cs="宋体"/>
          <w:color w:val="000000" w:themeColor="text1"/>
          <w:sz w:val="28"/>
          <w:szCs w:val="28"/>
          <w:highlight w:val="none"/>
        </w:rPr>
      </w:pPr>
      <w:r>
        <w:rPr>
          <w:rFonts w:hint="eastAsia" w:ascii="宋体" w:hAnsi="宋体" w:cs="宋体"/>
          <w:color w:val="000000" w:themeColor="text1"/>
          <w:sz w:val="28"/>
          <w:szCs w:val="28"/>
          <w:highlight w:val="none"/>
          <w:lang w:val="en-US" w:eastAsia="zh-CN"/>
        </w:rPr>
        <w:t xml:space="preserve">7</w:t>
      </w:r>
      <w:r>
        <w:rPr>
          <w:rFonts w:hint="eastAsia" w:ascii="宋体" w:hAnsi="宋体" w:cs="宋体"/>
          <w:color w:val="000000" w:themeColor="text1"/>
          <w:sz w:val="28"/>
          <w:szCs w:val="28"/>
          <w:highlight w:val="none"/>
        </w:rPr>
        <w:t xml:space="preserve">.投标人参加政府采购活动前3年内在经营活动中没有重大违法记录的书</w:t>
      </w:r>
      <w:r>
        <w:rPr>
          <w:rFonts w:hint="eastAsia" w:ascii="宋体" w:hAnsi="宋体" w:eastAsia="宋体" w:cs="宋体"/>
          <w:color w:val="000000" w:themeColor="text1"/>
          <w:sz w:val="28"/>
          <w:szCs w:val="28"/>
          <w:highlight w:val="none"/>
        </w:rPr>
        <w:t xml:space="preserve">面声明</w:t>
      </w:r>
      <w:r>
        <w:rPr>
          <w:rFonts w:hint="eastAsia" w:ascii="宋体" w:hAnsi="宋体" w:eastAsia="宋体" w:cs="宋体"/>
          <w:color w:val="000000" w:themeColor="text1"/>
          <w:sz w:val="28"/>
          <w:szCs w:val="28"/>
          <w:highlight w:val="none"/>
        </w:rPr>
      </w:r>
      <w:r>
        <w:rPr>
          <w:color w:val="000000" w:themeColor="text1"/>
        </w:rPr>
      </w:r>
    </w:p>
    <w:p>
      <w:pPr>
        <w:pStyle w:val="1089"/>
        <w:ind w:firstLine="560"/>
        <w:spacing w:line="460" w:lineRule="exact"/>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val="en-US" w:eastAsia="zh-CN"/>
        </w:rPr>
        <w:t xml:space="preserve">8</w:t>
      </w:r>
      <w:r>
        <w:rPr>
          <w:rFonts w:hint="eastAsia" w:ascii="宋体" w:hAnsi="宋体" w:cs="宋体"/>
          <w:color w:val="000000" w:themeColor="text1"/>
          <w:sz w:val="28"/>
          <w:szCs w:val="28"/>
          <w:highlight w:val="none"/>
        </w:rPr>
        <w:t xml:space="preserve">.投标人相关承诺</w:t>
      </w:r>
      <w:r>
        <w:rPr>
          <w:rFonts w:hint="eastAsia" w:ascii="宋体" w:hAnsi="宋体" w:cs="宋体"/>
          <w:color w:val="000000" w:themeColor="text1"/>
          <w:sz w:val="28"/>
          <w:szCs w:val="28"/>
          <w:highlight w:val="none"/>
        </w:rPr>
      </w:r>
      <w:r>
        <w:rPr>
          <w:color w:val="000000" w:themeColor="text1"/>
        </w:rPr>
      </w:r>
    </w:p>
    <w:p>
      <w:pPr>
        <w:pStyle w:val="1089"/>
        <w:ind w:firstLine="560"/>
        <w:spacing w:line="460" w:lineRule="exact"/>
        <w:rPr>
          <w:rFonts w:hint="eastAsia" w:ascii="宋体" w:hAnsi="宋体" w:eastAsia="宋体" w:cs="宋体"/>
          <w:color w:val="000000" w:themeColor="text1"/>
          <w:sz w:val="28"/>
          <w:szCs w:val="28"/>
          <w:highlight w:val="none"/>
        </w:rPr>
      </w:pPr>
      <w:r>
        <w:rPr>
          <w:rFonts w:hint="eastAsia" w:ascii="宋体" w:hAnsi="宋体" w:cs="宋体"/>
          <w:color w:val="000000" w:themeColor="text1"/>
          <w:sz w:val="28"/>
          <w:szCs w:val="28"/>
          <w:highlight w:val="none"/>
          <w:lang w:val="en-US" w:eastAsia="zh-CN"/>
        </w:rPr>
        <w:t xml:space="preserve">9</w:t>
      </w:r>
      <w:r>
        <w:rPr>
          <w:rFonts w:hint="eastAsia" w:ascii="宋体" w:hAnsi="宋体" w:eastAsia="宋体" w:cs="宋体"/>
          <w:color w:val="000000" w:themeColor="text1"/>
          <w:sz w:val="28"/>
          <w:szCs w:val="28"/>
          <w:highlight w:val="none"/>
        </w:rPr>
        <w:t xml:space="preserve">.投标人书面声明</w:t>
      </w:r>
      <w:r>
        <w:rPr>
          <w:rFonts w:hint="eastAsia" w:ascii="宋体" w:hAnsi="宋体" w:eastAsia="宋体" w:cs="宋体"/>
          <w:color w:val="000000" w:themeColor="text1"/>
          <w:sz w:val="28"/>
          <w:szCs w:val="28"/>
          <w:highlight w:val="none"/>
        </w:rPr>
      </w:r>
      <w:r>
        <w:rPr>
          <w:color w:val="000000" w:themeColor="text1"/>
        </w:rPr>
      </w:r>
    </w:p>
    <w:p>
      <w:pPr>
        <w:pStyle w:val="1089"/>
        <w:ind w:firstLine="560"/>
        <w:spacing w:line="460" w:lineRule="exact"/>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 xml:space="preserve">10.采购需求符合性条件响应表</w:t>
      </w:r>
      <w:r>
        <w:rPr>
          <w:rFonts w:hint="eastAsia" w:ascii="宋体" w:hAnsi="宋体" w:eastAsia="宋体" w:cs="宋体"/>
          <w:color w:val="000000" w:themeColor="text1"/>
          <w:sz w:val="28"/>
          <w:szCs w:val="28"/>
          <w:highlight w:val="none"/>
        </w:rPr>
      </w:r>
      <w:r>
        <w:rPr>
          <w:color w:val="000000" w:themeColor="text1"/>
        </w:rPr>
      </w:r>
    </w:p>
    <w:p>
      <w:pPr>
        <w:pStyle w:val="1089"/>
        <w:ind w:firstLine="560"/>
        <w:spacing w:line="460" w:lineRule="exact"/>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 xml:space="preserve">11</w:t>
      </w:r>
      <w:r>
        <w:rPr>
          <w:rFonts w:hint="eastAsia" w:ascii="宋体" w:hAnsi="宋体" w:eastAsia="宋体" w:cs="宋体"/>
          <w:color w:val="000000" w:themeColor="text1"/>
          <w:sz w:val="28"/>
          <w:szCs w:val="28"/>
          <w:highlight w:val="none"/>
        </w:rPr>
        <w:t xml:space="preserve">.投标人基本情况表</w:t>
      </w:r>
      <w:r>
        <w:rPr>
          <w:rFonts w:hint="eastAsia" w:ascii="宋体" w:hAnsi="宋体" w:eastAsia="宋体" w:cs="宋体"/>
          <w:color w:val="000000" w:themeColor="text1"/>
          <w:sz w:val="28"/>
          <w:szCs w:val="28"/>
          <w:highlight w:val="none"/>
        </w:rPr>
      </w:r>
      <w:r>
        <w:rPr>
          <w:color w:val="000000" w:themeColor="text1"/>
        </w:rPr>
      </w:r>
    </w:p>
    <w:p>
      <w:pPr>
        <w:pStyle w:val="1089"/>
        <w:ind w:firstLine="560"/>
        <w:spacing w:line="460" w:lineRule="exact"/>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 xml:space="preserve">12.</w:t>
      </w:r>
      <w:r>
        <w:rPr>
          <w:rFonts w:hint="eastAsia" w:ascii="宋体" w:hAnsi="宋体" w:eastAsia="宋体" w:cs="宋体"/>
          <w:color w:val="000000" w:themeColor="text1"/>
          <w:sz w:val="28"/>
          <w:szCs w:val="28"/>
          <w:highlight w:val="none"/>
        </w:rPr>
        <w:t xml:space="preserve">关于符合本国产品标准的声明函</w:t>
      </w:r>
      <w:r>
        <w:rPr>
          <w:rFonts w:hint="eastAsia" w:ascii="宋体" w:hAnsi="宋体" w:eastAsia="宋体" w:cs="宋体"/>
          <w:color w:val="000000" w:themeColor="text1"/>
          <w:sz w:val="28"/>
          <w:szCs w:val="28"/>
          <w:highlight w:val="none"/>
        </w:rPr>
      </w:r>
      <w:r>
        <w:rPr>
          <w:color w:val="000000" w:themeColor="text1"/>
        </w:rPr>
      </w:r>
    </w:p>
    <w:p>
      <w:pPr>
        <w:pStyle w:val="1012"/>
        <w:rPr>
          <w:rFonts w:hint="eastAsia"/>
          <w:color w:val="000000" w:themeColor="text1"/>
          <w:highlight w:val="none"/>
        </w:rPr>
      </w:pPr>
      <w:r>
        <w:rPr>
          <w:rFonts w:hint="eastAsia"/>
          <w:color w:val="000000" w:themeColor="text1"/>
          <w:highlight w:val="none"/>
        </w:rPr>
      </w:r>
      <w:r>
        <w:rPr>
          <w:color w:val="000000" w:themeColor="text1"/>
        </w:rPr>
      </w:r>
    </w:p>
    <w:p>
      <w:pPr>
        <w:pStyle w:val="1089"/>
        <w:ind w:firstLine="560"/>
        <w:spacing w:line="460" w:lineRule="exact"/>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 xml:space="preserve">附：</w:t>
      </w:r>
      <w:r>
        <w:rPr>
          <w:rFonts w:hint="eastAsia" w:ascii="宋体" w:hAnsi="宋体" w:eastAsia="宋体" w:cs="宋体"/>
          <w:color w:val="000000" w:themeColor="text1"/>
          <w:sz w:val="28"/>
          <w:szCs w:val="28"/>
          <w:highlight w:val="none"/>
        </w:rPr>
        <w:t xml:space="preserve">质疑函范本</w:t>
      </w:r>
      <w:r>
        <w:rPr>
          <w:rFonts w:hint="eastAsia" w:ascii="宋体" w:hAnsi="宋体" w:eastAsia="宋体" w:cs="宋体"/>
          <w:color w:val="000000" w:themeColor="text1"/>
          <w:sz w:val="28"/>
          <w:szCs w:val="28"/>
          <w:highlight w:val="none"/>
        </w:rPr>
      </w:r>
      <w:r>
        <w:rPr>
          <w:color w:val="000000" w:themeColor="text1"/>
        </w:rPr>
      </w:r>
    </w:p>
    <w:p>
      <w:pPr>
        <w:pStyle w:val="1012"/>
        <w:ind w:firstLine="0"/>
        <w:jc w:val="center"/>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r>
      <w:r>
        <w:rPr>
          <w:color w:val="000000" w:themeColor="text1"/>
        </w:rPr>
      </w:r>
    </w:p>
    <w:p>
      <w:pPr>
        <w:pStyle w:val="1012"/>
        <w:ind w:firstLine="0"/>
        <w:jc w:val="center"/>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r>
      <w:r>
        <w:rPr>
          <w:color w:val="000000" w:themeColor="text1"/>
        </w:rPr>
      </w:r>
    </w:p>
    <w:p>
      <w:pPr>
        <w:pStyle w:val="1012"/>
        <w:ind w:firstLine="0"/>
        <w:jc w:val="center"/>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r>
      <w:r>
        <w:rPr>
          <w:color w:val="000000" w:themeColor="text1"/>
        </w:rPr>
      </w:r>
    </w:p>
    <w:p>
      <w:pPr>
        <w:pStyle w:val="1012"/>
        <w:ind w:firstLine="0"/>
        <w:jc w:val="center"/>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r>
      <w:r>
        <w:rPr>
          <w:color w:val="000000" w:themeColor="text1"/>
        </w:rPr>
      </w:r>
    </w:p>
    <w:p>
      <w:pPr>
        <w:pStyle w:val="1012"/>
        <w:ind w:firstLine="0"/>
        <w:jc w:val="center"/>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r>
      <w:r>
        <w:rPr>
          <w:color w:val="000000" w:themeColor="text1"/>
        </w:rPr>
      </w:r>
    </w:p>
    <w:p>
      <w:pPr>
        <w:pStyle w:val="1012"/>
        <w:ind w:firstLine="0"/>
        <w:jc w:val="both"/>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r>
      <w:r>
        <w:rPr>
          <w:color w:val="000000" w:themeColor="text1"/>
        </w:rPr>
      </w:r>
    </w:p>
    <w:p>
      <w:pPr>
        <w:pStyle w:val="1012"/>
        <w:ind w:firstLine="0"/>
        <w:jc w:val="center"/>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 xml:space="preserve">1. </w:t>
      </w:r>
      <w:r>
        <w:rPr>
          <w:rFonts w:hint="eastAsia" w:ascii="宋体" w:hAnsi="宋体" w:eastAsia="宋体" w:cs="宋体"/>
          <w:b/>
          <w:bCs/>
          <w:color w:val="000000" w:themeColor="text1"/>
          <w:sz w:val="30"/>
          <w:szCs w:val="30"/>
          <w:highlight w:val="none"/>
        </w:rPr>
        <w:t xml:space="preserve">投标</w:t>
      </w:r>
      <w:r>
        <w:rPr>
          <w:rFonts w:hint="eastAsia" w:ascii="宋体" w:hAnsi="宋体" w:eastAsia="宋体" w:cs="宋体"/>
          <w:b/>
          <w:bCs/>
          <w:color w:val="000000" w:themeColor="text1"/>
          <w:sz w:val="28"/>
          <w:szCs w:val="28"/>
          <w:highlight w:val="none"/>
        </w:rPr>
        <w:t xml:space="preserve">函</w:t>
      </w:r>
      <w:r>
        <w:rPr>
          <w:rFonts w:hint="eastAsia" w:ascii="宋体" w:hAnsi="宋体" w:eastAsia="宋体" w:cs="宋体"/>
          <w:b/>
          <w:bCs/>
          <w:color w:val="000000" w:themeColor="text1"/>
          <w:sz w:val="28"/>
          <w:szCs w:val="28"/>
          <w:highlight w:val="none"/>
        </w:rPr>
      </w:r>
      <w:r>
        <w:rPr>
          <w:color w:val="000000" w:themeColor="text1"/>
        </w:rPr>
      </w:r>
    </w:p>
    <w:p>
      <w:pPr>
        <w:pStyle w:val="1012"/>
        <w:ind w:firstLine="48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1012"/>
        <w:ind w:firstLine="0"/>
        <w:jc w:val="left"/>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致：</w:t>
      </w:r>
      <w:r>
        <w:rPr>
          <w:rFonts w:hint="eastAsia" w:ascii="宋体" w:hAnsi="宋体" w:eastAsia="宋体" w:cs="宋体"/>
          <w:color w:val="000000" w:themeColor="text1"/>
          <w:highlight w:val="none"/>
          <w:u w:val="single"/>
          <w:lang w:eastAsia="zh-CN"/>
        </w:rPr>
        <w:t xml:space="preserve">江苏天奇项目管理咨询有限公司</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r>
      <w:r>
        <w:rPr>
          <w:color w:val="000000" w:themeColor="text1"/>
        </w:rPr>
      </w:r>
    </w:p>
    <w:p>
      <w:pPr>
        <w:pStyle w:val="1012"/>
        <w:ind w:firstLine="480"/>
        <w:jc w:val="left"/>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根据</w:t>
      </w:r>
      <w:r>
        <w:rPr>
          <w:rFonts w:hint="eastAsia" w:ascii="宋体" w:hAnsi="宋体" w:eastAsia="宋体" w:cs="宋体"/>
          <w:color w:val="000000" w:themeColor="text1"/>
          <w:highlight w:val="none"/>
          <w:u w:val="single"/>
          <w:lang w:val="en-US" w:eastAsia="zh-CN"/>
        </w:rPr>
        <w:t xml:space="preserve">丰县中医医院机房改扩建项目</w:t>
      </w:r>
      <w:r>
        <w:rPr>
          <w:rFonts w:hint="eastAsia" w:ascii="宋体" w:hAnsi="宋体" w:eastAsia="宋体" w:cs="宋体"/>
          <w:color w:val="000000" w:themeColor="text1"/>
          <w:highlight w:val="none"/>
        </w:rPr>
        <w:t xml:space="preserve">[项目编号：</w:t>
      </w:r>
      <w:r>
        <w:rPr>
          <w:rFonts w:hint="eastAsia" w:ascii="宋体" w:hAnsi="宋体" w:eastAsia="宋体" w:cs="宋体"/>
          <w:color w:val="000000" w:themeColor="text1"/>
          <w:highlight w:val="none"/>
          <w:u w:val="single"/>
          <w:lang w:val="en-US" w:eastAsia="zh-CN"/>
        </w:rPr>
        <w:t xml:space="preserve">JSZC-320321-JSTQ-G2026-0005</w:t>
      </w:r>
      <w:r>
        <w:rPr>
          <w:rFonts w:hint="eastAsia" w:ascii="宋体" w:hAnsi="宋体" w:eastAsia="宋体" w:cs="宋体"/>
          <w:color w:val="000000" w:themeColor="text1"/>
          <w:highlight w:val="none"/>
        </w:rPr>
        <w:t xml:space="preserve">]招标文件，</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highlight w:val="none"/>
          <w:u w:val="single"/>
        </w:rPr>
        <w:t xml:space="preserve">姓名</w:t>
      </w:r>
      <w:r>
        <w:rPr>
          <w:rFonts w:hint="eastAsia" w:ascii="宋体" w:hAnsi="宋体" w:eastAsia="宋体" w:cs="宋体"/>
          <w:color w:val="000000" w:themeColor="text1"/>
          <w:highlight w:val="none"/>
          <w:u w:val="single"/>
          <w:lang w:eastAsia="zh-CN"/>
        </w:rPr>
        <w:t xml:space="preserve">）</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highlight w:val="none"/>
        </w:rPr>
        <w:t xml:space="preserve">代表我方</w:t>
      </w:r>
      <w:r>
        <w:rPr>
          <w:rFonts w:hint="eastAsia" w:ascii="宋体" w:hAnsi="宋体" w:eastAsia="宋体" w:cs="宋体"/>
          <w:color w:val="000000" w:themeColor="text1"/>
          <w:szCs w:val="21"/>
          <w:highlight w:val="none"/>
          <w:u w:val="single"/>
        </w:rPr>
        <w:t xml:space="preserve">（投标人的名称）</w:t>
      </w:r>
      <w:r>
        <w:rPr>
          <w:rFonts w:hint="eastAsia" w:ascii="宋体" w:hAnsi="宋体" w:eastAsia="宋体" w:cs="宋体"/>
          <w:color w:val="000000" w:themeColor="text1"/>
          <w:highlight w:val="none"/>
        </w:rPr>
        <w:t xml:space="preserve">全权处理本次投标的有关事宜。</w:t>
      </w:r>
      <w:r>
        <w:rPr>
          <w:rFonts w:hint="eastAsia" w:ascii="宋体" w:hAnsi="宋体" w:eastAsia="宋体" w:cs="宋体"/>
          <w:color w:val="000000" w:themeColor="text1"/>
          <w:highlight w:val="none"/>
        </w:rPr>
      </w:r>
      <w:r>
        <w:rPr>
          <w:color w:val="000000" w:themeColor="text1"/>
        </w:rPr>
      </w:r>
    </w:p>
    <w:p>
      <w:pPr>
        <w:pStyle w:val="1012"/>
        <w:ind w:firstLine="48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据此函，投标人承诺并同意如下： </w:t>
      </w:r>
      <w:r>
        <w:rPr>
          <w:rFonts w:hint="eastAsia" w:ascii="宋体" w:hAnsi="宋体" w:eastAsia="宋体" w:cs="宋体"/>
          <w:color w:val="000000" w:themeColor="text1"/>
          <w:highlight w:val="none"/>
        </w:rPr>
      </w:r>
      <w:r>
        <w:rPr>
          <w:color w:val="000000" w:themeColor="text1"/>
        </w:rPr>
      </w:r>
    </w:p>
    <w:p>
      <w:pPr>
        <w:pStyle w:val="1012"/>
        <w:ind w:firstLine="48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1.投标人唯一投标报价见《开标一览表》。</w:t>
      </w:r>
      <w:r>
        <w:rPr>
          <w:rFonts w:hint="eastAsia" w:ascii="宋体" w:hAnsi="宋体" w:eastAsia="宋体" w:cs="宋体"/>
          <w:color w:val="000000" w:themeColor="text1"/>
          <w:highlight w:val="none"/>
        </w:rPr>
      </w:r>
      <w:r>
        <w:rPr>
          <w:color w:val="000000" w:themeColor="text1"/>
        </w:rPr>
      </w:r>
    </w:p>
    <w:p>
      <w:pPr>
        <w:pStyle w:val="1012"/>
        <w:ind w:firstLine="48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2.投标人将按招标文件的规定履行合同责任和义务。</w:t>
      </w:r>
      <w:r>
        <w:rPr>
          <w:rFonts w:hint="eastAsia" w:ascii="宋体" w:hAnsi="宋体" w:eastAsia="宋体" w:cs="宋体"/>
          <w:color w:val="000000" w:themeColor="text1"/>
          <w:highlight w:val="none"/>
        </w:rPr>
      </w:r>
      <w:r>
        <w:rPr>
          <w:color w:val="000000" w:themeColor="text1"/>
        </w:rPr>
      </w:r>
    </w:p>
    <w:p>
      <w:pPr>
        <w:pStyle w:val="1012"/>
        <w:ind w:firstLine="48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3.投标人已详细审查全部招标文件，包括第[插入编号] [补遗书][如果有的话]。投标人完全理解并同意放弃对这方面有不明及误解的权力。</w:t>
      </w:r>
      <w:r>
        <w:rPr>
          <w:rFonts w:hint="eastAsia" w:ascii="宋体" w:hAnsi="宋体" w:eastAsia="宋体" w:cs="宋体"/>
          <w:color w:val="000000" w:themeColor="text1"/>
          <w:highlight w:val="none"/>
        </w:rPr>
      </w:r>
      <w:r>
        <w:rPr>
          <w:color w:val="000000" w:themeColor="text1"/>
        </w:rPr>
      </w:r>
    </w:p>
    <w:p>
      <w:pPr>
        <w:pStyle w:val="1012"/>
        <w:ind w:firstLine="48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4.投标有效期为开标之日后</w:t>
      </w:r>
      <w:r>
        <w:rPr>
          <w:rFonts w:hint="eastAsia" w:ascii="宋体" w:hAnsi="宋体" w:eastAsia="宋体" w:cs="宋体"/>
          <w:color w:val="000000" w:themeColor="text1"/>
          <w:highlight w:val="none"/>
          <w:u w:val="single"/>
        </w:rPr>
        <w:t xml:space="preserve">90</w:t>
      </w:r>
      <w:r>
        <w:rPr>
          <w:rFonts w:hint="eastAsia" w:ascii="宋体" w:hAnsi="宋体" w:eastAsia="宋体" w:cs="宋体"/>
          <w:color w:val="000000" w:themeColor="text1"/>
          <w:highlight w:val="none"/>
        </w:rPr>
        <w:t xml:space="preserve">天。</w:t>
      </w:r>
      <w:r>
        <w:rPr>
          <w:rFonts w:hint="eastAsia" w:ascii="宋体" w:hAnsi="宋体" w:eastAsia="宋体" w:cs="宋体"/>
          <w:color w:val="000000" w:themeColor="text1"/>
          <w:highlight w:val="none"/>
        </w:rPr>
      </w:r>
      <w:r>
        <w:rPr>
          <w:color w:val="000000" w:themeColor="text1"/>
        </w:rPr>
      </w:r>
    </w:p>
    <w:p>
      <w:pPr>
        <w:pStyle w:val="1012"/>
        <w:ind w:firstLine="48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5.投标人同意提供按照贵方可能要求的与其投标有关的一切数据或资料，完全理解贵方不一定接受最低价的投标或收到的任何投标。</w:t>
      </w:r>
      <w:r>
        <w:rPr>
          <w:rFonts w:hint="eastAsia" w:ascii="宋体" w:hAnsi="宋体" w:eastAsia="宋体" w:cs="宋体"/>
          <w:color w:val="000000" w:themeColor="text1"/>
          <w:highlight w:val="none"/>
        </w:rPr>
      </w:r>
      <w:r>
        <w:rPr>
          <w:color w:val="000000" w:themeColor="text1"/>
        </w:rPr>
      </w:r>
    </w:p>
    <w:p>
      <w:pPr>
        <w:pStyle w:val="1012"/>
        <w:ind w:firstLine="48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6.</w:t>
      </w:r>
      <w:r>
        <w:rPr>
          <w:rFonts w:hint="eastAsia" w:ascii="宋体" w:hAnsi="宋体" w:eastAsia="宋体" w:cs="宋体"/>
          <w:color w:val="000000" w:themeColor="text1"/>
          <w:highlight w:val="none"/>
          <w:lang w:eastAsia="zh-CN"/>
        </w:rPr>
        <w:t xml:space="preserve">江苏天奇项目管理咨询有限公司</w:t>
      </w:r>
      <w:r>
        <w:rPr>
          <w:rFonts w:hint="eastAsia" w:ascii="宋体" w:hAnsi="宋体" w:eastAsia="宋体" w:cs="宋体"/>
          <w:color w:val="000000" w:themeColor="text1"/>
          <w:highlight w:val="none"/>
        </w:rPr>
        <w:t xml:space="preserve">有权将我单位本项目的《开标一览表》《分项价格表》《中小企业声明函》（如有</w:t>
      </w:r>
      <w:r>
        <w:rPr>
          <w:rFonts w:hint="eastAsia" w:ascii="宋体" w:hAnsi="宋体" w:eastAsia="宋体" w:cs="宋体"/>
          <w:color w:val="000000" w:themeColor="text1"/>
          <w:highlight w:val="none"/>
          <w:lang w:eastAsia="zh-CN"/>
        </w:rPr>
        <w:t xml:space="preserve">）和</w:t>
      </w:r>
      <w:r>
        <w:rPr>
          <w:rFonts w:hint="eastAsia" w:ascii="宋体" w:hAnsi="宋体" w:eastAsia="宋体" w:cs="宋体"/>
          <w:color w:val="000000" w:themeColor="text1"/>
          <w:highlight w:val="none"/>
        </w:rPr>
        <w:t xml:space="preserve">《残疾人福利性单位声明函》（如有）作为《中标结果公告》的附件予以公告</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r>
      <w:r>
        <w:rPr>
          <w:color w:val="000000" w:themeColor="text1"/>
        </w:rPr>
      </w:r>
    </w:p>
    <w:p>
      <w:pPr>
        <w:pStyle w:val="1012"/>
        <w:ind w:right="34" w:firstLine="48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7.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eastAsia="宋体" w:cs="宋体"/>
          <w:color w:val="000000" w:themeColor="text1"/>
          <w:highlight w:val="none"/>
        </w:rPr>
      </w:r>
      <w:r>
        <w:rPr>
          <w:color w:val="000000" w:themeColor="text1"/>
        </w:rPr>
      </w:r>
    </w:p>
    <w:p>
      <w:pPr>
        <w:pStyle w:val="1012"/>
        <w:ind w:firstLine="48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8.与本投标有关的一切正式往来信函请寄：</w:t>
      </w:r>
      <w:r>
        <w:rPr>
          <w:rFonts w:hint="eastAsia" w:ascii="宋体" w:hAnsi="宋体" w:eastAsia="宋体" w:cs="宋体"/>
          <w:color w:val="000000" w:themeColor="text1"/>
          <w:highlight w:val="none"/>
        </w:rPr>
      </w:r>
      <w:r>
        <w:rPr>
          <w:color w:val="000000" w:themeColor="text1"/>
        </w:rPr>
      </w:r>
    </w:p>
    <w:p>
      <w:pPr>
        <w:pStyle w:val="1012"/>
        <w:ind w:firstLine="48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地址： </w:t>
      </w:r>
      <w:r>
        <w:rPr>
          <w:rFonts w:hint="eastAsia" w:ascii="宋体" w:hAnsi="宋体" w:eastAsia="宋体" w:cs="宋体"/>
          <w:color w:val="000000" w:themeColor="text1"/>
          <w:highlight w:val="none"/>
        </w:rPr>
      </w:r>
      <w:r>
        <w:rPr>
          <w:color w:val="000000" w:themeColor="text1"/>
        </w:rPr>
      </w:r>
    </w:p>
    <w:p>
      <w:pPr>
        <w:pStyle w:val="1012"/>
        <w:ind w:firstLine="48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电话： </w:t>
      </w:r>
      <w:r>
        <w:rPr>
          <w:rFonts w:hint="eastAsia" w:ascii="宋体" w:hAnsi="宋体" w:eastAsia="宋体" w:cs="宋体"/>
          <w:color w:val="000000" w:themeColor="text1"/>
          <w:highlight w:val="none"/>
        </w:rPr>
      </w:r>
      <w:r>
        <w:rPr>
          <w:color w:val="000000" w:themeColor="text1"/>
        </w:rPr>
      </w:r>
    </w:p>
    <w:p>
      <w:pPr>
        <w:pStyle w:val="1012"/>
        <w:ind w:firstLine="48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传真： </w:t>
      </w:r>
      <w:r>
        <w:rPr>
          <w:rFonts w:hint="eastAsia" w:ascii="宋体" w:hAnsi="宋体" w:eastAsia="宋体" w:cs="宋体"/>
          <w:color w:val="000000" w:themeColor="text1"/>
          <w:highlight w:val="none"/>
        </w:rPr>
      </w:r>
      <w:r>
        <w:rPr>
          <w:color w:val="000000" w:themeColor="text1"/>
        </w:rPr>
      </w:r>
    </w:p>
    <w:p>
      <w:pPr>
        <w:pStyle w:val="1043"/>
        <w:rPr>
          <w:rFonts w:hint="eastAsia"/>
          <w:color w:val="000000" w:themeColor="text1"/>
          <w:highlight w:val="none"/>
        </w:rPr>
      </w:pPr>
      <w:r>
        <w:rPr>
          <w:rFonts w:hint="eastAsia"/>
          <w:color w:val="000000" w:themeColor="text1"/>
          <w:highlight w:val="none"/>
        </w:rPr>
      </w:r>
      <w:r>
        <w:rPr>
          <w:color w:val="000000" w:themeColor="text1"/>
        </w:rPr>
      </w:r>
    </w:p>
    <w:p>
      <w:pPr>
        <w:pStyle w:val="1012"/>
        <w:jc w:val="right"/>
        <w:keepLines w:val="0"/>
        <w:keepNext w:val="0"/>
        <w:pageBreakBefore w:val="0"/>
        <w:spacing w:line="500" w:lineRule="exact"/>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投标人名称（电子签章）： ____________                     </w:t>
      </w:r>
      <w:r>
        <w:rPr>
          <w:rFonts w:hint="eastAsia" w:ascii="宋体" w:hAnsi="宋体" w:eastAsia="宋体" w:cs="宋体"/>
          <w:color w:val="000000" w:themeColor="text1"/>
          <w:highlight w:val="none"/>
        </w:rPr>
      </w:r>
      <w:r>
        <w:rPr>
          <w:color w:val="000000" w:themeColor="text1"/>
        </w:rPr>
      </w:r>
    </w:p>
    <w:p>
      <w:pPr>
        <w:pStyle w:val="1012"/>
        <w:ind w:firstLine="480"/>
        <w:jc w:val="center"/>
        <w:keepLines w:val="0"/>
        <w:keepNext w:val="0"/>
        <w:pageBreakBefore w:val="0"/>
        <w:spacing w:line="500" w:lineRule="exact"/>
        <w:widowControl w:val="off"/>
        <w:rPr>
          <w:rFonts w:ascii="宋体" w:hAnsi="宋体" w:eastAsia="宋体" w:cs="宋体"/>
          <w:color w:val="000000" w:themeColor="text1"/>
          <w:highlight w:val="none"/>
        </w:rPr>
        <w:sectPr>
          <w:headerReference w:type="default" r:id="rId12"/>
          <w:footerReference w:type="default" r:id="rId21"/>
          <w:footnotePr/>
          <w:endnotePr/>
          <w:type w:val="nextPage"/>
          <w:pgSz w:w="11906" w:h="16838" w:orient="portrait"/>
          <w:pgMar w:top="1440" w:right="1466" w:bottom="1440" w:left="1560" w:header="851" w:footer="992" w:gutter="0"/>
          <w:cols w:num="1" w:sep="0" w:space="1701" w:equalWidth="1"/>
          <w:docGrid w:linePitch="360"/>
        </w:sectPr>
        <w:outlineLvl w:val="9"/>
      </w:pPr>
      <w:r>
        <w:rPr>
          <w:rFonts w:hint="eastAsia" w:ascii="宋体" w:hAnsi="宋体" w:eastAsia="宋体" w:cs="宋体"/>
          <w:color w:val="000000" w:themeColor="text1"/>
          <w:highlight w:val="none"/>
          <w:lang w:val="en-US" w:eastAsia="zh-CN"/>
        </w:rPr>
        <w:t xml:space="preserve">                 </w:t>
      </w:r>
      <w:r>
        <w:rPr>
          <w:rFonts w:hint="eastAsia" w:ascii="宋体" w:hAnsi="宋体" w:eastAsia="宋体" w:cs="宋体"/>
          <w:color w:val="000000" w:themeColor="text1"/>
          <w:highlight w:val="none"/>
        </w:rPr>
        <w:t xml:space="preserve">日  期：   年  月</w:t>
      </w:r>
      <w:r>
        <w:rPr>
          <w:rFonts w:hint="eastAsia" w:ascii="宋体" w:hAnsi="宋体" w:eastAsia="宋体" w:cs="宋体"/>
          <w:color w:val="000000" w:themeColor="text1"/>
          <w:highlight w:val="none"/>
          <w:lang w:val="en-US" w:eastAsia="zh-CN"/>
        </w:rPr>
        <w:t xml:space="preserve"> 日</w:t>
      </w:r>
      <w:r>
        <w:rPr>
          <w:rFonts w:ascii="宋体" w:hAnsi="宋体" w:eastAsia="宋体" w:cs="宋体"/>
          <w:color w:val="000000" w:themeColor="text1"/>
          <w:highlight w:val="none"/>
        </w:rPr>
      </w:r>
      <w:r>
        <w:rPr>
          <w:color w:val="000000" w:themeColor="text1"/>
        </w:rPr>
      </w:r>
    </w:p>
    <w:p>
      <w:pPr>
        <w:pStyle w:val="1012"/>
        <w:ind w:firstLine="0"/>
        <w:jc w:val="lef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p>
    <w:p>
      <w:pPr>
        <w:pStyle w:val="1012"/>
        <w:ind w:firstLine="0"/>
        <w:jc w:val="lef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p>
    <w:p>
      <w:pPr>
        <w:pStyle w:val="1012"/>
        <w:numPr>
          <w:ilvl w:val="0"/>
          <w:numId w:val="14"/>
        </w:numPr>
        <w:ind w:firstLine="0"/>
        <w:jc w:val="center"/>
        <w:rPr>
          <w:rFonts w:hint="eastAsia" w:ascii="宋体" w:hAnsi="宋体" w:eastAsia="宋体" w:cs="宋体"/>
          <w:b/>
          <w:bCs/>
          <w:color w:val="000000" w:themeColor="text1"/>
          <w:sz w:val="30"/>
          <w:szCs w:val="30"/>
          <w:highlight w:val="none"/>
        </w:rPr>
      </w:pPr>
      <w:r>
        <w:rPr>
          <w:rFonts w:hint="eastAsia" w:ascii="宋体" w:hAnsi="宋体" w:eastAsia="宋体" w:cs="宋体"/>
          <w:b/>
          <w:bCs/>
          <w:color w:val="000000" w:themeColor="text1"/>
          <w:sz w:val="30"/>
          <w:szCs w:val="30"/>
          <w:highlight w:val="none"/>
        </w:rPr>
        <w:t xml:space="preserve">开标一览表</w:t>
      </w:r>
      <w:r>
        <w:rPr>
          <w:rFonts w:hint="eastAsia" w:ascii="宋体" w:hAnsi="宋体" w:eastAsia="宋体" w:cs="宋体"/>
          <w:b/>
          <w:bCs/>
          <w:color w:val="000000" w:themeColor="text1"/>
          <w:sz w:val="30"/>
          <w:szCs w:val="30"/>
          <w:highlight w:val="none"/>
        </w:rPr>
      </w:r>
      <w:r>
        <w:rPr>
          <w:color w:val="000000" w:themeColor="text1"/>
        </w:rPr>
      </w:r>
    </w:p>
    <w:p>
      <w:pPr>
        <w:pStyle w:val="1084"/>
        <w:ind w:firstLine="0"/>
        <w:rPr>
          <w:rFonts w:hint="eastAsia"/>
          <w:color w:val="000000" w:themeColor="text1"/>
          <w:highlight w:val="none"/>
        </w:rPr>
      </w:pPr>
      <w:r>
        <w:rPr>
          <w:rFonts w:hint="eastAsia"/>
          <w:color w:val="000000" w:themeColor="text1"/>
          <w:highlight w:val="none"/>
        </w:rPr>
      </w:r>
      <w:r>
        <w:rPr>
          <w:color w:val="000000" w:themeColor="text1"/>
        </w:rPr>
      </w:r>
    </w:p>
    <w:p>
      <w:pPr>
        <w:pStyle w:val="1012"/>
        <w:rPr>
          <w:rFonts w:hint="eastAsia" w:ascii="宋体" w:hAnsi="宋体" w:eastAsia="宋体" w:cs="宋体"/>
          <w:color w:val="000000" w:themeColor="text1"/>
          <w:sz w:val="24"/>
          <w:szCs w:val="24"/>
          <w:highlight w:val="none"/>
          <w:u w:val="none"/>
        </w:rPr>
      </w:pPr>
      <w:r>
        <w:rPr>
          <w:rFonts w:hint="eastAsia" w:ascii="宋体" w:hAnsi="宋体" w:eastAsia="宋体" w:cs="宋体"/>
          <w:color w:val="000000" w:themeColor="text1"/>
          <w:sz w:val="24"/>
          <w:szCs w:val="24"/>
          <w:highlight w:val="none"/>
          <w:u w:val="none"/>
        </w:rPr>
        <w:t xml:space="preserve">项目名称：</w:t>
      </w:r>
      <w:r>
        <w:rPr>
          <w:rFonts w:hint="eastAsia" w:ascii="宋体" w:hAnsi="宋体" w:eastAsia="宋体" w:cs="宋体"/>
          <w:color w:val="000000" w:themeColor="text1"/>
          <w:sz w:val="24"/>
          <w:szCs w:val="24"/>
          <w:highlight w:val="none"/>
          <w:u w:val="none"/>
          <w:lang w:eastAsia="zh-CN"/>
        </w:rPr>
        <w:t xml:space="preserve">丰县中医医院机房改扩建项目</w:t>
      </w:r>
      <w:r>
        <w:rPr>
          <w:rFonts w:hint="eastAsia" w:ascii="宋体" w:hAnsi="宋体" w:eastAsia="宋体" w:cs="宋体"/>
          <w:color w:val="000000" w:themeColor="text1"/>
          <w:sz w:val="24"/>
          <w:szCs w:val="24"/>
          <w:highlight w:val="none"/>
          <w:u w:val="none"/>
        </w:rPr>
      </w:r>
      <w:r>
        <w:rPr>
          <w:color w:val="000000" w:themeColor="text1"/>
        </w:rPr>
      </w:r>
    </w:p>
    <w:p>
      <w:pPr>
        <w:pStyle w:val="1012"/>
        <w:rPr>
          <w:rFonts w:hint="eastAsia" w:ascii="宋体" w:hAnsi="宋体" w:eastAsia="宋体" w:cs="宋体"/>
          <w:color w:val="000000" w:themeColor="text1"/>
          <w:highlight w:val="none"/>
          <w:u w:val="none"/>
        </w:rPr>
      </w:pPr>
      <w:r>
        <w:rPr>
          <w:rFonts w:hint="eastAsia" w:ascii="宋体" w:hAnsi="宋体" w:eastAsia="宋体" w:cs="宋体"/>
          <w:color w:val="000000" w:themeColor="text1"/>
          <w:sz w:val="24"/>
          <w:szCs w:val="24"/>
          <w:highlight w:val="none"/>
          <w:u w:val="none"/>
        </w:rPr>
        <w:t xml:space="preserve">项目编号：</w:t>
      </w:r>
      <w:r>
        <w:rPr>
          <w:rFonts w:hint="eastAsia" w:ascii="宋体" w:hAnsi="宋体" w:eastAsia="宋体" w:cs="宋体"/>
          <w:color w:val="000000" w:themeColor="text1"/>
          <w:highlight w:val="none"/>
          <w:u w:val="none"/>
          <w:lang w:val="en-US" w:eastAsia="zh-CN"/>
        </w:rPr>
        <w:t xml:space="preserve">JSZC-320321-JSTQ-G2026-0005</w:t>
      </w:r>
      <w:r>
        <w:rPr>
          <w:rFonts w:hint="eastAsia" w:ascii="宋体" w:hAnsi="宋体" w:eastAsia="宋体" w:cs="宋体"/>
          <w:color w:val="000000" w:themeColor="text1"/>
          <w:highlight w:val="none"/>
          <w:u w:val="none"/>
        </w:rPr>
      </w:r>
      <w:r>
        <w:rPr>
          <w:color w:val="000000" w:themeColor="text1"/>
        </w:rPr>
      </w:r>
    </w:p>
    <w:p>
      <w:pPr>
        <w:pStyle w:val="1012"/>
        <w:rPr>
          <w:rFonts w:ascii="宋体" w:hAnsi="宋体" w:eastAsia="宋体" w:cs="宋体"/>
          <w:color w:val="000000" w:themeColor="text1"/>
          <w:highlight w:val="none"/>
          <w:u w:val="none"/>
        </w:rPr>
      </w:pPr>
      <w:r>
        <w:rPr>
          <w:rFonts w:hint="eastAsia" w:ascii="宋体" w:hAnsi="宋体" w:eastAsia="宋体" w:cs="宋体"/>
          <w:color w:val="000000" w:themeColor="text1"/>
          <w:highlight w:val="none"/>
          <w:u w:val="none"/>
          <w:lang w:val="en-US" w:eastAsia="zh-CN"/>
        </w:rPr>
        <w:t xml:space="preserve">货币单位：人民币元</w:t>
      </w:r>
      <w:r>
        <w:rPr>
          <w:rFonts w:ascii="宋体" w:hAnsi="宋体" w:eastAsia="宋体" w:cs="宋体"/>
          <w:color w:val="000000" w:themeColor="text1"/>
          <w:highlight w:val="none"/>
          <w:u w:val="none"/>
        </w:rPr>
      </w:r>
      <w:r>
        <w:rPr>
          <w:color w:val="000000" w:themeColor="text1"/>
        </w:rPr>
      </w:r>
    </w:p>
    <w:tbl>
      <w:tblPr>
        <w:tblW w:w="8914" w:type="dxa"/>
        <w:jc w:val="center"/>
        <w:tblInd w:w="-10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289"/>
        <w:gridCol w:w="2967"/>
        <w:gridCol w:w="2658"/>
      </w:tblGrid>
      <w:tr>
        <w:trPr>
          <w:cantSplit/>
          <w:trHeight w:val="884"/>
        </w:trPr>
        <w:tc>
          <w:tcPr>
            <w:tcW w:w="3289" w:type="dxa"/>
            <w:vAlign w:val="center"/>
            <w:textDirection w:val="lrTb"/>
            <w:noWrap w:val="false"/>
          </w:tcPr>
          <w:p>
            <w:pPr>
              <w:pStyle w:val="1012"/>
              <w:ind w:firstLine="200"/>
              <w:jc w:val="center"/>
              <w:spacing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项目名称</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2967" w:type="dxa"/>
            <w:vAlign w:val="center"/>
            <w:textDirection w:val="lrTb"/>
            <w:noWrap w:val="false"/>
          </w:tcPr>
          <w:p>
            <w:pPr>
              <w:pStyle w:val="1012"/>
              <w:ind w:firstLine="200"/>
              <w:jc w:val="center"/>
              <w:spacing w:line="274" w:lineRule="auto"/>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项目内容</w:t>
            </w:r>
            <w:r>
              <w:rPr>
                <w:rFonts w:ascii="宋体" w:hAnsi="宋体" w:eastAsia="宋体" w:cs="宋体"/>
                <w:color w:val="000000" w:themeColor="text1"/>
                <w:sz w:val="24"/>
                <w:szCs w:val="24"/>
                <w:highlight w:val="none"/>
                <w:lang w:val="en-US" w:eastAsia="zh-CN" w:bidi="ar-SA"/>
              </w:rPr>
            </w:r>
            <w:r>
              <w:rPr>
                <w:color w:val="000000" w:themeColor="text1"/>
              </w:rPr>
            </w:r>
          </w:p>
        </w:tc>
        <w:tc>
          <w:tcPr>
            <w:tcW w:w="2658" w:type="dxa"/>
            <w:vAlign w:val="center"/>
            <w:textDirection w:val="lrTb"/>
            <w:noWrap w:val="false"/>
          </w:tcPr>
          <w:p>
            <w:pPr>
              <w:pStyle w:val="1012"/>
              <w:ind w:firstLine="200"/>
              <w:jc w:val="center"/>
              <w:spacing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总价（小写）</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cantSplit/>
          <w:trHeight w:val="923"/>
        </w:trPr>
        <w:tc>
          <w:tcPr>
            <w:tcW w:w="3289" w:type="dxa"/>
            <w:vAlign w:val="center"/>
            <w:textDirection w:val="lrTb"/>
            <w:noWrap w:val="false"/>
          </w:tcPr>
          <w:p>
            <w:pPr>
              <w:pStyle w:val="1012"/>
              <w:ind w:firstLine="200"/>
              <w:jc w:val="center"/>
              <w:spacing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丰县中医医院机房改扩建项目</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2967" w:type="dxa"/>
            <w:vAlign w:val="center"/>
            <w:textDirection w:val="lrTb"/>
            <w:noWrap w:val="false"/>
          </w:tcPr>
          <w:p>
            <w:pPr>
              <w:pStyle w:val="1012"/>
              <w:ind w:firstLine="200"/>
              <w:jc w:val="center"/>
              <w:spacing w:line="274" w:lineRule="auto"/>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详见招标文件</w:t>
            </w:r>
            <w:r>
              <w:rPr>
                <w:rFonts w:ascii="宋体" w:hAnsi="宋体" w:eastAsia="宋体" w:cs="宋体"/>
                <w:color w:val="000000" w:themeColor="text1"/>
                <w:sz w:val="24"/>
                <w:szCs w:val="24"/>
                <w:highlight w:val="none"/>
                <w:lang w:val="en-US" w:eastAsia="zh-CN" w:bidi="ar-SA"/>
              </w:rPr>
            </w:r>
            <w:r>
              <w:rPr>
                <w:color w:val="000000" w:themeColor="text1"/>
              </w:rPr>
            </w:r>
          </w:p>
        </w:tc>
        <w:tc>
          <w:tcPr>
            <w:tcW w:w="2658" w:type="dxa"/>
            <w:vAlign w:val="center"/>
            <w:textDirection w:val="lrTb"/>
            <w:noWrap w:val="false"/>
          </w:tcPr>
          <w:p>
            <w:pPr>
              <w:pStyle w:val="1012"/>
              <w:ind w:firstLine="200"/>
              <w:jc w:val="center"/>
              <w:spacing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cantSplit/>
          <w:trHeight w:val="923"/>
        </w:trPr>
        <w:tc>
          <w:tcPr>
            <w:tcW w:w="3289" w:type="dxa"/>
            <w:vAlign w:val="center"/>
            <w:textDirection w:val="lrTb"/>
            <w:noWrap w:val="false"/>
          </w:tcPr>
          <w:p>
            <w:pPr>
              <w:pStyle w:val="1012"/>
              <w:ind w:firstLine="200"/>
              <w:jc w:val="center"/>
              <w:spacing w:line="274" w:lineRule="auto"/>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总价（大写）</w:t>
            </w:r>
            <w:r>
              <w:rPr>
                <w:rFonts w:ascii="宋体" w:hAnsi="宋体" w:eastAsia="宋体" w:cs="宋体"/>
                <w:color w:val="000000" w:themeColor="text1"/>
                <w:sz w:val="24"/>
                <w:szCs w:val="24"/>
                <w:highlight w:val="none"/>
                <w:lang w:val="en-US" w:eastAsia="zh-CN" w:bidi="ar-SA"/>
              </w:rPr>
            </w:r>
            <w:r>
              <w:rPr>
                <w:color w:val="000000" w:themeColor="text1"/>
              </w:rPr>
            </w:r>
          </w:p>
        </w:tc>
        <w:tc>
          <w:tcPr>
            <w:gridSpan w:val="2"/>
            <w:tcW w:w="5625" w:type="dxa"/>
            <w:vAlign w:val="center"/>
            <w:textDirection w:val="lrTb"/>
            <w:noWrap w:val="false"/>
          </w:tcPr>
          <w:p>
            <w:pPr>
              <w:pStyle w:val="1012"/>
              <w:ind w:firstLine="200"/>
              <w:jc w:val="center"/>
              <w:spacing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tc>
      </w:tr>
    </w:tbl>
    <w:p>
      <w:pPr>
        <w:pStyle w:val="1012"/>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1012"/>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1012"/>
        <w:ind w:firstLine="3120"/>
        <w:spacing w:line="30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1012"/>
        <w:ind w:firstLine="3120"/>
        <w:spacing w:line="30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1012"/>
        <w:ind w:firstLine="3120"/>
        <w:spacing w:line="30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1012"/>
        <w:ind w:firstLine="3120"/>
        <w:spacing w:line="30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1012"/>
        <w:ind w:firstLine="3120"/>
        <w:spacing w:line="30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1012"/>
        <w:ind w:firstLine="3120"/>
        <w:spacing w:line="30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1012"/>
        <w:ind w:firstLine="3120"/>
        <w:spacing w:line="30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（电子签章）</w:t>
      </w:r>
      <w:r>
        <w:rPr>
          <w:rFonts w:hint="eastAsia" w:ascii="宋体" w:hAnsi="宋体" w:eastAsia="宋体" w:cs="宋体"/>
          <w:color w:val="000000" w:themeColor="text1"/>
          <w:sz w:val="24"/>
          <w:szCs w:val="24"/>
          <w:highlight w:val="none"/>
        </w:rPr>
      </w:r>
      <w:r>
        <w:rPr>
          <w:color w:val="000000" w:themeColor="text1"/>
        </w:rPr>
      </w:r>
    </w:p>
    <w:p>
      <w:pPr>
        <w:pStyle w:val="1012"/>
        <w:ind w:firstLine="31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投标人授权代表：（签字或盖章） </w:t>
      </w:r>
      <w:r>
        <w:rPr>
          <w:rFonts w:hint="eastAsia" w:ascii="宋体" w:hAnsi="宋体" w:eastAsia="宋体" w:cs="宋体"/>
          <w:color w:val="000000" w:themeColor="text1"/>
          <w:sz w:val="24"/>
          <w:szCs w:val="24"/>
          <w:highlight w:val="none"/>
        </w:rPr>
      </w:r>
      <w:r>
        <w:rPr>
          <w:color w:val="000000" w:themeColor="text1"/>
        </w:rPr>
      </w:r>
    </w:p>
    <w:p>
      <w:pPr>
        <w:pStyle w:val="1012"/>
        <w:ind w:firstLine="31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日期：   年  月  日</w:t>
      </w:r>
      <w:r>
        <w:rPr>
          <w:rFonts w:hint="eastAsia" w:ascii="宋体" w:hAnsi="宋体" w:eastAsia="宋体" w:cs="宋体"/>
          <w:color w:val="000000" w:themeColor="text1"/>
          <w:sz w:val="24"/>
          <w:szCs w:val="24"/>
          <w:highlight w:val="none"/>
        </w:rPr>
      </w:r>
      <w:r>
        <w:rPr>
          <w:color w:val="000000" w:themeColor="text1"/>
        </w:rPr>
      </w:r>
    </w:p>
    <w:p>
      <w:pPr>
        <w:pStyle w:val="1012"/>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1012"/>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1084"/>
        <w:ind w:firstLine="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1084"/>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1012"/>
        <w:ind w:firstLine="0"/>
        <w:jc w:val="left"/>
        <w:rPr>
          <w:rFonts w:hint="eastAsia" w:ascii="宋体" w:hAnsi="宋体" w:eastAsia="宋体" w:cs="宋体"/>
          <w:color w:val="000000" w:themeColor="text1"/>
          <w:sz w:val="24"/>
          <w:szCs w:val="24"/>
          <w:highlight w:val="none"/>
        </w:rPr>
      </w:pPr>
      <w:r>
        <w:rPr>
          <w:color w:val="000000" w:themeColor="text1"/>
        </w:rPr>
      </w:r>
      <w:bookmarkStart w:id="71" w:name="_Toc26100_WPSOffice_Level2"/>
      <w:r>
        <w:rPr>
          <w:color w:val="000000" w:themeColor="text1"/>
        </w:rPr>
      </w:r>
      <w:bookmarkStart w:id="72" w:name="_Toc31553_WPSOffice_Level2"/>
      <w:r>
        <w:rPr>
          <w:rFonts w:hint="eastAsia" w:ascii="宋体" w:hAnsi="宋体" w:eastAsia="宋体" w:cs="宋体"/>
          <w:color w:val="000000" w:themeColor="text1"/>
          <w:sz w:val="24"/>
          <w:szCs w:val="24"/>
          <w:highlight w:val="none"/>
        </w:rPr>
      </w:r>
      <w:r>
        <w:rPr>
          <w:color w:val="000000" w:themeColor="text1"/>
        </w:rPr>
      </w:r>
    </w:p>
    <w:p>
      <w:pPr>
        <w:pStyle w:val="1012"/>
        <w:ind w:firstLine="0"/>
        <w:jc w:val="lef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1012"/>
        <w:ind w:firstLine="0"/>
        <w:jc w:val="lef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1012"/>
        <w:ind w:firstLine="0"/>
        <w:jc w:val="lef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1012"/>
        <w:ind w:firstLine="0"/>
        <w:jc w:val="lef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1012"/>
        <w:ind w:firstLine="0"/>
        <w:jc w:val="lef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1012"/>
        <w:ind w:firstLine="0"/>
        <w:jc w:val="lef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1012"/>
        <w:ind w:firstLine="0"/>
        <w:jc w:val="center"/>
        <w:spacing w:line="500" w:lineRule="exact"/>
        <w:rPr>
          <w:rFonts w:hint="eastAsia" w:ascii="宋体" w:hAnsi="宋体" w:eastAsia="宋体" w:cs="宋体"/>
          <w:b/>
          <w:color w:val="000000" w:themeColor="text1"/>
          <w:sz w:val="32"/>
          <w:szCs w:val="36"/>
          <w:highlight w:val="none"/>
        </w:rPr>
      </w:pPr>
      <w:r>
        <w:rPr>
          <w:rFonts w:hint="eastAsia" w:ascii="宋体" w:hAnsi="宋体" w:eastAsia="宋体" w:cs="宋体"/>
          <w:b/>
          <w:color w:val="000000" w:themeColor="text1"/>
          <w:sz w:val="32"/>
          <w:szCs w:val="36"/>
          <w:highlight w:val="none"/>
        </w:rPr>
      </w:r>
      <w:r>
        <w:rPr>
          <w:color w:val="000000" w:themeColor="text1"/>
        </w:rPr>
      </w:r>
    </w:p>
    <w:p>
      <w:pPr>
        <w:pStyle w:val="1012"/>
        <w:numPr>
          <w:ilvl w:val="0"/>
          <w:numId w:val="14"/>
        </w:numPr>
        <w:ind w:firstLine="0"/>
        <w:jc w:val="center"/>
        <w:rPr>
          <w:rFonts w:hint="eastAsia" w:ascii="宋体" w:hAnsi="宋体" w:eastAsia="宋体" w:cs="宋体"/>
          <w:b/>
          <w:bCs/>
          <w:color w:val="000000" w:themeColor="text1"/>
          <w:sz w:val="30"/>
          <w:szCs w:val="30"/>
          <w:highlight w:val="none"/>
        </w:rPr>
      </w:pPr>
      <w:r>
        <w:rPr>
          <w:rFonts w:hint="eastAsia" w:ascii="宋体" w:hAnsi="宋体" w:eastAsia="宋体" w:cs="宋体"/>
          <w:b/>
          <w:bCs/>
          <w:color w:val="000000" w:themeColor="text1"/>
          <w:sz w:val="30"/>
          <w:szCs w:val="30"/>
          <w:highlight w:val="none"/>
        </w:rPr>
        <w:t xml:space="preserve">分项价格表格式</w:t>
      </w:r>
      <w:r>
        <w:rPr>
          <w:rFonts w:hint="eastAsia" w:ascii="宋体" w:hAnsi="宋体" w:eastAsia="宋体" w:cs="宋体"/>
          <w:b/>
          <w:bCs/>
          <w:color w:val="000000" w:themeColor="text1"/>
          <w:sz w:val="30"/>
          <w:szCs w:val="30"/>
          <w:highlight w:val="none"/>
        </w:rPr>
      </w:r>
      <w:r>
        <w:rPr>
          <w:color w:val="000000" w:themeColor="text1"/>
        </w:rPr>
      </w:r>
    </w:p>
    <w:p>
      <w:pPr>
        <w:pStyle w:val="1012"/>
        <w:rPr>
          <w:rFonts w:hint="eastAsia" w:ascii="宋体" w:hAnsi="宋体" w:eastAsia="宋体" w:cs="宋体"/>
          <w:color w:val="000000" w:themeColor="text1"/>
          <w:sz w:val="24"/>
          <w:szCs w:val="24"/>
          <w:highlight w:val="none"/>
          <w:u w:val="none"/>
        </w:rPr>
      </w:pPr>
      <w:r>
        <w:rPr>
          <w:rFonts w:hint="eastAsia" w:ascii="宋体" w:hAnsi="宋体" w:eastAsia="宋体" w:cs="宋体"/>
          <w:color w:val="000000" w:themeColor="text1"/>
          <w:sz w:val="24"/>
          <w:szCs w:val="24"/>
          <w:highlight w:val="none"/>
          <w:u w:val="none"/>
        </w:rPr>
        <w:t xml:space="preserve">项目名称：</w:t>
      </w:r>
      <w:r>
        <w:rPr>
          <w:rFonts w:hint="eastAsia" w:ascii="宋体" w:hAnsi="宋体" w:eastAsia="宋体" w:cs="宋体"/>
          <w:color w:val="000000" w:themeColor="text1"/>
          <w:sz w:val="24"/>
          <w:szCs w:val="24"/>
          <w:highlight w:val="none"/>
          <w:u w:val="none"/>
          <w:lang w:eastAsia="zh-CN"/>
        </w:rPr>
        <w:t xml:space="preserve">丰县中医医院机房改扩建项目</w:t>
      </w:r>
      <w:r>
        <w:rPr>
          <w:rFonts w:hint="eastAsia" w:ascii="宋体" w:hAnsi="宋体" w:eastAsia="宋体" w:cs="宋体"/>
          <w:color w:val="000000" w:themeColor="text1"/>
          <w:sz w:val="24"/>
          <w:szCs w:val="24"/>
          <w:highlight w:val="none"/>
          <w:u w:val="none"/>
        </w:rPr>
      </w:r>
      <w:r>
        <w:rPr>
          <w:color w:val="000000" w:themeColor="text1"/>
        </w:rPr>
      </w:r>
    </w:p>
    <w:p>
      <w:pPr>
        <w:pStyle w:val="1012"/>
        <w:rPr>
          <w:rFonts w:hint="eastAsia" w:ascii="宋体" w:hAnsi="宋体" w:eastAsia="宋体" w:cs="宋体"/>
          <w:color w:val="000000" w:themeColor="text1"/>
          <w:highlight w:val="none"/>
          <w:u w:val="none"/>
        </w:rPr>
      </w:pPr>
      <w:r>
        <w:rPr>
          <w:rFonts w:hint="eastAsia" w:ascii="宋体" w:hAnsi="宋体" w:eastAsia="宋体" w:cs="宋体"/>
          <w:color w:val="000000" w:themeColor="text1"/>
          <w:sz w:val="24"/>
          <w:szCs w:val="24"/>
          <w:highlight w:val="none"/>
          <w:u w:val="none"/>
        </w:rPr>
        <w:t xml:space="preserve">项目编号：</w:t>
      </w:r>
      <w:r>
        <w:rPr>
          <w:rFonts w:hint="eastAsia" w:ascii="宋体" w:hAnsi="宋体" w:eastAsia="宋体" w:cs="宋体"/>
          <w:color w:val="000000" w:themeColor="text1"/>
          <w:highlight w:val="none"/>
          <w:u w:val="none"/>
          <w:lang w:val="en-US" w:eastAsia="zh-CN"/>
        </w:rPr>
        <w:t xml:space="preserve">JSZC-320321-JSTQ-G2026-0005</w:t>
      </w:r>
      <w:r>
        <w:rPr>
          <w:rFonts w:hint="eastAsia" w:ascii="宋体" w:hAnsi="宋体" w:eastAsia="宋体" w:cs="宋体"/>
          <w:color w:val="000000" w:themeColor="text1"/>
          <w:highlight w:val="none"/>
          <w:u w:val="none"/>
        </w:rPr>
      </w:r>
      <w:r>
        <w:rPr>
          <w:color w:val="000000" w:themeColor="text1"/>
        </w:rPr>
      </w:r>
    </w:p>
    <w:p>
      <w:pPr>
        <w:pStyle w:val="1012"/>
        <w:rPr>
          <w:rFonts w:hint="eastAsia" w:ascii="宋体" w:hAnsi="宋体" w:eastAsia="宋体" w:cs="宋体"/>
          <w:color w:val="000000" w:themeColor="text1"/>
          <w:highlight w:val="none"/>
          <w:u w:val="none"/>
        </w:rPr>
      </w:pPr>
      <w:r>
        <w:rPr>
          <w:rFonts w:hint="eastAsia" w:ascii="宋体" w:hAnsi="宋体" w:eastAsia="宋体" w:cs="宋体"/>
          <w:color w:val="000000" w:themeColor="text1"/>
          <w:highlight w:val="none"/>
          <w:u w:val="none"/>
          <w:lang w:val="en-US" w:eastAsia="zh-CN"/>
        </w:rPr>
        <w:t xml:space="preserve">货币单位：人民币元</w:t>
      </w:r>
      <w:r>
        <w:rPr>
          <w:rFonts w:hint="eastAsia" w:ascii="宋体" w:hAnsi="宋体" w:eastAsia="宋体" w:cs="宋体"/>
          <w:color w:val="000000" w:themeColor="text1"/>
          <w:highlight w:val="none"/>
          <w:u w:val="none"/>
        </w:rPr>
      </w:r>
      <w:r>
        <w:rPr>
          <w:color w:val="000000" w:themeColor="text1"/>
        </w:rPr>
      </w:r>
    </w:p>
    <w:p>
      <w:pPr>
        <w:pStyle w:val="1015"/>
        <w:rPr>
          <w:rFonts w:hint="eastAsia"/>
          <w:color w:val="000000" w:themeColor="text1"/>
        </w:rPr>
      </w:pPr>
      <w:r>
        <w:rPr>
          <w:rFonts w:hint="eastAsia"/>
          <w:color w:val="000000" w:themeColor="text1"/>
        </w:rPr>
      </w:r>
      <w:r>
        <w:rPr>
          <w:color w:val="000000" w:themeColor="text1"/>
        </w:rPr>
      </w:r>
    </w:p>
    <w:tbl>
      <w:tblPr>
        <w:tblW w:w="9323" w:type="dxa"/>
        <w:tblInd w:w="-15"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738"/>
        <w:gridCol w:w="774"/>
        <w:gridCol w:w="1350"/>
        <w:gridCol w:w="1765"/>
        <w:gridCol w:w="946"/>
        <w:gridCol w:w="1073"/>
        <w:gridCol w:w="1166"/>
        <w:gridCol w:w="1511"/>
      </w:tblGrid>
      <w:tr>
        <w:trPr>
          <w:trHeight w:val="583"/>
        </w:trPr>
        <w:tc>
          <w:tcPr>
            <w:shd w:val="clear" w:color="auto" w:fill="c0c0c0"/>
            <w:tcMar>
              <w:left w:w="15" w:type="dxa"/>
              <w:top w:w="15" w:type="dxa"/>
              <w:right w:w="15" w:type="dxa"/>
              <w:bottom w:w="0" w:type="dxa"/>
            </w:tcMar>
            <w:tcW w:w="738" w:type="dxa"/>
            <w:vAlign w:val="center"/>
            <w:textDirection w:val="lrTb"/>
            <w:noWrap w:val="false"/>
          </w:tcPr>
          <w:p>
            <w:pPr>
              <w:pStyle w:val="1012"/>
              <w:ind w:firstLine="200"/>
              <w:jc w:val="center"/>
              <w:spacing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序号</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shd w:val="clear" w:color="auto" w:fill="c0c0c0"/>
            <w:tcMar>
              <w:left w:w="15" w:type="dxa"/>
              <w:top w:w="15" w:type="dxa"/>
              <w:right w:w="15" w:type="dxa"/>
              <w:bottom w:w="0" w:type="dxa"/>
            </w:tcMar>
            <w:tcW w:w="774" w:type="dxa"/>
            <w:vAlign w:val="center"/>
            <w:textDirection w:val="lrTb"/>
            <w:noWrap w:val="false"/>
          </w:tcPr>
          <w:p>
            <w:pPr>
              <w:pStyle w:val="1012"/>
              <w:ind w:firstLine="200"/>
              <w:jc w:val="center"/>
              <w:spacing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名称</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shd w:val="clear" w:color="auto" w:fill="c0c0c0"/>
            <w:tcMar>
              <w:left w:w="15" w:type="dxa"/>
              <w:top w:w="15" w:type="dxa"/>
              <w:right w:w="15" w:type="dxa"/>
              <w:bottom w:w="0" w:type="dxa"/>
            </w:tcMar>
            <w:tcW w:w="1350" w:type="dxa"/>
            <w:vAlign w:val="center"/>
            <w:textDirection w:val="lrTb"/>
            <w:noWrap w:val="false"/>
          </w:tcPr>
          <w:p>
            <w:pPr>
              <w:pStyle w:val="1012"/>
              <w:ind w:firstLine="200"/>
              <w:jc w:val="center"/>
              <w:spacing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品牌、规格、型号</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shd w:val="clear" w:color="auto" w:fill="c0c0c0"/>
            <w:tcMar>
              <w:left w:w="15" w:type="dxa"/>
              <w:top w:w="15" w:type="dxa"/>
              <w:right w:w="15" w:type="dxa"/>
              <w:bottom w:w="0" w:type="dxa"/>
            </w:tcMar>
            <w:tcW w:w="1765" w:type="dxa"/>
            <w:vAlign w:val="center"/>
            <w:textDirection w:val="lrTb"/>
            <w:noWrap w:val="false"/>
          </w:tcPr>
          <w:p>
            <w:pPr>
              <w:pStyle w:val="1012"/>
              <w:ind w:firstLine="200"/>
              <w:jc w:val="center"/>
              <w:spacing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产品制造企业名称（全称）</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shd w:val="clear" w:color="auto" w:fill="c0c0c0"/>
            <w:tcMar>
              <w:left w:w="15" w:type="dxa"/>
              <w:top w:w="15" w:type="dxa"/>
              <w:right w:w="15" w:type="dxa"/>
              <w:bottom w:w="0" w:type="dxa"/>
            </w:tcMar>
            <w:tcW w:w="946" w:type="dxa"/>
            <w:vAlign w:val="center"/>
            <w:textDirection w:val="lrTb"/>
            <w:noWrap w:val="false"/>
          </w:tcPr>
          <w:p>
            <w:pPr>
              <w:pStyle w:val="1012"/>
              <w:ind w:firstLine="200"/>
              <w:jc w:val="center"/>
              <w:spacing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单位</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shd w:val="clear" w:color="auto" w:fill="c0c0c0"/>
            <w:tcMar>
              <w:left w:w="15" w:type="dxa"/>
              <w:top w:w="15" w:type="dxa"/>
              <w:right w:w="15" w:type="dxa"/>
              <w:bottom w:w="0" w:type="dxa"/>
            </w:tcMar>
            <w:tcW w:w="1073" w:type="dxa"/>
            <w:vAlign w:val="center"/>
            <w:textDirection w:val="lrTb"/>
            <w:noWrap w:val="false"/>
          </w:tcPr>
          <w:p>
            <w:pPr>
              <w:pStyle w:val="1012"/>
              <w:ind w:firstLine="200"/>
              <w:jc w:val="center"/>
              <w:spacing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数量</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shd w:val="clear" w:color="auto" w:fill="c0c0c0"/>
            <w:tcMar>
              <w:left w:w="15" w:type="dxa"/>
              <w:top w:w="15" w:type="dxa"/>
              <w:right w:w="15" w:type="dxa"/>
              <w:bottom w:w="0" w:type="dxa"/>
            </w:tcMar>
            <w:tcW w:w="1166" w:type="dxa"/>
            <w:vAlign w:val="center"/>
            <w:textDirection w:val="lrTb"/>
            <w:noWrap w:val="false"/>
          </w:tcPr>
          <w:p>
            <w:pPr>
              <w:pStyle w:val="1012"/>
              <w:ind w:firstLine="200"/>
              <w:jc w:val="center"/>
              <w:spacing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单价</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shd w:val="clear" w:color="auto" w:fill="c0c0c0"/>
            <w:tcMar>
              <w:left w:w="15" w:type="dxa"/>
              <w:top w:w="15" w:type="dxa"/>
              <w:right w:w="15" w:type="dxa"/>
              <w:bottom w:w="0" w:type="dxa"/>
            </w:tcMar>
            <w:tcW w:w="1511" w:type="dxa"/>
            <w:vAlign w:val="center"/>
            <w:textDirection w:val="lrTb"/>
            <w:noWrap w:val="false"/>
          </w:tcPr>
          <w:p>
            <w:pPr>
              <w:pStyle w:val="1012"/>
              <w:ind w:firstLine="200"/>
              <w:jc w:val="center"/>
              <w:spacing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总价</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300"/>
        </w:trPr>
        <w:tc>
          <w:tcPr>
            <w:tcMar>
              <w:left w:w="15" w:type="dxa"/>
              <w:top w:w="15" w:type="dxa"/>
              <w:right w:w="15" w:type="dxa"/>
              <w:bottom w:w="0" w:type="dxa"/>
            </w:tcMar>
            <w:tcW w:w="738" w:type="dxa"/>
            <w:vAlign w:val="bottom"/>
            <w:textDirection w:val="lrTb"/>
            <w:noWrap w:val="false"/>
          </w:tcPr>
          <w:p>
            <w:pPr>
              <w:pStyle w:val="1012"/>
              <w:ind w:firstLine="200"/>
              <w:jc w:val="center"/>
              <w:spacing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Mar>
              <w:left w:w="15" w:type="dxa"/>
              <w:top w:w="15" w:type="dxa"/>
              <w:right w:w="15" w:type="dxa"/>
              <w:bottom w:w="0" w:type="dxa"/>
            </w:tcMar>
            <w:tcW w:w="774" w:type="dxa"/>
            <w:vAlign w:val="bottom"/>
            <w:textDirection w:val="lrTb"/>
            <w:noWrap w:val="false"/>
          </w:tcPr>
          <w:p>
            <w:pPr>
              <w:pStyle w:val="1012"/>
              <w:ind w:firstLine="200"/>
              <w:jc w:val="center"/>
              <w:spacing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Mar>
              <w:left w:w="15" w:type="dxa"/>
              <w:top w:w="15" w:type="dxa"/>
              <w:right w:w="15" w:type="dxa"/>
              <w:bottom w:w="0" w:type="dxa"/>
            </w:tcMar>
            <w:tcW w:w="1350" w:type="dxa"/>
            <w:vAlign w:val="bottom"/>
            <w:textDirection w:val="lrTb"/>
            <w:noWrap w:val="false"/>
          </w:tcPr>
          <w:p>
            <w:pPr>
              <w:pStyle w:val="1012"/>
              <w:ind w:firstLine="200"/>
              <w:jc w:val="center"/>
              <w:spacing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Mar>
              <w:left w:w="15" w:type="dxa"/>
              <w:top w:w="15" w:type="dxa"/>
              <w:right w:w="15" w:type="dxa"/>
              <w:bottom w:w="0" w:type="dxa"/>
            </w:tcMar>
            <w:tcW w:w="1765" w:type="dxa"/>
            <w:vAlign w:val="top"/>
            <w:textDirection w:val="lrTb"/>
            <w:noWrap w:val="false"/>
          </w:tcPr>
          <w:p>
            <w:pPr>
              <w:pStyle w:val="1012"/>
              <w:ind w:firstLine="200"/>
              <w:jc w:val="center"/>
              <w:spacing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Mar>
              <w:left w:w="15" w:type="dxa"/>
              <w:top w:w="15" w:type="dxa"/>
              <w:right w:w="15" w:type="dxa"/>
              <w:bottom w:w="0" w:type="dxa"/>
            </w:tcMar>
            <w:tcW w:w="946" w:type="dxa"/>
            <w:vAlign w:val="bottom"/>
            <w:textDirection w:val="lrTb"/>
            <w:noWrap w:val="false"/>
          </w:tcPr>
          <w:p>
            <w:pPr>
              <w:pStyle w:val="1012"/>
              <w:ind w:firstLine="200"/>
              <w:jc w:val="center"/>
              <w:spacing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Mar>
              <w:left w:w="15" w:type="dxa"/>
              <w:top w:w="15" w:type="dxa"/>
              <w:right w:w="15" w:type="dxa"/>
              <w:bottom w:w="0" w:type="dxa"/>
            </w:tcMar>
            <w:tcW w:w="1073" w:type="dxa"/>
            <w:vAlign w:val="bottom"/>
            <w:textDirection w:val="lrTb"/>
            <w:noWrap w:val="false"/>
          </w:tcPr>
          <w:p>
            <w:pPr>
              <w:pStyle w:val="1012"/>
              <w:ind w:firstLine="200"/>
              <w:jc w:val="center"/>
              <w:spacing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Mar>
              <w:left w:w="15" w:type="dxa"/>
              <w:top w:w="15" w:type="dxa"/>
              <w:right w:w="15" w:type="dxa"/>
              <w:bottom w:w="0" w:type="dxa"/>
            </w:tcMar>
            <w:tcW w:w="1166" w:type="dxa"/>
            <w:vAlign w:val="bottom"/>
            <w:textDirection w:val="lrTb"/>
            <w:noWrap w:val="false"/>
          </w:tcPr>
          <w:p>
            <w:pPr>
              <w:pStyle w:val="1012"/>
              <w:ind w:firstLine="200"/>
              <w:jc w:val="center"/>
              <w:spacing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Mar>
              <w:left w:w="15" w:type="dxa"/>
              <w:top w:w="15" w:type="dxa"/>
              <w:right w:w="15" w:type="dxa"/>
              <w:bottom w:w="0" w:type="dxa"/>
            </w:tcMar>
            <w:tcW w:w="1511" w:type="dxa"/>
            <w:vAlign w:val="bottom"/>
            <w:textDirection w:val="lrTb"/>
            <w:noWrap w:val="false"/>
          </w:tcPr>
          <w:p>
            <w:pPr>
              <w:pStyle w:val="1012"/>
              <w:ind w:firstLine="200"/>
              <w:jc w:val="center"/>
              <w:spacing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214"/>
        </w:trPr>
        <w:tc>
          <w:tcPr>
            <w:tcMar>
              <w:left w:w="15" w:type="dxa"/>
              <w:top w:w="15" w:type="dxa"/>
              <w:right w:w="15" w:type="dxa"/>
              <w:bottom w:w="0" w:type="dxa"/>
            </w:tcMar>
            <w:tcW w:w="738" w:type="dxa"/>
            <w:vAlign w:val="bottom"/>
            <w:textDirection w:val="lrTb"/>
            <w:noWrap w:val="false"/>
          </w:tcPr>
          <w:p>
            <w:pPr>
              <w:pStyle w:val="1012"/>
              <w:ind w:firstLine="200"/>
              <w:jc w:val="center"/>
              <w:spacing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Mar>
              <w:left w:w="15" w:type="dxa"/>
              <w:top w:w="15" w:type="dxa"/>
              <w:right w:w="15" w:type="dxa"/>
              <w:bottom w:w="0" w:type="dxa"/>
            </w:tcMar>
            <w:tcW w:w="774" w:type="dxa"/>
            <w:vAlign w:val="bottom"/>
            <w:textDirection w:val="lrTb"/>
            <w:noWrap w:val="false"/>
          </w:tcPr>
          <w:p>
            <w:pPr>
              <w:pStyle w:val="1012"/>
              <w:ind w:firstLine="200"/>
              <w:jc w:val="center"/>
              <w:spacing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Mar>
              <w:left w:w="15" w:type="dxa"/>
              <w:top w:w="15" w:type="dxa"/>
              <w:right w:w="15" w:type="dxa"/>
              <w:bottom w:w="0" w:type="dxa"/>
            </w:tcMar>
            <w:tcW w:w="1350" w:type="dxa"/>
            <w:vAlign w:val="bottom"/>
            <w:textDirection w:val="lrTb"/>
            <w:noWrap w:val="false"/>
          </w:tcPr>
          <w:p>
            <w:pPr>
              <w:pStyle w:val="1012"/>
              <w:ind w:firstLine="200"/>
              <w:jc w:val="center"/>
              <w:spacing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Mar>
              <w:left w:w="15" w:type="dxa"/>
              <w:top w:w="15" w:type="dxa"/>
              <w:right w:w="15" w:type="dxa"/>
              <w:bottom w:w="0" w:type="dxa"/>
            </w:tcMar>
            <w:tcW w:w="1765" w:type="dxa"/>
            <w:vAlign w:val="top"/>
            <w:textDirection w:val="lrTb"/>
            <w:noWrap w:val="false"/>
          </w:tcPr>
          <w:p>
            <w:pPr>
              <w:pStyle w:val="1012"/>
              <w:ind w:firstLine="200"/>
              <w:jc w:val="center"/>
              <w:spacing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Mar>
              <w:left w:w="15" w:type="dxa"/>
              <w:top w:w="15" w:type="dxa"/>
              <w:right w:w="15" w:type="dxa"/>
              <w:bottom w:w="0" w:type="dxa"/>
            </w:tcMar>
            <w:tcW w:w="946" w:type="dxa"/>
            <w:vAlign w:val="bottom"/>
            <w:textDirection w:val="lrTb"/>
            <w:noWrap w:val="false"/>
          </w:tcPr>
          <w:p>
            <w:pPr>
              <w:pStyle w:val="1012"/>
              <w:ind w:firstLine="200"/>
              <w:jc w:val="center"/>
              <w:spacing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Mar>
              <w:left w:w="15" w:type="dxa"/>
              <w:top w:w="15" w:type="dxa"/>
              <w:right w:w="15" w:type="dxa"/>
              <w:bottom w:w="0" w:type="dxa"/>
            </w:tcMar>
            <w:tcW w:w="1073" w:type="dxa"/>
            <w:vAlign w:val="bottom"/>
            <w:textDirection w:val="lrTb"/>
            <w:noWrap w:val="false"/>
          </w:tcPr>
          <w:p>
            <w:pPr>
              <w:pStyle w:val="1012"/>
              <w:ind w:firstLine="200"/>
              <w:jc w:val="center"/>
              <w:spacing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Mar>
              <w:left w:w="15" w:type="dxa"/>
              <w:top w:w="15" w:type="dxa"/>
              <w:right w:w="15" w:type="dxa"/>
              <w:bottom w:w="0" w:type="dxa"/>
            </w:tcMar>
            <w:tcW w:w="1166" w:type="dxa"/>
            <w:vAlign w:val="bottom"/>
            <w:textDirection w:val="lrTb"/>
            <w:noWrap w:val="false"/>
          </w:tcPr>
          <w:p>
            <w:pPr>
              <w:pStyle w:val="1012"/>
              <w:ind w:firstLine="200"/>
              <w:jc w:val="center"/>
              <w:spacing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Mar>
              <w:left w:w="15" w:type="dxa"/>
              <w:top w:w="15" w:type="dxa"/>
              <w:right w:w="15" w:type="dxa"/>
              <w:bottom w:w="0" w:type="dxa"/>
            </w:tcMar>
            <w:tcW w:w="1511" w:type="dxa"/>
            <w:vAlign w:val="bottom"/>
            <w:textDirection w:val="lrTb"/>
            <w:noWrap w:val="false"/>
          </w:tcPr>
          <w:p>
            <w:pPr>
              <w:pStyle w:val="1012"/>
              <w:ind w:firstLine="200"/>
              <w:jc w:val="center"/>
              <w:spacing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214"/>
        </w:trPr>
        <w:tc>
          <w:tcPr>
            <w:tcMar>
              <w:left w:w="15" w:type="dxa"/>
              <w:top w:w="15" w:type="dxa"/>
              <w:right w:w="15" w:type="dxa"/>
              <w:bottom w:w="0" w:type="dxa"/>
            </w:tcMar>
            <w:tcW w:w="738" w:type="dxa"/>
            <w:vAlign w:val="bottom"/>
            <w:textDirection w:val="lrTb"/>
            <w:noWrap w:val="false"/>
          </w:tcPr>
          <w:p>
            <w:pPr>
              <w:pStyle w:val="1012"/>
              <w:ind w:firstLine="200"/>
              <w:jc w:val="center"/>
              <w:spacing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3</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Mar>
              <w:left w:w="15" w:type="dxa"/>
              <w:top w:w="15" w:type="dxa"/>
              <w:right w:w="15" w:type="dxa"/>
              <w:bottom w:w="0" w:type="dxa"/>
            </w:tcMar>
            <w:tcW w:w="774" w:type="dxa"/>
            <w:vAlign w:val="bottom"/>
            <w:textDirection w:val="lrTb"/>
            <w:noWrap w:val="false"/>
          </w:tcPr>
          <w:p>
            <w:pPr>
              <w:pStyle w:val="1012"/>
              <w:ind w:firstLine="200"/>
              <w:jc w:val="center"/>
              <w:spacing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Mar>
              <w:left w:w="15" w:type="dxa"/>
              <w:top w:w="15" w:type="dxa"/>
              <w:right w:w="15" w:type="dxa"/>
              <w:bottom w:w="0" w:type="dxa"/>
            </w:tcMar>
            <w:tcW w:w="1350" w:type="dxa"/>
            <w:vAlign w:val="bottom"/>
            <w:textDirection w:val="lrTb"/>
            <w:noWrap w:val="false"/>
          </w:tcPr>
          <w:p>
            <w:pPr>
              <w:pStyle w:val="1012"/>
              <w:ind w:firstLine="200"/>
              <w:jc w:val="center"/>
              <w:spacing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Mar>
              <w:left w:w="15" w:type="dxa"/>
              <w:top w:w="15" w:type="dxa"/>
              <w:right w:w="15" w:type="dxa"/>
              <w:bottom w:w="0" w:type="dxa"/>
            </w:tcMar>
            <w:tcW w:w="1765" w:type="dxa"/>
            <w:vAlign w:val="top"/>
            <w:textDirection w:val="lrTb"/>
            <w:noWrap w:val="false"/>
          </w:tcPr>
          <w:p>
            <w:pPr>
              <w:pStyle w:val="1012"/>
              <w:ind w:firstLine="200"/>
              <w:jc w:val="center"/>
              <w:spacing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Mar>
              <w:left w:w="15" w:type="dxa"/>
              <w:top w:w="15" w:type="dxa"/>
              <w:right w:w="15" w:type="dxa"/>
              <w:bottom w:w="0" w:type="dxa"/>
            </w:tcMar>
            <w:tcW w:w="946" w:type="dxa"/>
            <w:vAlign w:val="bottom"/>
            <w:textDirection w:val="lrTb"/>
            <w:noWrap w:val="false"/>
          </w:tcPr>
          <w:p>
            <w:pPr>
              <w:pStyle w:val="1012"/>
              <w:ind w:firstLine="200"/>
              <w:jc w:val="center"/>
              <w:spacing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Mar>
              <w:left w:w="15" w:type="dxa"/>
              <w:top w:w="15" w:type="dxa"/>
              <w:right w:w="15" w:type="dxa"/>
              <w:bottom w:w="0" w:type="dxa"/>
            </w:tcMar>
            <w:tcW w:w="1073" w:type="dxa"/>
            <w:vAlign w:val="bottom"/>
            <w:textDirection w:val="lrTb"/>
            <w:noWrap w:val="false"/>
          </w:tcPr>
          <w:p>
            <w:pPr>
              <w:pStyle w:val="1012"/>
              <w:ind w:firstLine="200"/>
              <w:jc w:val="center"/>
              <w:spacing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Mar>
              <w:left w:w="15" w:type="dxa"/>
              <w:top w:w="15" w:type="dxa"/>
              <w:right w:w="15" w:type="dxa"/>
              <w:bottom w:w="0" w:type="dxa"/>
            </w:tcMar>
            <w:tcW w:w="1166" w:type="dxa"/>
            <w:vAlign w:val="bottom"/>
            <w:textDirection w:val="lrTb"/>
            <w:noWrap w:val="false"/>
          </w:tcPr>
          <w:p>
            <w:pPr>
              <w:pStyle w:val="1012"/>
              <w:ind w:firstLine="200"/>
              <w:jc w:val="center"/>
              <w:spacing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Mar>
              <w:left w:w="15" w:type="dxa"/>
              <w:top w:w="15" w:type="dxa"/>
              <w:right w:w="15" w:type="dxa"/>
              <w:bottom w:w="0" w:type="dxa"/>
            </w:tcMar>
            <w:tcW w:w="1511" w:type="dxa"/>
            <w:vAlign w:val="bottom"/>
            <w:textDirection w:val="lrTb"/>
            <w:noWrap w:val="false"/>
          </w:tcPr>
          <w:p>
            <w:pPr>
              <w:pStyle w:val="1012"/>
              <w:ind w:firstLine="200"/>
              <w:jc w:val="center"/>
              <w:spacing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388"/>
        </w:trPr>
        <w:tc>
          <w:tcPr>
            <w:gridSpan w:val="4"/>
            <w:tcMar>
              <w:left w:w="15" w:type="dxa"/>
              <w:top w:w="15" w:type="dxa"/>
              <w:right w:w="15" w:type="dxa"/>
              <w:bottom w:w="0" w:type="dxa"/>
            </w:tcMar>
            <w:tcW w:w="4627" w:type="dxa"/>
            <w:vAlign w:val="bottom"/>
            <w:textDirection w:val="lrTb"/>
            <w:noWrap w:val="false"/>
          </w:tcPr>
          <w:p>
            <w:pPr>
              <w:pStyle w:val="1012"/>
              <w:ind w:firstLine="200"/>
              <w:jc w:val="center"/>
              <w:spacing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总价合计（即《开标一览表》中的“总价”）</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gridSpan w:val="4"/>
            <w:tcMar>
              <w:left w:w="15" w:type="dxa"/>
              <w:top w:w="15" w:type="dxa"/>
              <w:right w:w="15" w:type="dxa"/>
              <w:bottom w:w="0" w:type="dxa"/>
            </w:tcMar>
            <w:tcW w:w="4696" w:type="dxa"/>
            <w:vAlign w:val="bottom"/>
            <w:textDirection w:val="lrTb"/>
            <w:noWrap w:val="false"/>
          </w:tcPr>
          <w:p>
            <w:pPr>
              <w:pStyle w:val="1012"/>
              <w:ind w:firstLine="200"/>
              <w:jc w:val="center"/>
              <w:spacing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tc>
      </w:tr>
    </w:tbl>
    <w:p>
      <w:pPr>
        <w:pStyle w:val="1012"/>
        <w:ind w:firstLine="2280"/>
        <w:jc w:val="left"/>
        <w:spacing w:line="480" w:lineRule="exact"/>
        <w:tabs>
          <w:tab w:val="left" w:pos="2199"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ab/>
      </w:r>
      <w:r>
        <w:rPr>
          <w:rFonts w:hint="eastAsia" w:ascii="宋体" w:hAnsi="宋体" w:eastAsia="宋体" w:cs="宋体"/>
          <w:color w:val="000000" w:themeColor="text1"/>
          <w:sz w:val="24"/>
          <w:szCs w:val="24"/>
          <w:highlight w:val="none"/>
        </w:rPr>
      </w:r>
      <w:r>
        <w:rPr>
          <w:color w:val="000000" w:themeColor="text1"/>
        </w:rPr>
      </w:r>
    </w:p>
    <w:p>
      <w:pPr>
        <w:pStyle w:val="1012"/>
        <w:ind w:firstLine="2280"/>
        <w:jc w:val="left"/>
        <w:spacing w:line="480" w:lineRule="exact"/>
        <w:tabs>
          <w:tab w:val="left" w:pos="2199"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1012"/>
        <w:ind w:firstLine="3120"/>
        <w:jc w:val="right"/>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投标人：（</w:t>
      </w:r>
      <w:r>
        <w:rPr>
          <w:rFonts w:hint="eastAsia" w:ascii="宋体" w:hAnsi="宋体" w:eastAsia="宋体" w:cs="宋体"/>
          <w:color w:val="000000" w:themeColor="text1"/>
          <w:sz w:val="24"/>
          <w:szCs w:val="24"/>
          <w:highlight w:val="none"/>
          <w:lang w:val="en-US" w:eastAsia="zh-CN"/>
        </w:rPr>
        <w:t xml:space="preserve">电子签章</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1012"/>
        <w:ind w:firstLine="3120"/>
        <w:jc w:val="right"/>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rPr>
      </w:r>
      <w:r>
        <w:rPr>
          <w:color w:val="000000" w:themeColor="text1"/>
        </w:rPr>
      </w:r>
    </w:p>
    <w:p>
      <w:pPr>
        <w:pStyle w:val="1012"/>
        <w:ind w:firstLine="3120"/>
        <w:jc w:val="right"/>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投标人授权代表：（签字或盖章）  </w:t>
      </w:r>
      <w:r>
        <w:rPr>
          <w:rFonts w:hint="eastAsia" w:ascii="宋体" w:hAnsi="宋体" w:eastAsia="宋体" w:cs="宋体"/>
          <w:color w:val="000000" w:themeColor="text1"/>
          <w:sz w:val="24"/>
          <w:szCs w:val="24"/>
          <w:highlight w:val="none"/>
        </w:rPr>
      </w:r>
      <w:r>
        <w:rPr>
          <w:color w:val="000000" w:themeColor="text1"/>
        </w:rPr>
      </w:r>
    </w:p>
    <w:p>
      <w:pPr>
        <w:pStyle w:val="1012"/>
        <w:ind w:firstLine="3120"/>
        <w:jc w:val="right"/>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1012"/>
        <w:ind w:firstLine="3120"/>
        <w:jc w:val="right"/>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日期：   年  月  日</w:t>
      </w:r>
      <w:r>
        <w:rPr>
          <w:rFonts w:hint="eastAsia" w:ascii="宋体" w:hAnsi="宋体" w:eastAsia="宋体" w:cs="宋体"/>
          <w:color w:val="000000" w:themeColor="text1"/>
          <w:sz w:val="24"/>
          <w:szCs w:val="24"/>
          <w:highlight w:val="none"/>
        </w:rPr>
      </w:r>
      <w:r>
        <w:rPr>
          <w:color w:val="000000" w:themeColor="text1"/>
        </w:rPr>
      </w:r>
    </w:p>
    <w:p>
      <w:pPr>
        <w:pStyle w:val="1012"/>
        <w:ind w:firstLine="480"/>
        <w:jc w:val="left"/>
        <w:spacing w:line="4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1012"/>
        <w:ind w:firstLine="480"/>
        <w:jc w:val="left"/>
        <w:spacing w:line="4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注：①如果不提供详细分项报价的，将视为没有实质性响应招标文件。</w:t>
      </w:r>
      <w:r>
        <w:rPr>
          <w:rFonts w:hint="eastAsia" w:ascii="宋体" w:hAnsi="宋体" w:eastAsia="宋体" w:cs="宋体"/>
          <w:color w:val="000000" w:themeColor="text1"/>
          <w:sz w:val="24"/>
          <w:szCs w:val="24"/>
          <w:highlight w:val="none"/>
        </w:rPr>
      </w:r>
      <w:r>
        <w:rPr>
          <w:color w:val="000000" w:themeColor="text1"/>
        </w:rPr>
      </w:r>
    </w:p>
    <w:p>
      <w:pPr>
        <w:pStyle w:val="1012"/>
        <w:ind w:firstLine="960"/>
        <w:jc w:val="left"/>
        <w:spacing w:line="4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②投标人对以上数据的真实性负责。</w:t>
      </w:r>
      <w:r>
        <w:rPr>
          <w:rFonts w:hint="eastAsia" w:ascii="宋体" w:hAnsi="宋体" w:eastAsia="宋体" w:cs="宋体"/>
          <w:color w:val="000000" w:themeColor="text1"/>
          <w:sz w:val="24"/>
          <w:szCs w:val="24"/>
          <w:highlight w:val="none"/>
        </w:rPr>
      </w:r>
      <w:r>
        <w:rPr>
          <w:color w:val="000000" w:themeColor="text1"/>
        </w:rPr>
      </w:r>
    </w:p>
    <w:p>
      <w:pPr>
        <w:pStyle w:val="1012"/>
        <w:ind w:firstLine="480"/>
        <w:jc w:val="left"/>
        <w:spacing w:line="480" w:lineRule="exact"/>
        <w:rPr>
          <w:rFonts w:ascii="仿宋" w:hAnsi="仿宋" w:eastAsia="仿宋"/>
          <w:color w:val="000000" w:themeColor="text1"/>
          <w:sz w:val="30"/>
          <w:szCs w:val="30"/>
          <w:highlight w:val="none"/>
        </w:rPr>
      </w:pPr>
      <w:r>
        <w:rPr>
          <w:rFonts w:hint="eastAsia" w:ascii="宋体" w:hAnsi="宋体" w:eastAsia="宋体" w:cs="宋体"/>
          <w:color w:val="000000" w:themeColor="text1"/>
          <w:sz w:val="24"/>
          <w:szCs w:val="24"/>
          <w:highlight w:val="none"/>
          <w:lang w:eastAsia="zh-CN"/>
        </w:rPr>
        <w:t xml:space="preserve">江苏天奇项目管理咨询有限公司</w:t>
      </w:r>
      <w:r>
        <w:rPr>
          <w:rFonts w:hint="eastAsia" w:ascii="宋体" w:hAnsi="宋体" w:eastAsia="宋体" w:cs="宋体"/>
          <w:color w:val="000000" w:themeColor="text1"/>
          <w:sz w:val="24"/>
          <w:szCs w:val="24"/>
          <w:highlight w:val="none"/>
        </w:rPr>
        <w:t xml:space="preserve">有权将以上内容进行公示。</w:t>
      </w:r>
      <w:r>
        <w:rPr>
          <w:rFonts w:ascii="仿宋" w:hAnsi="仿宋" w:eastAsia="仿宋"/>
          <w:color w:val="000000" w:themeColor="text1"/>
          <w:sz w:val="30"/>
          <w:szCs w:val="30"/>
          <w:highlight w:val="none"/>
        </w:rPr>
      </w:r>
      <w:r>
        <w:rPr>
          <w:color w:val="000000" w:themeColor="text1"/>
        </w:rPr>
      </w:r>
    </w:p>
    <w:p>
      <w:pPr>
        <w:pStyle w:val="1071"/>
        <w:rPr>
          <w:rFonts w:hint="eastAsia" w:ascii="宋体" w:hAnsi="宋体" w:eastAsia="宋体" w:cs="宋体"/>
          <w:b/>
          <w:color w:val="000000" w:themeColor="text1"/>
          <w:sz w:val="32"/>
          <w:szCs w:val="36"/>
          <w:highlight w:val="none"/>
        </w:rPr>
      </w:pPr>
      <w:r>
        <w:rPr>
          <w:rFonts w:hint="eastAsia" w:ascii="宋体" w:hAnsi="宋体" w:eastAsia="宋体" w:cs="宋体"/>
          <w:b/>
          <w:color w:val="000000" w:themeColor="text1"/>
          <w:sz w:val="32"/>
          <w:szCs w:val="36"/>
          <w:highlight w:val="none"/>
        </w:rPr>
      </w:r>
      <w:r>
        <w:rPr>
          <w:color w:val="000000" w:themeColor="text1"/>
        </w:rPr>
      </w:r>
    </w:p>
    <w:p>
      <w:pPr>
        <w:pStyle w:val="1012"/>
        <w:rPr>
          <w:rFonts w:hint="eastAsia" w:ascii="宋体" w:hAnsi="宋体" w:eastAsia="宋体" w:cs="宋体"/>
          <w:b/>
          <w:color w:val="000000" w:themeColor="text1"/>
          <w:sz w:val="32"/>
          <w:szCs w:val="36"/>
          <w:highlight w:val="none"/>
        </w:rPr>
      </w:pPr>
      <w:r>
        <w:rPr>
          <w:rFonts w:hint="eastAsia" w:ascii="宋体" w:hAnsi="宋体" w:eastAsia="宋体" w:cs="宋体"/>
          <w:b/>
          <w:color w:val="000000" w:themeColor="text1"/>
          <w:sz w:val="32"/>
          <w:szCs w:val="36"/>
          <w:highlight w:val="none"/>
        </w:rPr>
      </w:r>
      <w:r>
        <w:rPr>
          <w:color w:val="000000" w:themeColor="text1"/>
        </w:rPr>
      </w:r>
    </w:p>
    <w:p>
      <w:pPr>
        <w:pStyle w:val="1071"/>
        <w:rPr>
          <w:rFonts w:hint="eastAsia" w:ascii="宋体" w:hAnsi="宋体" w:eastAsia="宋体" w:cs="宋体"/>
          <w:b/>
          <w:color w:val="000000" w:themeColor="text1"/>
          <w:sz w:val="32"/>
          <w:szCs w:val="36"/>
          <w:highlight w:val="none"/>
        </w:rPr>
      </w:pPr>
      <w:r>
        <w:rPr>
          <w:rFonts w:hint="eastAsia" w:ascii="宋体" w:hAnsi="宋体" w:eastAsia="宋体" w:cs="宋体"/>
          <w:b/>
          <w:color w:val="000000" w:themeColor="text1"/>
          <w:sz w:val="32"/>
          <w:szCs w:val="36"/>
          <w:highlight w:val="none"/>
        </w:rPr>
      </w:r>
      <w:r>
        <w:rPr>
          <w:color w:val="000000" w:themeColor="text1"/>
        </w:rPr>
      </w:r>
    </w:p>
    <w:p>
      <w:pPr>
        <w:pStyle w:val="1012"/>
        <w:rPr>
          <w:rFonts w:hint="eastAsia" w:ascii="宋体" w:hAnsi="宋体" w:eastAsia="宋体" w:cs="宋体"/>
          <w:b/>
          <w:color w:val="000000" w:themeColor="text1"/>
          <w:sz w:val="32"/>
          <w:szCs w:val="36"/>
          <w:highlight w:val="none"/>
        </w:rPr>
      </w:pPr>
      <w:r>
        <w:rPr>
          <w:rFonts w:hint="eastAsia" w:ascii="宋体" w:hAnsi="宋体" w:eastAsia="宋体" w:cs="宋体"/>
          <w:b/>
          <w:color w:val="000000" w:themeColor="text1"/>
          <w:sz w:val="32"/>
          <w:szCs w:val="36"/>
          <w:highlight w:val="none"/>
        </w:rPr>
      </w:r>
      <w:r>
        <w:rPr>
          <w:color w:val="000000" w:themeColor="text1"/>
        </w:rPr>
      </w:r>
    </w:p>
    <w:p>
      <w:pPr>
        <w:pStyle w:val="1071"/>
        <w:rPr>
          <w:rFonts w:hint="eastAsia" w:ascii="宋体" w:hAnsi="宋体" w:eastAsia="宋体" w:cs="宋体"/>
          <w:b/>
          <w:color w:val="000000" w:themeColor="text1"/>
          <w:sz w:val="32"/>
          <w:szCs w:val="36"/>
          <w:highlight w:val="none"/>
        </w:rPr>
      </w:pPr>
      <w:r>
        <w:rPr>
          <w:color w:val="000000" w:themeColor="text1"/>
        </w:rPr>
      </w:r>
      <w:bookmarkEnd w:id="71"/>
      <w:r>
        <w:rPr>
          <w:color w:val="000000" w:themeColor="text1"/>
        </w:rPr>
      </w:r>
      <w:bookmarkEnd w:id="72"/>
      <w:r>
        <w:rPr>
          <w:rFonts w:hint="eastAsia" w:ascii="宋体" w:hAnsi="宋体" w:eastAsia="宋体" w:cs="宋体"/>
          <w:b/>
          <w:color w:val="000000" w:themeColor="text1"/>
          <w:sz w:val="32"/>
          <w:szCs w:val="36"/>
          <w:highlight w:val="none"/>
        </w:rPr>
      </w:r>
      <w:r>
        <w:rPr>
          <w:color w:val="000000" w:themeColor="text1"/>
        </w:rPr>
      </w:r>
    </w:p>
    <w:p>
      <w:pPr>
        <w:pStyle w:val="1012"/>
        <w:rPr>
          <w:rFonts w:hint="eastAsia" w:ascii="宋体" w:hAnsi="宋体" w:eastAsia="宋体" w:cs="宋体"/>
          <w:b/>
          <w:color w:val="000000" w:themeColor="text1"/>
          <w:sz w:val="32"/>
          <w:szCs w:val="36"/>
          <w:highlight w:val="none"/>
        </w:rPr>
      </w:pPr>
      <w:r>
        <w:rPr>
          <w:rFonts w:hint="eastAsia" w:ascii="宋体" w:hAnsi="宋体" w:eastAsia="宋体" w:cs="宋体"/>
          <w:b/>
          <w:color w:val="000000" w:themeColor="text1"/>
          <w:sz w:val="32"/>
          <w:szCs w:val="36"/>
          <w:highlight w:val="none"/>
        </w:rPr>
      </w:r>
      <w:r>
        <w:rPr>
          <w:color w:val="000000" w:themeColor="text1"/>
        </w:rPr>
      </w:r>
    </w:p>
    <w:p>
      <w:pPr>
        <w:pStyle w:val="1089"/>
        <w:ind w:firstLine="0"/>
        <w:jc w:val="both"/>
        <w:spacing w:line="500" w:lineRule="exact"/>
        <w:rPr>
          <w:rFonts w:hint="eastAsia" w:ascii="宋体" w:hAnsi="宋体" w:cs="宋体"/>
          <w:b/>
          <w:bCs/>
          <w:color w:val="000000" w:themeColor="text1"/>
          <w:sz w:val="30"/>
          <w:szCs w:val="30"/>
          <w:highlight w:val="none"/>
        </w:rPr>
      </w:pPr>
      <w:r>
        <w:rPr>
          <w:rFonts w:hint="eastAsia" w:ascii="宋体" w:hAnsi="宋体" w:cs="宋体"/>
          <w:b/>
          <w:bCs/>
          <w:color w:val="000000" w:themeColor="text1"/>
          <w:sz w:val="30"/>
          <w:szCs w:val="30"/>
          <w:highlight w:val="none"/>
        </w:rPr>
      </w:r>
      <w:r>
        <w:rPr>
          <w:color w:val="000000" w:themeColor="text1"/>
        </w:rPr>
      </w:r>
    </w:p>
    <w:p>
      <w:pPr>
        <w:pStyle w:val="1016"/>
        <w:rPr>
          <w:rFonts w:hint="eastAsia" w:ascii="宋体" w:hAnsi="宋体" w:cs="宋体"/>
          <w:b/>
          <w:bCs/>
          <w:color w:val="000000" w:themeColor="text1"/>
          <w:sz w:val="30"/>
          <w:szCs w:val="30"/>
          <w:highlight w:val="none"/>
        </w:rPr>
      </w:pPr>
      <w:r>
        <w:rPr>
          <w:rFonts w:hint="eastAsia" w:ascii="宋体" w:hAnsi="宋体" w:cs="宋体"/>
          <w:b/>
          <w:bCs/>
          <w:color w:val="000000" w:themeColor="text1"/>
          <w:sz w:val="30"/>
          <w:szCs w:val="30"/>
          <w:highlight w:val="none"/>
        </w:rPr>
      </w:r>
      <w:r>
        <w:rPr>
          <w:color w:val="000000" w:themeColor="text1"/>
        </w:rPr>
      </w:r>
    </w:p>
    <w:p>
      <w:pPr>
        <w:pStyle w:val="1015"/>
        <w:rPr>
          <w:rFonts w:hint="eastAsia"/>
          <w:color w:val="000000" w:themeColor="text1"/>
        </w:rPr>
      </w:pPr>
      <w:r>
        <w:rPr>
          <w:rFonts w:hint="eastAsia"/>
          <w:color w:val="000000" w:themeColor="text1"/>
        </w:rPr>
      </w:r>
      <w:r>
        <w:rPr>
          <w:color w:val="000000" w:themeColor="text1"/>
        </w:rPr>
      </w:r>
    </w:p>
    <w:p>
      <w:pPr>
        <w:pStyle w:val="1089"/>
        <w:ind w:firstLine="0"/>
        <w:jc w:val="center"/>
        <w:spacing w:line="500" w:lineRule="exact"/>
        <w:rPr>
          <w:rFonts w:hint="eastAsia" w:ascii="宋体" w:hAnsi="宋体" w:cs="宋体"/>
          <w:b/>
          <w:bCs/>
          <w:color w:val="000000" w:themeColor="text1"/>
          <w:sz w:val="30"/>
          <w:szCs w:val="30"/>
          <w:highlight w:val="none"/>
        </w:rPr>
      </w:pPr>
      <w:r>
        <w:rPr>
          <w:rFonts w:hint="eastAsia" w:ascii="宋体" w:hAnsi="宋体" w:cs="宋体"/>
          <w:b/>
          <w:bCs/>
          <w:color w:val="000000" w:themeColor="text1"/>
          <w:sz w:val="30"/>
          <w:szCs w:val="30"/>
          <w:highlight w:val="none"/>
          <w:lang w:val="en-US" w:eastAsia="zh-CN"/>
        </w:rPr>
        <w:t xml:space="preserve">4</w:t>
      </w:r>
      <w:r>
        <w:rPr>
          <w:rFonts w:hint="eastAsia" w:ascii="宋体" w:hAnsi="宋体" w:cs="宋体"/>
          <w:b/>
          <w:bCs/>
          <w:color w:val="000000" w:themeColor="text1"/>
          <w:sz w:val="30"/>
          <w:szCs w:val="30"/>
          <w:highlight w:val="none"/>
        </w:rPr>
        <w:t xml:space="preserve">.偏离表</w:t>
      </w:r>
      <w:r>
        <w:rPr>
          <w:rFonts w:hint="eastAsia" w:ascii="宋体" w:hAnsi="宋体" w:cs="宋体"/>
          <w:b/>
          <w:bCs/>
          <w:color w:val="000000" w:themeColor="text1"/>
          <w:sz w:val="30"/>
          <w:szCs w:val="30"/>
          <w:highlight w:val="none"/>
        </w:rPr>
      </w:r>
      <w:r>
        <w:rPr>
          <w:color w:val="000000" w:themeColor="text1"/>
        </w:rPr>
      </w:r>
    </w:p>
    <w:p>
      <w:pPr>
        <w:pStyle w:val="1012"/>
        <w:ind w:left="0" w:firstLine="0"/>
        <w:rPr>
          <w:rFonts w:hint="eastAsia" w:ascii="宋体" w:hAnsi="宋体" w:eastAsia="宋体" w:cs="宋体"/>
          <w:color w:val="000000" w:themeColor="text1"/>
          <w:sz w:val="24"/>
          <w:szCs w:val="24"/>
          <w:highlight w:val="none"/>
          <w:u w:val="none"/>
        </w:rPr>
      </w:pPr>
      <w:r>
        <w:rPr>
          <w:rFonts w:hint="eastAsia" w:ascii="宋体" w:hAnsi="宋体" w:eastAsia="宋体" w:cs="宋体"/>
          <w:color w:val="000000" w:themeColor="text1"/>
          <w:sz w:val="24"/>
          <w:szCs w:val="24"/>
          <w:highlight w:val="none"/>
        </w:rPr>
        <w:t xml:space="preserve">项目名称：</w:t>
      </w:r>
      <w:r>
        <w:rPr>
          <w:rFonts w:hint="eastAsia" w:ascii="宋体" w:hAnsi="宋体" w:eastAsia="宋体" w:cs="宋体"/>
          <w:color w:val="000000" w:themeColor="text1"/>
          <w:sz w:val="24"/>
          <w:szCs w:val="24"/>
          <w:highlight w:val="none"/>
          <w:u w:val="none"/>
          <w:lang w:eastAsia="zh-CN"/>
        </w:rPr>
        <w:t xml:space="preserve">丰县中医医院机房改扩建项目</w:t>
      </w:r>
      <w:r>
        <w:rPr>
          <w:rFonts w:hint="eastAsia" w:ascii="宋体" w:hAnsi="宋体" w:eastAsia="宋体" w:cs="宋体"/>
          <w:color w:val="000000" w:themeColor="text1"/>
          <w:sz w:val="24"/>
          <w:szCs w:val="24"/>
          <w:highlight w:val="none"/>
          <w:u w:val="none"/>
        </w:rPr>
      </w:r>
      <w:r>
        <w:rPr>
          <w:color w:val="000000" w:themeColor="text1"/>
        </w:rPr>
      </w:r>
    </w:p>
    <w:p>
      <w:pPr>
        <w:pStyle w:val="1030"/>
        <w:rPr>
          <w:rFonts w:hint="eastAsia"/>
          <w:color w:val="000000" w:themeColor="text1"/>
          <w:highlight w:val="none"/>
          <w:u w:val="none"/>
        </w:rPr>
      </w:pPr>
      <w:r>
        <w:rPr>
          <w:rFonts w:hint="eastAsia" w:ascii="宋体" w:hAnsi="宋体" w:eastAsia="宋体" w:cs="宋体"/>
          <w:color w:val="000000" w:themeColor="text1"/>
          <w:sz w:val="24"/>
          <w:szCs w:val="24"/>
          <w:highlight w:val="none"/>
          <w:u w:val="none"/>
        </w:rPr>
        <w:t xml:space="preserve">项目编号：</w:t>
      </w:r>
      <w:r>
        <w:rPr>
          <w:rFonts w:hint="eastAsia" w:ascii="宋体" w:hAnsi="宋体" w:eastAsia="宋体" w:cs="宋体"/>
          <w:color w:val="000000" w:themeColor="text1"/>
          <w:highlight w:val="none"/>
          <w:u w:val="none"/>
          <w:lang w:val="en-US" w:eastAsia="zh-CN"/>
        </w:rPr>
        <w:t xml:space="preserve">JSZC-320321-JSTQ-G2026-0005</w:t>
      </w:r>
      <w:r>
        <w:rPr>
          <w:rFonts w:hint="eastAsia"/>
          <w:color w:val="000000" w:themeColor="text1"/>
          <w:highlight w:val="none"/>
          <w:u w:val="none"/>
        </w:rPr>
      </w:r>
      <w:r>
        <w:rPr>
          <w:color w:val="000000" w:themeColor="text1"/>
        </w:rPr>
      </w:r>
    </w:p>
    <w:tbl>
      <w:tblPr>
        <w:tblW w:w="875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543"/>
        <w:gridCol w:w="1680"/>
        <w:gridCol w:w="1536"/>
        <w:gridCol w:w="1764"/>
      </w:tblGrid>
      <w:tr>
        <w:trPr>
          <w:trHeight w:val="414"/>
        </w:trPr>
        <w:tc>
          <w:tcPr>
            <w:tcW w:w="828" w:type="dxa"/>
            <w:vAlign w:val="center"/>
            <w:textDirection w:val="lrTb"/>
            <w:noWrap w:val="false"/>
          </w:tcPr>
          <w:p>
            <w:pPr>
              <w:pStyle w:val="1012"/>
              <w:ind w:firstLine="0"/>
              <w:jc w:val="center"/>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序号</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1404" w:type="dxa"/>
            <w:vAlign w:val="center"/>
            <w:textDirection w:val="lrTb"/>
            <w:noWrap w:val="false"/>
          </w:tcPr>
          <w:p>
            <w:pPr>
              <w:pStyle w:val="1012"/>
              <w:ind w:firstLine="0"/>
              <w:jc w:val="center"/>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aps/>
                <w:color w:val="000000" w:themeColor="text1"/>
                <w:sz w:val="24"/>
                <w:szCs w:val="24"/>
                <w:highlight w:val="none"/>
                <w:lang w:val="en-US" w:eastAsia="zh-CN" w:bidi="ar-SA"/>
              </w:rPr>
              <w:t xml:space="preserve">偏离内容</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1543" w:type="dxa"/>
            <w:vAlign w:val="center"/>
            <w:textDirection w:val="lrTb"/>
            <w:noWrap w:val="false"/>
          </w:tcPr>
          <w:p>
            <w:pPr>
              <w:pStyle w:val="1012"/>
              <w:ind w:firstLine="0"/>
              <w:jc w:val="center"/>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招标文件的要求</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1680" w:type="dxa"/>
            <w:vAlign w:val="center"/>
            <w:textDirection w:val="lrTb"/>
            <w:noWrap w:val="false"/>
          </w:tcPr>
          <w:p>
            <w:pPr>
              <w:pStyle w:val="1012"/>
              <w:ind w:firstLine="0"/>
              <w:jc w:val="center"/>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投标文件中的内容</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1536" w:type="dxa"/>
            <w:vAlign w:val="center"/>
            <w:textDirection w:val="lrTb"/>
            <w:noWrap w:val="false"/>
          </w:tcPr>
          <w:p>
            <w:pPr>
              <w:pStyle w:val="1012"/>
              <w:ind w:firstLine="0"/>
              <w:jc w:val="center"/>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（正/负/无）偏离</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1764" w:type="dxa"/>
            <w:vAlign w:val="center"/>
            <w:textDirection w:val="lrTb"/>
            <w:noWrap w:val="false"/>
          </w:tcPr>
          <w:p>
            <w:pPr>
              <w:pStyle w:val="1012"/>
              <w:ind w:firstLine="0"/>
              <w:jc w:val="center"/>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证明文件位置及说明</w:t>
            </w: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794"/>
        </w:trPr>
        <w:tc>
          <w:tcPr>
            <w:tcW w:w="828" w:type="dxa"/>
            <w:vAlign w:val="top"/>
            <w:textDirection w:val="lrTb"/>
            <w:noWrap w:val="false"/>
          </w:tcPr>
          <w:p>
            <w:pPr>
              <w:pStyle w:val="1012"/>
              <w:ind w:firstLine="0"/>
              <w:jc w:val="both"/>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1404" w:type="dxa"/>
            <w:vAlign w:val="top"/>
            <w:textDirection w:val="lrTb"/>
            <w:noWrap w:val="false"/>
          </w:tcPr>
          <w:p>
            <w:pPr>
              <w:pStyle w:val="1012"/>
              <w:ind w:firstLine="0"/>
              <w:jc w:val="both"/>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1543" w:type="dxa"/>
            <w:vAlign w:val="top"/>
            <w:textDirection w:val="lrTb"/>
            <w:noWrap w:val="false"/>
          </w:tcPr>
          <w:p>
            <w:pPr>
              <w:pStyle w:val="1012"/>
              <w:ind w:firstLine="0"/>
              <w:jc w:val="both"/>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1680" w:type="dxa"/>
            <w:vAlign w:val="top"/>
            <w:textDirection w:val="lrTb"/>
            <w:noWrap w:val="false"/>
          </w:tcPr>
          <w:p>
            <w:pPr>
              <w:pStyle w:val="1012"/>
              <w:ind w:firstLine="0"/>
              <w:jc w:val="both"/>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1536" w:type="dxa"/>
            <w:vAlign w:val="top"/>
            <w:textDirection w:val="lrTb"/>
            <w:noWrap w:val="false"/>
          </w:tcPr>
          <w:p>
            <w:pPr>
              <w:pStyle w:val="1012"/>
              <w:ind w:firstLine="0"/>
              <w:jc w:val="both"/>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1764" w:type="dxa"/>
            <w:vAlign w:val="top"/>
            <w:textDirection w:val="lrTb"/>
            <w:noWrap w:val="false"/>
          </w:tcPr>
          <w:p>
            <w:pPr>
              <w:pStyle w:val="1012"/>
              <w:ind w:firstLine="0"/>
              <w:jc w:val="both"/>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794"/>
        </w:trPr>
        <w:tc>
          <w:tcPr>
            <w:tcW w:w="828" w:type="dxa"/>
            <w:vAlign w:val="top"/>
            <w:textDirection w:val="lrTb"/>
            <w:noWrap w:val="false"/>
          </w:tcPr>
          <w:p>
            <w:pPr>
              <w:pStyle w:val="1012"/>
              <w:ind w:firstLine="0"/>
              <w:jc w:val="both"/>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1404" w:type="dxa"/>
            <w:vAlign w:val="top"/>
            <w:textDirection w:val="lrTb"/>
            <w:noWrap w:val="false"/>
          </w:tcPr>
          <w:p>
            <w:pPr>
              <w:pStyle w:val="1012"/>
              <w:ind w:firstLine="0"/>
              <w:jc w:val="both"/>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1543" w:type="dxa"/>
            <w:vAlign w:val="top"/>
            <w:textDirection w:val="lrTb"/>
            <w:noWrap w:val="false"/>
          </w:tcPr>
          <w:p>
            <w:pPr>
              <w:pStyle w:val="1012"/>
              <w:ind w:firstLine="0"/>
              <w:jc w:val="both"/>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1680" w:type="dxa"/>
            <w:vAlign w:val="top"/>
            <w:textDirection w:val="lrTb"/>
            <w:noWrap w:val="false"/>
          </w:tcPr>
          <w:p>
            <w:pPr>
              <w:pStyle w:val="1012"/>
              <w:ind w:firstLine="0"/>
              <w:jc w:val="both"/>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1536" w:type="dxa"/>
            <w:vAlign w:val="top"/>
            <w:textDirection w:val="lrTb"/>
            <w:noWrap w:val="false"/>
          </w:tcPr>
          <w:p>
            <w:pPr>
              <w:pStyle w:val="1012"/>
              <w:ind w:firstLine="0"/>
              <w:jc w:val="both"/>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1764" w:type="dxa"/>
            <w:vAlign w:val="top"/>
            <w:textDirection w:val="lrTb"/>
            <w:noWrap w:val="false"/>
          </w:tcPr>
          <w:p>
            <w:pPr>
              <w:pStyle w:val="1012"/>
              <w:ind w:firstLine="0"/>
              <w:jc w:val="both"/>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794"/>
        </w:trPr>
        <w:tc>
          <w:tcPr>
            <w:tcW w:w="828" w:type="dxa"/>
            <w:vAlign w:val="top"/>
            <w:textDirection w:val="lrTb"/>
            <w:noWrap w:val="false"/>
          </w:tcPr>
          <w:p>
            <w:pPr>
              <w:pStyle w:val="1012"/>
              <w:ind w:firstLine="0"/>
              <w:jc w:val="both"/>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1404" w:type="dxa"/>
            <w:vAlign w:val="top"/>
            <w:textDirection w:val="lrTb"/>
            <w:noWrap w:val="false"/>
          </w:tcPr>
          <w:p>
            <w:pPr>
              <w:pStyle w:val="1012"/>
              <w:ind w:firstLine="0"/>
              <w:jc w:val="both"/>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1543" w:type="dxa"/>
            <w:vAlign w:val="top"/>
            <w:textDirection w:val="lrTb"/>
            <w:noWrap w:val="false"/>
          </w:tcPr>
          <w:p>
            <w:pPr>
              <w:pStyle w:val="1012"/>
              <w:ind w:firstLine="0"/>
              <w:jc w:val="both"/>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1680" w:type="dxa"/>
            <w:vAlign w:val="top"/>
            <w:textDirection w:val="lrTb"/>
            <w:noWrap w:val="false"/>
          </w:tcPr>
          <w:p>
            <w:pPr>
              <w:pStyle w:val="1012"/>
              <w:ind w:firstLine="0"/>
              <w:jc w:val="both"/>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1536" w:type="dxa"/>
            <w:vAlign w:val="top"/>
            <w:textDirection w:val="lrTb"/>
            <w:noWrap w:val="false"/>
          </w:tcPr>
          <w:p>
            <w:pPr>
              <w:pStyle w:val="1012"/>
              <w:ind w:firstLine="0"/>
              <w:jc w:val="both"/>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1764" w:type="dxa"/>
            <w:vAlign w:val="top"/>
            <w:textDirection w:val="lrTb"/>
            <w:noWrap w:val="false"/>
          </w:tcPr>
          <w:p>
            <w:pPr>
              <w:pStyle w:val="1012"/>
              <w:ind w:firstLine="0"/>
              <w:jc w:val="both"/>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794"/>
        </w:trPr>
        <w:tc>
          <w:tcPr>
            <w:tcW w:w="828" w:type="dxa"/>
            <w:vAlign w:val="top"/>
            <w:textDirection w:val="lrTb"/>
            <w:noWrap w:val="false"/>
          </w:tcPr>
          <w:p>
            <w:pPr>
              <w:pStyle w:val="1012"/>
              <w:ind w:firstLine="0"/>
              <w:jc w:val="both"/>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1404" w:type="dxa"/>
            <w:vAlign w:val="top"/>
            <w:textDirection w:val="lrTb"/>
            <w:noWrap w:val="false"/>
          </w:tcPr>
          <w:p>
            <w:pPr>
              <w:pStyle w:val="1012"/>
              <w:ind w:firstLine="0"/>
              <w:jc w:val="both"/>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1543" w:type="dxa"/>
            <w:vAlign w:val="top"/>
            <w:textDirection w:val="lrTb"/>
            <w:noWrap w:val="false"/>
          </w:tcPr>
          <w:p>
            <w:pPr>
              <w:pStyle w:val="1012"/>
              <w:ind w:firstLine="0"/>
              <w:jc w:val="both"/>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1680" w:type="dxa"/>
            <w:vAlign w:val="top"/>
            <w:textDirection w:val="lrTb"/>
            <w:noWrap w:val="false"/>
          </w:tcPr>
          <w:p>
            <w:pPr>
              <w:pStyle w:val="1012"/>
              <w:ind w:firstLine="0"/>
              <w:jc w:val="both"/>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1536" w:type="dxa"/>
            <w:vAlign w:val="top"/>
            <w:textDirection w:val="lrTb"/>
            <w:noWrap w:val="false"/>
          </w:tcPr>
          <w:p>
            <w:pPr>
              <w:pStyle w:val="1012"/>
              <w:ind w:firstLine="0"/>
              <w:jc w:val="both"/>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1764" w:type="dxa"/>
            <w:vAlign w:val="top"/>
            <w:textDirection w:val="lrTb"/>
            <w:noWrap w:val="false"/>
          </w:tcPr>
          <w:p>
            <w:pPr>
              <w:pStyle w:val="1012"/>
              <w:ind w:firstLine="0"/>
              <w:jc w:val="both"/>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794"/>
        </w:trPr>
        <w:tc>
          <w:tcPr>
            <w:tcW w:w="828" w:type="dxa"/>
            <w:vAlign w:val="top"/>
            <w:textDirection w:val="lrTb"/>
            <w:noWrap w:val="false"/>
          </w:tcPr>
          <w:p>
            <w:pPr>
              <w:pStyle w:val="1012"/>
              <w:ind w:firstLine="0"/>
              <w:jc w:val="both"/>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1404" w:type="dxa"/>
            <w:vAlign w:val="top"/>
            <w:textDirection w:val="lrTb"/>
            <w:noWrap w:val="false"/>
          </w:tcPr>
          <w:p>
            <w:pPr>
              <w:pStyle w:val="1012"/>
              <w:ind w:firstLine="0"/>
              <w:jc w:val="both"/>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1543" w:type="dxa"/>
            <w:vAlign w:val="top"/>
            <w:textDirection w:val="lrTb"/>
            <w:noWrap w:val="false"/>
          </w:tcPr>
          <w:p>
            <w:pPr>
              <w:pStyle w:val="1012"/>
              <w:ind w:firstLine="0"/>
              <w:jc w:val="both"/>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1680" w:type="dxa"/>
            <w:vAlign w:val="top"/>
            <w:textDirection w:val="lrTb"/>
            <w:noWrap w:val="false"/>
          </w:tcPr>
          <w:p>
            <w:pPr>
              <w:pStyle w:val="1012"/>
              <w:ind w:firstLine="0"/>
              <w:jc w:val="both"/>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1536" w:type="dxa"/>
            <w:vAlign w:val="top"/>
            <w:textDirection w:val="lrTb"/>
            <w:noWrap w:val="false"/>
          </w:tcPr>
          <w:p>
            <w:pPr>
              <w:pStyle w:val="1012"/>
              <w:ind w:firstLine="0"/>
              <w:jc w:val="both"/>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1764" w:type="dxa"/>
            <w:vAlign w:val="top"/>
            <w:textDirection w:val="lrTb"/>
            <w:noWrap w:val="false"/>
          </w:tcPr>
          <w:p>
            <w:pPr>
              <w:pStyle w:val="1012"/>
              <w:ind w:firstLine="0"/>
              <w:jc w:val="both"/>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794"/>
        </w:trPr>
        <w:tc>
          <w:tcPr>
            <w:tcW w:w="828" w:type="dxa"/>
            <w:vAlign w:val="top"/>
            <w:textDirection w:val="lrTb"/>
            <w:noWrap w:val="false"/>
          </w:tcPr>
          <w:p>
            <w:pPr>
              <w:pStyle w:val="1012"/>
              <w:ind w:firstLine="0"/>
              <w:jc w:val="both"/>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1404" w:type="dxa"/>
            <w:vAlign w:val="top"/>
            <w:textDirection w:val="lrTb"/>
            <w:noWrap w:val="false"/>
          </w:tcPr>
          <w:p>
            <w:pPr>
              <w:pStyle w:val="1012"/>
              <w:ind w:firstLine="0"/>
              <w:jc w:val="both"/>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1543" w:type="dxa"/>
            <w:vAlign w:val="top"/>
            <w:textDirection w:val="lrTb"/>
            <w:noWrap w:val="false"/>
          </w:tcPr>
          <w:p>
            <w:pPr>
              <w:pStyle w:val="1012"/>
              <w:ind w:firstLine="0"/>
              <w:jc w:val="both"/>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1680" w:type="dxa"/>
            <w:vAlign w:val="top"/>
            <w:textDirection w:val="lrTb"/>
            <w:noWrap w:val="false"/>
          </w:tcPr>
          <w:p>
            <w:pPr>
              <w:pStyle w:val="1012"/>
              <w:ind w:firstLine="0"/>
              <w:jc w:val="both"/>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1536" w:type="dxa"/>
            <w:vAlign w:val="top"/>
            <w:textDirection w:val="lrTb"/>
            <w:noWrap w:val="false"/>
          </w:tcPr>
          <w:p>
            <w:pPr>
              <w:pStyle w:val="1012"/>
              <w:ind w:firstLine="0"/>
              <w:jc w:val="both"/>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1764" w:type="dxa"/>
            <w:vAlign w:val="top"/>
            <w:textDirection w:val="lrTb"/>
            <w:noWrap w:val="false"/>
          </w:tcPr>
          <w:p>
            <w:pPr>
              <w:pStyle w:val="1012"/>
              <w:ind w:firstLine="0"/>
              <w:jc w:val="both"/>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569"/>
        </w:trPr>
        <w:tc>
          <w:tcPr>
            <w:tcW w:w="828" w:type="dxa"/>
            <w:vAlign w:val="top"/>
            <w:textDirection w:val="lrTb"/>
            <w:noWrap w:val="false"/>
          </w:tcPr>
          <w:p>
            <w:pPr>
              <w:pStyle w:val="1012"/>
              <w:ind w:firstLine="0"/>
              <w:jc w:val="both"/>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1404" w:type="dxa"/>
            <w:vAlign w:val="top"/>
            <w:textDirection w:val="lrTb"/>
            <w:noWrap w:val="false"/>
          </w:tcPr>
          <w:p>
            <w:pPr>
              <w:pStyle w:val="1012"/>
              <w:ind w:firstLine="0"/>
              <w:jc w:val="both"/>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1543" w:type="dxa"/>
            <w:vAlign w:val="top"/>
            <w:textDirection w:val="lrTb"/>
            <w:noWrap w:val="false"/>
          </w:tcPr>
          <w:p>
            <w:pPr>
              <w:pStyle w:val="1012"/>
              <w:ind w:firstLine="0"/>
              <w:jc w:val="both"/>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1680" w:type="dxa"/>
            <w:vAlign w:val="top"/>
            <w:textDirection w:val="lrTb"/>
            <w:noWrap w:val="false"/>
          </w:tcPr>
          <w:p>
            <w:pPr>
              <w:pStyle w:val="1012"/>
              <w:ind w:firstLine="0"/>
              <w:jc w:val="both"/>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1536" w:type="dxa"/>
            <w:vAlign w:val="top"/>
            <w:textDirection w:val="lrTb"/>
            <w:noWrap w:val="false"/>
          </w:tcPr>
          <w:p>
            <w:pPr>
              <w:pStyle w:val="1012"/>
              <w:ind w:firstLine="0"/>
              <w:jc w:val="both"/>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1764" w:type="dxa"/>
            <w:vAlign w:val="top"/>
            <w:textDirection w:val="lrTb"/>
            <w:noWrap w:val="false"/>
          </w:tcPr>
          <w:p>
            <w:pPr>
              <w:pStyle w:val="1012"/>
              <w:ind w:firstLine="0"/>
              <w:jc w:val="both"/>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tc>
      </w:tr>
    </w:tbl>
    <w:p>
      <w:pPr>
        <w:pStyle w:val="1012"/>
        <w:ind w:firstLine="0"/>
        <w:spacing w:line="360" w:lineRule="auto"/>
        <w:rPr>
          <w:rFonts w:hint="eastAsia" w:ascii="宋体" w:hAnsi="宋体" w:eastAsia="宋体" w:cs="宋体"/>
          <w:b w:val="0"/>
          <w:bCs w:val="0"/>
          <w:color w:val="000000" w:themeColor="text1"/>
          <w:sz w:val="24"/>
          <w:highlight w:val="none"/>
          <w:u w:val="none"/>
        </w:rPr>
      </w:pPr>
      <w:r>
        <w:rPr>
          <w:rFonts w:hint="eastAsia" w:ascii="宋体" w:hAnsi="宋体" w:eastAsia="宋体" w:cs="宋体"/>
          <w:b w:val="0"/>
          <w:bCs w:val="0"/>
          <w:color w:val="000000" w:themeColor="text1"/>
          <w:sz w:val="24"/>
          <w:highlight w:val="none"/>
          <w:u w:val="none"/>
        </w:rPr>
      </w:r>
      <w:r>
        <w:rPr>
          <w:color w:val="000000" w:themeColor="text1"/>
        </w:rPr>
      </w:r>
    </w:p>
    <w:p>
      <w:pPr>
        <w:pStyle w:val="1012"/>
        <w:ind w:firstLine="439"/>
        <w:rPr>
          <w:rFonts w:hint="eastAsia" w:ascii="宋体" w:hAnsi="宋体" w:eastAsia="宋体" w:cs="宋体"/>
          <w:color w:val="000000" w:themeColor="text1"/>
          <w:sz w:val="24"/>
          <w:highlight w:val="none"/>
          <w:u w:val="single"/>
        </w:rPr>
      </w:pPr>
      <w:r>
        <w:rPr>
          <w:rFonts w:hint="eastAsia" w:ascii="宋体" w:hAnsi="宋体" w:eastAsia="宋体" w:cs="宋体"/>
          <w:color w:val="000000" w:themeColor="text1"/>
          <w:sz w:val="24"/>
          <w:highlight w:val="none"/>
          <w:u w:val="single"/>
        </w:rPr>
        <w:t xml:space="preserve">注：投标人的投标文件中</w:t>
      </w:r>
      <w:r>
        <w:rPr>
          <w:rFonts w:hint="eastAsia" w:ascii="宋体" w:hAnsi="宋体" w:eastAsia="宋体" w:cs="宋体"/>
          <w:color w:val="000000" w:themeColor="text1"/>
          <w:sz w:val="24"/>
          <w:highlight w:val="none"/>
          <w:u w:val="single"/>
          <w:lang w:eastAsia="zh-CN"/>
        </w:rPr>
        <w:t xml:space="preserve">（</w:t>
      </w:r>
      <w:r>
        <w:rPr>
          <w:rFonts w:hint="eastAsia" w:ascii="宋体" w:hAnsi="宋体" w:eastAsia="宋体" w:cs="宋体"/>
          <w:color w:val="000000" w:themeColor="text1"/>
          <w:sz w:val="24"/>
          <w:highlight w:val="none"/>
          <w:u w:val="single"/>
        </w:rPr>
        <w:t xml:space="preserve">除采购需求符合性条件外</w:t>
      </w:r>
      <w:r>
        <w:rPr>
          <w:rFonts w:hint="eastAsia" w:ascii="宋体" w:hAnsi="宋体" w:eastAsia="宋体" w:cs="宋体"/>
          <w:color w:val="000000" w:themeColor="text1"/>
          <w:sz w:val="24"/>
          <w:highlight w:val="none"/>
          <w:u w:val="single"/>
          <w:lang w:eastAsia="zh-CN"/>
        </w:rPr>
        <w:t xml:space="preserve">）</w:t>
      </w:r>
      <w:r>
        <w:rPr>
          <w:rFonts w:hint="eastAsia" w:ascii="宋体" w:hAnsi="宋体" w:eastAsia="宋体" w:cs="宋体"/>
          <w:color w:val="000000" w:themeColor="text1"/>
          <w:sz w:val="24"/>
          <w:highlight w:val="none"/>
          <w:u w:val="single"/>
        </w:rPr>
        <w:t xml:space="preserve">的内容与招标文件（含招标文件的澄清或者修改的内容，下同）的要求不同时，逐条列在偏离表中，否则将认为投标人接受招标文件的要求。</w:t>
      </w:r>
      <w:r>
        <w:rPr>
          <w:rFonts w:hint="eastAsia" w:ascii="宋体" w:hAnsi="宋体" w:eastAsia="宋体" w:cs="宋体"/>
          <w:color w:val="000000" w:themeColor="text1"/>
          <w:sz w:val="24"/>
          <w:highlight w:val="none"/>
          <w:u w:val="single"/>
        </w:rPr>
      </w:r>
      <w:r>
        <w:rPr>
          <w:color w:val="000000" w:themeColor="text1"/>
        </w:rPr>
      </w:r>
    </w:p>
    <w:p>
      <w:pPr>
        <w:pStyle w:val="1012"/>
        <w:jc w:val="right"/>
        <w:keepLines w:val="0"/>
        <w:keepNext w:val="0"/>
        <w:pageBreakBefore w:val="0"/>
        <w:spacing w:line="24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rPr>
      </w:r>
    </w:p>
    <w:p>
      <w:pPr>
        <w:pStyle w:val="1012"/>
        <w:jc w:val="right"/>
        <w:keepLines w:val="0"/>
        <w:keepNext w:val="0"/>
        <w:pageBreakBefore w:val="0"/>
        <w:spacing w:line="24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rPr>
      </w:r>
    </w:p>
    <w:p>
      <w:pPr>
        <w:pStyle w:val="1012"/>
        <w:jc w:val="right"/>
        <w:keepLines w:val="0"/>
        <w:keepNext w:val="0"/>
        <w:pageBreakBefore w:val="0"/>
        <w:spacing w:line="24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投标人名称（电子签章）： ____________</w:t>
      </w:r>
      <w:r>
        <w:rPr>
          <w:rFonts w:hint="eastAsia" w:ascii="宋体" w:hAnsi="宋体" w:eastAsia="宋体" w:cs="宋体"/>
          <w:color w:val="000000" w:themeColor="text1"/>
          <w:highlight w:val="none"/>
        </w:rPr>
      </w:r>
      <w:r>
        <w:rPr>
          <w:color w:val="000000" w:themeColor="text1"/>
        </w:rPr>
      </w:r>
    </w:p>
    <w:p>
      <w:pPr>
        <w:pStyle w:val="1012"/>
        <w:ind w:firstLine="480"/>
        <w:jc w:val="right"/>
        <w:keepLines w:val="0"/>
        <w:keepNext w:val="0"/>
        <w:pageBreakBefore w:val="0"/>
        <w:spacing w:line="24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                        </w:t>
      </w:r>
      <w:r>
        <w:rPr>
          <w:rFonts w:hint="eastAsia" w:ascii="宋体" w:hAnsi="宋体" w:eastAsia="宋体" w:cs="宋体"/>
          <w:color w:val="000000" w:themeColor="text1"/>
          <w:highlight w:val="none"/>
        </w:rPr>
      </w:r>
      <w:r>
        <w:rPr>
          <w:color w:val="000000" w:themeColor="text1"/>
        </w:rPr>
      </w:r>
    </w:p>
    <w:p>
      <w:pPr>
        <w:pStyle w:val="1012"/>
        <w:ind w:firstLine="480"/>
        <w:jc w:val="center"/>
        <w:keepLines w:val="0"/>
        <w:keepNext w:val="0"/>
        <w:pageBreakBefore w:val="0"/>
        <w:spacing w:line="24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                 </w:t>
      </w:r>
      <w:r>
        <w:rPr>
          <w:rFonts w:hint="eastAsia" w:ascii="宋体" w:hAnsi="宋体" w:eastAsia="宋体" w:cs="宋体"/>
          <w:color w:val="000000" w:themeColor="text1"/>
          <w:highlight w:val="none"/>
        </w:rPr>
        <w:t xml:space="preserve">日  期：   年  月  日</w:t>
      </w:r>
      <w:r>
        <w:rPr>
          <w:rFonts w:hint="eastAsia" w:ascii="宋体" w:hAnsi="宋体" w:eastAsia="宋体" w:cs="宋体"/>
          <w:color w:val="000000" w:themeColor="text1"/>
          <w:highlight w:val="none"/>
        </w:rPr>
      </w:r>
      <w:r>
        <w:rPr>
          <w:color w:val="000000" w:themeColor="text1"/>
        </w:rPr>
      </w:r>
    </w:p>
    <w:p>
      <w:pPr>
        <w:pStyle w:val="103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1249"/>
        <w:ind w:firstLine="0"/>
        <w:jc w:val="center"/>
        <w:spacing w:line="500" w:lineRule="exact"/>
        <w:rPr>
          <w:rFonts w:hint="eastAsia" w:ascii="宋体" w:hAnsi="宋体" w:cs="宋体"/>
          <w:b/>
          <w:bCs/>
          <w:color w:val="000000" w:themeColor="text1"/>
          <w:sz w:val="30"/>
          <w:szCs w:val="30"/>
          <w:highlight w:val="none"/>
        </w:rPr>
      </w:pPr>
      <w:r>
        <w:rPr>
          <w:rFonts w:hint="eastAsia" w:ascii="宋体" w:hAnsi="宋体" w:cs="宋体"/>
          <w:b/>
          <w:bCs/>
          <w:color w:val="000000" w:themeColor="text1"/>
          <w:sz w:val="30"/>
          <w:szCs w:val="30"/>
          <w:highlight w:val="none"/>
        </w:rPr>
      </w:r>
      <w:r>
        <w:rPr>
          <w:color w:val="000000" w:themeColor="text1"/>
        </w:rPr>
      </w:r>
    </w:p>
    <w:p>
      <w:pPr>
        <w:pStyle w:val="1249"/>
        <w:ind w:firstLine="0"/>
        <w:jc w:val="center"/>
        <w:spacing w:line="500" w:lineRule="exact"/>
        <w:rPr>
          <w:rFonts w:hint="eastAsia" w:ascii="宋体" w:hAnsi="宋体" w:cs="宋体"/>
          <w:b/>
          <w:bCs/>
          <w:color w:val="000000" w:themeColor="text1"/>
          <w:sz w:val="30"/>
          <w:szCs w:val="30"/>
          <w:highlight w:val="none"/>
        </w:rPr>
      </w:pPr>
      <w:r>
        <w:rPr>
          <w:rFonts w:hint="eastAsia" w:ascii="宋体" w:hAnsi="宋体" w:cs="宋体"/>
          <w:b/>
          <w:bCs/>
          <w:color w:val="000000" w:themeColor="text1"/>
          <w:sz w:val="30"/>
          <w:szCs w:val="30"/>
          <w:highlight w:val="none"/>
        </w:rPr>
      </w:r>
      <w:r>
        <w:rPr>
          <w:color w:val="000000" w:themeColor="text1"/>
        </w:rPr>
      </w:r>
    </w:p>
    <w:p>
      <w:pPr>
        <w:pStyle w:val="1249"/>
        <w:ind w:firstLine="0"/>
        <w:jc w:val="center"/>
        <w:spacing w:line="500" w:lineRule="exact"/>
        <w:rPr>
          <w:rFonts w:hint="eastAsia" w:ascii="宋体" w:hAnsi="宋体" w:cs="宋体"/>
          <w:b/>
          <w:bCs/>
          <w:color w:val="000000" w:themeColor="text1"/>
          <w:sz w:val="30"/>
          <w:szCs w:val="30"/>
          <w:highlight w:val="none"/>
        </w:rPr>
      </w:pPr>
      <w:r>
        <w:rPr>
          <w:rFonts w:hint="eastAsia" w:ascii="宋体" w:hAnsi="宋体" w:cs="宋体"/>
          <w:b/>
          <w:bCs/>
          <w:color w:val="000000" w:themeColor="text1"/>
          <w:sz w:val="30"/>
          <w:szCs w:val="30"/>
          <w:highlight w:val="none"/>
        </w:rPr>
      </w:r>
      <w:r>
        <w:rPr>
          <w:color w:val="000000" w:themeColor="text1"/>
        </w:rPr>
      </w:r>
    </w:p>
    <w:p>
      <w:pPr>
        <w:pStyle w:val="1012"/>
        <w:rPr>
          <w:rFonts w:hint="eastAsia"/>
          <w:color w:val="000000" w:themeColor="text1"/>
          <w:highlight w:val="none"/>
        </w:rPr>
      </w:pPr>
      <w:r>
        <w:rPr>
          <w:rFonts w:hint="eastAsia"/>
          <w:color w:val="000000" w:themeColor="text1"/>
          <w:highlight w:val="none"/>
        </w:rPr>
      </w:r>
      <w:r>
        <w:rPr>
          <w:color w:val="000000" w:themeColor="text1"/>
        </w:rPr>
      </w:r>
    </w:p>
    <w:p>
      <w:pPr>
        <w:pStyle w:val="1012"/>
        <w:ind w:firstLine="480"/>
        <w:spacing w:line="360" w:lineRule="auto"/>
        <w:rPr>
          <w:rFonts w:hint="eastAsia" w:ascii="宋体" w:cs="宋体"/>
          <w:color w:val="000000" w:themeColor="text1"/>
          <w:highlight w:val="none"/>
        </w:rPr>
      </w:pPr>
      <w:r>
        <w:rPr>
          <w:rFonts w:hint="eastAsia" w:ascii="宋体" w:cs="宋体"/>
          <w:color w:val="000000" w:themeColor="text1"/>
          <w:highlight w:val="none"/>
        </w:rPr>
        <w:t xml:space="preserve">                   </w:t>
      </w:r>
      <w:r>
        <w:rPr>
          <w:rFonts w:hint="eastAsia" w:ascii="宋体" w:cs="宋体"/>
          <w:color w:val="000000" w:themeColor="text1"/>
          <w:highlight w:val="none"/>
        </w:rPr>
      </w:r>
      <w:r>
        <w:rPr>
          <w:color w:val="000000" w:themeColor="text1"/>
        </w:rPr>
      </w:r>
    </w:p>
    <w:p>
      <w:pPr>
        <w:pStyle w:val="1012"/>
        <w:ind w:firstLine="480"/>
        <w:jc w:val="center"/>
        <w:spacing w:line="360" w:lineRule="auto"/>
        <w:rPr>
          <w:rFonts w:hint="eastAsia" w:ascii="宋体" w:hAnsi="宋体" w:eastAsia="宋体" w:cs="宋体"/>
          <w:b/>
          <w:bCs/>
          <w:color w:val="000000" w:themeColor="text1"/>
          <w:sz w:val="30"/>
          <w:szCs w:val="30"/>
          <w:highlight w:val="none"/>
        </w:rPr>
      </w:pPr>
      <w:r>
        <w:rPr>
          <w:rFonts w:hint="eastAsia" w:ascii="宋体" w:hAnsi="宋体" w:eastAsia="宋体" w:cs="宋体"/>
          <w:b/>
          <w:bCs/>
          <w:color w:val="000000" w:themeColor="text1"/>
          <w:sz w:val="30"/>
          <w:szCs w:val="30"/>
          <w:highlight w:val="none"/>
          <w:lang w:val="en-US" w:eastAsia="zh-CN"/>
        </w:rPr>
        <w:t xml:space="preserve">4</w:t>
      </w:r>
      <w:r>
        <w:rPr>
          <w:rFonts w:hint="eastAsia" w:ascii="宋体" w:hAnsi="宋体" w:eastAsia="宋体" w:cs="宋体"/>
          <w:b/>
          <w:bCs/>
          <w:color w:val="000000" w:themeColor="text1"/>
          <w:sz w:val="30"/>
          <w:szCs w:val="30"/>
          <w:highlight w:val="none"/>
        </w:rPr>
        <w:t xml:space="preserve">. 法定代表人授权书</w:t>
      </w:r>
      <w:r>
        <w:rPr>
          <w:rFonts w:hint="eastAsia" w:ascii="宋体" w:hAnsi="宋体" w:eastAsia="宋体" w:cs="宋体"/>
          <w:b/>
          <w:bCs/>
          <w:color w:val="000000" w:themeColor="text1"/>
          <w:sz w:val="30"/>
          <w:szCs w:val="30"/>
          <w:highlight w:val="none"/>
        </w:rPr>
      </w:r>
      <w:r>
        <w:rPr>
          <w:color w:val="000000" w:themeColor="text1"/>
        </w:rPr>
      </w:r>
    </w:p>
    <w:p>
      <w:pPr>
        <w:pStyle w:val="1012"/>
        <w:ind w:firstLine="48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1012"/>
        <w:ind w:firstLine="48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1012"/>
        <w:ind w:firstLine="48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委托人：</w:t>
      </w:r>
      <w:r>
        <w:rPr>
          <w:rFonts w:hint="eastAsia" w:ascii="宋体" w:hAnsi="宋体" w:eastAsia="宋体" w:cs="宋体"/>
          <w:color w:val="000000" w:themeColor="text1"/>
          <w:highlight w:val="none"/>
        </w:rPr>
      </w:r>
      <w:r>
        <w:rPr>
          <w:color w:val="000000" w:themeColor="text1"/>
        </w:rPr>
      </w:r>
    </w:p>
    <w:p>
      <w:pPr>
        <w:pStyle w:val="1012"/>
        <w:ind w:firstLine="48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地  址：</w:t>
      </w:r>
      <w:r>
        <w:rPr>
          <w:rFonts w:hint="eastAsia" w:ascii="宋体" w:hAnsi="宋体" w:eastAsia="宋体" w:cs="宋体"/>
          <w:color w:val="000000" w:themeColor="text1"/>
          <w:highlight w:val="none"/>
        </w:rPr>
      </w:r>
      <w:r>
        <w:rPr>
          <w:color w:val="000000" w:themeColor="text1"/>
        </w:rPr>
      </w:r>
    </w:p>
    <w:p>
      <w:pPr>
        <w:pStyle w:val="1012"/>
        <w:ind w:firstLine="48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法定代表人（负责人）：               职务：</w:t>
      </w:r>
      <w:r>
        <w:rPr>
          <w:rFonts w:hint="eastAsia" w:ascii="宋体" w:hAnsi="宋体" w:eastAsia="宋体" w:cs="宋体"/>
          <w:color w:val="000000" w:themeColor="text1"/>
          <w:highlight w:val="none"/>
        </w:rPr>
      </w:r>
      <w:r>
        <w:rPr>
          <w:color w:val="000000" w:themeColor="text1"/>
        </w:rPr>
      </w:r>
    </w:p>
    <w:p>
      <w:pPr>
        <w:pStyle w:val="1012"/>
        <w:ind w:firstLine="48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法人营业执照注册号：</w:t>
      </w:r>
      <w:r>
        <w:rPr>
          <w:rFonts w:hint="eastAsia" w:ascii="宋体" w:hAnsi="宋体" w:eastAsia="宋体" w:cs="宋体"/>
          <w:color w:val="000000" w:themeColor="text1"/>
          <w:highlight w:val="none"/>
        </w:rPr>
      </w:r>
      <w:r>
        <w:rPr>
          <w:color w:val="000000" w:themeColor="text1"/>
        </w:rPr>
      </w:r>
    </w:p>
    <w:p>
      <w:pPr>
        <w:pStyle w:val="1012"/>
        <w:ind w:firstLine="48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受托人：                   性别：男（女）  </w:t>
      </w:r>
      <w:r>
        <w:rPr>
          <w:rFonts w:hint="eastAsia" w:ascii="宋体" w:hAnsi="宋体" w:eastAsia="宋体" w:cs="宋体"/>
          <w:color w:val="000000" w:themeColor="text1"/>
          <w:highlight w:val="none"/>
        </w:rPr>
      </w:r>
      <w:r>
        <w:rPr>
          <w:color w:val="000000" w:themeColor="text1"/>
        </w:rPr>
      </w:r>
    </w:p>
    <w:p>
      <w:pPr>
        <w:pStyle w:val="1012"/>
        <w:ind w:firstLine="48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年龄：</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岁                 民族：</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族</w:t>
      </w:r>
      <w:r>
        <w:rPr>
          <w:rFonts w:hint="eastAsia" w:ascii="宋体" w:hAnsi="宋体" w:eastAsia="宋体" w:cs="宋体"/>
          <w:color w:val="000000" w:themeColor="text1"/>
          <w:highlight w:val="none"/>
        </w:rPr>
      </w:r>
      <w:r>
        <w:rPr>
          <w:color w:val="000000" w:themeColor="text1"/>
        </w:rPr>
      </w:r>
    </w:p>
    <w:p>
      <w:pPr>
        <w:pStyle w:val="1012"/>
        <w:ind w:firstLine="48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职务：</w:t>
      </w:r>
      <w:r>
        <w:rPr>
          <w:rFonts w:hint="eastAsia" w:ascii="宋体" w:hAnsi="宋体" w:eastAsia="宋体" w:cs="宋体"/>
          <w:color w:val="000000" w:themeColor="text1"/>
          <w:highlight w:val="none"/>
        </w:rPr>
      </w:r>
      <w:r>
        <w:rPr>
          <w:color w:val="000000" w:themeColor="text1"/>
        </w:rPr>
      </w:r>
    </w:p>
    <w:p>
      <w:pPr>
        <w:pStyle w:val="1012"/>
        <w:ind w:firstLine="48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身份证号：</w:t>
      </w:r>
      <w:r>
        <w:rPr>
          <w:rFonts w:hint="eastAsia" w:ascii="宋体" w:hAnsi="宋体" w:eastAsia="宋体" w:cs="宋体"/>
          <w:color w:val="000000" w:themeColor="text1"/>
          <w:highlight w:val="none"/>
        </w:rPr>
      </w:r>
      <w:r>
        <w:rPr>
          <w:color w:val="000000" w:themeColor="text1"/>
        </w:rPr>
      </w:r>
    </w:p>
    <w:p>
      <w:pPr>
        <w:pStyle w:val="1012"/>
        <w:ind w:firstLine="439"/>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兹委托</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全权代表我企业（公司）参与</w:t>
      </w:r>
      <w:r>
        <w:rPr>
          <w:rFonts w:hint="eastAsia" w:ascii="宋体" w:hAnsi="宋体" w:eastAsia="宋体" w:cs="宋体"/>
          <w:color w:val="000000" w:themeColor="text1"/>
          <w:sz w:val="24"/>
          <w:szCs w:val="24"/>
          <w:highlight w:val="none"/>
          <w:u w:val="single"/>
          <w:lang w:eastAsia="zh-CN"/>
        </w:rPr>
        <w:t xml:space="preserve">丰县中医医院机房改扩建项目</w:t>
      </w:r>
      <w:r>
        <w:rPr>
          <w:rFonts w:hint="eastAsia" w:ascii="宋体" w:hAnsi="宋体" w:eastAsia="宋体" w:cs="宋体"/>
          <w:color w:val="000000" w:themeColor="text1"/>
          <w:highlight w:val="none"/>
        </w:rPr>
        <w:t xml:space="preserve">（项目编号：</w:t>
      </w:r>
      <w:r>
        <w:rPr>
          <w:rFonts w:hint="eastAsia" w:ascii="宋体" w:hAnsi="宋体" w:eastAsia="宋体" w:cs="宋体"/>
          <w:color w:val="000000" w:themeColor="text1"/>
          <w:highlight w:val="none"/>
          <w:u w:val="single"/>
          <w:lang w:val="en-US" w:eastAsia="zh-CN"/>
        </w:rPr>
        <w:t xml:space="preserve">JSZC-320321-JSTQ-G2026-0005</w:t>
      </w:r>
      <w:r>
        <w:rPr>
          <w:rFonts w:hint="eastAsia" w:ascii="宋体" w:hAnsi="宋体" w:eastAsia="宋体" w:cs="宋体"/>
          <w:color w:val="000000" w:themeColor="text1"/>
          <w:highlight w:val="none"/>
        </w:rPr>
        <w:t xml:space="preserve">）的</w:t>
      </w:r>
      <w:r>
        <w:rPr>
          <w:rFonts w:hint="eastAsia" w:ascii="宋体" w:hAnsi="宋体" w:eastAsia="宋体" w:cs="宋体"/>
          <w:color w:val="000000" w:themeColor="text1"/>
          <w:highlight w:val="none"/>
          <w:lang w:val="en-US" w:eastAsia="zh-CN"/>
        </w:rPr>
        <w:t xml:space="preserve">招、</w:t>
      </w:r>
      <w:r>
        <w:rPr>
          <w:rFonts w:hint="eastAsia" w:ascii="宋体" w:hAnsi="宋体" w:eastAsia="宋体" w:cs="宋体"/>
          <w:color w:val="000000" w:themeColor="text1"/>
          <w:highlight w:val="none"/>
        </w:rPr>
        <w:t xml:space="preserve">投标活动及签订经济合同。（         ）以我企业（公司）名义所为的法律行为及签署的文件，我企业（公司）均予以认可。有关法律责任均由我企业（公司）承担。（         ）无转委托权。委托期限自</w:t>
      </w:r>
      <w:r>
        <w:rPr>
          <w:rFonts w:hint="eastAsia" w:ascii="宋体" w:hAnsi="宋体" w:eastAsia="宋体" w:cs="宋体"/>
          <w:color w:val="000000" w:themeColor="text1"/>
          <w:highlight w:val="none"/>
          <w:u w:val="single"/>
        </w:rPr>
        <w:t xml:space="preserve">    年  月   日起至    年  月    日</w:t>
      </w:r>
      <w:r>
        <w:rPr>
          <w:rFonts w:hint="eastAsia" w:ascii="宋体" w:hAnsi="宋体" w:eastAsia="宋体" w:cs="宋体"/>
          <w:color w:val="000000" w:themeColor="text1"/>
          <w:highlight w:val="none"/>
        </w:rPr>
        <w:t xml:space="preserve">止。</w:t>
      </w:r>
      <w:r>
        <w:rPr>
          <w:rFonts w:hint="eastAsia" w:ascii="宋体" w:hAnsi="宋体" w:eastAsia="宋体" w:cs="宋体"/>
          <w:color w:val="000000" w:themeColor="text1"/>
          <w:highlight w:val="none"/>
        </w:rPr>
      </w:r>
      <w:r>
        <w:rPr>
          <w:color w:val="000000" w:themeColor="text1"/>
        </w:rPr>
      </w:r>
    </w:p>
    <w:p>
      <w:pPr>
        <w:pStyle w:val="1012"/>
        <w:ind w:firstLine="48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特此授权委托。</w:t>
      </w:r>
      <w:r>
        <w:rPr>
          <w:rFonts w:hint="eastAsia" w:ascii="宋体" w:hAnsi="宋体" w:eastAsia="宋体" w:cs="宋体"/>
          <w:color w:val="000000" w:themeColor="text1"/>
          <w:highlight w:val="none"/>
        </w:rPr>
      </w:r>
      <w:r>
        <w:rPr>
          <w:color w:val="000000" w:themeColor="text1"/>
        </w:rPr>
      </w:r>
    </w:p>
    <w:p>
      <w:pPr>
        <w:pStyle w:val="1012"/>
        <w:ind w:firstLine="48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1012"/>
        <w:ind w:firstLine="480"/>
        <w:jc w:val="center"/>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t xml:space="preserve"> </w:t>
      </w:r>
      <w:r>
        <w:rPr>
          <w:rFonts w:hint="eastAsia" w:ascii="宋体" w:hAnsi="宋体" w:eastAsia="宋体" w:cs="宋体"/>
          <w:color w:val="000000" w:themeColor="text1"/>
          <w:highlight w:val="none"/>
        </w:rPr>
        <w:t xml:space="preserve">委托人（电子签章）：                         </w:t>
      </w:r>
      <w:r>
        <w:rPr>
          <w:rFonts w:hint="eastAsia" w:ascii="宋体" w:hAnsi="宋体" w:eastAsia="宋体" w:cs="宋体"/>
          <w:color w:val="000000" w:themeColor="text1"/>
          <w:highlight w:val="none"/>
        </w:rPr>
      </w:r>
      <w:r>
        <w:rPr>
          <w:color w:val="000000" w:themeColor="text1"/>
        </w:rPr>
      </w:r>
    </w:p>
    <w:p>
      <w:pPr>
        <w:pStyle w:val="1012"/>
        <w:ind w:firstLine="480"/>
        <w:jc w:val="center"/>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t xml:space="preserve">  </w:t>
      </w:r>
      <w:r>
        <w:rPr>
          <w:rFonts w:hint="eastAsia" w:ascii="宋体" w:hAnsi="宋体" w:eastAsia="宋体" w:cs="宋体"/>
          <w:color w:val="000000" w:themeColor="text1"/>
          <w:highlight w:val="none"/>
        </w:rPr>
        <w:t xml:space="preserve">受托人（签字或盖章）：</w:t>
      </w:r>
      <w:r>
        <w:rPr>
          <w:rFonts w:ascii="宋体" w:hAnsi="宋体" w:eastAsia="宋体" w:cs="宋体"/>
          <w:color w:val="000000" w:themeColor="text1"/>
          <w:highlight w:val="none"/>
        </w:rPr>
      </w:r>
      <w:r>
        <w:rPr>
          <w:color w:val="000000" w:themeColor="text1"/>
        </w:rPr>
      </w:r>
    </w:p>
    <w:p>
      <w:pPr>
        <w:pStyle w:val="1012"/>
        <w:ind w:firstLine="480"/>
        <w:jc w:val="center"/>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t xml:space="preserve">                 </w:t>
      </w:r>
      <w:r>
        <w:rPr>
          <w:rFonts w:ascii="宋体" w:hAnsi="宋体" w:eastAsia="宋体" w:cs="宋体"/>
          <w:color w:val="000000" w:themeColor="text1"/>
          <w:highlight w:val="none"/>
        </w:rPr>
        <w:t xml:space="preserve">法定代表人</w:t>
      </w:r>
      <w:r>
        <w:rPr>
          <w:rFonts w:hint="eastAsia" w:ascii="宋体" w:hAnsi="宋体" w:eastAsia="宋体" w:cs="宋体"/>
          <w:color w:val="000000" w:themeColor="text1"/>
          <w:highlight w:val="none"/>
        </w:rPr>
        <w:t xml:space="preserve">（负责人）</w:t>
      </w:r>
      <w:r>
        <w:rPr>
          <w:rFonts w:ascii="宋体" w:hAnsi="宋体" w:eastAsia="宋体" w:cs="宋体"/>
          <w:color w:val="000000" w:themeColor="text1"/>
          <w:highlight w:val="none"/>
        </w:rPr>
        <w:t xml:space="preserve">（签字</w:t>
      </w:r>
      <w:r>
        <w:rPr>
          <w:rFonts w:hint="eastAsia" w:ascii="宋体" w:hAnsi="宋体" w:eastAsia="宋体" w:cs="宋体"/>
          <w:color w:val="000000" w:themeColor="text1"/>
          <w:highlight w:val="none"/>
        </w:rPr>
        <w:t xml:space="preserve">或盖章</w:t>
      </w:r>
      <w:r>
        <w:rPr>
          <w:rFonts w:ascii="宋体" w:hAnsi="宋体" w:eastAsia="宋体" w:cs="宋体"/>
          <w:color w:val="000000" w:themeColor="text1"/>
          <w:highlight w:val="none"/>
        </w:rPr>
        <w:t xml:space="preserve">）</w:t>
      </w:r>
      <w:r>
        <w:rPr>
          <w:rFonts w:hint="eastAsia" w:ascii="宋体" w:hAnsi="宋体" w:eastAsia="宋体" w:cs="宋体"/>
          <w:color w:val="000000" w:themeColor="text1"/>
          <w:highlight w:val="none"/>
        </w:rPr>
        <w:t xml:space="preserve">： </w:t>
      </w:r>
      <w:r>
        <w:rPr>
          <w:rFonts w:hint="eastAsia" w:ascii="宋体" w:hAnsi="宋体" w:eastAsia="宋体" w:cs="宋体"/>
          <w:color w:val="000000" w:themeColor="text1"/>
          <w:highlight w:val="none"/>
        </w:rPr>
      </w:r>
      <w:r>
        <w:rPr>
          <w:color w:val="000000" w:themeColor="text1"/>
        </w:rPr>
      </w:r>
    </w:p>
    <w:p>
      <w:pPr>
        <w:pStyle w:val="1012"/>
        <w:ind w:firstLine="480"/>
        <w:jc w:val="center"/>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t xml:space="preserve">    </w:t>
      </w:r>
      <w:r>
        <w:rPr>
          <w:rFonts w:hint="eastAsia" w:ascii="宋体" w:hAnsi="宋体" w:eastAsia="宋体" w:cs="宋体"/>
          <w:color w:val="000000" w:themeColor="text1"/>
          <w:highlight w:val="none"/>
        </w:rPr>
        <w:t xml:space="preserve">日期：      年   月   日 </w:t>
      </w:r>
      <w:r>
        <w:rPr>
          <w:rFonts w:hint="eastAsia" w:ascii="宋体" w:hAnsi="宋体" w:eastAsia="宋体" w:cs="宋体"/>
          <w:color w:val="000000" w:themeColor="text1"/>
          <w:highlight w:val="none"/>
        </w:rPr>
      </w:r>
      <w:r>
        <w:rPr>
          <w:color w:val="000000" w:themeColor="text1"/>
        </w:rPr>
      </w:r>
    </w:p>
    <w:p>
      <w:pPr>
        <w:pStyle w:val="1012"/>
        <w:ind w:firstLine="48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1012"/>
        <w:ind w:firstLine="264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(受托人身份证原件扫描件附后</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r>
      <w:r>
        <w:rPr>
          <w:color w:val="000000" w:themeColor="text1"/>
        </w:rPr>
      </w:r>
    </w:p>
    <w:p>
      <w:pPr>
        <w:pStyle w:val="1012"/>
        <w:ind w:firstLine="48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1012"/>
        <w:ind w:firstLine="480"/>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1012"/>
        <w:ind w:firstLine="480"/>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1012"/>
        <w:ind w:firstLine="480"/>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1084"/>
        <w:ind w:firstLine="420"/>
        <w:rPr>
          <w:rFonts w:hint="eastAsia"/>
          <w:color w:val="000000" w:themeColor="text1"/>
          <w:highlight w:val="none"/>
        </w:rPr>
      </w:pPr>
      <w:r>
        <w:rPr>
          <w:rFonts w:hint="eastAsia"/>
          <w:color w:val="000000" w:themeColor="text1"/>
          <w:highlight w:val="none"/>
        </w:rPr>
      </w:r>
      <w:r>
        <w:rPr>
          <w:color w:val="000000" w:themeColor="text1"/>
        </w:rPr>
      </w:r>
    </w:p>
    <w:p>
      <w:pPr>
        <w:pStyle w:val="1012"/>
        <w:ind w:firstLine="602"/>
        <w:jc w:val="center"/>
        <w:rPr>
          <w:rFonts w:hint="eastAsia" w:ascii="宋体" w:hAnsi="宋体" w:eastAsia="宋体" w:cs="宋体"/>
          <w:b/>
          <w:color w:val="000000" w:themeColor="text1"/>
          <w:sz w:val="30"/>
          <w:szCs w:val="30"/>
          <w:highlight w:val="none"/>
        </w:rPr>
      </w:pPr>
      <w:r>
        <w:rPr>
          <w:color w:val="000000" w:themeColor="text1"/>
        </w:rPr>
      </w:r>
      <w:bookmarkStart w:id="73" w:name="_Toc12965_WPSOffice_Level2"/>
      <w:r>
        <w:rPr>
          <w:color w:val="000000" w:themeColor="text1"/>
        </w:rPr>
      </w:r>
      <w:bookmarkEnd w:id="73"/>
      <w:r>
        <w:rPr>
          <w:color w:val="000000" w:themeColor="text1"/>
        </w:rPr>
      </w:r>
      <w:bookmarkStart w:id="74" w:name="_Toc27841_WPSOffice_Level2"/>
      <w:r>
        <w:rPr>
          <w:color w:val="000000" w:themeColor="text1"/>
        </w:rPr>
      </w:r>
      <w:bookmarkEnd w:id="74"/>
      <w:r>
        <w:rPr>
          <w:rFonts w:hint="eastAsia" w:ascii="宋体" w:hAnsi="宋体" w:eastAsia="宋体" w:cs="宋体"/>
          <w:b/>
          <w:color w:val="000000" w:themeColor="text1"/>
          <w:sz w:val="30"/>
          <w:szCs w:val="30"/>
          <w:highlight w:val="none"/>
        </w:rPr>
      </w:r>
      <w:r>
        <w:rPr>
          <w:color w:val="000000" w:themeColor="text1"/>
        </w:rPr>
      </w:r>
    </w:p>
    <w:p>
      <w:pPr>
        <w:pStyle w:val="1012"/>
        <w:ind w:firstLine="602"/>
        <w:jc w:val="center"/>
        <w:rPr>
          <w:rFonts w:hint="eastAsia" w:ascii="宋体" w:hAnsi="宋体" w:eastAsia="宋体" w:cs="宋体"/>
          <w:b/>
          <w:color w:val="000000" w:themeColor="text1"/>
          <w:sz w:val="30"/>
          <w:szCs w:val="30"/>
          <w:highlight w:val="none"/>
        </w:rPr>
      </w:pPr>
      <w:r>
        <w:rPr>
          <w:rFonts w:hint="eastAsia" w:ascii="宋体" w:hAnsi="宋体" w:eastAsia="宋体" w:cs="宋体"/>
          <w:b/>
          <w:color w:val="000000" w:themeColor="text1"/>
          <w:sz w:val="30"/>
          <w:szCs w:val="30"/>
          <w:highlight w:val="none"/>
        </w:rPr>
      </w:r>
      <w:r>
        <w:rPr>
          <w:color w:val="000000" w:themeColor="text1"/>
        </w:rPr>
      </w:r>
    </w:p>
    <w:p>
      <w:pPr>
        <w:pStyle w:val="1012"/>
        <w:ind w:firstLine="602"/>
        <w:jc w:val="center"/>
        <w:spacing w:line="380" w:lineRule="atLeast"/>
        <w:rPr>
          <w:rFonts w:hint="eastAsia" w:ascii="宋体" w:hAnsi="宋体" w:eastAsia="宋体" w:cs="宋体"/>
          <w:b/>
          <w:bCs/>
          <w:color w:val="000000" w:themeColor="text1"/>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0"/>
          <w:szCs w:val="30"/>
          <w:highlight w:val="none"/>
        </w:rPr>
      </w:r>
      <w:r>
        <w:rPr>
          <w:color w:val="000000" w:themeColor="text1"/>
        </w:rPr>
      </w:r>
    </w:p>
    <w:p>
      <w:pPr>
        <w:pStyle w:val="1249"/>
        <w:rPr>
          <w:rFonts w:hint="eastAsia"/>
          <w:color w:val="000000" w:themeColor="text1"/>
          <w:highlight w:val="none"/>
        </w:rPr>
      </w:pPr>
      <w:r>
        <w:rPr>
          <w:rFonts w:hint="eastAsia"/>
          <w:color w:val="000000" w:themeColor="text1"/>
          <w:highlight w:val="none"/>
        </w:rPr>
      </w:r>
      <w:r>
        <w:rPr>
          <w:color w:val="000000" w:themeColor="text1"/>
        </w:rPr>
      </w:r>
    </w:p>
    <w:p>
      <w:pPr>
        <w:pStyle w:val="1012"/>
        <w:ind w:firstLine="1747"/>
        <w:spacing w:line="360" w:lineRule="auto"/>
        <w:rPr>
          <w:rFonts w:ascii="宋体" w:hAnsi="宋体" w:eastAsia="宋体" w:cs="宋体"/>
          <w:b/>
          <w:bCs/>
          <w:color w:val="000000" w:themeColor="text1"/>
          <w:sz w:val="30"/>
          <w:szCs w:val="30"/>
          <w:highlight w:val="none"/>
        </w:rPr>
      </w:pPr>
      <w:r>
        <w:rPr>
          <w:rFonts w:hint="eastAsia" w:ascii="宋体" w:hAnsi="宋体" w:eastAsia="宋体" w:cs="宋体"/>
          <w:b/>
          <w:bCs/>
          <w:color w:val="000000" w:themeColor="text1"/>
          <w:sz w:val="30"/>
          <w:szCs w:val="30"/>
          <w:highlight w:val="none"/>
          <w:lang w:val="en-US" w:eastAsia="zh-CN"/>
        </w:rPr>
        <w:t xml:space="preserve">5.投标人资质证明（格式自拟）</w:t>
      </w:r>
      <w:r>
        <w:rPr>
          <w:rFonts w:ascii="宋体" w:hAnsi="宋体" w:eastAsia="宋体" w:cs="宋体"/>
          <w:b/>
          <w:bCs/>
          <w:color w:val="000000" w:themeColor="text1"/>
          <w:sz w:val="30"/>
          <w:szCs w:val="30"/>
          <w:highlight w:val="none"/>
        </w:rPr>
      </w:r>
      <w:r>
        <w:rPr>
          <w:color w:val="000000" w:themeColor="text1"/>
        </w:rPr>
      </w:r>
    </w:p>
    <w:p>
      <w:pPr>
        <w:pStyle w:val="1012"/>
        <w:ind w:firstLine="602"/>
        <w:jc w:val="center"/>
        <w:spacing w:line="360" w:lineRule="auto"/>
        <w:rPr>
          <w:rFonts w:hint="eastAsia" w:ascii="宋体" w:hAnsi="宋体" w:eastAsia="宋体" w:cs="宋体"/>
          <w:b/>
          <w:bCs/>
          <w:color w:val="000000" w:themeColor="text1"/>
          <w:sz w:val="30"/>
          <w:szCs w:val="30"/>
          <w:highlight w:val="none"/>
        </w:rPr>
      </w:pPr>
      <w:r>
        <w:rPr>
          <w:rFonts w:hint="eastAsia" w:ascii="宋体" w:hAnsi="宋体" w:eastAsia="宋体" w:cs="宋体"/>
          <w:b/>
          <w:bCs/>
          <w:color w:val="000000" w:themeColor="text1"/>
          <w:sz w:val="30"/>
          <w:szCs w:val="30"/>
          <w:highlight w:val="none"/>
        </w:rPr>
      </w:r>
      <w:r>
        <w:rPr>
          <w:color w:val="000000" w:themeColor="text1"/>
        </w:rPr>
      </w:r>
    </w:p>
    <w:p>
      <w:pPr>
        <w:pStyle w:val="1012"/>
        <w:ind w:firstLine="602"/>
        <w:jc w:val="center"/>
        <w:spacing w:line="360" w:lineRule="auto"/>
        <w:rPr>
          <w:rFonts w:hint="eastAsia" w:ascii="宋体" w:hAnsi="宋体" w:eastAsia="宋体" w:cs="宋体"/>
          <w:b/>
          <w:bCs/>
          <w:color w:val="000000" w:themeColor="text1"/>
          <w:sz w:val="30"/>
          <w:szCs w:val="30"/>
          <w:highlight w:val="none"/>
        </w:rPr>
      </w:pPr>
      <w:r>
        <w:rPr>
          <w:rFonts w:hint="eastAsia" w:ascii="宋体" w:hAnsi="宋体" w:eastAsia="宋体" w:cs="宋体"/>
          <w:b/>
          <w:bCs/>
          <w:color w:val="000000" w:themeColor="text1"/>
          <w:sz w:val="30"/>
          <w:szCs w:val="30"/>
          <w:highlight w:val="none"/>
        </w:rPr>
      </w:r>
      <w:r>
        <w:rPr>
          <w:color w:val="000000" w:themeColor="text1"/>
        </w:rPr>
      </w:r>
    </w:p>
    <w:p>
      <w:pPr>
        <w:pStyle w:val="1012"/>
        <w:ind w:firstLine="602"/>
        <w:jc w:val="center"/>
        <w:spacing w:line="360" w:lineRule="auto"/>
        <w:rPr>
          <w:rFonts w:hint="eastAsia" w:ascii="宋体" w:hAnsi="宋体" w:eastAsia="宋体" w:cs="宋体"/>
          <w:b/>
          <w:bCs/>
          <w:color w:val="000000" w:themeColor="text1"/>
          <w:sz w:val="30"/>
          <w:szCs w:val="30"/>
          <w:highlight w:val="none"/>
        </w:rPr>
      </w:pPr>
      <w:r>
        <w:rPr>
          <w:rFonts w:hint="eastAsia" w:ascii="宋体" w:hAnsi="宋体" w:eastAsia="宋体" w:cs="宋体"/>
          <w:b/>
          <w:bCs/>
          <w:color w:val="000000" w:themeColor="text1"/>
          <w:sz w:val="30"/>
          <w:szCs w:val="30"/>
          <w:highlight w:val="none"/>
        </w:rPr>
      </w:r>
      <w:r>
        <w:rPr>
          <w:color w:val="000000" w:themeColor="text1"/>
        </w:rPr>
      </w:r>
    </w:p>
    <w:p>
      <w:pPr>
        <w:pStyle w:val="1012"/>
        <w:ind w:firstLine="602"/>
        <w:jc w:val="center"/>
        <w:spacing w:line="360" w:lineRule="auto"/>
        <w:rPr>
          <w:rFonts w:hint="eastAsia" w:ascii="宋体" w:hAnsi="宋体" w:eastAsia="宋体" w:cs="宋体"/>
          <w:b/>
          <w:bCs/>
          <w:color w:val="000000" w:themeColor="text1"/>
          <w:sz w:val="30"/>
          <w:szCs w:val="30"/>
          <w:highlight w:val="none"/>
        </w:rPr>
      </w:pPr>
      <w:r>
        <w:rPr>
          <w:rFonts w:hint="eastAsia" w:ascii="宋体" w:hAnsi="宋体" w:eastAsia="宋体" w:cs="宋体"/>
          <w:b/>
          <w:bCs/>
          <w:color w:val="000000" w:themeColor="text1"/>
          <w:sz w:val="30"/>
          <w:szCs w:val="30"/>
          <w:highlight w:val="none"/>
        </w:rPr>
      </w:r>
      <w:r>
        <w:rPr>
          <w:color w:val="000000" w:themeColor="text1"/>
        </w:rPr>
      </w:r>
    </w:p>
    <w:p>
      <w:pPr>
        <w:pStyle w:val="1012"/>
        <w:ind w:firstLine="602"/>
        <w:jc w:val="center"/>
        <w:spacing w:line="360" w:lineRule="auto"/>
        <w:rPr>
          <w:rFonts w:hint="eastAsia" w:ascii="宋体" w:hAnsi="宋体" w:eastAsia="宋体" w:cs="宋体"/>
          <w:b/>
          <w:bCs/>
          <w:color w:val="000000" w:themeColor="text1"/>
          <w:sz w:val="30"/>
          <w:szCs w:val="30"/>
          <w:highlight w:val="none"/>
        </w:rPr>
      </w:pPr>
      <w:r>
        <w:rPr>
          <w:rFonts w:hint="eastAsia" w:ascii="宋体" w:hAnsi="宋体" w:eastAsia="宋体" w:cs="宋体"/>
          <w:b/>
          <w:bCs/>
          <w:color w:val="000000" w:themeColor="text1"/>
          <w:sz w:val="30"/>
          <w:szCs w:val="30"/>
          <w:highlight w:val="none"/>
        </w:rPr>
      </w:r>
      <w:r>
        <w:rPr>
          <w:color w:val="000000" w:themeColor="text1"/>
        </w:rPr>
      </w:r>
    </w:p>
    <w:p>
      <w:pPr>
        <w:pStyle w:val="1012"/>
        <w:ind w:firstLine="602"/>
        <w:jc w:val="center"/>
        <w:spacing w:line="360" w:lineRule="auto"/>
        <w:rPr>
          <w:rFonts w:hint="eastAsia" w:ascii="宋体" w:hAnsi="宋体" w:eastAsia="宋体" w:cs="宋体"/>
          <w:b/>
          <w:bCs/>
          <w:color w:val="000000" w:themeColor="text1"/>
          <w:sz w:val="30"/>
          <w:szCs w:val="30"/>
          <w:highlight w:val="none"/>
        </w:rPr>
      </w:pPr>
      <w:r>
        <w:rPr>
          <w:rFonts w:hint="eastAsia" w:ascii="宋体" w:hAnsi="宋体" w:eastAsia="宋体" w:cs="宋体"/>
          <w:b/>
          <w:bCs/>
          <w:color w:val="000000" w:themeColor="text1"/>
          <w:sz w:val="30"/>
          <w:szCs w:val="30"/>
          <w:highlight w:val="none"/>
        </w:rPr>
      </w:r>
      <w:r>
        <w:rPr>
          <w:color w:val="000000" w:themeColor="text1"/>
        </w:rPr>
      </w:r>
    </w:p>
    <w:p>
      <w:pPr>
        <w:pStyle w:val="1012"/>
        <w:ind w:firstLine="602"/>
        <w:jc w:val="center"/>
        <w:spacing w:line="360" w:lineRule="auto"/>
        <w:rPr>
          <w:rFonts w:hint="eastAsia" w:ascii="宋体" w:hAnsi="宋体" w:eastAsia="宋体" w:cs="宋体"/>
          <w:b/>
          <w:bCs/>
          <w:color w:val="000000" w:themeColor="text1"/>
          <w:sz w:val="30"/>
          <w:szCs w:val="30"/>
          <w:highlight w:val="none"/>
        </w:rPr>
      </w:pPr>
      <w:r>
        <w:rPr>
          <w:rFonts w:hint="eastAsia" w:ascii="宋体" w:hAnsi="宋体" w:eastAsia="宋体" w:cs="宋体"/>
          <w:b/>
          <w:bCs/>
          <w:color w:val="000000" w:themeColor="text1"/>
          <w:sz w:val="30"/>
          <w:szCs w:val="30"/>
          <w:highlight w:val="none"/>
        </w:rPr>
      </w:r>
      <w:r>
        <w:rPr>
          <w:color w:val="000000" w:themeColor="text1"/>
        </w:rPr>
      </w:r>
    </w:p>
    <w:p>
      <w:pPr>
        <w:pStyle w:val="1012"/>
        <w:ind w:firstLine="602"/>
        <w:jc w:val="center"/>
        <w:spacing w:line="360" w:lineRule="auto"/>
        <w:rPr>
          <w:rFonts w:hint="eastAsia" w:ascii="宋体" w:hAnsi="宋体" w:eastAsia="宋体" w:cs="宋体"/>
          <w:b/>
          <w:bCs/>
          <w:color w:val="000000" w:themeColor="text1"/>
          <w:sz w:val="30"/>
          <w:szCs w:val="30"/>
          <w:highlight w:val="none"/>
        </w:rPr>
      </w:pPr>
      <w:r>
        <w:rPr>
          <w:rFonts w:hint="eastAsia" w:ascii="宋体" w:hAnsi="宋体" w:eastAsia="宋体" w:cs="宋体"/>
          <w:b/>
          <w:bCs/>
          <w:color w:val="000000" w:themeColor="text1"/>
          <w:sz w:val="30"/>
          <w:szCs w:val="30"/>
          <w:highlight w:val="none"/>
        </w:rPr>
      </w:r>
      <w:r>
        <w:rPr>
          <w:color w:val="000000" w:themeColor="text1"/>
        </w:rPr>
      </w:r>
    </w:p>
    <w:p>
      <w:pPr>
        <w:pStyle w:val="1012"/>
        <w:ind w:firstLine="602"/>
        <w:jc w:val="center"/>
        <w:spacing w:line="360" w:lineRule="auto"/>
        <w:rPr>
          <w:rFonts w:hint="eastAsia" w:ascii="宋体" w:hAnsi="宋体" w:eastAsia="宋体" w:cs="宋体"/>
          <w:b/>
          <w:bCs/>
          <w:color w:val="000000" w:themeColor="text1"/>
          <w:sz w:val="30"/>
          <w:szCs w:val="30"/>
          <w:highlight w:val="none"/>
        </w:rPr>
      </w:pPr>
      <w:r>
        <w:rPr>
          <w:rFonts w:hint="eastAsia" w:ascii="宋体" w:hAnsi="宋体" w:eastAsia="宋体" w:cs="宋体"/>
          <w:b/>
          <w:bCs/>
          <w:color w:val="000000" w:themeColor="text1"/>
          <w:sz w:val="30"/>
          <w:szCs w:val="30"/>
          <w:highlight w:val="none"/>
        </w:rPr>
      </w:r>
      <w:r>
        <w:rPr>
          <w:color w:val="000000" w:themeColor="text1"/>
        </w:rPr>
      </w:r>
    </w:p>
    <w:p>
      <w:pPr>
        <w:pStyle w:val="1012"/>
        <w:ind w:firstLine="602"/>
        <w:jc w:val="center"/>
        <w:spacing w:line="360" w:lineRule="auto"/>
        <w:rPr>
          <w:rFonts w:hint="eastAsia" w:ascii="宋体" w:hAnsi="宋体" w:eastAsia="宋体" w:cs="宋体"/>
          <w:b/>
          <w:bCs/>
          <w:color w:val="000000" w:themeColor="text1"/>
          <w:sz w:val="30"/>
          <w:szCs w:val="30"/>
          <w:highlight w:val="none"/>
        </w:rPr>
      </w:pPr>
      <w:r>
        <w:rPr>
          <w:rFonts w:hint="eastAsia" w:ascii="宋体" w:hAnsi="宋体" w:eastAsia="宋体" w:cs="宋体"/>
          <w:b/>
          <w:bCs/>
          <w:color w:val="000000" w:themeColor="text1"/>
          <w:sz w:val="30"/>
          <w:szCs w:val="30"/>
          <w:highlight w:val="none"/>
        </w:rPr>
      </w:r>
      <w:r>
        <w:rPr>
          <w:color w:val="000000" w:themeColor="text1"/>
        </w:rPr>
      </w:r>
    </w:p>
    <w:p>
      <w:pPr>
        <w:pStyle w:val="1012"/>
        <w:ind w:firstLine="602"/>
        <w:jc w:val="center"/>
        <w:spacing w:line="360" w:lineRule="auto"/>
        <w:rPr>
          <w:rFonts w:hint="eastAsia" w:ascii="宋体" w:hAnsi="宋体" w:eastAsia="宋体" w:cs="宋体"/>
          <w:b/>
          <w:bCs/>
          <w:color w:val="000000" w:themeColor="text1"/>
          <w:sz w:val="30"/>
          <w:szCs w:val="30"/>
          <w:highlight w:val="none"/>
        </w:rPr>
      </w:pPr>
      <w:r>
        <w:rPr>
          <w:rFonts w:hint="eastAsia" w:ascii="宋体" w:hAnsi="宋体" w:eastAsia="宋体" w:cs="宋体"/>
          <w:b/>
          <w:bCs/>
          <w:color w:val="000000" w:themeColor="text1"/>
          <w:sz w:val="30"/>
          <w:szCs w:val="30"/>
          <w:highlight w:val="none"/>
        </w:rPr>
      </w:r>
      <w:r>
        <w:rPr>
          <w:color w:val="000000" w:themeColor="text1"/>
        </w:rPr>
      </w:r>
    </w:p>
    <w:p>
      <w:pPr>
        <w:pStyle w:val="1012"/>
        <w:ind w:firstLine="602"/>
        <w:jc w:val="center"/>
        <w:spacing w:line="360" w:lineRule="auto"/>
        <w:rPr>
          <w:rFonts w:hint="eastAsia" w:ascii="宋体" w:hAnsi="宋体" w:eastAsia="宋体" w:cs="宋体"/>
          <w:b/>
          <w:bCs/>
          <w:color w:val="000000" w:themeColor="text1"/>
          <w:sz w:val="30"/>
          <w:szCs w:val="30"/>
          <w:highlight w:val="none"/>
        </w:rPr>
      </w:pPr>
      <w:r>
        <w:rPr>
          <w:rFonts w:hint="eastAsia" w:ascii="宋体" w:hAnsi="宋体" w:eastAsia="宋体" w:cs="宋体"/>
          <w:b/>
          <w:bCs/>
          <w:color w:val="000000" w:themeColor="text1"/>
          <w:sz w:val="30"/>
          <w:szCs w:val="30"/>
          <w:highlight w:val="none"/>
        </w:rPr>
      </w:r>
      <w:r>
        <w:rPr>
          <w:color w:val="000000" w:themeColor="text1"/>
        </w:rPr>
      </w:r>
    </w:p>
    <w:p>
      <w:pPr>
        <w:pStyle w:val="1012"/>
        <w:ind w:firstLine="602"/>
        <w:jc w:val="center"/>
        <w:spacing w:line="360" w:lineRule="auto"/>
        <w:rPr>
          <w:rFonts w:hint="eastAsia" w:ascii="宋体" w:hAnsi="宋体" w:eastAsia="宋体" w:cs="宋体"/>
          <w:b/>
          <w:bCs/>
          <w:color w:val="000000" w:themeColor="text1"/>
          <w:sz w:val="30"/>
          <w:szCs w:val="30"/>
          <w:highlight w:val="none"/>
        </w:rPr>
      </w:pPr>
      <w:r>
        <w:rPr>
          <w:rFonts w:hint="eastAsia" w:ascii="宋体" w:hAnsi="宋体" w:eastAsia="宋体" w:cs="宋体"/>
          <w:b/>
          <w:bCs/>
          <w:color w:val="000000" w:themeColor="text1"/>
          <w:sz w:val="30"/>
          <w:szCs w:val="30"/>
          <w:highlight w:val="none"/>
        </w:rPr>
      </w:r>
      <w:r>
        <w:rPr>
          <w:color w:val="000000" w:themeColor="text1"/>
        </w:rPr>
      </w:r>
    </w:p>
    <w:p>
      <w:pPr>
        <w:pStyle w:val="1012"/>
        <w:ind w:firstLine="602"/>
        <w:jc w:val="center"/>
        <w:spacing w:line="360" w:lineRule="auto"/>
        <w:rPr>
          <w:rFonts w:hint="eastAsia" w:ascii="宋体" w:hAnsi="宋体" w:eastAsia="宋体" w:cs="宋体"/>
          <w:b/>
          <w:bCs/>
          <w:color w:val="000000" w:themeColor="text1"/>
          <w:sz w:val="30"/>
          <w:szCs w:val="30"/>
          <w:highlight w:val="none"/>
        </w:rPr>
      </w:pPr>
      <w:r>
        <w:rPr>
          <w:rFonts w:hint="eastAsia" w:ascii="宋体" w:hAnsi="宋体" w:eastAsia="宋体" w:cs="宋体"/>
          <w:b/>
          <w:bCs/>
          <w:color w:val="000000" w:themeColor="text1"/>
          <w:sz w:val="30"/>
          <w:szCs w:val="30"/>
          <w:highlight w:val="none"/>
        </w:rPr>
      </w:r>
      <w:r>
        <w:rPr>
          <w:color w:val="000000" w:themeColor="text1"/>
        </w:rPr>
      </w:r>
    </w:p>
    <w:p>
      <w:pPr>
        <w:pStyle w:val="1012"/>
        <w:ind w:firstLine="602"/>
        <w:jc w:val="center"/>
        <w:spacing w:line="360" w:lineRule="auto"/>
        <w:rPr>
          <w:rFonts w:hint="eastAsia" w:ascii="宋体" w:hAnsi="宋体" w:eastAsia="宋体" w:cs="宋体"/>
          <w:b/>
          <w:bCs/>
          <w:color w:val="000000" w:themeColor="text1"/>
          <w:sz w:val="30"/>
          <w:szCs w:val="30"/>
          <w:highlight w:val="none"/>
        </w:rPr>
      </w:pPr>
      <w:r>
        <w:rPr>
          <w:rFonts w:hint="eastAsia" w:ascii="宋体" w:hAnsi="宋体" w:eastAsia="宋体" w:cs="宋体"/>
          <w:b/>
          <w:bCs/>
          <w:color w:val="000000" w:themeColor="text1"/>
          <w:sz w:val="30"/>
          <w:szCs w:val="30"/>
          <w:highlight w:val="none"/>
        </w:rPr>
      </w:r>
      <w:r>
        <w:rPr>
          <w:color w:val="000000" w:themeColor="text1"/>
        </w:rPr>
      </w:r>
    </w:p>
    <w:p>
      <w:pPr>
        <w:pStyle w:val="1012"/>
        <w:ind w:firstLine="602"/>
        <w:jc w:val="center"/>
        <w:spacing w:line="360" w:lineRule="auto"/>
        <w:rPr>
          <w:rFonts w:hint="eastAsia" w:ascii="宋体" w:hAnsi="宋体" w:eastAsia="宋体" w:cs="宋体"/>
          <w:b/>
          <w:bCs/>
          <w:color w:val="000000" w:themeColor="text1"/>
          <w:sz w:val="30"/>
          <w:szCs w:val="30"/>
          <w:highlight w:val="none"/>
        </w:rPr>
      </w:pPr>
      <w:r>
        <w:rPr>
          <w:rFonts w:hint="eastAsia" w:ascii="宋体" w:hAnsi="宋体" w:eastAsia="宋体" w:cs="宋体"/>
          <w:b/>
          <w:bCs/>
          <w:color w:val="000000" w:themeColor="text1"/>
          <w:sz w:val="30"/>
          <w:szCs w:val="30"/>
          <w:highlight w:val="none"/>
        </w:rPr>
      </w:r>
      <w:r>
        <w:rPr>
          <w:color w:val="000000" w:themeColor="text1"/>
        </w:rPr>
      </w:r>
    </w:p>
    <w:p>
      <w:pPr>
        <w:pStyle w:val="1012"/>
        <w:ind w:firstLine="602"/>
        <w:jc w:val="center"/>
        <w:spacing w:line="360" w:lineRule="auto"/>
        <w:rPr>
          <w:rFonts w:hint="eastAsia" w:ascii="宋体" w:hAnsi="宋体" w:eastAsia="宋体" w:cs="宋体"/>
          <w:b/>
          <w:bCs/>
          <w:color w:val="000000" w:themeColor="text1"/>
          <w:sz w:val="30"/>
          <w:szCs w:val="30"/>
          <w:highlight w:val="none"/>
        </w:rPr>
      </w:pPr>
      <w:r>
        <w:rPr>
          <w:rFonts w:hint="eastAsia" w:ascii="宋体" w:hAnsi="宋体" w:eastAsia="宋体" w:cs="宋体"/>
          <w:b/>
          <w:bCs/>
          <w:color w:val="000000" w:themeColor="text1"/>
          <w:sz w:val="30"/>
          <w:szCs w:val="30"/>
          <w:highlight w:val="none"/>
        </w:rPr>
      </w:r>
      <w:r>
        <w:rPr>
          <w:color w:val="000000" w:themeColor="text1"/>
        </w:rPr>
      </w:r>
    </w:p>
    <w:p>
      <w:pPr>
        <w:pStyle w:val="1012"/>
        <w:ind w:firstLine="602"/>
        <w:jc w:val="center"/>
        <w:spacing w:line="360" w:lineRule="auto"/>
        <w:rPr>
          <w:rFonts w:hint="eastAsia" w:ascii="宋体" w:hAnsi="宋体" w:eastAsia="宋体" w:cs="宋体"/>
          <w:b/>
          <w:bCs/>
          <w:color w:val="000000" w:themeColor="text1"/>
          <w:sz w:val="30"/>
          <w:szCs w:val="30"/>
          <w:highlight w:val="none"/>
        </w:rPr>
      </w:pPr>
      <w:r>
        <w:rPr>
          <w:rFonts w:hint="eastAsia" w:ascii="宋体" w:hAnsi="宋体" w:eastAsia="宋体" w:cs="宋体"/>
          <w:b/>
          <w:bCs/>
          <w:color w:val="000000" w:themeColor="text1"/>
          <w:sz w:val="30"/>
          <w:szCs w:val="30"/>
          <w:highlight w:val="none"/>
        </w:rPr>
      </w:r>
      <w:r>
        <w:rPr>
          <w:color w:val="000000" w:themeColor="text1"/>
        </w:rPr>
      </w:r>
    </w:p>
    <w:p>
      <w:pPr>
        <w:pStyle w:val="1012"/>
        <w:ind w:firstLine="602"/>
        <w:jc w:val="center"/>
        <w:spacing w:line="360" w:lineRule="auto"/>
        <w:rPr>
          <w:rFonts w:hint="eastAsia" w:ascii="宋体" w:hAnsi="宋体" w:eastAsia="宋体" w:cs="宋体"/>
          <w:b/>
          <w:bCs/>
          <w:color w:val="000000" w:themeColor="text1"/>
          <w:sz w:val="30"/>
          <w:szCs w:val="30"/>
          <w:highlight w:val="none"/>
        </w:rPr>
      </w:pPr>
      <w:r>
        <w:rPr>
          <w:rFonts w:hint="eastAsia" w:ascii="宋体" w:hAnsi="宋体" w:eastAsia="宋体" w:cs="宋体"/>
          <w:b/>
          <w:bCs/>
          <w:color w:val="000000" w:themeColor="text1"/>
          <w:sz w:val="30"/>
          <w:szCs w:val="30"/>
          <w:highlight w:val="none"/>
        </w:rPr>
      </w:r>
      <w:r>
        <w:rPr>
          <w:color w:val="000000" w:themeColor="text1"/>
        </w:rPr>
      </w:r>
    </w:p>
    <w:p>
      <w:pPr>
        <w:pStyle w:val="1012"/>
        <w:ind w:firstLine="602"/>
        <w:jc w:val="center"/>
        <w:spacing w:line="360" w:lineRule="auto"/>
        <w:rPr>
          <w:rFonts w:hint="eastAsia" w:ascii="宋体" w:hAnsi="宋体" w:eastAsia="宋体" w:cs="宋体"/>
          <w:b/>
          <w:bCs/>
          <w:color w:val="000000" w:themeColor="text1"/>
          <w:sz w:val="30"/>
          <w:szCs w:val="30"/>
          <w:highlight w:val="none"/>
        </w:rPr>
      </w:pPr>
      <w:r>
        <w:rPr>
          <w:rFonts w:hint="eastAsia" w:ascii="宋体" w:hAnsi="宋体" w:eastAsia="宋体" w:cs="宋体"/>
          <w:b/>
          <w:bCs/>
          <w:color w:val="000000" w:themeColor="text1"/>
          <w:sz w:val="30"/>
          <w:szCs w:val="30"/>
          <w:highlight w:val="none"/>
        </w:rPr>
      </w:r>
      <w:r>
        <w:rPr>
          <w:color w:val="000000" w:themeColor="text1"/>
        </w:rPr>
      </w:r>
    </w:p>
    <w:p>
      <w:pPr>
        <w:pStyle w:val="1012"/>
        <w:ind w:firstLine="602"/>
        <w:jc w:val="center"/>
        <w:spacing w:line="360" w:lineRule="auto"/>
        <w:rPr>
          <w:rFonts w:hint="eastAsia" w:ascii="宋体" w:hAnsi="宋体" w:eastAsia="宋体" w:cs="宋体"/>
          <w:b/>
          <w:bCs/>
          <w:color w:val="000000" w:themeColor="text1"/>
          <w:sz w:val="30"/>
          <w:szCs w:val="30"/>
          <w:highlight w:val="none"/>
        </w:rPr>
      </w:pPr>
      <w:r>
        <w:rPr>
          <w:rFonts w:hint="eastAsia" w:ascii="宋体" w:hAnsi="宋体" w:eastAsia="宋体" w:cs="宋体"/>
          <w:b/>
          <w:bCs/>
          <w:color w:val="000000" w:themeColor="text1"/>
          <w:sz w:val="30"/>
          <w:szCs w:val="30"/>
          <w:highlight w:val="none"/>
        </w:rPr>
      </w:r>
      <w:r>
        <w:rPr>
          <w:color w:val="000000" w:themeColor="text1"/>
        </w:rPr>
      </w:r>
    </w:p>
    <w:p>
      <w:pPr>
        <w:pStyle w:val="1012"/>
        <w:ind w:firstLine="602"/>
        <w:jc w:val="center"/>
        <w:spacing w:line="360" w:lineRule="auto"/>
        <w:rPr>
          <w:rFonts w:hint="eastAsia" w:ascii="宋体" w:hAnsi="宋体" w:eastAsia="宋体" w:cs="宋体"/>
          <w:b/>
          <w:bCs/>
          <w:color w:val="000000" w:themeColor="text1"/>
          <w:sz w:val="30"/>
          <w:szCs w:val="30"/>
          <w:highlight w:val="none"/>
        </w:rPr>
      </w:pPr>
      <w:r>
        <w:rPr>
          <w:rFonts w:hint="eastAsia" w:ascii="宋体" w:hAnsi="宋体" w:eastAsia="宋体" w:cs="宋体"/>
          <w:b/>
          <w:bCs/>
          <w:color w:val="000000" w:themeColor="text1"/>
          <w:sz w:val="30"/>
          <w:szCs w:val="30"/>
          <w:highlight w:val="none"/>
        </w:rPr>
      </w:r>
      <w:r>
        <w:rPr>
          <w:color w:val="000000" w:themeColor="text1"/>
        </w:rPr>
      </w:r>
    </w:p>
    <w:p>
      <w:pPr>
        <w:pStyle w:val="1012"/>
        <w:ind w:firstLine="602"/>
        <w:jc w:val="center"/>
        <w:spacing w:line="360" w:lineRule="auto"/>
        <w:rPr>
          <w:rFonts w:hint="eastAsia" w:ascii="宋体" w:hAnsi="宋体" w:eastAsia="宋体" w:cs="宋体"/>
          <w:b/>
          <w:bCs/>
          <w:color w:val="000000" w:themeColor="text1"/>
          <w:sz w:val="30"/>
          <w:szCs w:val="30"/>
          <w:highlight w:val="none"/>
        </w:rPr>
      </w:pPr>
      <w:r>
        <w:rPr>
          <w:rFonts w:hint="eastAsia" w:ascii="宋体" w:hAnsi="宋体" w:eastAsia="宋体" w:cs="宋体"/>
          <w:b/>
          <w:bCs/>
          <w:color w:val="000000" w:themeColor="text1"/>
          <w:sz w:val="30"/>
          <w:szCs w:val="30"/>
          <w:highlight w:val="none"/>
          <w:lang w:val="en-US" w:eastAsia="zh-CN"/>
        </w:rPr>
        <w:t xml:space="preserve">6</w:t>
      </w:r>
      <w:r>
        <w:rPr>
          <w:rFonts w:hint="eastAsia" w:ascii="宋体" w:hAnsi="宋体" w:eastAsia="宋体" w:cs="宋体"/>
          <w:b/>
          <w:bCs/>
          <w:color w:val="000000" w:themeColor="text1"/>
          <w:sz w:val="30"/>
          <w:szCs w:val="30"/>
          <w:highlight w:val="none"/>
        </w:rPr>
        <w:t xml:space="preserve">.具备履行合同所必需的设备和专业技术能力的书面声明</w:t>
      </w:r>
      <w:r>
        <w:rPr>
          <w:rFonts w:hint="eastAsia" w:ascii="宋体" w:hAnsi="宋体" w:eastAsia="宋体" w:cs="宋体"/>
          <w:b/>
          <w:bCs/>
          <w:color w:val="000000" w:themeColor="text1"/>
          <w:sz w:val="30"/>
          <w:szCs w:val="30"/>
          <w:highlight w:val="none"/>
        </w:rPr>
      </w:r>
      <w:r>
        <w:rPr>
          <w:color w:val="000000" w:themeColor="text1"/>
        </w:rPr>
      </w:r>
    </w:p>
    <w:p>
      <w:pPr>
        <w:pStyle w:val="1012"/>
        <w:ind w:firstLine="2112"/>
        <w:jc w:val="both"/>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highlight w:val="none"/>
        </w:rPr>
        <w:t xml:space="preserve">项目编号：</w:t>
      </w:r>
      <w:r>
        <w:rPr>
          <w:rFonts w:hint="eastAsia" w:ascii="宋体" w:hAnsi="宋体" w:eastAsia="宋体" w:cs="宋体"/>
          <w:color w:val="000000" w:themeColor="text1"/>
          <w:highlight w:val="none"/>
          <w:u w:val="none"/>
          <w:lang w:val="en-US" w:eastAsia="zh-CN"/>
        </w:rPr>
        <w:t xml:space="preserve">JSZC-320321-JSTQ-G2026-0005</w:t>
      </w:r>
      <w:r>
        <w:rPr>
          <w:rFonts w:hint="eastAsia" w:ascii="宋体" w:hAnsi="宋体" w:eastAsia="宋体" w:cs="宋体"/>
          <w:color w:val="000000" w:themeColor="text1"/>
          <w:sz w:val="24"/>
          <w:szCs w:val="24"/>
          <w:highlight w:val="none"/>
          <w:u w:val="single"/>
        </w:rPr>
      </w:r>
      <w:r>
        <w:rPr>
          <w:color w:val="000000" w:themeColor="text1"/>
        </w:rPr>
      </w:r>
    </w:p>
    <w:p>
      <w:pPr>
        <w:pStyle w:val="1249"/>
        <w:ind w:firstLine="480"/>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p>
    <w:p>
      <w:pPr>
        <w:pStyle w:val="1071"/>
        <w:ind w:firstLine="480"/>
        <w:spacing w:line="460" w:lineRule="exact"/>
        <w:rPr>
          <w:rFonts w:hint="eastAsia" w:ascii="宋体" w:hAnsi="宋体" w:cs="宋体"/>
          <w:color w:val="000000" w:themeColor="text1"/>
          <w:highlight w:val="none"/>
        </w:rPr>
      </w:pPr>
      <w:r>
        <w:rPr>
          <w:rFonts w:hint="eastAsia" w:ascii="宋体" w:hAnsi="宋体" w:cs="宋体"/>
          <w:color w:val="000000" w:themeColor="text1"/>
          <w:highlight w:val="none"/>
        </w:rPr>
        <w:t xml:space="preserve">我单位郑重声明：我单位具备履行本项</w:t>
      </w:r>
      <w:r>
        <w:rPr>
          <w:rFonts w:hint="eastAsia" w:ascii="宋体" w:hAnsi="宋体" w:cs="宋体"/>
          <w:color w:val="000000" w:themeColor="text1"/>
          <w:highlight w:val="none"/>
          <w:lang w:val="en-US" w:eastAsia="zh-CN"/>
        </w:rPr>
        <w:t xml:space="preserve">目</w:t>
      </w:r>
      <w:r>
        <w:rPr>
          <w:rFonts w:hint="eastAsia" w:ascii="宋体" w:hAnsi="宋体" w:cs="宋体"/>
          <w:color w:val="000000" w:themeColor="text1"/>
          <w:highlight w:val="none"/>
        </w:rPr>
        <w:t xml:space="preserve">采购合同所必需的设备和专业技术能力，</w:t>
      </w:r>
      <w:r>
        <w:rPr>
          <w:rFonts w:hint="eastAsia" w:ascii="宋体" w:hAnsi="宋体" w:cs="宋体"/>
          <w:color w:val="000000" w:themeColor="text1"/>
          <w:highlight w:val="none"/>
          <w:lang w:val="en-US" w:eastAsia="zh-CN"/>
        </w:rPr>
        <w:t xml:space="preserve">具体为</w:t>
      </w:r>
      <w:r>
        <w:rPr>
          <w:rFonts w:hint="eastAsia" w:ascii="宋体" w:hAnsi="宋体" w:cs="宋体"/>
          <w:color w:val="000000" w:themeColor="text1"/>
          <w:highlight w:val="none"/>
        </w:rPr>
        <w:t xml:space="preserve">：</w:t>
      </w:r>
      <w:r>
        <w:rPr>
          <w:rFonts w:hint="eastAsia" w:ascii="宋体" w:hAnsi="宋体" w:cs="宋体"/>
          <w:color w:val="000000" w:themeColor="text1"/>
          <w:highlight w:val="none"/>
        </w:rPr>
      </w:r>
      <w:r>
        <w:rPr>
          <w:color w:val="000000" w:themeColor="text1"/>
        </w:rPr>
      </w:r>
    </w:p>
    <w:p>
      <w:pPr>
        <w:pStyle w:val="1012"/>
        <w:ind w:firstLine="480"/>
        <w:spacing w:line="4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1012"/>
        <w:ind w:firstLine="480"/>
        <w:spacing w:line="4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主要设备：</w:t>
      </w:r>
      <w:r>
        <w:rPr>
          <w:rFonts w:hint="eastAsia" w:ascii="宋体" w:hAnsi="宋体" w:eastAsia="宋体" w:cs="宋体"/>
          <w:color w:val="000000" w:themeColor="text1"/>
          <w:highlight w:val="none"/>
        </w:rPr>
      </w:r>
      <w:r>
        <w:rPr>
          <w:color w:val="000000" w:themeColor="text1"/>
        </w:rPr>
      </w:r>
    </w:p>
    <w:p>
      <w:pPr>
        <w:pStyle w:val="1012"/>
        <w:ind w:firstLine="480"/>
        <w:spacing w:line="4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 （证明材料原件扫描件附后）</w:t>
      </w:r>
      <w:r>
        <w:rPr>
          <w:rFonts w:hint="eastAsia" w:ascii="宋体" w:hAnsi="宋体" w:eastAsia="宋体" w:cs="宋体"/>
          <w:color w:val="000000" w:themeColor="text1"/>
          <w:highlight w:val="none"/>
        </w:rPr>
      </w:r>
      <w:r>
        <w:rPr>
          <w:color w:val="000000" w:themeColor="text1"/>
        </w:rPr>
      </w:r>
    </w:p>
    <w:p>
      <w:pPr>
        <w:pStyle w:val="1012"/>
        <w:ind w:firstLine="480"/>
        <w:spacing w:line="4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2、</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 （证明材料原件扫描件附后）</w:t>
      </w:r>
      <w:r>
        <w:rPr>
          <w:rFonts w:hint="eastAsia" w:ascii="宋体" w:hAnsi="宋体" w:eastAsia="宋体" w:cs="宋体"/>
          <w:color w:val="000000" w:themeColor="text1"/>
          <w:highlight w:val="none"/>
        </w:rPr>
      </w:r>
      <w:r>
        <w:rPr>
          <w:color w:val="000000" w:themeColor="text1"/>
        </w:rPr>
      </w:r>
    </w:p>
    <w:p>
      <w:pPr>
        <w:pStyle w:val="1012"/>
        <w:ind w:firstLine="480"/>
        <w:spacing w:line="4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3、</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 （证明材料原件扫描件附后）</w:t>
      </w:r>
      <w:r>
        <w:rPr>
          <w:rFonts w:hint="eastAsia" w:ascii="宋体" w:hAnsi="宋体" w:eastAsia="宋体" w:cs="宋体"/>
          <w:color w:val="000000" w:themeColor="text1"/>
          <w:highlight w:val="none"/>
        </w:rPr>
      </w:r>
      <w:r>
        <w:rPr>
          <w:color w:val="000000" w:themeColor="text1"/>
        </w:rPr>
      </w:r>
    </w:p>
    <w:p>
      <w:pPr>
        <w:pStyle w:val="1012"/>
        <w:ind w:firstLine="480"/>
        <w:spacing w:line="4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r>
      <w:r>
        <w:rPr>
          <w:color w:val="000000" w:themeColor="text1"/>
        </w:rPr>
      </w:r>
    </w:p>
    <w:p>
      <w:pPr>
        <w:pStyle w:val="1012"/>
        <w:ind w:firstLine="480"/>
        <w:spacing w:line="4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主要专业技术能力：</w:t>
      </w:r>
      <w:r>
        <w:rPr>
          <w:rFonts w:hint="eastAsia" w:ascii="宋体" w:hAnsi="宋体" w:eastAsia="宋体" w:cs="宋体"/>
          <w:color w:val="000000" w:themeColor="text1"/>
          <w:highlight w:val="none"/>
        </w:rPr>
      </w:r>
      <w:r>
        <w:rPr>
          <w:color w:val="000000" w:themeColor="text1"/>
        </w:rPr>
      </w:r>
    </w:p>
    <w:p>
      <w:pPr>
        <w:pStyle w:val="1012"/>
        <w:ind w:firstLine="480"/>
        <w:spacing w:line="4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 （证明材料原件扫描件附后）</w:t>
      </w:r>
      <w:r>
        <w:rPr>
          <w:rFonts w:hint="eastAsia" w:ascii="宋体" w:hAnsi="宋体" w:eastAsia="宋体" w:cs="宋体"/>
          <w:color w:val="000000" w:themeColor="text1"/>
          <w:highlight w:val="none"/>
        </w:rPr>
      </w:r>
      <w:r>
        <w:rPr>
          <w:color w:val="000000" w:themeColor="text1"/>
        </w:rPr>
      </w:r>
    </w:p>
    <w:p>
      <w:pPr>
        <w:pStyle w:val="1012"/>
        <w:ind w:firstLine="480"/>
        <w:spacing w:line="4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2、</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 （证明材料原件扫描件附后）</w:t>
      </w:r>
      <w:r>
        <w:rPr>
          <w:rFonts w:hint="eastAsia" w:ascii="宋体" w:hAnsi="宋体" w:eastAsia="宋体" w:cs="宋体"/>
          <w:color w:val="000000" w:themeColor="text1"/>
          <w:highlight w:val="none"/>
        </w:rPr>
      </w:r>
      <w:r>
        <w:rPr>
          <w:color w:val="000000" w:themeColor="text1"/>
        </w:rPr>
      </w:r>
    </w:p>
    <w:p>
      <w:pPr>
        <w:pStyle w:val="1012"/>
        <w:ind w:firstLine="480"/>
        <w:spacing w:line="4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3、</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 （证明材料原件扫描件附后）</w:t>
      </w:r>
      <w:r>
        <w:rPr>
          <w:rFonts w:hint="eastAsia" w:ascii="宋体" w:hAnsi="宋体" w:eastAsia="宋体" w:cs="宋体"/>
          <w:color w:val="000000" w:themeColor="text1"/>
          <w:highlight w:val="none"/>
        </w:rPr>
      </w:r>
      <w:r>
        <w:rPr>
          <w:color w:val="000000" w:themeColor="text1"/>
        </w:rPr>
      </w:r>
    </w:p>
    <w:p>
      <w:pPr>
        <w:pStyle w:val="1012"/>
        <w:ind w:firstLine="480"/>
        <w:spacing w:line="4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r>
      <w:r>
        <w:rPr>
          <w:color w:val="000000" w:themeColor="text1"/>
        </w:rPr>
      </w:r>
    </w:p>
    <w:p>
      <w:pPr>
        <w:pStyle w:val="1249"/>
        <w:ind w:firstLine="480"/>
        <w:jc w:val="left"/>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p>
    <w:p>
      <w:pPr>
        <w:pStyle w:val="1249"/>
        <w:ind w:firstLine="480"/>
        <w:jc w:val="left"/>
        <w:rPr>
          <w:rFonts w:hint="eastAsia" w:ascii="宋体" w:hAnsi="宋体" w:cs="宋体"/>
          <w:color w:val="000000" w:themeColor="text1"/>
          <w:highlight w:val="none"/>
        </w:rPr>
      </w:pPr>
      <w:r>
        <w:rPr>
          <w:rFonts w:hint="eastAsia" w:ascii="宋体" w:hAnsi="宋体" w:cs="宋体"/>
          <w:color w:val="000000" w:themeColor="text1"/>
          <w:highlight w:val="none"/>
        </w:rPr>
        <w:t xml:space="preserve">特此声明</w:t>
      </w:r>
      <w:r>
        <w:rPr>
          <w:rFonts w:hint="eastAsia" w:ascii="宋体" w:hAnsi="宋体" w:cs="宋体"/>
          <w:color w:val="000000" w:themeColor="text1"/>
          <w:highlight w:val="none"/>
        </w:rPr>
      </w:r>
      <w:r>
        <w:rPr>
          <w:color w:val="000000" w:themeColor="text1"/>
        </w:rPr>
      </w:r>
    </w:p>
    <w:p>
      <w:pPr>
        <w:pStyle w:val="1249"/>
        <w:ind w:firstLine="480"/>
        <w:jc w:val="left"/>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p>
    <w:p>
      <w:pPr>
        <w:pStyle w:val="1249"/>
        <w:ind w:firstLine="480"/>
        <w:jc w:val="left"/>
        <w:rPr>
          <w:rFonts w:hint="eastAsia" w:ascii="宋体" w:hAnsi="宋体" w:cs="宋体"/>
          <w:color w:val="000000" w:themeColor="text1"/>
          <w:highlight w:val="none"/>
        </w:rPr>
      </w:pPr>
      <w:r>
        <w:rPr>
          <w:rFonts w:hint="eastAsia" w:ascii="宋体" w:hAnsi="宋体" w:cs="宋体"/>
          <w:color w:val="000000" w:themeColor="text1"/>
          <w:highlight w:val="none"/>
        </w:rPr>
        <w:t xml:space="preserve">我单位对上述声明的真实性负责，如有虚假，将依法承担相应责任。</w:t>
      </w:r>
      <w:r>
        <w:rPr>
          <w:rFonts w:hint="eastAsia" w:ascii="宋体" w:hAnsi="宋体" w:cs="宋体"/>
          <w:color w:val="000000" w:themeColor="text1"/>
          <w:highlight w:val="none"/>
        </w:rPr>
      </w:r>
      <w:r>
        <w:rPr>
          <w:color w:val="000000" w:themeColor="text1"/>
        </w:rPr>
      </w:r>
    </w:p>
    <w:p>
      <w:pPr>
        <w:pStyle w:val="1249"/>
        <w:ind w:firstLine="480"/>
        <w:jc w:val="left"/>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p>
    <w:p>
      <w:pPr>
        <w:pStyle w:val="1249"/>
        <w:ind w:firstLine="480"/>
        <w:jc w:val="left"/>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p>
    <w:p>
      <w:pPr>
        <w:pStyle w:val="1012"/>
        <w:jc w:val="right"/>
        <w:keepLines w:val="0"/>
        <w:keepNext w:val="0"/>
        <w:pageBreakBefore w:val="0"/>
        <w:spacing w:line="500" w:lineRule="exact"/>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投标人名称（电子签章）： ____________                     </w:t>
      </w:r>
      <w:r>
        <w:rPr>
          <w:rFonts w:hint="eastAsia" w:ascii="宋体" w:hAnsi="宋体" w:eastAsia="宋体" w:cs="宋体"/>
          <w:color w:val="000000" w:themeColor="text1"/>
          <w:highlight w:val="none"/>
        </w:rPr>
      </w:r>
      <w:r>
        <w:rPr>
          <w:color w:val="000000" w:themeColor="text1"/>
        </w:rPr>
      </w:r>
    </w:p>
    <w:p>
      <w:pPr>
        <w:pStyle w:val="1012"/>
        <w:ind w:firstLine="480"/>
        <w:jc w:val="center"/>
        <w:keepLines w:val="0"/>
        <w:keepNext w:val="0"/>
        <w:pageBreakBefore w:val="0"/>
        <w:spacing w:line="500" w:lineRule="exact"/>
        <w:widowControl w:val="off"/>
        <w:rPr>
          <w:rFonts w:hint="eastAsia" w:ascii="宋体" w:hAnsi="宋体" w:eastAsia="宋体" w:cs="宋体"/>
          <w:color w:val="000000" w:themeColor="text1"/>
          <w:highlight w:val="none"/>
        </w:rPr>
        <w:sectPr>
          <w:headerReference w:type="default" r:id="rId13"/>
          <w:footerReference w:type="default" r:id="rId22"/>
          <w:footnotePr/>
          <w:endnotePr/>
          <w:type w:val="nextPage"/>
          <w:pgSz w:w="11906" w:h="16838" w:orient="portrait"/>
          <w:pgMar w:top="1440" w:right="1466" w:bottom="1440" w:left="1560" w:header="851" w:footer="992" w:gutter="0"/>
          <w:cols w:num="1" w:sep="0" w:space="1701" w:equalWidth="1"/>
          <w:docGrid w:linePitch="360"/>
        </w:sectPr>
        <w:outlineLvl w:val="9"/>
      </w:pPr>
      <w:r>
        <w:rPr>
          <w:rFonts w:hint="eastAsia" w:ascii="宋体" w:hAnsi="宋体" w:eastAsia="宋体" w:cs="宋体"/>
          <w:color w:val="000000" w:themeColor="text1"/>
          <w:highlight w:val="none"/>
          <w:lang w:val="en-US" w:eastAsia="zh-CN"/>
        </w:rPr>
        <w:t xml:space="preserve">                 </w:t>
      </w:r>
      <w:r>
        <w:rPr>
          <w:rFonts w:hint="eastAsia" w:ascii="宋体" w:hAnsi="宋体" w:eastAsia="宋体" w:cs="宋体"/>
          <w:color w:val="000000" w:themeColor="text1"/>
          <w:highlight w:val="none"/>
        </w:rPr>
        <w:t xml:space="preserve">日  期：   年  月  日</w:t>
      </w:r>
      <w:r>
        <w:rPr>
          <w:rFonts w:hint="eastAsia" w:ascii="宋体" w:hAnsi="宋体" w:eastAsia="宋体" w:cs="宋体"/>
          <w:color w:val="000000" w:themeColor="text1"/>
          <w:highlight w:val="none"/>
        </w:rPr>
      </w:r>
      <w:r>
        <w:rPr>
          <w:color w:val="000000" w:themeColor="text1"/>
        </w:rPr>
      </w:r>
    </w:p>
    <w:p>
      <w:pPr>
        <w:pStyle w:val="1012"/>
        <w:rPr>
          <w:rFonts w:hint="eastAsia"/>
          <w:color w:val="000000" w:themeColor="text1"/>
          <w:highlight w:val="none"/>
        </w:rPr>
      </w:pPr>
      <w:r>
        <w:rPr>
          <w:rFonts w:hint="eastAsia"/>
          <w:color w:val="000000" w:themeColor="text1"/>
          <w:highlight w:val="none"/>
        </w:rPr>
      </w:r>
      <w:r>
        <w:rPr>
          <w:color w:val="000000" w:themeColor="text1"/>
        </w:rPr>
      </w:r>
    </w:p>
    <w:p>
      <w:pPr>
        <w:pStyle w:val="1012"/>
        <w:ind w:firstLine="0"/>
        <w:jc w:val="center"/>
        <w:rPr>
          <w:rFonts w:hint="eastAsia" w:ascii="宋体" w:hAnsi="宋体" w:eastAsia="宋体" w:cs="宋体"/>
          <w:b/>
          <w:bCs/>
          <w:color w:val="000000" w:themeColor="text1"/>
          <w:sz w:val="30"/>
          <w:szCs w:val="30"/>
          <w:highlight w:val="none"/>
        </w:rPr>
      </w:pPr>
      <w:r>
        <w:rPr>
          <w:rFonts w:hint="eastAsia" w:ascii="宋体" w:hAnsi="宋体" w:eastAsia="宋体" w:cs="宋体"/>
          <w:b/>
          <w:bCs/>
          <w:color w:val="000000" w:themeColor="text1"/>
          <w:sz w:val="30"/>
          <w:szCs w:val="30"/>
          <w:highlight w:val="none"/>
          <w:lang w:val="en-US" w:eastAsia="zh-CN"/>
        </w:rPr>
        <w:t xml:space="preserve">7</w:t>
      </w:r>
      <w:r>
        <w:rPr>
          <w:rFonts w:hint="eastAsia" w:ascii="宋体" w:hAnsi="宋体" w:eastAsia="宋体" w:cs="宋体"/>
          <w:b/>
          <w:bCs/>
          <w:color w:val="000000" w:themeColor="text1"/>
          <w:sz w:val="30"/>
          <w:szCs w:val="30"/>
          <w:highlight w:val="none"/>
        </w:rPr>
        <w:t xml:space="preserve">.投标人参加政府采购活动前3年内在经营活动中没有重大违法记录的书面声明</w:t>
      </w:r>
      <w:r>
        <w:rPr>
          <w:rFonts w:hint="eastAsia" w:ascii="宋体" w:hAnsi="宋体" w:eastAsia="宋体" w:cs="宋体"/>
          <w:b/>
          <w:bCs/>
          <w:color w:val="000000" w:themeColor="text1"/>
          <w:sz w:val="30"/>
          <w:szCs w:val="30"/>
          <w:highlight w:val="none"/>
        </w:rPr>
      </w:r>
      <w:r>
        <w:rPr>
          <w:color w:val="000000" w:themeColor="text1"/>
        </w:rPr>
      </w:r>
    </w:p>
    <w:p>
      <w:pPr>
        <w:pStyle w:val="1012"/>
        <w:ind w:firstLine="480"/>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1012"/>
        <w:ind w:firstLine="439"/>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我单位在参加</w:t>
      </w:r>
      <w:r>
        <w:rPr>
          <w:rFonts w:hint="eastAsia" w:ascii="宋体" w:hAnsi="宋体" w:eastAsia="宋体" w:cs="宋体"/>
          <w:color w:val="000000" w:themeColor="text1"/>
          <w:sz w:val="24"/>
          <w:szCs w:val="24"/>
          <w:highlight w:val="none"/>
          <w:u w:val="single"/>
          <w:lang w:eastAsia="zh-CN"/>
        </w:rPr>
        <w:t xml:space="preserve">丰县中医医院机房改扩建项目</w:t>
      </w:r>
      <w:r>
        <w:rPr>
          <w:rFonts w:hint="eastAsia" w:ascii="宋体" w:hAnsi="宋体" w:eastAsia="宋体" w:cs="宋体"/>
          <w:color w:val="000000" w:themeColor="text1"/>
          <w:highlight w:val="none"/>
        </w:rPr>
        <w:t xml:space="preserve">（项目编号：</w:t>
      </w:r>
      <w:r>
        <w:rPr>
          <w:rFonts w:hint="eastAsia" w:ascii="宋体" w:hAnsi="宋体" w:eastAsia="宋体" w:cs="宋体"/>
          <w:color w:val="000000" w:themeColor="text1"/>
          <w:highlight w:val="none"/>
          <w:u w:val="single"/>
          <w:lang w:val="en-US" w:eastAsia="zh-CN"/>
        </w:rPr>
        <w:t xml:space="preserve">JSZC-320321-JSTQ-G2026-0005</w:t>
      </w:r>
      <w:r>
        <w:rPr>
          <w:rFonts w:hint="eastAsia" w:ascii="宋体" w:hAnsi="宋体" w:eastAsia="宋体" w:cs="宋体"/>
          <w:color w:val="000000" w:themeColor="text1"/>
          <w:highlight w:val="none"/>
        </w:rPr>
        <w:t xml:space="preserve">）政府采购活动前3年内在经营活动中没有重大违法记录。重大违法记录是指因违法经营受到刑事处罚或者责令停产停业、吊销许可证或者执照、较大数额罚款等行政处罚。</w:t>
      </w:r>
      <w:r>
        <w:rPr>
          <w:rFonts w:hint="eastAsia" w:ascii="宋体" w:hAnsi="宋体" w:eastAsia="宋体" w:cs="宋体"/>
          <w:color w:val="000000" w:themeColor="text1"/>
          <w:highlight w:val="none"/>
        </w:rPr>
      </w:r>
      <w:r>
        <w:rPr>
          <w:color w:val="000000" w:themeColor="text1"/>
        </w:rPr>
      </w:r>
    </w:p>
    <w:p>
      <w:pPr>
        <w:pStyle w:val="1337"/>
        <w:ind w:firstLine="480"/>
        <w:spacing w:line="360" w:lineRule="auto"/>
        <w:rPr>
          <w:rFonts w:hint="eastAsia" w:eastAsia="宋体"/>
          <w:color w:val="000000" w:themeColor="text1"/>
          <w:highlight w:val="none"/>
        </w:rPr>
      </w:pPr>
      <w:r>
        <w:rPr>
          <w:rFonts w:hint="eastAsia" w:eastAsia="宋体"/>
          <w:color w:val="000000" w:themeColor="text1"/>
          <w:highlight w:val="none"/>
        </w:rPr>
        <w:t xml:space="preserve">我单位对上述声明的真实性负责。如有虚假，将依法承担相应责任。</w:t>
      </w:r>
      <w:r>
        <w:rPr>
          <w:rFonts w:hint="eastAsia" w:eastAsia="宋体"/>
          <w:color w:val="000000" w:themeColor="text1"/>
          <w:highlight w:val="none"/>
        </w:rPr>
      </w:r>
      <w:r>
        <w:rPr>
          <w:color w:val="000000" w:themeColor="text1"/>
        </w:rPr>
      </w:r>
    </w:p>
    <w:p>
      <w:pPr>
        <w:pStyle w:val="1012"/>
        <w:ind w:firstLine="60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1012"/>
        <w:ind w:firstLine="48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1012"/>
        <w:jc w:val="right"/>
        <w:keepLines w:val="0"/>
        <w:keepNext w:val="0"/>
        <w:pageBreakBefore w:val="0"/>
        <w:spacing w:line="500" w:lineRule="exact"/>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投标人名称（电子签章）： ____________                     </w:t>
      </w:r>
      <w:r>
        <w:rPr>
          <w:rFonts w:hint="eastAsia" w:ascii="宋体" w:hAnsi="宋体" w:eastAsia="宋体" w:cs="宋体"/>
          <w:color w:val="000000" w:themeColor="text1"/>
          <w:highlight w:val="none"/>
        </w:rPr>
      </w:r>
      <w:r>
        <w:rPr>
          <w:color w:val="000000" w:themeColor="text1"/>
        </w:rPr>
      </w:r>
    </w:p>
    <w:p>
      <w:pPr>
        <w:pStyle w:val="1012"/>
        <w:ind w:firstLine="480"/>
        <w:jc w:val="center"/>
        <w:keepLines w:val="0"/>
        <w:keepNext w:val="0"/>
        <w:pageBreakBefore w:val="0"/>
        <w:spacing w:line="500" w:lineRule="exact"/>
        <w:widowControl w:val="off"/>
        <w:rPr>
          <w:rFonts w:hint="eastAsia" w:ascii="宋体" w:hAnsi="宋体" w:eastAsia="宋体" w:cs="宋体"/>
          <w:color w:val="000000" w:themeColor="text1"/>
          <w:highlight w:val="none"/>
        </w:rPr>
        <w:sectPr>
          <w:headerReference w:type="default" r:id="rId14"/>
          <w:footerReference w:type="default" r:id="rId23"/>
          <w:footnotePr/>
          <w:endnotePr/>
          <w:type w:val="nextPage"/>
          <w:pgSz w:w="11906" w:h="16838" w:orient="portrait"/>
          <w:pgMar w:top="1440" w:right="1466" w:bottom="1440" w:left="1560" w:header="851" w:footer="992" w:gutter="0"/>
          <w:cols w:num="1" w:sep="0" w:space="1701" w:equalWidth="1"/>
          <w:docGrid w:linePitch="360"/>
        </w:sectPr>
        <w:outlineLvl w:val="9"/>
      </w:pPr>
      <w:r>
        <w:rPr>
          <w:rFonts w:hint="eastAsia" w:ascii="宋体" w:hAnsi="宋体" w:eastAsia="宋体" w:cs="宋体"/>
          <w:color w:val="000000" w:themeColor="text1"/>
          <w:highlight w:val="none"/>
          <w:lang w:val="en-US" w:eastAsia="zh-CN"/>
        </w:rPr>
        <w:t xml:space="preserve">                 </w:t>
      </w:r>
      <w:r>
        <w:rPr>
          <w:rFonts w:hint="eastAsia" w:ascii="宋体" w:hAnsi="宋体" w:eastAsia="宋体" w:cs="宋体"/>
          <w:color w:val="000000" w:themeColor="text1"/>
          <w:highlight w:val="none"/>
        </w:rPr>
        <w:t xml:space="preserve">日  期：   年  月  日</w:t>
      </w:r>
      <w:r>
        <w:rPr>
          <w:rFonts w:hint="eastAsia" w:ascii="宋体" w:hAnsi="宋体" w:eastAsia="宋体" w:cs="宋体"/>
          <w:color w:val="000000" w:themeColor="text1"/>
          <w:highlight w:val="none"/>
        </w:rPr>
      </w:r>
      <w:r>
        <w:rPr>
          <w:color w:val="000000" w:themeColor="text1"/>
        </w:rPr>
      </w:r>
    </w:p>
    <w:p>
      <w:pPr>
        <w:pStyle w:val="1012"/>
        <w:rPr>
          <w:rFonts w:hint="eastAsia"/>
          <w:color w:val="000000" w:themeColor="text1"/>
          <w:highlight w:val="none"/>
        </w:rPr>
      </w:pPr>
      <w:r>
        <w:rPr>
          <w:color w:val="000000" w:themeColor="text1"/>
        </w:rPr>
      </w:r>
      <w:bookmarkStart w:id="75" w:name="_Toc27143_WPSOffice_Level1"/>
      <w:r>
        <w:rPr>
          <w:color w:val="000000" w:themeColor="text1"/>
        </w:rPr>
      </w:r>
      <w:bookmarkStart w:id="76" w:name="_Toc2052"/>
      <w:r>
        <w:rPr>
          <w:color w:val="000000" w:themeColor="text1"/>
        </w:rPr>
      </w:r>
      <w:bookmarkStart w:id="77" w:name="_Toc31537"/>
      <w:r>
        <w:rPr>
          <w:rFonts w:hint="eastAsia"/>
          <w:color w:val="000000" w:themeColor="text1"/>
          <w:highlight w:val="none"/>
        </w:rPr>
      </w:r>
      <w:r>
        <w:rPr>
          <w:color w:val="000000" w:themeColor="text1"/>
        </w:rPr>
      </w:r>
    </w:p>
    <w:p>
      <w:pPr>
        <w:pStyle w:val="1012"/>
        <w:jc w:val="center"/>
        <w:keepLines w:val="0"/>
        <w:keepNext w:val="0"/>
        <w:pageBreakBefore w:val="0"/>
        <w:spacing w:line="500" w:lineRule="exact"/>
        <w:widowControl w:val="off"/>
        <w:rPr>
          <w:rFonts w:hint="eastAsia" w:ascii="宋体" w:hAnsi="宋体" w:eastAsia="宋体" w:cs="宋体"/>
          <w:b/>
          <w:bCs/>
          <w:color w:val="000000" w:themeColor="text1"/>
          <w:sz w:val="30"/>
          <w:szCs w:val="30"/>
          <w:highlight w:val="none"/>
        </w:rPr>
        <w:outlineLvl w:val="9"/>
      </w:pPr>
      <w:r>
        <w:rPr>
          <w:rFonts w:hint="eastAsia" w:ascii="宋体" w:hAnsi="宋体" w:eastAsia="宋体" w:cs="宋体"/>
          <w:b/>
          <w:bCs/>
          <w:color w:val="000000" w:themeColor="text1"/>
          <w:sz w:val="30"/>
          <w:szCs w:val="30"/>
          <w:highlight w:val="none"/>
          <w:lang w:val="en-US" w:eastAsia="zh-CN"/>
        </w:rPr>
        <w:t xml:space="preserve">8</w:t>
      </w:r>
      <w:r>
        <w:rPr>
          <w:rFonts w:hint="eastAsia" w:ascii="宋体" w:hAnsi="宋体" w:eastAsia="宋体" w:cs="宋体"/>
          <w:b/>
          <w:bCs/>
          <w:color w:val="000000" w:themeColor="text1"/>
          <w:sz w:val="30"/>
          <w:szCs w:val="30"/>
          <w:highlight w:val="none"/>
        </w:rPr>
        <w:t xml:space="preserve">.投标人相关承诺</w:t>
      </w:r>
      <w:r>
        <w:rPr>
          <w:rFonts w:hint="eastAsia" w:ascii="宋体" w:hAnsi="宋体" w:eastAsia="宋体" w:cs="宋体"/>
          <w:b/>
          <w:bCs/>
          <w:color w:val="000000" w:themeColor="text1"/>
          <w:sz w:val="30"/>
          <w:szCs w:val="30"/>
          <w:highlight w:val="none"/>
        </w:rPr>
      </w:r>
      <w:r>
        <w:rPr>
          <w:color w:val="000000" w:themeColor="text1"/>
        </w:rPr>
      </w:r>
    </w:p>
    <w:p>
      <w:pPr>
        <w:pStyle w:val="1012"/>
        <w:keepLines w:val="0"/>
        <w:keepNext w:val="0"/>
        <w:pageBreakBefore w:val="0"/>
        <w:spacing w:line="500" w:lineRule="exact"/>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r>
      <w:r>
        <w:rPr>
          <w:color w:val="000000" w:themeColor="text1"/>
        </w:rPr>
      </w:r>
    </w:p>
    <w:p>
      <w:pPr>
        <w:pStyle w:val="1012"/>
        <w:ind w:firstLine="439"/>
        <w:rPr>
          <w:rFonts w:hint="eastAsia" w:ascii="宋体" w:hAnsi="宋体" w:eastAsia="宋体" w:cs="宋体"/>
          <w:color w:val="000000" w:themeColor="text1"/>
          <w:sz w:val="24"/>
          <w:szCs w:val="24"/>
          <w:highlight w:val="none"/>
          <w:u w:val="none"/>
        </w:rPr>
      </w:pPr>
      <w:r>
        <w:rPr>
          <w:rFonts w:hint="eastAsia" w:ascii="宋体" w:hAnsi="宋体" w:eastAsia="宋体" w:cs="宋体"/>
          <w:color w:val="000000" w:themeColor="text1"/>
          <w:sz w:val="24"/>
          <w:szCs w:val="24"/>
          <w:highlight w:val="none"/>
        </w:rPr>
        <w:t xml:space="preserve">项目名称：</w:t>
      </w:r>
      <w:r>
        <w:rPr>
          <w:rFonts w:hint="eastAsia" w:ascii="宋体" w:hAnsi="宋体" w:eastAsia="宋体" w:cs="宋体"/>
          <w:color w:val="000000" w:themeColor="text1"/>
          <w:sz w:val="24"/>
          <w:szCs w:val="24"/>
          <w:highlight w:val="none"/>
          <w:u w:val="none"/>
          <w:lang w:eastAsia="zh-CN"/>
        </w:rPr>
        <w:t xml:space="preserve">丰县中医医院机房改扩建项目</w:t>
      </w:r>
      <w:r>
        <w:rPr>
          <w:rFonts w:hint="eastAsia" w:ascii="宋体" w:hAnsi="宋体" w:eastAsia="宋体" w:cs="宋体"/>
          <w:color w:val="000000" w:themeColor="text1"/>
          <w:sz w:val="24"/>
          <w:szCs w:val="24"/>
          <w:highlight w:val="none"/>
          <w:u w:val="none"/>
        </w:rPr>
      </w:r>
      <w:r>
        <w:rPr>
          <w:color w:val="000000" w:themeColor="text1"/>
        </w:rPr>
      </w:r>
    </w:p>
    <w:p>
      <w:pPr>
        <w:pStyle w:val="1012"/>
        <w:ind w:firstLine="439"/>
        <w:rPr>
          <w:rFonts w:hint="eastAsia" w:ascii="宋体" w:hAnsi="宋体" w:eastAsia="宋体" w:cs="宋体"/>
          <w:color w:val="000000" w:themeColor="text1"/>
          <w:sz w:val="24"/>
          <w:szCs w:val="24"/>
          <w:highlight w:val="none"/>
          <w:u w:val="none"/>
        </w:rPr>
      </w:pPr>
      <w:r>
        <w:rPr>
          <w:rFonts w:hint="eastAsia" w:ascii="宋体" w:hAnsi="宋体" w:eastAsia="宋体" w:cs="宋体"/>
          <w:color w:val="000000" w:themeColor="text1"/>
          <w:sz w:val="24"/>
          <w:szCs w:val="24"/>
          <w:highlight w:val="none"/>
          <w:u w:val="none"/>
        </w:rPr>
        <w:t xml:space="preserve">项目编号：</w:t>
      </w:r>
      <w:r>
        <w:rPr>
          <w:rFonts w:hint="eastAsia" w:ascii="宋体" w:hAnsi="宋体" w:eastAsia="宋体" w:cs="宋体"/>
          <w:color w:val="000000" w:themeColor="text1"/>
          <w:highlight w:val="none"/>
          <w:u w:val="none"/>
          <w:lang w:val="en-US" w:eastAsia="zh-CN"/>
        </w:rPr>
        <w:t xml:space="preserve">JSZC-320321-JSTQ-G2026-0005</w:t>
      </w:r>
      <w:r>
        <w:rPr>
          <w:rFonts w:hint="eastAsia" w:ascii="宋体" w:hAnsi="宋体" w:eastAsia="宋体" w:cs="宋体"/>
          <w:color w:val="000000" w:themeColor="text1"/>
          <w:sz w:val="24"/>
          <w:szCs w:val="24"/>
          <w:highlight w:val="none"/>
          <w:u w:val="none"/>
        </w:rPr>
      </w:r>
      <w:r>
        <w:rPr>
          <w:color w:val="000000" w:themeColor="text1"/>
        </w:rPr>
      </w:r>
    </w:p>
    <w:p>
      <w:pPr>
        <w:pStyle w:val="1012"/>
        <w:ind w:firstLine="584"/>
        <w:keepLines w:val="0"/>
        <w:keepNext w:val="0"/>
        <w:pageBreakBefore w:val="0"/>
        <w:spacing w:line="500" w:lineRule="exact"/>
        <w:widowControl w:val="off"/>
        <w:rPr>
          <w:rFonts w:hint="eastAsia" w:ascii="宋体" w:hAnsi="宋体" w:eastAsia="宋体" w:cs="宋体"/>
          <w:color w:val="000000" w:themeColor="text1"/>
          <w:spacing w:val="6"/>
          <w:sz w:val="24"/>
          <w:szCs w:val="24"/>
          <w:highlight w:val="none"/>
        </w:rPr>
        <w:outlineLvl w:val="9"/>
      </w:pPr>
      <w:r>
        <w:rPr>
          <w:rFonts w:hint="eastAsia" w:ascii="宋体" w:hAnsi="宋体" w:eastAsia="宋体" w:cs="宋体"/>
          <w:color w:val="000000" w:themeColor="text1"/>
          <w:spacing w:val="6"/>
          <w:sz w:val="24"/>
          <w:szCs w:val="24"/>
          <w:highlight w:val="none"/>
        </w:rPr>
      </w:r>
      <w:r>
        <w:rPr>
          <w:color w:val="000000" w:themeColor="text1"/>
        </w:rPr>
      </w:r>
    </w:p>
    <w:p>
      <w:pPr>
        <w:pStyle w:val="1012"/>
        <w:ind w:firstLine="584"/>
        <w:keepLines w:val="0"/>
        <w:keepNext w:val="0"/>
        <w:pageBreakBefore w:val="0"/>
        <w:spacing w:line="500" w:lineRule="exact"/>
        <w:widowControl w:val="off"/>
        <w:rPr>
          <w:rFonts w:hint="eastAsia" w:ascii="宋体" w:hAnsi="宋体" w:eastAsia="宋体" w:cs="宋体"/>
          <w:color w:val="000000" w:themeColor="text1"/>
          <w:spacing w:val="6"/>
          <w:sz w:val="24"/>
          <w:szCs w:val="24"/>
          <w:highlight w:val="none"/>
        </w:rPr>
        <w:outlineLvl w:val="9"/>
      </w:pPr>
      <w:r>
        <w:rPr>
          <w:rFonts w:hint="eastAsia" w:ascii="宋体" w:hAnsi="宋体" w:eastAsia="宋体" w:cs="宋体"/>
          <w:color w:val="000000" w:themeColor="text1"/>
          <w:spacing w:val="6"/>
          <w:sz w:val="24"/>
          <w:szCs w:val="24"/>
          <w:highlight w:val="none"/>
        </w:rPr>
        <w:t xml:space="preserve">我单位承诺：</w:t>
      </w:r>
      <w:r>
        <w:rPr>
          <w:rFonts w:hint="eastAsia" w:ascii="宋体" w:hAnsi="宋体" w:eastAsia="宋体" w:cs="宋体"/>
          <w:color w:val="000000" w:themeColor="text1"/>
          <w:spacing w:val="6"/>
          <w:sz w:val="24"/>
          <w:szCs w:val="24"/>
          <w:highlight w:val="none"/>
        </w:rPr>
      </w:r>
      <w:r>
        <w:rPr>
          <w:color w:val="000000" w:themeColor="text1"/>
        </w:rPr>
      </w:r>
    </w:p>
    <w:p>
      <w:pPr>
        <w:pStyle w:val="1012"/>
        <w:ind w:firstLine="584"/>
        <w:keepLines w:val="0"/>
        <w:keepNext w:val="0"/>
        <w:pageBreakBefore w:val="0"/>
        <w:spacing w:line="500" w:lineRule="exact"/>
        <w:widowControl w:val="off"/>
        <w:rPr>
          <w:rFonts w:hint="eastAsia" w:ascii="宋体" w:hAnsi="宋体" w:eastAsia="宋体" w:cs="宋体"/>
          <w:color w:val="000000" w:themeColor="text1"/>
          <w:spacing w:val="6"/>
          <w:sz w:val="24"/>
          <w:szCs w:val="24"/>
          <w:highlight w:val="none"/>
        </w:rPr>
        <w:outlineLvl w:val="9"/>
      </w:pPr>
      <w:r>
        <w:rPr>
          <w:rFonts w:hint="eastAsia" w:ascii="宋体" w:hAnsi="宋体" w:eastAsia="宋体" w:cs="宋体"/>
          <w:color w:val="000000" w:themeColor="text1"/>
          <w:spacing w:val="6"/>
          <w:sz w:val="24"/>
          <w:szCs w:val="24"/>
          <w:highlight w:val="none"/>
        </w:rPr>
        <w:t xml:space="preserve">如有参与同一合同项下政府采购活动的投标人与我单位存在负责人为同一人的情况或者存在直接控股、管理关系，我单位不再参加该同一合同项下的政府采购活动。</w:t>
      </w:r>
      <w:r>
        <w:rPr>
          <w:rFonts w:hint="eastAsia" w:ascii="宋体" w:hAnsi="宋体" w:eastAsia="宋体" w:cs="宋体"/>
          <w:color w:val="000000" w:themeColor="text1"/>
          <w:spacing w:val="6"/>
          <w:sz w:val="24"/>
          <w:szCs w:val="24"/>
          <w:highlight w:val="none"/>
        </w:rPr>
      </w:r>
      <w:r>
        <w:rPr>
          <w:color w:val="000000" w:themeColor="text1"/>
        </w:rPr>
      </w:r>
    </w:p>
    <w:p>
      <w:pPr>
        <w:pStyle w:val="1012"/>
        <w:ind w:firstLine="584"/>
        <w:keepLines w:val="0"/>
        <w:keepNext w:val="0"/>
        <w:pageBreakBefore w:val="0"/>
        <w:spacing w:line="500" w:lineRule="exact"/>
        <w:widowControl w:val="off"/>
        <w:rPr>
          <w:rFonts w:hint="eastAsia" w:ascii="宋体" w:hAnsi="宋体" w:eastAsia="宋体" w:cs="宋体"/>
          <w:color w:val="000000" w:themeColor="text1"/>
          <w:spacing w:val="6"/>
          <w:sz w:val="24"/>
          <w:szCs w:val="24"/>
          <w:highlight w:val="none"/>
        </w:rPr>
        <w:outlineLvl w:val="9"/>
      </w:pPr>
      <w:r>
        <w:rPr>
          <w:rFonts w:hint="eastAsia" w:ascii="宋体" w:hAnsi="宋体" w:eastAsia="宋体" w:cs="宋体"/>
          <w:color w:val="000000" w:themeColor="text1"/>
          <w:spacing w:val="6"/>
          <w:sz w:val="24"/>
          <w:szCs w:val="24"/>
          <w:highlight w:val="none"/>
        </w:rPr>
      </w:r>
      <w:r>
        <w:rPr>
          <w:color w:val="000000" w:themeColor="text1"/>
        </w:rPr>
      </w:r>
    </w:p>
    <w:p>
      <w:pPr>
        <w:pStyle w:val="1012"/>
        <w:ind w:firstLine="584"/>
        <w:keepLines w:val="0"/>
        <w:keepNext w:val="0"/>
        <w:pageBreakBefore w:val="0"/>
        <w:spacing w:line="500" w:lineRule="exact"/>
        <w:widowControl w:val="off"/>
        <w:rPr>
          <w:rFonts w:hint="eastAsia" w:ascii="宋体" w:hAnsi="宋体" w:eastAsia="宋体" w:cs="宋体"/>
          <w:color w:val="000000" w:themeColor="text1"/>
          <w:spacing w:val="6"/>
          <w:sz w:val="24"/>
          <w:szCs w:val="24"/>
          <w:highlight w:val="none"/>
        </w:rPr>
        <w:outlineLvl w:val="9"/>
      </w:pPr>
      <w:r>
        <w:rPr>
          <w:rFonts w:hint="eastAsia" w:ascii="宋体" w:hAnsi="宋体" w:eastAsia="宋体" w:cs="宋体"/>
          <w:color w:val="000000" w:themeColor="text1"/>
          <w:spacing w:val="6"/>
          <w:sz w:val="24"/>
          <w:szCs w:val="24"/>
          <w:highlight w:val="none"/>
        </w:rPr>
        <w:t xml:space="preserve">我单位对上述承诺负责，并依法承担相应责任。</w:t>
      </w:r>
      <w:r>
        <w:rPr>
          <w:rFonts w:hint="eastAsia" w:ascii="宋体" w:hAnsi="宋体" w:eastAsia="宋体" w:cs="宋体"/>
          <w:color w:val="000000" w:themeColor="text1"/>
          <w:spacing w:val="6"/>
          <w:sz w:val="24"/>
          <w:szCs w:val="24"/>
          <w:highlight w:val="none"/>
        </w:rPr>
      </w:r>
      <w:r>
        <w:rPr>
          <w:color w:val="000000" w:themeColor="text1"/>
        </w:rPr>
      </w:r>
    </w:p>
    <w:p>
      <w:pPr>
        <w:pStyle w:val="1012"/>
        <w:ind w:firstLine="3000"/>
        <w:keepLines w:val="0"/>
        <w:keepNext w:val="0"/>
        <w:pageBreakBefore w:val="0"/>
        <w:spacing w:line="500" w:lineRule="exact"/>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r>
      <w:r>
        <w:rPr>
          <w:color w:val="000000" w:themeColor="text1"/>
        </w:rPr>
      </w:r>
    </w:p>
    <w:p>
      <w:pPr>
        <w:pStyle w:val="1073"/>
        <w:keepLines w:val="0"/>
        <w:keepNext w:val="0"/>
        <w:pageBreakBefore w:val="0"/>
        <w:spacing w:line="500" w:lineRule="exact"/>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r>
      <w:r>
        <w:rPr>
          <w:color w:val="000000" w:themeColor="text1"/>
        </w:rPr>
      </w:r>
    </w:p>
    <w:p>
      <w:pPr>
        <w:pStyle w:val="1073"/>
        <w:keepLines w:val="0"/>
        <w:keepNext w:val="0"/>
        <w:pageBreakBefore w:val="0"/>
        <w:spacing w:line="500" w:lineRule="exact"/>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r>
      <w:r>
        <w:rPr>
          <w:color w:val="000000" w:themeColor="text1"/>
        </w:rPr>
      </w:r>
    </w:p>
    <w:p>
      <w:pPr>
        <w:pStyle w:val="1073"/>
        <w:keepLines w:val="0"/>
        <w:keepNext w:val="0"/>
        <w:pageBreakBefore w:val="0"/>
        <w:spacing w:line="500" w:lineRule="exact"/>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r>
      <w:r>
        <w:rPr>
          <w:color w:val="000000" w:themeColor="text1"/>
        </w:rPr>
      </w:r>
    </w:p>
    <w:p>
      <w:pPr>
        <w:pStyle w:val="1012"/>
        <w:jc w:val="right"/>
        <w:keepLines w:val="0"/>
        <w:keepNext w:val="0"/>
        <w:pageBreakBefore w:val="0"/>
        <w:spacing w:line="500" w:lineRule="exact"/>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投标人名称（电子签章）： ____________                     </w:t>
      </w:r>
      <w:r>
        <w:rPr>
          <w:rFonts w:hint="eastAsia" w:ascii="宋体" w:hAnsi="宋体" w:eastAsia="宋体" w:cs="宋体"/>
          <w:color w:val="000000" w:themeColor="text1"/>
          <w:highlight w:val="none"/>
        </w:rPr>
      </w:r>
      <w:r>
        <w:rPr>
          <w:color w:val="000000" w:themeColor="text1"/>
        </w:rPr>
      </w:r>
    </w:p>
    <w:p>
      <w:pPr>
        <w:pStyle w:val="1012"/>
        <w:ind w:firstLine="480"/>
        <w:jc w:val="center"/>
        <w:keepLines w:val="0"/>
        <w:keepNext w:val="0"/>
        <w:pageBreakBefore w:val="0"/>
        <w:spacing w:line="500" w:lineRule="exact"/>
        <w:widowControl w:val="off"/>
        <w:rPr>
          <w:rFonts w:hint="eastAsia" w:ascii="宋体" w:hAnsi="宋体" w:eastAsia="宋体" w:cs="宋体"/>
          <w:color w:val="000000" w:themeColor="text1"/>
          <w:highlight w:val="none"/>
        </w:rPr>
        <w:sectPr>
          <w:headerReference w:type="default" r:id="rId15"/>
          <w:footerReference w:type="default" r:id="rId24"/>
          <w:footnotePr/>
          <w:endnotePr/>
          <w:type w:val="nextPage"/>
          <w:pgSz w:w="11906" w:h="16838" w:orient="portrait"/>
          <w:pgMar w:top="1440" w:right="1466" w:bottom="1440" w:left="1560" w:header="851" w:footer="992" w:gutter="0"/>
          <w:cols w:num="1" w:sep="0" w:space="1701" w:equalWidth="1"/>
          <w:docGrid w:linePitch="360"/>
        </w:sectPr>
        <w:outlineLvl w:val="9"/>
      </w:pPr>
      <w:r>
        <w:rPr>
          <w:rFonts w:hint="eastAsia" w:ascii="宋体" w:hAnsi="宋体" w:eastAsia="宋体" w:cs="宋体"/>
          <w:color w:val="000000" w:themeColor="text1"/>
          <w:highlight w:val="none"/>
          <w:lang w:val="en-US" w:eastAsia="zh-CN"/>
        </w:rPr>
        <w:t xml:space="preserve">                 </w:t>
      </w:r>
      <w:r>
        <w:rPr>
          <w:rFonts w:hint="eastAsia" w:ascii="宋体" w:hAnsi="宋体" w:eastAsia="宋体" w:cs="宋体"/>
          <w:color w:val="000000" w:themeColor="text1"/>
          <w:highlight w:val="none"/>
        </w:rPr>
        <w:t xml:space="preserve">日  期：   年  月  日</w:t>
      </w:r>
      <w:r>
        <w:rPr>
          <w:rFonts w:hint="eastAsia" w:ascii="宋体" w:hAnsi="宋体" w:eastAsia="宋体" w:cs="宋体"/>
          <w:color w:val="000000" w:themeColor="text1"/>
          <w:highlight w:val="none"/>
        </w:rPr>
      </w:r>
      <w:r>
        <w:rPr>
          <w:color w:val="000000" w:themeColor="text1"/>
        </w:rPr>
      </w:r>
    </w:p>
    <w:p>
      <w:pPr>
        <w:pStyle w:val="1012"/>
        <w:jc w:val="center"/>
        <w:pageBreakBefore w:val="0"/>
        <w:spacing w:line="500" w:lineRule="exact"/>
        <w:rPr>
          <w:rFonts w:hint="eastAsia" w:ascii="宋体" w:hAnsi="宋体" w:eastAsia="宋体" w:cs="宋体"/>
          <w:b/>
          <w:bCs/>
          <w:color w:val="000000" w:themeColor="text1"/>
          <w:sz w:val="30"/>
          <w:szCs w:val="30"/>
          <w:highlight w:val="none"/>
        </w:rPr>
      </w:pPr>
      <w:r>
        <w:rPr>
          <w:rFonts w:hint="eastAsia" w:ascii="宋体" w:hAnsi="宋体" w:eastAsia="宋体" w:cs="宋体"/>
          <w:b/>
          <w:bCs/>
          <w:color w:val="000000" w:themeColor="text1"/>
          <w:sz w:val="30"/>
          <w:szCs w:val="30"/>
          <w:highlight w:val="none"/>
        </w:rPr>
      </w:r>
      <w:r>
        <w:rPr>
          <w:color w:val="000000" w:themeColor="text1"/>
        </w:rPr>
      </w:r>
    </w:p>
    <w:p>
      <w:pPr>
        <w:pStyle w:val="1012"/>
        <w:jc w:val="center"/>
        <w:pageBreakBefore w:val="0"/>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30"/>
          <w:szCs w:val="30"/>
          <w:highlight w:val="none"/>
          <w:lang w:val="en-US" w:eastAsia="zh-CN"/>
        </w:rPr>
        <w:t xml:space="preserve">9.</w:t>
      </w:r>
      <w:r>
        <w:rPr>
          <w:rFonts w:hint="eastAsia" w:ascii="宋体" w:hAnsi="宋体" w:eastAsia="宋体" w:cs="宋体"/>
          <w:b/>
          <w:bCs/>
          <w:color w:val="000000" w:themeColor="text1"/>
          <w:sz w:val="30"/>
          <w:szCs w:val="30"/>
          <w:highlight w:val="none"/>
        </w:rPr>
        <w:t xml:space="preserve">投标人书面声明</w:t>
      </w:r>
      <w:r>
        <w:rPr>
          <w:rFonts w:hint="eastAsia" w:ascii="宋体" w:hAnsi="宋体" w:eastAsia="宋体" w:cs="宋体"/>
          <w:color w:val="000000" w:themeColor="text1"/>
          <w:sz w:val="24"/>
          <w:szCs w:val="24"/>
          <w:highlight w:val="none"/>
        </w:rPr>
      </w:r>
      <w:r>
        <w:rPr>
          <w:color w:val="000000" w:themeColor="text1"/>
        </w:rPr>
      </w:r>
    </w:p>
    <w:p>
      <w:pPr>
        <w:pStyle w:val="1012"/>
        <w:pageBreakBefore w:val="0"/>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1012"/>
        <w:ind w:firstLine="439"/>
        <w:rPr>
          <w:rFonts w:hint="eastAsia" w:ascii="宋体" w:hAnsi="宋体" w:eastAsia="宋体" w:cs="宋体"/>
          <w:color w:val="000000" w:themeColor="text1"/>
          <w:sz w:val="24"/>
          <w:szCs w:val="24"/>
          <w:highlight w:val="none"/>
          <w:u w:val="none"/>
        </w:rPr>
      </w:pPr>
      <w:r>
        <w:rPr>
          <w:rFonts w:hint="eastAsia" w:ascii="宋体" w:hAnsi="宋体" w:eastAsia="宋体" w:cs="宋体"/>
          <w:color w:val="000000" w:themeColor="text1"/>
          <w:sz w:val="24"/>
          <w:szCs w:val="24"/>
          <w:highlight w:val="none"/>
        </w:rPr>
        <w:t xml:space="preserve">项目名称：</w:t>
      </w:r>
      <w:r>
        <w:rPr>
          <w:rFonts w:hint="eastAsia" w:ascii="宋体" w:hAnsi="宋体" w:eastAsia="宋体" w:cs="宋体"/>
          <w:color w:val="000000" w:themeColor="text1"/>
          <w:sz w:val="24"/>
          <w:szCs w:val="24"/>
          <w:highlight w:val="none"/>
          <w:u w:val="none"/>
          <w:lang w:eastAsia="zh-CN"/>
        </w:rPr>
        <w:t xml:space="preserve">丰县中医医院机房改扩建项目</w:t>
      </w:r>
      <w:r>
        <w:rPr>
          <w:rFonts w:hint="eastAsia" w:ascii="宋体" w:hAnsi="宋体" w:eastAsia="宋体" w:cs="宋体"/>
          <w:color w:val="000000" w:themeColor="text1"/>
          <w:sz w:val="24"/>
          <w:szCs w:val="24"/>
          <w:highlight w:val="none"/>
          <w:u w:val="none"/>
        </w:rPr>
      </w:r>
      <w:r>
        <w:rPr>
          <w:color w:val="000000" w:themeColor="text1"/>
        </w:rPr>
      </w:r>
    </w:p>
    <w:p>
      <w:pPr>
        <w:pStyle w:val="1012"/>
        <w:ind w:firstLine="439"/>
        <w:rPr>
          <w:rFonts w:hint="eastAsia" w:ascii="宋体" w:hAnsi="宋体" w:eastAsia="宋体" w:cs="宋体"/>
          <w:color w:val="000000" w:themeColor="text1"/>
          <w:sz w:val="24"/>
          <w:szCs w:val="24"/>
          <w:highlight w:val="none"/>
          <w:u w:val="none"/>
        </w:rPr>
      </w:pPr>
      <w:r>
        <w:rPr>
          <w:rFonts w:hint="eastAsia" w:ascii="宋体" w:hAnsi="宋体" w:eastAsia="宋体" w:cs="宋体"/>
          <w:color w:val="000000" w:themeColor="text1"/>
          <w:sz w:val="24"/>
          <w:szCs w:val="24"/>
          <w:highlight w:val="none"/>
          <w:u w:val="none"/>
        </w:rPr>
        <w:t xml:space="preserve">项目编号：</w:t>
      </w:r>
      <w:r>
        <w:rPr>
          <w:rFonts w:hint="eastAsia" w:ascii="宋体" w:hAnsi="宋体" w:eastAsia="宋体" w:cs="宋体"/>
          <w:color w:val="000000" w:themeColor="text1"/>
          <w:highlight w:val="none"/>
          <w:u w:val="none"/>
          <w:lang w:val="en-US" w:eastAsia="zh-CN"/>
        </w:rPr>
        <w:t xml:space="preserve">JSZC-320321-JSTQ-G2026-0005</w:t>
      </w:r>
      <w:r>
        <w:rPr>
          <w:rFonts w:hint="eastAsia" w:ascii="宋体" w:hAnsi="宋体" w:eastAsia="宋体" w:cs="宋体"/>
          <w:color w:val="000000" w:themeColor="text1"/>
          <w:sz w:val="24"/>
          <w:szCs w:val="24"/>
          <w:highlight w:val="none"/>
          <w:u w:val="none"/>
        </w:rPr>
      </w:r>
      <w:r>
        <w:rPr>
          <w:color w:val="000000" w:themeColor="text1"/>
        </w:rPr>
      </w:r>
    </w:p>
    <w:p>
      <w:pPr>
        <w:pStyle w:val="1012"/>
        <w:ind w:firstLine="480"/>
        <w:jc w:val="left"/>
        <w:pageBreakBefore w:val="0"/>
        <w:spacing w:line="5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1012"/>
        <w:ind w:firstLine="584"/>
        <w:pageBreakBefore w:val="0"/>
        <w:spacing w:line="500" w:lineRule="exact"/>
        <w:rPr>
          <w:rFonts w:hint="eastAsia" w:ascii="宋体" w:hAnsi="宋体" w:eastAsia="宋体" w:cs="宋体"/>
          <w:color w:val="000000" w:themeColor="text1"/>
          <w:spacing w:val="6"/>
          <w:sz w:val="24"/>
          <w:szCs w:val="24"/>
          <w:highlight w:val="none"/>
        </w:rPr>
      </w:pPr>
      <w:r>
        <w:rPr>
          <w:rFonts w:hint="eastAsia" w:ascii="宋体" w:hAnsi="宋体" w:eastAsia="宋体" w:cs="宋体"/>
          <w:color w:val="000000" w:themeColor="text1"/>
          <w:spacing w:val="6"/>
          <w:sz w:val="24"/>
          <w:szCs w:val="24"/>
          <w:highlight w:val="none"/>
        </w:rPr>
        <w:t xml:space="preserve">我单位不是为本采购项目提供整体设计、规范编制或者项目管理、监理、检测等服务的供应商。</w:t>
      </w:r>
      <w:r>
        <w:rPr>
          <w:rFonts w:hint="eastAsia" w:ascii="宋体" w:hAnsi="宋体" w:eastAsia="宋体" w:cs="宋体"/>
          <w:color w:val="000000" w:themeColor="text1"/>
          <w:spacing w:val="6"/>
          <w:sz w:val="24"/>
          <w:szCs w:val="24"/>
          <w:highlight w:val="none"/>
        </w:rPr>
      </w:r>
      <w:r>
        <w:rPr>
          <w:color w:val="000000" w:themeColor="text1"/>
        </w:rPr>
      </w:r>
    </w:p>
    <w:p>
      <w:pPr>
        <w:pStyle w:val="1012"/>
        <w:ind w:firstLine="584"/>
        <w:pageBreakBefore w:val="0"/>
        <w:spacing w:line="500" w:lineRule="exact"/>
        <w:rPr>
          <w:rFonts w:hint="eastAsia" w:ascii="宋体" w:hAnsi="宋体" w:eastAsia="宋体" w:cs="宋体"/>
          <w:color w:val="000000" w:themeColor="text1"/>
          <w:spacing w:val="6"/>
          <w:sz w:val="24"/>
          <w:szCs w:val="24"/>
          <w:highlight w:val="none"/>
        </w:rPr>
      </w:pPr>
      <w:r>
        <w:rPr>
          <w:rFonts w:hint="eastAsia" w:ascii="宋体" w:hAnsi="宋体" w:eastAsia="宋体" w:cs="宋体"/>
          <w:color w:val="000000" w:themeColor="text1"/>
          <w:spacing w:val="6"/>
          <w:sz w:val="24"/>
          <w:szCs w:val="24"/>
          <w:highlight w:val="none"/>
        </w:rPr>
        <w:t xml:space="preserve">特此声明。</w:t>
      </w:r>
      <w:r>
        <w:rPr>
          <w:rFonts w:hint="eastAsia" w:ascii="宋体" w:hAnsi="宋体" w:eastAsia="宋体" w:cs="宋体"/>
          <w:color w:val="000000" w:themeColor="text1"/>
          <w:spacing w:val="6"/>
          <w:sz w:val="24"/>
          <w:szCs w:val="24"/>
          <w:highlight w:val="none"/>
        </w:rPr>
      </w:r>
      <w:r>
        <w:rPr>
          <w:color w:val="000000" w:themeColor="text1"/>
        </w:rPr>
      </w:r>
    </w:p>
    <w:p>
      <w:pPr>
        <w:pStyle w:val="1012"/>
        <w:ind w:firstLine="584"/>
        <w:pageBreakBefore w:val="0"/>
        <w:spacing w:line="500" w:lineRule="exact"/>
        <w:rPr>
          <w:rFonts w:hint="eastAsia" w:ascii="宋体" w:hAnsi="宋体" w:eastAsia="宋体" w:cs="宋体"/>
          <w:color w:val="000000" w:themeColor="text1"/>
          <w:spacing w:val="6"/>
          <w:sz w:val="24"/>
          <w:szCs w:val="24"/>
          <w:highlight w:val="none"/>
        </w:rPr>
      </w:pPr>
      <w:r>
        <w:rPr>
          <w:rFonts w:hint="eastAsia" w:ascii="宋体" w:hAnsi="宋体" w:eastAsia="宋体" w:cs="宋体"/>
          <w:color w:val="000000" w:themeColor="text1"/>
          <w:spacing w:val="6"/>
          <w:sz w:val="24"/>
          <w:szCs w:val="24"/>
          <w:highlight w:val="none"/>
        </w:rPr>
        <w:t xml:space="preserve">我单位对上述声明的真实性负责。如有虚假，将依法承担相应责任。</w:t>
      </w:r>
      <w:r>
        <w:rPr>
          <w:rFonts w:hint="eastAsia" w:ascii="宋体" w:hAnsi="宋体" w:eastAsia="宋体" w:cs="宋体"/>
          <w:color w:val="000000" w:themeColor="text1"/>
          <w:spacing w:val="6"/>
          <w:sz w:val="24"/>
          <w:szCs w:val="24"/>
          <w:highlight w:val="none"/>
        </w:rPr>
      </w:r>
      <w:r>
        <w:rPr>
          <w:color w:val="000000" w:themeColor="text1"/>
        </w:rPr>
      </w:r>
    </w:p>
    <w:p>
      <w:pPr>
        <w:pStyle w:val="1012"/>
        <w:pageBreakBefore w:val="0"/>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1012"/>
        <w:ind w:firstLine="3000"/>
        <w:pageBreakBefore w:val="0"/>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1073"/>
        <w:pageBreakBefore w:val="0"/>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1073"/>
        <w:pageBreakBefore w:val="0"/>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1012"/>
        <w:jc w:val="right"/>
        <w:keepLines w:val="0"/>
        <w:keepNext w:val="0"/>
        <w:pageBreakBefore w:val="0"/>
        <w:spacing w:line="500" w:lineRule="exact"/>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投标人名称（电子签章）： ____________                     </w:t>
      </w:r>
      <w:r>
        <w:rPr>
          <w:rFonts w:hint="eastAsia" w:ascii="宋体" w:hAnsi="宋体" w:eastAsia="宋体" w:cs="宋体"/>
          <w:color w:val="000000" w:themeColor="text1"/>
          <w:highlight w:val="none"/>
        </w:rPr>
      </w:r>
      <w:r>
        <w:rPr>
          <w:color w:val="000000" w:themeColor="text1"/>
        </w:rPr>
      </w:r>
    </w:p>
    <w:p>
      <w:pPr>
        <w:pStyle w:val="1012"/>
        <w:ind w:firstLine="480"/>
        <w:jc w:val="center"/>
        <w:keepLines w:val="0"/>
        <w:keepNext w:val="0"/>
        <w:pageBreakBefore w:val="0"/>
        <w:spacing w:line="500" w:lineRule="exact"/>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                 </w:t>
      </w:r>
      <w:r>
        <w:rPr>
          <w:rFonts w:hint="eastAsia" w:ascii="宋体" w:hAnsi="宋体" w:eastAsia="宋体" w:cs="宋体"/>
          <w:color w:val="000000" w:themeColor="text1"/>
          <w:highlight w:val="none"/>
        </w:rPr>
        <w:t xml:space="preserve">日  期：   年  月 </w:t>
      </w:r>
      <w:r>
        <w:rPr>
          <w:rFonts w:hint="eastAsia" w:ascii="宋体" w:hAnsi="宋体" w:eastAsia="宋体" w:cs="宋体"/>
          <w:color w:val="000000" w:themeColor="text1"/>
          <w:highlight w:val="none"/>
          <w:lang w:val="en-US" w:eastAsia="zh-CN"/>
        </w:rPr>
        <w:t xml:space="preserve">日</w:t>
      </w:r>
      <w:r>
        <w:rPr>
          <w:rFonts w:hint="eastAsia" w:ascii="宋体" w:hAnsi="宋体" w:eastAsia="宋体" w:cs="宋体"/>
          <w:color w:val="000000" w:themeColor="text1"/>
          <w:highlight w:val="none"/>
        </w:rPr>
      </w:r>
      <w:r>
        <w:rPr>
          <w:color w:val="000000" w:themeColor="text1"/>
        </w:rPr>
      </w:r>
    </w:p>
    <w:p>
      <w:pPr>
        <w:pStyle w:val="102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1012"/>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1012"/>
        <w:jc w:val="center"/>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rPr>
      </w:r>
    </w:p>
    <w:p>
      <w:pPr>
        <w:pStyle w:val="1012"/>
        <w:jc w:val="center"/>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rPr>
      </w:r>
    </w:p>
    <w:p>
      <w:pPr>
        <w:pStyle w:val="1012"/>
        <w:jc w:val="center"/>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rPr>
      </w:r>
    </w:p>
    <w:p>
      <w:pPr>
        <w:pStyle w:val="1012"/>
        <w:jc w:val="center"/>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rPr>
      </w:r>
    </w:p>
    <w:p>
      <w:pPr>
        <w:pStyle w:val="1012"/>
        <w:jc w:val="center"/>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rPr>
      </w:r>
    </w:p>
    <w:p>
      <w:pPr>
        <w:pStyle w:val="1012"/>
        <w:jc w:val="center"/>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rPr>
      </w:r>
    </w:p>
    <w:p>
      <w:pPr>
        <w:pStyle w:val="1030"/>
        <w:rPr>
          <w:rFonts w:hint="eastAsia"/>
          <w:color w:val="000000" w:themeColor="text1"/>
          <w:highlight w:val="none"/>
        </w:rPr>
      </w:pPr>
      <w:r>
        <w:rPr>
          <w:rFonts w:hint="eastAsia"/>
          <w:color w:val="000000" w:themeColor="text1"/>
          <w:highlight w:val="none"/>
        </w:rPr>
      </w:r>
      <w:r>
        <w:rPr>
          <w:color w:val="000000" w:themeColor="text1"/>
        </w:rPr>
      </w:r>
    </w:p>
    <w:p>
      <w:pPr>
        <w:pStyle w:val="1012"/>
        <w:jc w:val="center"/>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rPr>
      </w:r>
    </w:p>
    <w:p>
      <w:pPr>
        <w:pStyle w:val="1012"/>
        <w:jc w:val="center"/>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rPr>
      </w:r>
    </w:p>
    <w:p>
      <w:pPr>
        <w:pStyle w:val="1012"/>
        <w:jc w:val="center"/>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rPr>
      </w:r>
    </w:p>
    <w:p>
      <w:pPr>
        <w:pStyle w:val="1012"/>
        <w:jc w:val="center"/>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rPr>
      </w:r>
    </w:p>
    <w:p>
      <w:pPr>
        <w:pStyle w:val="1012"/>
        <w:jc w:val="center"/>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lang w:val="en-US" w:eastAsia="zh-CN"/>
        </w:rPr>
        <w:t xml:space="preserve">10</w:t>
      </w:r>
      <w:r>
        <w:rPr>
          <w:rFonts w:hint="eastAsia" w:ascii="宋体" w:hAnsi="宋体" w:eastAsia="宋体" w:cs="宋体"/>
          <w:b/>
          <w:bCs/>
          <w:color w:val="000000" w:themeColor="text1"/>
          <w:sz w:val="32"/>
          <w:szCs w:val="32"/>
          <w:highlight w:val="none"/>
        </w:rPr>
        <w:t xml:space="preserve">.采购需求符合性条件响应表</w:t>
      </w:r>
      <w:r>
        <w:rPr>
          <w:rFonts w:hint="eastAsia" w:ascii="宋体" w:hAnsi="宋体" w:eastAsia="宋体" w:cs="宋体"/>
          <w:b/>
          <w:bCs/>
          <w:color w:val="000000" w:themeColor="text1"/>
          <w:sz w:val="32"/>
          <w:szCs w:val="32"/>
          <w:highlight w:val="none"/>
        </w:rPr>
      </w:r>
      <w:r>
        <w:rPr>
          <w:color w:val="000000" w:themeColor="text1"/>
        </w:rPr>
      </w:r>
    </w:p>
    <w:p>
      <w:pPr>
        <w:pStyle w:val="1012"/>
        <w:ind w:left="0" w:firstLine="0"/>
        <w:rPr>
          <w:rFonts w:hint="eastAsia" w:ascii="仿宋" w:hAnsi="仿宋" w:eastAsia="仿宋"/>
          <w:color w:val="000000" w:themeColor="text1"/>
          <w:sz w:val="24"/>
          <w:highlight w:val="none"/>
        </w:rPr>
      </w:pPr>
      <w:r>
        <w:rPr>
          <w:rFonts w:hint="eastAsia" w:ascii="仿宋" w:hAnsi="仿宋" w:eastAsia="仿宋"/>
          <w:color w:val="000000" w:themeColor="text1"/>
          <w:sz w:val="24"/>
          <w:highlight w:val="none"/>
        </w:rPr>
      </w:r>
      <w:r>
        <w:rPr>
          <w:color w:val="000000" w:themeColor="text1"/>
        </w:rPr>
      </w:r>
    </w:p>
    <w:p>
      <w:pPr>
        <w:pStyle w:val="1012"/>
        <w:ind w:left="0" w:firstLine="0"/>
        <w:rPr>
          <w:rFonts w:hint="eastAsia" w:ascii="仿宋" w:hAnsi="仿宋" w:eastAsia="仿宋"/>
          <w:color w:val="000000" w:themeColor="text1"/>
          <w:sz w:val="24"/>
          <w:highlight w:val="none"/>
        </w:rPr>
      </w:pPr>
      <w:r>
        <w:rPr>
          <w:rFonts w:hint="eastAsia" w:ascii="仿宋" w:hAnsi="仿宋" w:eastAsia="仿宋"/>
          <w:color w:val="000000" w:themeColor="text1"/>
          <w:sz w:val="24"/>
          <w:highlight w:val="none"/>
        </w:rPr>
      </w:r>
      <w:r>
        <w:rPr>
          <w:color w:val="000000" w:themeColor="text1"/>
        </w:rPr>
      </w:r>
    </w:p>
    <w:p>
      <w:pPr>
        <w:pStyle w:val="1012"/>
        <w:ind w:left="0" w:firstLine="0"/>
        <w:rPr>
          <w:rFonts w:hint="eastAsia" w:ascii="宋体" w:hAnsi="宋体" w:eastAsia="宋体" w:cs="宋体"/>
          <w:color w:val="000000" w:themeColor="text1"/>
          <w:sz w:val="24"/>
          <w:szCs w:val="24"/>
          <w:highlight w:val="none"/>
          <w:u w:val="none"/>
        </w:rPr>
      </w:pPr>
      <w:r>
        <w:rPr>
          <w:rFonts w:hint="eastAsia" w:ascii="宋体" w:hAnsi="宋体" w:eastAsia="宋体" w:cs="宋体"/>
          <w:color w:val="000000" w:themeColor="text1"/>
          <w:sz w:val="24"/>
          <w:szCs w:val="24"/>
          <w:highlight w:val="none"/>
        </w:rPr>
        <w:t xml:space="preserve">项目名</w:t>
      </w:r>
      <w:r>
        <w:rPr>
          <w:rFonts w:hint="eastAsia" w:ascii="宋体" w:hAnsi="宋体" w:eastAsia="宋体" w:cs="宋体"/>
          <w:color w:val="000000" w:themeColor="text1"/>
          <w:sz w:val="24"/>
          <w:szCs w:val="24"/>
          <w:highlight w:val="none"/>
          <w:u w:val="none"/>
        </w:rPr>
        <w:t xml:space="preserve">称：</w:t>
      </w:r>
      <w:r>
        <w:rPr>
          <w:rFonts w:hint="eastAsia" w:ascii="宋体" w:hAnsi="宋体" w:eastAsia="宋体" w:cs="宋体"/>
          <w:color w:val="000000" w:themeColor="text1"/>
          <w:sz w:val="24"/>
          <w:szCs w:val="24"/>
          <w:highlight w:val="none"/>
          <w:u w:val="none"/>
          <w:lang w:eastAsia="zh-CN"/>
        </w:rPr>
        <w:t xml:space="preserve">丰县中医医院机房改扩建项目</w:t>
      </w:r>
      <w:r>
        <w:rPr>
          <w:rFonts w:hint="eastAsia" w:ascii="宋体" w:hAnsi="宋体" w:eastAsia="宋体" w:cs="宋体"/>
          <w:color w:val="000000" w:themeColor="text1"/>
          <w:sz w:val="24"/>
          <w:szCs w:val="24"/>
          <w:highlight w:val="none"/>
          <w:u w:val="none"/>
        </w:rPr>
      </w:r>
      <w:r>
        <w:rPr>
          <w:color w:val="000000" w:themeColor="text1"/>
        </w:rPr>
      </w:r>
    </w:p>
    <w:p>
      <w:pPr>
        <w:pStyle w:val="1012"/>
        <w:ind w:left="0" w:firstLine="0"/>
        <w:rPr>
          <w:rFonts w:hint="eastAsia" w:ascii="宋体" w:hAnsi="宋体" w:eastAsia="宋体" w:cs="宋体"/>
          <w:color w:val="000000" w:themeColor="text1"/>
          <w:sz w:val="24"/>
          <w:highlight w:val="none"/>
          <w:u w:val="none"/>
        </w:rPr>
      </w:pPr>
      <w:r>
        <w:rPr>
          <w:rFonts w:hint="eastAsia" w:ascii="宋体" w:hAnsi="宋体" w:eastAsia="宋体" w:cs="宋体"/>
          <w:color w:val="000000" w:themeColor="text1"/>
          <w:sz w:val="24"/>
          <w:szCs w:val="24"/>
          <w:highlight w:val="none"/>
          <w:u w:val="none"/>
        </w:rPr>
        <w:t xml:space="preserve">项目编号：</w:t>
      </w:r>
      <w:r>
        <w:rPr>
          <w:rFonts w:hint="eastAsia" w:ascii="宋体" w:hAnsi="宋体" w:eastAsia="宋体" w:cs="宋体"/>
          <w:color w:val="000000" w:themeColor="text1"/>
          <w:highlight w:val="none"/>
          <w:u w:val="none"/>
          <w:lang w:val="en-US" w:eastAsia="zh-CN"/>
        </w:rPr>
        <w:t xml:space="preserve">JSZC-320321-JSTQ-G2026-0005</w:t>
      </w:r>
      <w:r>
        <w:rPr>
          <w:rFonts w:hint="eastAsia" w:ascii="宋体" w:hAnsi="宋体" w:eastAsia="宋体" w:cs="宋体"/>
          <w:color w:val="000000" w:themeColor="text1"/>
          <w:sz w:val="24"/>
          <w:highlight w:val="none"/>
          <w:u w:val="none"/>
        </w:rPr>
      </w:r>
      <w:r>
        <w:rPr>
          <w:color w:val="000000" w:themeColor="text1"/>
        </w:rPr>
      </w:r>
    </w:p>
    <w:tbl>
      <w:tblPr>
        <w:tblW w:w="9120" w:type="dxa"/>
        <w:tblInd w:w="-14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44"/>
        <w:gridCol w:w="2804"/>
        <w:gridCol w:w="2104"/>
        <w:gridCol w:w="2328"/>
        <w:gridCol w:w="1140"/>
      </w:tblGrid>
      <w:tr>
        <w:trPr>
          <w:trHeight w:val="794"/>
        </w:trPr>
        <w:tc>
          <w:tcPr>
            <w:tcW w:w="744" w:type="dxa"/>
            <w:vAlign w:val="center"/>
            <w:textDirection w:val="lrTb"/>
            <w:noWrap w:val="false"/>
          </w:tcPr>
          <w:p>
            <w:pPr>
              <w:pStyle w:val="1012"/>
              <w:ind w:firstLine="0"/>
              <w:jc w:val="center"/>
              <w:keepLines w:val="0"/>
              <w:keepNext w:val="0"/>
              <w:pageBreakBefore w:val="0"/>
              <w:spacing w:line="240" w:lineRule="auto"/>
              <w:widowControl w:val="off"/>
              <w:rPr>
                <w:rFonts w:hint="eastAsia" w:ascii="宋体" w:hAnsi="宋体" w:eastAsia="宋体" w:cs="宋体"/>
                <w:caps/>
                <w:color w:val="000000" w:themeColor="text1"/>
                <w:sz w:val="24"/>
                <w:szCs w:val="24"/>
                <w:highlight w:val="none"/>
              </w:rPr>
              <w:outlineLvl w:val="9"/>
            </w:pPr>
            <w:r>
              <w:rPr>
                <w:rFonts w:hint="eastAsia" w:ascii="宋体" w:hAnsi="宋体" w:eastAsia="宋体" w:cs="宋体"/>
                <w:caps/>
                <w:color w:val="000000" w:themeColor="text1"/>
                <w:sz w:val="24"/>
                <w:szCs w:val="24"/>
                <w:highlight w:val="none"/>
                <w:lang w:val="en-US" w:eastAsia="zh-CN" w:bidi="ar-SA"/>
              </w:rPr>
              <w:t xml:space="preserve">序号</w:t>
            </w:r>
            <w:r>
              <w:rPr>
                <w:rFonts w:hint="eastAsia" w:ascii="宋体" w:hAnsi="宋体" w:eastAsia="宋体" w:cs="宋体"/>
                <w:caps/>
                <w:color w:val="000000" w:themeColor="text1"/>
                <w:sz w:val="24"/>
                <w:szCs w:val="24"/>
                <w:highlight w:val="none"/>
                <w:lang w:val="en-US" w:eastAsia="zh-CN" w:bidi="ar-SA"/>
              </w:rPr>
            </w:r>
            <w:r>
              <w:rPr>
                <w:color w:val="000000" w:themeColor="text1"/>
              </w:rPr>
            </w:r>
          </w:p>
        </w:tc>
        <w:tc>
          <w:tcPr>
            <w:tcW w:w="2804" w:type="dxa"/>
            <w:vAlign w:val="center"/>
            <w:textDirection w:val="lrTb"/>
            <w:noWrap w:val="false"/>
          </w:tcPr>
          <w:p>
            <w:pPr>
              <w:pStyle w:val="1012"/>
              <w:ind w:firstLine="0"/>
              <w:jc w:val="center"/>
              <w:keepLines w:val="0"/>
              <w:keepNext w:val="0"/>
              <w:pageBreakBefore w:val="0"/>
              <w:spacing w:line="240" w:lineRule="auto"/>
              <w:widowControl w:val="off"/>
              <w:rPr>
                <w:rFonts w:hint="eastAsia" w:ascii="宋体" w:hAnsi="宋体" w:eastAsia="宋体" w:cs="宋体"/>
                <w:caps/>
                <w:color w:val="000000" w:themeColor="text1"/>
                <w:sz w:val="24"/>
                <w:szCs w:val="24"/>
                <w:highlight w:val="none"/>
              </w:rPr>
              <w:outlineLvl w:val="9"/>
            </w:pPr>
            <w:r>
              <w:rPr>
                <w:rFonts w:hint="eastAsia" w:ascii="宋体" w:hAnsi="宋体" w:eastAsia="宋体" w:cs="宋体"/>
                <w:caps/>
                <w:color w:val="000000" w:themeColor="text1"/>
                <w:sz w:val="24"/>
                <w:szCs w:val="24"/>
                <w:highlight w:val="none"/>
                <w:lang w:val="en-US" w:eastAsia="zh-CN" w:bidi="ar-SA"/>
              </w:rPr>
              <w:t xml:space="preserve">采购需求符合性条件</w:t>
            </w:r>
            <w:r>
              <w:rPr>
                <w:rFonts w:hint="eastAsia" w:ascii="宋体" w:hAnsi="宋体" w:eastAsia="宋体" w:cs="宋体"/>
                <w:caps/>
                <w:color w:val="000000" w:themeColor="text1"/>
                <w:sz w:val="24"/>
                <w:szCs w:val="24"/>
                <w:highlight w:val="none"/>
                <w:lang w:val="en-US" w:eastAsia="zh-CN" w:bidi="ar-SA"/>
              </w:rPr>
            </w:r>
            <w:r>
              <w:rPr>
                <w:color w:val="000000" w:themeColor="text1"/>
              </w:rPr>
            </w:r>
          </w:p>
        </w:tc>
        <w:tc>
          <w:tcPr>
            <w:tcW w:w="2104" w:type="dxa"/>
            <w:vAlign w:val="center"/>
            <w:textDirection w:val="lrTb"/>
            <w:noWrap w:val="false"/>
          </w:tcPr>
          <w:p>
            <w:pPr>
              <w:pStyle w:val="1012"/>
              <w:ind w:firstLine="0"/>
              <w:jc w:val="center"/>
              <w:keepLines w:val="0"/>
              <w:keepNext w:val="0"/>
              <w:pageBreakBefore w:val="0"/>
              <w:spacing w:line="240" w:lineRule="auto"/>
              <w:widowControl w:val="off"/>
              <w:rPr>
                <w:rFonts w:hint="eastAsia" w:ascii="宋体" w:hAnsi="宋体" w:eastAsia="宋体" w:cs="宋体"/>
                <w:caps/>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bidi="ar-SA"/>
              </w:rPr>
              <w:t xml:space="preserve">招标文件的要求</w:t>
            </w:r>
            <w:r>
              <w:rPr>
                <w:rFonts w:hint="eastAsia" w:ascii="宋体" w:hAnsi="宋体" w:eastAsia="宋体" w:cs="宋体"/>
                <w:caps/>
                <w:color w:val="000000" w:themeColor="text1"/>
                <w:sz w:val="24"/>
                <w:szCs w:val="24"/>
                <w:highlight w:val="none"/>
                <w:lang w:val="en-US" w:eastAsia="zh-CN" w:bidi="ar-SA"/>
              </w:rPr>
            </w:r>
            <w:r>
              <w:rPr>
                <w:color w:val="000000" w:themeColor="text1"/>
              </w:rPr>
            </w:r>
          </w:p>
        </w:tc>
        <w:tc>
          <w:tcPr>
            <w:tcW w:w="2328" w:type="dxa"/>
            <w:vAlign w:val="center"/>
            <w:textDirection w:val="lrTb"/>
            <w:noWrap w:val="false"/>
          </w:tcPr>
          <w:p>
            <w:pPr>
              <w:pStyle w:val="1012"/>
              <w:ind w:firstLine="0"/>
              <w:jc w:val="center"/>
              <w:keepLines w:val="0"/>
              <w:keepNext w:val="0"/>
              <w:pageBreakBefore w:val="0"/>
              <w:spacing w:line="240" w:lineRule="auto"/>
              <w:widowControl w:val="off"/>
              <w:rPr>
                <w:rFonts w:hint="eastAsia" w:ascii="宋体" w:hAnsi="宋体" w:eastAsia="宋体" w:cs="宋体"/>
                <w:caps/>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bidi="ar-SA"/>
              </w:rPr>
              <w:t xml:space="preserve">投标文件中的响应情况</w:t>
            </w:r>
            <w:r>
              <w:rPr>
                <w:rFonts w:hint="eastAsia" w:ascii="宋体" w:hAnsi="宋体" w:eastAsia="宋体" w:cs="宋体"/>
                <w:caps/>
                <w:color w:val="000000" w:themeColor="text1"/>
                <w:sz w:val="24"/>
                <w:szCs w:val="24"/>
                <w:highlight w:val="none"/>
                <w:lang w:val="en-US" w:eastAsia="zh-CN" w:bidi="ar-SA"/>
              </w:rPr>
              <w:t xml:space="preserve">（完全响应/未完全响应）</w:t>
            </w:r>
            <w:r>
              <w:rPr>
                <w:rFonts w:hint="eastAsia" w:ascii="宋体" w:hAnsi="宋体" w:eastAsia="宋体" w:cs="宋体"/>
                <w:caps/>
                <w:color w:val="000000" w:themeColor="text1"/>
                <w:sz w:val="24"/>
                <w:szCs w:val="24"/>
                <w:highlight w:val="none"/>
                <w:lang w:val="en-US" w:eastAsia="zh-CN" w:bidi="ar-SA"/>
              </w:rPr>
            </w:r>
            <w:r>
              <w:rPr>
                <w:color w:val="000000" w:themeColor="text1"/>
              </w:rPr>
            </w:r>
          </w:p>
        </w:tc>
        <w:tc>
          <w:tcPr>
            <w:tcW w:w="1140" w:type="dxa"/>
            <w:vAlign w:val="center"/>
            <w:textDirection w:val="lrTb"/>
            <w:noWrap w:val="false"/>
          </w:tcPr>
          <w:p>
            <w:pPr>
              <w:pStyle w:val="1012"/>
              <w:ind w:firstLine="0"/>
              <w:jc w:val="center"/>
              <w:keepLines w:val="0"/>
              <w:keepNext w:val="0"/>
              <w:pageBreakBefore w:val="0"/>
              <w:spacing w:line="240" w:lineRule="auto"/>
              <w:widowControl w:val="off"/>
              <w:rPr>
                <w:rFonts w:hint="eastAsia" w:ascii="宋体" w:hAnsi="宋体" w:eastAsia="宋体" w:cs="宋体"/>
                <w:caps/>
                <w:color w:val="000000" w:themeColor="text1"/>
                <w:sz w:val="24"/>
                <w:szCs w:val="24"/>
                <w:highlight w:val="none"/>
              </w:rPr>
              <w:outlineLvl w:val="9"/>
            </w:pPr>
            <w:r>
              <w:rPr>
                <w:rFonts w:hint="eastAsia" w:ascii="宋体" w:hAnsi="宋体" w:eastAsia="宋体" w:cs="宋体"/>
                <w:caps/>
                <w:color w:val="000000" w:themeColor="text1"/>
                <w:sz w:val="24"/>
                <w:szCs w:val="24"/>
                <w:highlight w:val="none"/>
                <w:lang w:val="en-US" w:eastAsia="zh-CN" w:bidi="ar-SA"/>
              </w:rPr>
              <w:t xml:space="preserve">说明</w:t>
            </w:r>
            <w:r>
              <w:rPr>
                <w:rFonts w:hint="eastAsia" w:ascii="宋体" w:hAnsi="宋体" w:eastAsia="宋体" w:cs="宋体"/>
                <w:caps/>
                <w:color w:val="000000" w:themeColor="text1"/>
                <w:sz w:val="24"/>
                <w:szCs w:val="24"/>
                <w:highlight w:val="none"/>
                <w:lang w:val="en-US" w:eastAsia="zh-CN" w:bidi="ar-SA"/>
              </w:rPr>
            </w:r>
            <w:r>
              <w:rPr>
                <w:color w:val="000000" w:themeColor="text1"/>
              </w:rPr>
            </w:r>
          </w:p>
        </w:tc>
      </w:tr>
      <w:tr>
        <w:trPr>
          <w:trHeight w:val="794"/>
        </w:trPr>
        <w:tc>
          <w:tcPr>
            <w:tcW w:w="744" w:type="dxa"/>
            <w:vAlign w:val="center"/>
            <w:textDirection w:val="lrTb"/>
            <w:noWrap w:val="false"/>
          </w:tcPr>
          <w:p>
            <w:pPr>
              <w:pStyle w:val="1012"/>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bidi="ar-SA"/>
              </w:rPr>
              <w:t xml:space="preserve">1</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2804" w:type="dxa"/>
            <w:vAlign w:val="center"/>
            <w:textDirection w:val="lrTb"/>
            <w:noWrap w:val="false"/>
          </w:tcPr>
          <w:p>
            <w:pPr>
              <w:pStyle w:val="1012"/>
              <w:ind w:left="0" w:firstLine="0"/>
              <w:jc w:val="center"/>
              <w:spacing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关于“</w:t>
            </w:r>
            <w:r>
              <w:rPr>
                <w:rFonts w:hint="eastAsia" w:ascii="宋体" w:hAnsi="宋体" w:eastAsia="宋体" w:cs="宋体"/>
                <w:b w:val="0"/>
                <w:bCs w:val="0"/>
                <w:color w:val="000000" w:themeColor="text1"/>
                <w:sz w:val="24"/>
                <w:szCs w:val="24"/>
                <w:highlight w:val="none"/>
                <w:lang w:val="en-US" w:eastAsia="zh-CN" w:bidi="ar-SA"/>
              </w:rPr>
              <w:t xml:space="preserve">核心服务内容</w:t>
            </w:r>
            <w:r>
              <w:rPr>
                <w:rFonts w:hint="eastAsia" w:ascii="宋体" w:hAnsi="宋体" w:eastAsia="宋体" w:cs="宋体"/>
                <w:color w:val="000000" w:themeColor="text1"/>
                <w:sz w:val="24"/>
                <w:szCs w:val="24"/>
                <w:highlight w:val="none"/>
                <w:lang w:val="en-US" w:eastAsia="zh-CN" w:bidi="ar-SA"/>
              </w:rPr>
              <w:t xml:space="preserve">”的响应情况</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2104" w:type="dxa"/>
            <w:vAlign w:val="center"/>
            <w:textDirection w:val="lrTb"/>
            <w:noWrap w:val="false"/>
          </w:tcPr>
          <w:p>
            <w:pPr>
              <w:pStyle w:val="1012"/>
              <w:ind w:firstLine="200"/>
              <w:jc w:val="center"/>
              <w:spacing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见招标文件第六章《采购需求》中相关要求</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2328" w:type="dxa"/>
            <w:vAlign w:val="center"/>
            <w:textDirection w:val="lrTb"/>
            <w:noWrap w:val="false"/>
          </w:tcPr>
          <w:p>
            <w:pPr>
              <w:pStyle w:val="1012"/>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1140" w:type="dxa"/>
            <w:vAlign w:val="center"/>
            <w:textDirection w:val="lrTb"/>
            <w:noWrap w:val="false"/>
          </w:tcPr>
          <w:p>
            <w:pPr>
              <w:pStyle w:val="1012"/>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794"/>
        </w:trPr>
        <w:tc>
          <w:tcPr>
            <w:tcW w:w="744" w:type="dxa"/>
            <w:vAlign w:val="center"/>
            <w:textDirection w:val="lrTb"/>
            <w:noWrap w:val="false"/>
          </w:tcPr>
          <w:p>
            <w:pPr>
              <w:pStyle w:val="1012"/>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bidi="ar-SA"/>
              </w:rPr>
              <w:t xml:space="preserve">2</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2804" w:type="dxa"/>
            <w:vAlign w:val="center"/>
            <w:textDirection w:val="lrTb"/>
            <w:noWrap w:val="false"/>
          </w:tcPr>
          <w:p>
            <w:pPr>
              <w:pStyle w:val="1012"/>
              <w:ind w:left="0" w:firstLine="0"/>
              <w:jc w:val="center"/>
              <w:spacing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关于</w:t>
            </w:r>
            <w:r>
              <w:rPr>
                <w:rFonts w:hint="eastAsia" w:ascii="宋体" w:hAnsi="宋体" w:eastAsia="宋体" w:cs="宋体"/>
                <w:b w:val="0"/>
                <w:bCs w:val="0"/>
                <w:color w:val="000000" w:themeColor="text1"/>
                <w:sz w:val="24"/>
                <w:szCs w:val="24"/>
                <w:highlight w:val="none"/>
                <w:lang w:val="en-US" w:eastAsia="zh-CN" w:bidi="ar-SA"/>
              </w:rPr>
              <w:t xml:space="preserve">“实施团队”中人员数量要求的响应情况</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2104" w:type="dxa"/>
            <w:vAlign w:val="center"/>
            <w:textDirection w:val="lrTb"/>
            <w:noWrap w:val="false"/>
          </w:tcPr>
          <w:p>
            <w:pPr>
              <w:pStyle w:val="1012"/>
              <w:ind w:firstLine="200"/>
              <w:jc w:val="center"/>
              <w:spacing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见招标文件第六章《采购需求》中相关要求</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2328" w:type="dxa"/>
            <w:vAlign w:val="center"/>
            <w:textDirection w:val="lrTb"/>
            <w:noWrap w:val="false"/>
          </w:tcPr>
          <w:p>
            <w:pPr>
              <w:pStyle w:val="1012"/>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1140" w:type="dxa"/>
            <w:vAlign w:val="center"/>
            <w:textDirection w:val="lrTb"/>
            <w:noWrap w:val="false"/>
          </w:tcPr>
          <w:p>
            <w:pPr>
              <w:pStyle w:val="1012"/>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794"/>
        </w:trPr>
        <w:tc>
          <w:tcPr>
            <w:tcW w:w="744" w:type="dxa"/>
            <w:vAlign w:val="center"/>
            <w:textDirection w:val="lrTb"/>
            <w:noWrap w:val="false"/>
          </w:tcPr>
          <w:p>
            <w:pPr>
              <w:pStyle w:val="1012"/>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bidi="ar-SA"/>
              </w:rPr>
              <w:t xml:space="preserve">3</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2804" w:type="dxa"/>
            <w:vAlign w:val="center"/>
            <w:textDirection w:val="lrTb"/>
            <w:noWrap w:val="false"/>
          </w:tcPr>
          <w:p>
            <w:pPr>
              <w:pStyle w:val="1012"/>
              <w:ind w:left="0" w:firstLine="0"/>
              <w:jc w:val="center"/>
              <w:spacing w:line="27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关于</w:t>
            </w:r>
            <w:r>
              <w:rPr>
                <w:rFonts w:hint="eastAsia" w:ascii="宋体" w:hAnsi="宋体" w:eastAsia="宋体" w:cs="宋体"/>
                <w:b w:val="0"/>
                <w:bCs w:val="0"/>
                <w:color w:val="000000" w:themeColor="text1"/>
                <w:sz w:val="24"/>
                <w:szCs w:val="24"/>
                <w:highlight w:val="none"/>
                <w:lang w:val="en-US" w:eastAsia="zh-CN" w:bidi="ar-SA"/>
              </w:rPr>
              <w:t xml:space="preserve">“项目服务期限”的响应情况</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tc>
        <w:tc>
          <w:tcPr>
            <w:tcW w:w="2104" w:type="dxa"/>
            <w:vAlign w:val="center"/>
            <w:textDirection w:val="lrTb"/>
            <w:noWrap w:val="false"/>
          </w:tcPr>
          <w:p>
            <w:pPr>
              <w:pStyle w:val="1012"/>
              <w:ind w:firstLine="200"/>
              <w:jc w:val="center"/>
              <w:spacing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见招标文件第六章《采购需求》中相关要求</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2328" w:type="dxa"/>
            <w:vAlign w:val="center"/>
            <w:textDirection w:val="lrTb"/>
            <w:noWrap w:val="false"/>
          </w:tcPr>
          <w:p>
            <w:pPr>
              <w:pStyle w:val="1012"/>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1140" w:type="dxa"/>
            <w:vAlign w:val="center"/>
            <w:textDirection w:val="lrTb"/>
            <w:noWrap w:val="false"/>
          </w:tcPr>
          <w:p>
            <w:pPr>
              <w:pStyle w:val="1012"/>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794"/>
        </w:trPr>
        <w:tc>
          <w:tcPr>
            <w:tcW w:w="744" w:type="dxa"/>
            <w:vAlign w:val="center"/>
            <w:textDirection w:val="lrTb"/>
            <w:noWrap w:val="false"/>
          </w:tcPr>
          <w:p>
            <w:pPr>
              <w:pStyle w:val="1012"/>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bidi="ar-SA"/>
              </w:rPr>
              <w:t xml:space="preserve">4</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2804" w:type="dxa"/>
            <w:vAlign w:val="center"/>
            <w:textDirection w:val="lrTb"/>
            <w:noWrap w:val="false"/>
          </w:tcPr>
          <w:p>
            <w:pPr>
              <w:pStyle w:val="1012"/>
              <w:ind w:left="0" w:firstLine="0"/>
              <w:jc w:val="center"/>
              <w:spacing w:line="27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关于</w:t>
            </w:r>
            <w:r>
              <w:rPr>
                <w:rFonts w:hint="eastAsia" w:ascii="宋体" w:hAnsi="宋体" w:eastAsia="宋体" w:cs="宋体"/>
                <w:b w:val="0"/>
                <w:bCs w:val="0"/>
                <w:color w:val="000000" w:themeColor="text1"/>
                <w:sz w:val="24"/>
                <w:szCs w:val="24"/>
                <w:highlight w:val="none"/>
                <w:lang w:val="en-US" w:eastAsia="zh-CN" w:bidi="ar-SA"/>
              </w:rPr>
              <w:t xml:space="preserve">“付款方式” 的响应情况</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tc>
        <w:tc>
          <w:tcPr>
            <w:tcW w:w="2104" w:type="dxa"/>
            <w:vAlign w:val="center"/>
            <w:textDirection w:val="lrTb"/>
            <w:noWrap w:val="false"/>
          </w:tcPr>
          <w:p>
            <w:pPr>
              <w:pStyle w:val="1012"/>
              <w:ind w:firstLine="200"/>
              <w:jc w:val="center"/>
              <w:spacing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见招标文件第六章《采购需求》中相关要求</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2328" w:type="dxa"/>
            <w:vAlign w:val="center"/>
            <w:textDirection w:val="lrTb"/>
            <w:noWrap w:val="false"/>
          </w:tcPr>
          <w:p>
            <w:pPr>
              <w:pStyle w:val="1012"/>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1140" w:type="dxa"/>
            <w:vAlign w:val="center"/>
            <w:textDirection w:val="lrTb"/>
            <w:noWrap w:val="false"/>
          </w:tcPr>
          <w:p>
            <w:pPr>
              <w:pStyle w:val="1012"/>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794"/>
        </w:trPr>
        <w:tc>
          <w:tcPr>
            <w:tcW w:w="744" w:type="dxa"/>
            <w:vAlign w:val="center"/>
            <w:textDirection w:val="lrTb"/>
            <w:noWrap w:val="false"/>
          </w:tcPr>
          <w:p>
            <w:pPr>
              <w:pStyle w:val="1012"/>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bidi="ar-SA"/>
              </w:rPr>
              <w:t xml:space="preserve">5</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2804" w:type="dxa"/>
            <w:vAlign w:val="center"/>
            <w:textDirection w:val="lrTb"/>
            <w:noWrap w:val="false"/>
          </w:tcPr>
          <w:p>
            <w:pPr>
              <w:pStyle w:val="1012"/>
              <w:ind w:left="0" w:firstLine="0"/>
              <w:jc w:val="center"/>
              <w:spacing w:line="27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关于</w:t>
            </w:r>
            <w:r>
              <w:rPr>
                <w:rFonts w:hint="eastAsia" w:ascii="宋体" w:hAnsi="宋体" w:eastAsia="宋体" w:cs="宋体"/>
                <w:b w:val="0"/>
                <w:bCs w:val="0"/>
                <w:color w:val="000000" w:themeColor="text1"/>
                <w:sz w:val="24"/>
                <w:szCs w:val="24"/>
                <w:highlight w:val="none"/>
                <w:lang w:val="en-US" w:eastAsia="zh-CN" w:bidi="ar-SA"/>
              </w:rPr>
              <w:t xml:space="preserve">“关于投标报价的相关说明”的响应情况</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tc>
        <w:tc>
          <w:tcPr>
            <w:tcW w:w="2104" w:type="dxa"/>
            <w:vAlign w:val="center"/>
            <w:textDirection w:val="lrTb"/>
            <w:noWrap w:val="false"/>
          </w:tcPr>
          <w:p>
            <w:pPr>
              <w:pStyle w:val="1012"/>
              <w:ind w:firstLine="200"/>
              <w:jc w:val="center"/>
              <w:spacing w:line="27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见招标文件第六章《采购需求》中相关要求</w:t>
            </w: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2328" w:type="dxa"/>
            <w:vAlign w:val="center"/>
            <w:textDirection w:val="lrTb"/>
            <w:noWrap w:val="false"/>
          </w:tcPr>
          <w:p>
            <w:pPr>
              <w:pStyle w:val="1012"/>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bidi="ar-SA"/>
              </w:rPr>
            </w:r>
            <w:r>
              <w:rPr>
                <w:color w:val="000000" w:themeColor="text1"/>
              </w:rPr>
            </w:r>
          </w:p>
        </w:tc>
        <w:tc>
          <w:tcPr>
            <w:tcW w:w="1140" w:type="dxa"/>
            <w:vAlign w:val="center"/>
            <w:textDirection w:val="lrTb"/>
            <w:noWrap w:val="false"/>
          </w:tcPr>
          <w:p>
            <w:pPr>
              <w:pStyle w:val="1012"/>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bidi="ar-SA"/>
              </w:rPr>
            </w:r>
            <w:r>
              <w:rPr>
                <w:color w:val="000000" w:themeColor="text1"/>
              </w:rPr>
            </w:r>
          </w:p>
        </w:tc>
      </w:tr>
    </w:tbl>
    <w:p>
      <w:pPr>
        <w:pStyle w:val="1012"/>
        <w:rPr>
          <w:color w:val="000000" w:themeColor="text1"/>
          <w:highlight w:val="none"/>
        </w:rPr>
      </w:pPr>
      <w:r>
        <w:rPr>
          <w:color w:val="000000" w:themeColor="text1"/>
          <w:highlight w:val="none"/>
        </w:rPr>
      </w:r>
      <w:r>
        <w:rPr>
          <w:color w:val="000000" w:themeColor="text1"/>
        </w:rPr>
      </w:r>
    </w:p>
    <w:p>
      <w:pPr>
        <w:pStyle w:val="1012"/>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注：</w:t>
      </w:r>
      <w:r>
        <w:rPr>
          <w:rFonts w:hint="eastAsia" w:ascii="宋体" w:hAnsi="宋体" w:eastAsia="宋体" w:cs="宋体"/>
          <w:color w:val="000000" w:themeColor="text1"/>
          <w:sz w:val="24"/>
          <w:highlight w:val="none"/>
        </w:rPr>
      </w:r>
      <w:r>
        <w:rPr>
          <w:color w:val="000000" w:themeColor="text1"/>
        </w:rPr>
      </w:r>
    </w:p>
    <w:p>
      <w:pPr>
        <w:pStyle w:val="1012"/>
        <w:rPr>
          <w:rFonts w:hint="eastAsia" w:ascii="宋体" w:hAnsi="宋体" w:eastAsia="宋体" w:cs="宋体"/>
          <w:color w:val="000000" w:themeColor="text1"/>
          <w:sz w:val="24"/>
          <w:highlight w:val="none"/>
          <w:u w:val="single"/>
        </w:rPr>
      </w:pPr>
      <w:r>
        <w:rPr>
          <w:rFonts w:hint="eastAsia" w:ascii="宋体" w:hAnsi="宋体" w:eastAsia="宋体" w:cs="宋体"/>
          <w:color w:val="000000" w:themeColor="text1"/>
          <w:sz w:val="24"/>
          <w:highlight w:val="none"/>
          <w:u w:val="single"/>
        </w:rPr>
        <w:t xml:space="preserve">1.上表</w:t>
      </w:r>
      <w:r>
        <w:rPr>
          <w:rFonts w:hint="eastAsia" w:ascii="宋体" w:hAnsi="宋体" w:eastAsia="宋体" w:cs="宋体"/>
          <w:b/>
          <w:color w:val="000000" w:themeColor="text1"/>
          <w:sz w:val="24"/>
          <w:highlight w:val="none"/>
          <w:u w:val="single"/>
        </w:rPr>
        <w:t xml:space="preserve">响应情况栏为必填内容</w:t>
      </w:r>
      <w:r>
        <w:rPr>
          <w:rFonts w:hint="eastAsia" w:ascii="宋体" w:hAnsi="宋体" w:eastAsia="宋体" w:cs="宋体"/>
          <w:color w:val="000000" w:themeColor="text1"/>
          <w:sz w:val="24"/>
          <w:highlight w:val="none"/>
          <w:u w:val="single"/>
        </w:rPr>
        <w:t xml:space="preserve">，说明栏为选填内容。</w:t>
      </w:r>
      <w:r>
        <w:rPr>
          <w:rFonts w:hint="eastAsia" w:ascii="宋体" w:hAnsi="宋体" w:eastAsia="宋体" w:cs="宋体"/>
          <w:color w:val="000000" w:themeColor="text1"/>
          <w:sz w:val="24"/>
          <w:highlight w:val="none"/>
          <w:u w:val="single"/>
        </w:rPr>
      </w:r>
      <w:r>
        <w:rPr>
          <w:color w:val="000000" w:themeColor="text1"/>
        </w:rPr>
      </w:r>
    </w:p>
    <w:p>
      <w:pPr>
        <w:pStyle w:val="1012"/>
        <w:rPr>
          <w:rFonts w:hint="eastAsia" w:ascii="宋体" w:hAnsi="宋体" w:eastAsia="宋体" w:cs="宋体"/>
          <w:color w:val="000000" w:themeColor="text1"/>
          <w:sz w:val="24"/>
          <w:highlight w:val="none"/>
          <w:u w:val="single"/>
        </w:rPr>
      </w:pPr>
      <w:r>
        <w:rPr>
          <w:rFonts w:hint="eastAsia" w:ascii="宋体" w:hAnsi="宋体" w:eastAsia="宋体" w:cs="宋体"/>
          <w:color w:val="000000" w:themeColor="text1"/>
          <w:sz w:val="24"/>
          <w:highlight w:val="none"/>
          <w:u w:val="single"/>
        </w:rPr>
        <w:t xml:space="preserve">2.</w:t>
      </w:r>
      <w:r>
        <w:rPr>
          <w:rFonts w:hint="eastAsia" w:ascii="宋体" w:hAnsi="宋体" w:eastAsia="宋体" w:cs="宋体"/>
          <w:b/>
          <w:color w:val="000000" w:themeColor="text1"/>
          <w:sz w:val="24"/>
          <w:highlight w:val="none"/>
          <w:u w:val="single"/>
        </w:rPr>
        <w:t xml:space="preserve">如响应情况栏未填写或填写“未完全响应”，在符合性审查时均按照投标无效处理。</w:t>
      </w:r>
      <w:r>
        <w:rPr>
          <w:rFonts w:hint="eastAsia" w:ascii="宋体" w:hAnsi="宋体" w:eastAsia="宋体" w:cs="宋体"/>
          <w:color w:val="000000" w:themeColor="text1"/>
          <w:sz w:val="24"/>
          <w:highlight w:val="none"/>
          <w:u w:val="single"/>
        </w:rPr>
      </w:r>
      <w:r>
        <w:rPr>
          <w:color w:val="000000" w:themeColor="text1"/>
        </w:rPr>
      </w:r>
    </w:p>
    <w:p>
      <w:pPr>
        <w:pStyle w:val="1012"/>
        <w:rPr>
          <w:rFonts w:hint="eastAsia" w:ascii="宋体" w:hAnsi="宋体" w:eastAsia="宋体" w:cs="宋体"/>
          <w:color w:val="000000" w:themeColor="text1"/>
          <w:sz w:val="24"/>
          <w:highlight w:val="none"/>
          <w:u w:val="none"/>
        </w:rPr>
      </w:pPr>
      <w:r>
        <w:rPr>
          <w:rFonts w:hint="eastAsia" w:ascii="宋体" w:hAnsi="宋体" w:eastAsia="宋体" w:cs="宋体"/>
          <w:color w:val="000000" w:themeColor="text1"/>
          <w:sz w:val="24"/>
          <w:highlight w:val="none"/>
          <w:u w:val="none"/>
        </w:rPr>
      </w:r>
      <w:r>
        <w:rPr>
          <w:color w:val="000000" w:themeColor="text1"/>
        </w:rPr>
      </w:r>
    </w:p>
    <w:p>
      <w:pPr>
        <w:pStyle w:val="1012"/>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pStyle w:val="1012"/>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pStyle w:val="1012"/>
        <w:ind w:firstLine="3120"/>
        <w:spacing w:line="30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投标人：</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（电子签章）  </w:t>
      </w:r>
      <w:r>
        <w:rPr>
          <w:rFonts w:hint="eastAsia" w:ascii="宋体" w:hAnsi="宋体" w:eastAsia="宋体" w:cs="宋体"/>
          <w:color w:val="000000" w:themeColor="text1"/>
          <w:sz w:val="24"/>
          <w:highlight w:val="none"/>
        </w:rPr>
      </w:r>
      <w:r>
        <w:rPr>
          <w:color w:val="000000" w:themeColor="text1"/>
        </w:rPr>
      </w:r>
    </w:p>
    <w:p>
      <w:pPr>
        <w:pStyle w:val="1012"/>
        <w:ind w:firstLine="312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日期：   年  月  日</w:t>
      </w:r>
      <w:r>
        <w:rPr>
          <w:rFonts w:hint="eastAsia" w:ascii="宋体" w:hAnsi="宋体" w:eastAsia="宋体" w:cs="宋体"/>
          <w:color w:val="000000" w:themeColor="text1"/>
          <w:sz w:val="24"/>
          <w:highlight w:val="none"/>
        </w:rPr>
      </w:r>
      <w:r>
        <w:rPr>
          <w:color w:val="000000" w:themeColor="text1"/>
        </w:rPr>
      </w:r>
    </w:p>
    <w:p>
      <w:pPr>
        <w:pStyle w:val="1021"/>
        <w:rPr>
          <w:rFonts w:hint="eastAsia"/>
          <w:color w:val="000000" w:themeColor="text1"/>
          <w:highlight w:val="none"/>
        </w:rPr>
        <w:sectPr>
          <w:headerReference w:type="default" r:id="rId16"/>
          <w:footerReference w:type="default" r:id="rId25"/>
          <w:footnotePr/>
          <w:endnotePr/>
          <w:type w:val="nextPage"/>
          <w:pgSz w:w="11906" w:h="16838" w:orient="portrait"/>
          <w:pgMar w:top="1440" w:right="1466" w:bottom="1440" w:left="1560" w:header="851" w:footer="992" w:gutter="0"/>
          <w:cols w:num="1" w:sep="0" w:space="1701" w:equalWidth="1"/>
          <w:docGrid w:linePitch="360"/>
        </w:sectPr>
      </w:pPr>
      <w:r>
        <w:rPr>
          <w:rFonts w:hint="eastAsia"/>
          <w:color w:val="000000" w:themeColor="text1"/>
          <w:highlight w:val="none"/>
        </w:rPr>
      </w:r>
      <w:r>
        <w:rPr>
          <w:color w:val="000000" w:themeColor="text1"/>
        </w:rPr>
      </w:r>
    </w:p>
    <w:p>
      <w:pPr>
        <w:pStyle w:val="1230"/>
        <w:ind w:left="0" w:firstLine="0"/>
        <w:jc w:val="center"/>
        <w:tabs>
          <w:tab w:val="left" w:pos="1260" w:leader="none"/>
        </w:tabs>
        <w:rPr>
          <w:rFonts w:hint="eastAsia" w:ascii="宋体" w:hAnsi="宋体" w:cs="宋体"/>
          <w:color w:val="000000" w:themeColor="text1"/>
          <w:highlight w:val="none"/>
        </w:rPr>
      </w:pPr>
      <w:r>
        <w:rPr>
          <w:rFonts w:hint="eastAsia" w:ascii="宋体" w:hAnsi="宋体" w:cs="宋体"/>
          <w:color w:val="000000" w:themeColor="text1"/>
          <w:highlight w:val="none"/>
          <w:lang w:val="en-US" w:eastAsia="zh-CN"/>
        </w:rPr>
        <w:t xml:space="preserve">11</w:t>
      </w:r>
      <w:r>
        <w:rPr>
          <w:rFonts w:hint="eastAsia" w:ascii="宋体" w:hAnsi="宋体" w:cs="宋体"/>
          <w:color w:val="000000" w:themeColor="text1"/>
          <w:highlight w:val="none"/>
        </w:rPr>
        <w:t xml:space="preserve">.投标人基本情况表</w:t>
      </w:r>
      <w:bookmarkEnd w:id="75"/>
      <w:r>
        <w:rPr>
          <w:color w:val="000000" w:themeColor="text1"/>
        </w:rPr>
      </w:r>
      <w:bookmarkEnd w:id="76"/>
      <w:r>
        <w:rPr>
          <w:color w:val="000000" w:themeColor="text1"/>
        </w:rPr>
      </w:r>
      <w:bookmarkEnd w:id="77"/>
      <w:r>
        <w:rPr>
          <w:rFonts w:hint="eastAsia" w:ascii="宋体" w:hAnsi="宋体" w:cs="宋体"/>
          <w:color w:val="000000" w:themeColor="text1"/>
          <w:highlight w:val="none"/>
        </w:rPr>
      </w:r>
      <w:r>
        <w:rPr>
          <w:color w:val="000000" w:themeColor="text1"/>
        </w:rPr>
      </w:r>
    </w:p>
    <w:tbl>
      <w:tblPr>
        <w:tblW w:w="85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6"/>
        <w:gridCol w:w="1092"/>
        <w:gridCol w:w="881"/>
        <w:gridCol w:w="1275"/>
        <w:gridCol w:w="1276"/>
        <w:gridCol w:w="1066"/>
        <w:gridCol w:w="992"/>
      </w:tblGrid>
      <w:tr>
        <w:trPr>
          <w:trHeight w:val="561"/>
        </w:trPr>
        <w:tc>
          <w:tcPr>
            <w:tcW w:w="1986" w:type="dxa"/>
            <w:vAlign w:val="center"/>
            <w:textDirection w:val="lrTb"/>
            <w:noWrap w:val="false"/>
          </w:tcPr>
          <w:p>
            <w:pPr>
              <w:pStyle w:val="1012"/>
              <w:ind w:firstLine="0"/>
              <w:jc w:val="center"/>
              <w:spacing w:line="440" w:lineRule="exact"/>
              <w:widowControl w:val="off"/>
              <w:rPr>
                <w:rFonts w:hint="eastAsia" w:ascii="宋体" w:hAnsi="宋体" w:eastAsia="宋体" w:cs="宋体"/>
                <w:color w:val="000000" w:themeColor="text1"/>
                <w:sz w:val="24"/>
                <w:szCs w:val="21"/>
                <w:highlight w:val="none"/>
              </w:rPr>
            </w:pPr>
            <w:r>
              <w:rPr>
                <w:rFonts w:hint="eastAsia" w:ascii="宋体" w:hAnsi="宋体" w:eastAsia="宋体" w:cs="宋体"/>
                <w:color w:val="000000" w:themeColor="text1"/>
                <w:sz w:val="24"/>
                <w:szCs w:val="21"/>
                <w:highlight w:val="none"/>
                <w:lang w:val="en-US" w:eastAsia="zh-CN" w:bidi="ar-SA"/>
              </w:rPr>
              <w:t xml:space="preserve">投标人名称</w:t>
            </w:r>
            <w:r>
              <w:rPr>
                <w:rFonts w:hint="eastAsia" w:ascii="宋体" w:hAnsi="宋体" w:eastAsia="宋体" w:cs="宋体"/>
                <w:color w:val="000000" w:themeColor="text1"/>
                <w:sz w:val="24"/>
                <w:szCs w:val="21"/>
                <w:highlight w:val="none"/>
                <w:lang w:val="en-US" w:eastAsia="zh-CN" w:bidi="ar-SA"/>
              </w:rPr>
            </w:r>
            <w:r>
              <w:rPr>
                <w:color w:val="000000" w:themeColor="text1"/>
              </w:rPr>
            </w:r>
          </w:p>
        </w:tc>
        <w:tc>
          <w:tcPr>
            <w:gridSpan w:val="6"/>
            <w:tcW w:w="6582" w:type="dxa"/>
            <w:vAlign w:val="center"/>
            <w:textDirection w:val="lrTb"/>
            <w:noWrap w:val="false"/>
          </w:tcPr>
          <w:p>
            <w:pPr>
              <w:pStyle w:val="1012"/>
              <w:ind w:firstLine="0"/>
              <w:jc w:val="center"/>
              <w:spacing w:line="440" w:lineRule="exact"/>
              <w:widowControl w:val="off"/>
              <w:rPr>
                <w:rFonts w:hint="eastAsia" w:ascii="宋体" w:hAnsi="宋体" w:eastAsia="宋体" w:cs="宋体"/>
                <w:color w:val="000000" w:themeColor="text1"/>
                <w:sz w:val="24"/>
                <w:szCs w:val="21"/>
                <w:highlight w:val="none"/>
              </w:rPr>
            </w:pPr>
            <w:r>
              <w:rPr>
                <w:rFonts w:hint="eastAsia" w:ascii="宋体" w:hAnsi="宋体" w:eastAsia="宋体" w:cs="宋体"/>
                <w:color w:val="000000" w:themeColor="text1"/>
                <w:sz w:val="24"/>
                <w:szCs w:val="21"/>
                <w:highlight w:val="none"/>
                <w:lang w:val="en-US" w:eastAsia="zh-CN" w:bidi="ar-SA"/>
              </w:rPr>
            </w:r>
            <w:r>
              <w:rPr>
                <w:color w:val="000000" w:themeColor="text1"/>
              </w:rPr>
            </w:r>
          </w:p>
        </w:tc>
      </w:tr>
      <w:tr>
        <w:trPr>
          <w:trHeight w:val="611"/>
        </w:trPr>
        <w:tc>
          <w:tcPr>
            <w:tcW w:w="1986" w:type="dxa"/>
            <w:vAlign w:val="center"/>
            <w:textDirection w:val="lrTb"/>
            <w:noWrap w:val="false"/>
          </w:tcPr>
          <w:p>
            <w:pPr>
              <w:pStyle w:val="1012"/>
              <w:ind w:firstLine="0"/>
              <w:jc w:val="center"/>
              <w:spacing w:line="440" w:lineRule="exact"/>
              <w:widowControl w:val="off"/>
              <w:rPr>
                <w:rFonts w:hint="eastAsia" w:ascii="宋体" w:hAnsi="宋体" w:eastAsia="宋体" w:cs="宋体"/>
                <w:color w:val="000000" w:themeColor="text1"/>
                <w:sz w:val="24"/>
                <w:szCs w:val="21"/>
                <w:highlight w:val="none"/>
              </w:rPr>
            </w:pPr>
            <w:r>
              <w:rPr>
                <w:rFonts w:hint="eastAsia" w:ascii="宋体" w:hAnsi="宋体" w:eastAsia="宋体" w:cs="宋体"/>
                <w:color w:val="000000" w:themeColor="text1"/>
                <w:sz w:val="24"/>
                <w:szCs w:val="21"/>
                <w:highlight w:val="none"/>
                <w:lang w:val="en-US" w:eastAsia="zh-CN" w:bidi="ar-SA"/>
              </w:rPr>
              <w:t xml:space="preserve">注册地址</w:t>
            </w:r>
            <w:r>
              <w:rPr>
                <w:rFonts w:hint="eastAsia" w:ascii="宋体" w:hAnsi="宋体" w:eastAsia="宋体" w:cs="宋体"/>
                <w:color w:val="000000" w:themeColor="text1"/>
                <w:sz w:val="24"/>
                <w:szCs w:val="21"/>
                <w:highlight w:val="none"/>
                <w:lang w:val="en-US" w:eastAsia="zh-CN" w:bidi="ar-SA"/>
              </w:rPr>
            </w:r>
            <w:r>
              <w:rPr>
                <w:color w:val="000000" w:themeColor="text1"/>
              </w:rPr>
            </w:r>
          </w:p>
        </w:tc>
        <w:tc>
          <w:tcPr>
            <w:gridSpan w:val="3"/>
            <w:tcW w:w="3248" w:type="dxa"/>
            <w:vAlign w:val="center"/>
            <w:textDirection w:val="lrTb"/>
            <w:noWrap w:val="false"/>
          </w:tcPr>
          <w:p>
            <w:pPr>
              <w:pStyle w:val="1012"/>
              <w:ind w:firstLine="0"/>
              <w:jc w:val="center"/>
              <w:spacing w:line="440" w:lineRule="exact"/>
              <w:widowControl w:val="off"/>
              <w:rPr>
                <w:rFonts w:hint="eastAsia" w:ascii="宋体" w:hAnsi="宋体" w:eastAsia="宋体" w:cs="宋体"/>
                <w:color w:val="000000" w:themeColor="text1"/>
                <w:sz w:val="24"/>
                <w:szCs w:val="21"/>
                <w:highlight w:val="none"/>
              </w:rPr>
            </w:pPr>
            <w:r>
              <w:rPr>
                <w:rFonts w:hint="eastAsia" w:ascii="宋体" w:hAnsi="宋体" w:eastAsia="宋体" w:cs="宋体"/>
                <w:color w:val="000000" w:themeColor="text1"/>
                <w:sz w:val="24"/>
                <w:szCs w:val="21"/>
                <w:highlight w:val="none"/>
                <w:lang w:val="en-US" w:eastAsia="zh-CN" w:bidi="ar-SA"/>
              </w:rPr>
            </w:r>
            <w:r>
              <w:rPr>
                <w:color w:val="000000" w:themeColor="text1"/>
              </w:rPr>
            </w:r>
          </w:p>
        </w:tc>
        <w:tc>
          <w:tcPr>
            <w:tcW w:w="1276" w:type="dxa"/>
            <w:vAlign w:val="center"/>
            <w:textDirection w:val="lrTb"/>
            <w:noWrap w:val="false"/>
          </w:tcPr>
          <w:p>
            <w:pPr>
              <w:pStyle w:val="1012"/>
              <w:ind w:firstLine="0"/>
              <w:jc w:val="center"/>
              <w:spacing w:line="440" w:lineRule="exact"/>
              <w:widowControl w:val="off"/>
              <w:rPr>
                <w:rFonts w:hint="eastAsia" w:ascii="宋体" w:hAnsi="宋体" w:eastAsia="宋体" w:cs="宋体"/>
                <w:color w:val="000000" w:themeColor="text1"/>
                <w:sz w:val="24"/>
                <w:szCs w:val="21"/>
                <w:highlight w:val="none"/>
              </w:rPr>
            </w:pPr>
            <w:r>
              <w:rPr>
                <w:rFonts w:hint="eastAsia" w:ascii="宋体" w:hAnsi="宋体" w:eastAsia="宋体" w:cs="宋体"/>
                <w:color w:val="000000" w:themeColor="text1"/>
                <w:sz w:val="24"/>
                <w:szCs w:val="21"/>
                <w:highlight w:val="none"/>
                <w:lang w:val="en-US" w:eastAsia="zh-CN" w:bidi="ar-SA"/>
              </w:rPr>
              <w:t xml:space="preserve">邮政编码</w:t>
            </w:r>
            <w:r>
              <w:rPr>
                <w:rFonts w:hint="eastAsia" w:ascii="宋体" w:hAnsi="宋体" w:eastAsia="宋体" w:cs="宋体"/>
                <w:color w:val="000000" w:themeColor="text1"/>
                <w:sz w:val="24"/>
                <w:szCs w:val="21"/>
                <w:highlight w:val="none"/>
                <w:lang w:val="en-US" w:eastAsia="zh-CN" w:bidi="ar-SA"/>
              </w:rPr>
            </w:r>
            <w:r>
              <w:rPr>
                <w:color w:val="000000" w:themeColor="text1"/>
              </w:rPr>
            </w:r>
          </w:p>
        </w:tc>
        <w:tc>
          <w:tcPr>
            <w:gridSpan w:val="2"/>
            <w:tcW w:w="2058" w:type="dxa"/>
            <w:vAlign w:val="center"/>
            <w:textDirection w:val="lrTb"/>
            <w:noWrap w:val="false"/>
          </w:tcPr>
          <w:p>
            <w:pPr>
              <w:pStyle w:val="1012"/>
              <w:ind w:firstLine="0"/>
              <w:jc w:val="center"/>
              <w:spacing w:line="440" w:lineRule="exact"/>
              <w:widowControl w:val="off"/>
              <w:rPr>
                <w:rFonts w:hint="eastAsia" w:ascii="宋体" w:hAnsi="宋体" w:eastAsia="宋体" w:cs="宋体"/>
                <w:color w:val="000000" w:themeColor="text1"/>
                <w:sz w:val="24"/>
                <w:szCs w:val="21"/>
                <w:highlight w:val="none"/>
              </w:rPr>
            </w:pPr>
            <w:r>
              <w:rPr>
                <w:rFonts w:hint="eastAsia" w:ascii="宋体" w:hAnsi="宋体" w:eastAsia="宋体" w:cs="宋体"/>
                <w:color w:val="000000" w:themeColor="text1"/>
                <w:sz w:val="24"/>
                <w:szCs w:val="21"/>
                <w:highlight w:val="none"/>
                <w:lang w:val="en-US" w:eastAsia="zh-CN" w:bidi="ar-SA"/>
              </w:rPr>
            </w:r>
            <w:r>
              <w:rPr>
                <w:color w:val="000000" w:themeColor="text1"/>
              </w:rPr>
            </w:r>
          </w:p>
        </w:tc>
      </w:tr>
      <w:tr>
        <w:trPr>
          <w:cantSplit/>
          <w:trHeight w:val="605"/>
        </w:trPr>
        <w:tc>
          <w:tcPr>
            <w:tcW w:w="1986" w:type="dxa"/>
            <w:vAlign w:val="center"/>
            <w:vMerge w:val="restart"/>
            <w:textDirection w:val="lrTb"/>
            <w:noWrap w:val="false"/>
          </w:tcPr>
          <w:p>
            <w:pPr>
              <w:pStyle w:val="1012"/>
              <w:ind w:firstLine="0"/>
              <w:jc w:val="center"/>
              <w:spacing w:line="440" w:lineRule="exact"/>
              <w:widowControl w:val="off"/>
              <w:rPr>
                <w:rFonts w:hint="eastAsia" w:ascii="宋体" w:hAnsi="宋体" w:eastAsia="宋体" w:cs="宋体"/>
                <w:color w:val="000000" w:themeColor="text1"/>
                <w:sz w:val="24"/>
                <w:szCs w:val="21"/>
                <w:highlight w:val="none"/>
              </w:rPr>
            </w:pPr>
            <w:r>
              <w:rPr>
                <w:rFonts w:hint="eastAsia" w:ascii="宋体" w:hAnsi="宋体" w:eastAsia="宋体" w:cs="宋体"/>
                <w:color w:val="000000" w:themeColor="text1"/>
                <w:sz w:val="24"/>
                <w:szCs w:val="21"/>
                <w:highlight w:val="none"/>
                <w:lang w:val="en-US" w:eastAsia="zh-CN" w:bidi="ar-SA"/>
              </w:rPr>
              <w:t xml:space="preserve">联系方式</w:t>
            </w:r>
            <w:r>
              <w:rPr>
                <w:rFonts w:hint="eastAsia" w:ascii="宋体" w:hAnsi="宋体" w:eastAsia="宋体" w:cs="宋体"/>
                <w:color w:val="000000" w:themeColor="text1"/>
                <w:sz w:val="24"/>
                <w:szCs w:val="21"/>
                <w:highlight w:val="none"/>
                <w:lang w:val="en-US" w:eastAsia="zh-CN" w:bidi="ar-SA"/>
              </w:rPr>
            </w:r>
            <w:r>
              <w:rPr>
                <w:color w:val="000000" w:themeColor="text1"/>
              </w:rPr>
            </w:r>
          </w:p>
        </w:tc>
        <w:tc>
          <w:tcPr>
            <w:tcW w:w="1092" w:type="dxa"/>
            <w:vAlign w:val="center"/>
            <w:textDirection w:val="lrTb"/>
            <w:noWrap w:val="false"/>
          </w:tcPr>
          <w:p>
            <w:pPr>
              <w:pStyle w:val="1012"/>
              <w:ind w:firstLine="0"/>
              <w:jc w:val="center"/>
              <w:spacing w:line="440" w:lineRule="exact"/>
              <w:widowControl w:val="off"/>
              <w:rPr>
                <w:rFonts w:hint="eastAsia" w:ascii="宋体" w:hAnsi="宋体" w:eastAsia="宋体" w:cs="宋体"/>
                <w:color w:val="000000" w:themeColor="text1"/>
                <w:sz w:val="24"/>
                <w:szCs w:val="21"/>
                <w:highlight w:val="none"/>
              </w:rPr>
            </w:pPr>
            <w:r>
              <w:rPr>
                <w:rFonts w:hint="eastAsia" w:ascii="宋体" w:hAnsi="宋体" w:eastAsia="宋体" w:cs="宋体"/>
                <w:color w:val="000000" w:themeColor="text1"/>
                <w:sz w:val="24"/>
                <w:szCs w:val="21"/>
                <w:highlight w:val="none"/>
                <w:lang w:val="en-US" w:eastAsia="zh-CN" w:bidi="ar-SA"/>
              </w:rPr>
              <w:t xml:space="preserve">联系人</w:t>
            </w:r>
            <w:r>
              <w:rPr>
                <w:rFonts w:hint="eastAsia" w:ascii="宋体" w:hAnsi="宋体" w:eastAsia="宋体" w:cs="宋体"/>
                <w:color w:val="000000" w:themeColor="text1"/>
                <w:sz w:val="24"/>
                <w:szCs w:val="21"/>
                <w:highlight w:val="none"/>
                <w:lang w:val="en-US" w:eastAsia="zh-CN" w:bidi="ar-SA"/>
              </w:rPr>
            </w:r>
            <w:r>
              <w:rPr>
                <w:color w:val="000000" w:themeColor="text1"/>
              </w:rPr>
            </w:r>
          </w:p>
        </w:tc>
        <w:tc>
          <w:tcPr>
            <w:gridSpan w:val="2"/>
            <w:tcW w:w="2156" w:type="dxa"/>
            <w:vAlign w:val="center"/>
            <w:textDirection w:val="lrTb"/>
            <w:noWrap w:val="false"/>
          </w:tcPr>
          <w:p>
            <w:pPr>
              <w:pStyle w:val="1012"/>
              <w:ind w:firstLine="0"/>
              <w:jc w:val="center"/>
              <w:spacing w:line="440" w:lineRule="exact"/>
              <w:widowControl w:val="off"/>
              <w:rPr>
                <w:rFonts w:hint="eastAsia" w:ascii="宋体" w:hAnsi="宋体" w:eastAsia="宋体" w:cs="宋体"/>
                <w:color w:val="000000" w:themeColor="text1"/>
                <w:sz w:val="24"/>
                <w:szCs w:val="21"/>
                <w:highlight w:val="none"/>
              </w:rPr>
            </w:pPr>
            <w:r>
              <w:rPr>
                <w:rFonts w:hint="eastAsia" w:ascii="宋体" w:hAnsi="宋体" w:eastAsia="宋体" w:cs="宋体"/>
                <w:color w:val="000000" w:themeColor="text1"/>
                <w:sz w:val="24"/>
                <w:szCs w:val="21"/>
                <w:highlight w:val="none"/>
                <w:lang w:val="en-US" w:eastAsia="zh-CN" w:bidi="ar-SA"/>
              </w:rPr>
            </w:r>
            <w:r>
              <w:rPr>
                <w:color w:val="000000" w:themeColor="text1"/>
              </w:rPr>
            </w:r>
          </w:p>
        </w:tc>
        <w:tc>
          <w:tcPr>
            <w:tcW w:w="1276" w:type="dxa"/>
            <w:vAlign w:val="center"/>
            <w:textDirection w:val="lrTb"/>
            <w:noWrap w:val="false"/>
          </w:tcPr>
          <w:p>
            <w:pPr>
              <w:pStyle w:val="1012"/>
              <w:ind w:firstLine="0"/>
              <w:jc w:val="center"/>
              <w:spacing w:line="440" w:lineRule="exact"/>
              <w:widowControl w:val="off"/>
              <w:rPr>
                <w:rFonts w:hint="eastAsia" w:ascii="宋体" w:hAnsi="宋体" w:eastAsia="宋体" w:cs="宋体"/>
                <w:color w:val="000000" w:themeColor="text1"/>
                <w:sz w:val="24"/>
                <w:szCs w:val="21"/>
                <w:highlight w:val="none"/>
              </w:rPr>
            </w:pPr>
            <w:r>
              <w:rPr>
                <w:rFonts w:hint="eastAsia" w:ascii="宋体" w:hAnsi="宋体" w:eastAsia="宋体" w:cs="宋体"/>
                <w:color w:val="000000" w:themeColor="text1"/>
                <w:sz w:val="24"/>
                <w:szCs w:val="21"/>
                <w:highlight w:val="none"/>
                <w:lang w:val="en-US" w:eastAsia="zh-CN" w:bidi="ar-SA"/>
              </w:rPr>
              <w:t xml:space="preserve">电　话</w:t>
            </w:r>
            <w:r>
              <w:rPr>
                <w:rFonts w:hint="eastAsia" w:ascii="宋体" w:hAnsi="宋体" w:eastAsia="宋体" w:cs="宋体"/>
                <w:color w:val="000000" w:themeColor="text1"/>
                <w:sz w:val="24"/>
                <w:szCs w:val="21"/>
                <w:highlight w:val="none"/>
                <w:lang w:val="en-US" w:eastAsia="zh-CN" w:bidi="ar-SA"/>
              </w:rPr>
            </w:r>
            <w:r>
              <w:rPr>
                <w:color w:val="000000" w:themeColor="text1"/>
              </w:rPr>
            </w:r>
          </w:p>
        </w:tc>
        <w:tc>
          <w:tcPr>
            <w:gridSpan w:val="2"/>
            <w:tcW w:w="2058" w:type="dxa"/>
            <w:vAlign w:val="center"/>
            <w:textDirection w:val="lrTb"/>
            <w:noWrap w:val="false"/>
          </w:tcPr>
          <w:p>
            <w:pPr>
              <w:pStyle w:val="1012"/>
              <w:ind w:firstLine="0"/>
              <w:jc w:val="center"/>
              <w:spacing w:line="440" w:lineRule="exact"/>
              <w:widowControl w:val="off"/>
              <w:rPr>
                <w:rFonts w:hint="eastAsia" w:ascii="宋体" w:hAnsi="宋体" w:eastAsia="宋体" w:cs="宋体"/>
                <w:color w:val="000000" w:themeColor="text1"/>
                <w:sz w:val="24"/>
                <w:szCs w:val="21"/>
                <w:highlight w:val="none"/>
              </w:rPr>
            </w:pPr>
            <w:r>
              <w:rPr>
                <w:rFonts w:hint="eastAsia" w:ascii="宋体" w:hAnsi="宋体" w:eastAsia="宋体" w:cs="宋体"/>
                <w:color w:val="000000" w:themeColor="text1"/>
                <w:sz w:val="24"/>
                <w:szCs w:val="21"/>
                <w:highlight w:val="none"/>
                <w:lang w:val="en-US" w:eastAsia="zh-CN" w:bidi="ar-SA"/>
              </w:rPr>
            </w:r>
            <w:r>
              <w:rPr>
                <w:color w:val="000000" w:themeColor="text1"/>
              </w:rPr>
            </w:r>
          </w:p>
        </w:tc>
      </w:tr>
      <w:tr>
        <w:trPr>
          <w:cantSplit/>
          <w:trHeight w:val="613"/>
        </w:trPr>
        <w:tc>
          <w:tcPr>
            <w:tcW w:w="1986" w:type="dxa"/>
            <w:vAlign w:val="center"/>
            <w:vMerge w:val="continue"/>
            <w:textDirection w:val="lrTb"/>
            <w:noWrap w:val="false"/>
          </w:tcPr>
          <w:p>
            <w:pPr>
              <w:pStyle w:val="1012"/>
              <w:ind w:firstLine="0"/>
              <w:jc w:val="center"/>
              <w:spacing w:line="27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92" w:type="dxa"/>
            <w:vAlign w:val="center"/>
            <w:textDirection w:val="lrTb"/>
            <w:noWrap w:val="false"/>
          </w:tcPr>
          <w:p>
            <w:pPr>
              <w:pStyle w:val="1012"/>
              <w:ind w:firstLine="0"/>
              <w:jc w:val="center"/>
              <w:spacing w:line="440" w:lineRule="exact"/>
              <w:widowControl w:val="off"/>
              <w:rPr>
                <w:rFonts w:hint="eastAsia" w:ascii="宋体" w:hAnsi="宋体" w:eastAsia="宋体" w:cs="宋体"/>
                <w:color w:val="000000" w:themeColor="text1"/>
                <w:sz w:val="24"/>
                <w:szCs w:val="21"/>
                <w:highlight w:val="none"/>
              </w:rPr>
            </w:pPr>
            <w:r>
              <w:rPr>
                <w:rFonts w:hint="eastAsia" w:ascii="宋体" w:hAnsi="宋体" w:eastAsia="宋体" w:cs="宋体"/>
                <w:color w:val="000000" w:themeColor="text1"/>
                <w:sz w:val="24"/>
                <w:szCs w:val="21"/>
                <w:highlight w:val="none"/>
                <w:lang w:val="en-US" w:eastAsia="zh-CN" w:bidi="ar-SA"/>
              </w:rPr>
              <w:t xml:space="preserve">传  真</w:t>
            </w:r>
            <w:r>
              <w:rPr>
                <w:rFonts w:hint="eastAsia" w:ascii="宋体" w:hAnsi="宋体" w:eastAsia="宋体" w:cs="宋体"/>
                <w:color w:val="000000" w:themeColor="text1"/>
                <w:sz w:val="24"/>
                <w:szCs w:val="21"/>
                <w:highlight w:val="none"/>
                <w:lang w:val="en-US" w:eastAsia="zh-CN" w:bidi="ar-SA"/>
              </w:rPr>
            </w:r>
            <w:r>
              <w:rPr>
                <w:color w:val="000000" w:themeColor="text1"/>
              </w:rPr>
            </w:r>
          </w:p>
        </w:tc>
        <w:tc>
          <w:tcPr>
            <w:gridSpan w:val="2"/>
            <w:tcW w:w="2156" w:type="dxa"/>
            <w:vAlign w:val="center"/>
            <w:textDirection w:val="lrTb"/>
            <w:noWrap w:val="false"/>
          </w:tcPr>
          <w:p>
            <w:pPr>
              <w:pStyle w:val="1012"/>
              <w:ind w:firstLine="0"/>
              <w:jc w:val="center"/>
              <w:spacing w:line="440" w:lineRule="exact"/>
              <w:widowControl w:val="off"/>
              <w:rPr>
                <w:rFonts w:hint="eastAsia" w:ascii="宋体" w:hAnsi="宋体" w:eastAsia="宋体" w:cs="宋体"/>
                <w:color w:val="000000" w:themeColor="text1"/>
                <w:sz w:val="24"/>
                <w:szCs w:val="21"/>
                <w:highlight w:val="none"/>
              </w:rPr>
            </w:pPr>
            <w:r>
              <w:rPr>
                <w:rFonts w:hint="eastAsia" w:ascii="宋体" w:hAnsi="宋体" w:eastAsia="宋体" w:cs="宋体"/>
                <w:color w:val="000000" w:themeColor="text1"/>
                <w:sz w:val="24"/>
                <w:szCs w:val="21"/>
                <w:highlight w:val="none"/>
                <w:lang w:val="en-US" w:eastAsia="zh-CN" w:bidi="ar-SA"/>
              </w:rPr>
            </w:r>
            <w:r>
              <w:rPr>
                <w:color w:val="000000" w:themeColor="text1"/>
              </w:rPr>
            </w:r>
          </w:p>
        </w:tc>
        <w:tc>
          <w:tcPr>
            <w:tcW w:w="1276" w:type="dxa"/>
            <w:vAlign w:val="center"/>
            <w:textDirection w:val="lrTb"/>
            <w:noWrap w:val="false"/>
          </w:tcPr>
          <w:p>
            <w:pPr>
              <w:pStyle w:val="1012"/>
              <w:ind w:firstLine="0"/>
              <w:jc w:val="center"/>
              <w:spacing w:line="440" w:lineRule="exact"/>
              <w:widowControl w:val="off"/>
              <w:rPr>
                <w:rFonts w:hint="eastAsia" w:ascii="宋体" w:hAnsi="宋体" w:eastAsia="宋体" w:cs="宋体"/>
                <w:color w:val="000000" w:themeColor="text1"/>
                <w:sz w:val="24"/>
                <w:szCs w:val="21"/>
                <w:highlight w:val="none"/>
              </w:rPr>
            </w:pPr>
            <w:r>
              <w:rPr>
                <w:rFonts w:hint="eastAsia" w:ascii="宋体" w:hAnsi="宋体" w:eastAsia="宋体" w:cs="宋体"/>
                <w:color w:val="000000" w:themeColor="text1"/>
                <w:sz w:val="24"/>
                <w:szCs w:val="21"/>
                <w:highlight w:val="none"/>
                <w:lang w:val="en-US" w:eastAsia="zh-CN" w:bidi="ar-SA"/>
              </w:rPr>
              <w:t xml:space="preserve">邮　箱</w:t>
            </w:r>
            <w:r>
              <w:rPr>
                <w:rFonts w:hint="eastAsia" w:ascii="宋体" w:hAnsi="宋体" w:eastAsia="宋体" w:cs="宋体"/>
                <w:color w:val="000000" w:themeColor="text1"/>
                <w:sz w:val="24"/>
                <w:szCs w:val="21"/>
                <w:highlight w:val="none"/>
                <w:lang w:val="en-US" w:eastAsia="zh-CN" w:bidi="ar-SA"/>
              </w:rPr>
            </w:r>
            <w:r>
              <w:rPr>
                <w:color w:val="000000" w:themeColor="text1"/>
              </w:rPr>
            </w:r>
          </w:p>
        </w:tc>
        <w:tc>
          <w:tcPr>
            <w:gridSpan w:val="2"/>
            <w:tcW w:w="2058" w:type="dxa"/>
            <w:vAlign w:val="center"/>
            <w:textDirection w:val="lrTb"/>
            <w:noWrap w:val="false"/>
          </w:tcPr>
          <w:p>
            <w:pPr>
              <w:pStyle w:val="1012"/>
              <w:ind w:firstLine="0"/>
              <w:jc w:val="center"/>
              <w:spacing w:line="440" w:lineRule="exact"/>
              <w:widowControl w:val="off"/>
              <w:rPr>
                <w:rFonts w:hint="eastAsia" w:ascii="宋体" w:hAnsi="宋体" w:eastAsia="宋体" w:cs="宋体"/>
                <w:color w:val="000000" w:themeColor="text1"/>
                <w:sz w:val="24"/>
                <w:szCs w:val="21"/>
                <w:highlight w:val="none"/>
              </w:rPr>
            </w:pPr>
            <w:r>
              <w:rPr>
                <w:rFonts w:hint="eastAsia" w:ascii="宋体" w:hAnsi="宋体" w:eastAsia="宋体" w:cs="宋体"/>
                <w:color w:val="000000" w:themeColor="text1"/>
                <w:sz w:val="24"/>
                <w:szCs w:val="21"/>
                <w:highlight w:val="none"/>
                <w:lang w:val="en-US" w:eastAsia="zh-CN" w:bidi="ar-SA"/>
              </w:rPr>
            </w:r>
            <w:r>
              <w:rPr>
                <w:color w:val="000000" w:themeColor="text1"/>
              </w:rPr>
            </w:r>
          </w:p>
        </w:tc>
      </w:tr>
      <w:tr>
        <w:trPr>
          <w:trHeight w:val="608"/>
        </w:trPr>
        <w:tc>
          <w:tcPr>
            <w:tcW w:w="1986" w:type="dxa"/>
            <w:vAlign w:val="center"/>
            <w:textDirection w:val="lrTb"/>
            <w:noWrap w:val="false"/>
          </w:tcPr>
          <w:p>
            <w:pPr>
              <w:pStyle w:val="1012"/>
              <w:ind w:firstLine="0"/>
              <w:jc w:val="center"/>
              <w:spacing w:line="440" w:lineRule="exact"/>
              <w:widowControl w:val="off"/>
              <w:rPr>
                <w:rFonts w:hint="eastAsia" w:ascii="宋体" w:hAnsi="宋体" w:eastAsia="宋体" w:cs="宋体"/>
                <w:color w:val="000000" w:themeColor="text1"/>
                <w:sz w:val="24"/>
                <w:szCs w:val="21"/>
                <w:highlight w:val="none"/>
              </w:rPr>
            </w:pPr>
            <w:r>
              <w:rPr>
                <w:rFonts w:hint="eastAsia" w:ascii="宋体" w:hAnsi="宋体" w:eastAsia="宋体" w:cs="宋体"/>
                <w:color w:val="000000" w:themeColor="text1"/>
                <w:sz w:val="24"/>
                <w:szCs w:val="21"/>
                <w:highlight w:val="none"/>
                <w:lang w:val="en-US" w:eastAsia="zh-CN" w:bidi="ar-SA"/>
              </w:rPr>
              <w:t xml:space="preserve">法定代表人</w:t>
            </w:r>
            <w:r>
              <w:rPr>
                <w:rFonts w:hint="eastAsia" w:ascii="宋体" w:hAnsi="宋体" w:eastAsia="宋体" w:cs="宋体"/>
                <w:color w:val="000000" w:themeColor="text1"/>
                <w:sz w:val="24"/>
                <w:szCs w:val="21"/>
                <w:highlight w:val="none"/>
                <w:lang w:val="en-US" w:eastAsia="zh-CN" w:bidi="ar-SA"/>
              </w:rPr>
            </w:r>
            <w:r>
              <w:rPr>
                <w:color w:val="000000" w:themeColor="text1"/>
              </w:rPr>
            </w:r>
          </w:p>
        </w:tc>
        <w:tc>
          <w:tcPr>
            <w:tcW w:w="1092" w:type="dxa"/>
            <w:vAlign w:val="center"/>
            <w:textDirection w:val="lrTb"/>
            <w:noWrap w:val="false"/>
          </w:tcPr>
          <w:p>
            <w:pPr>
              <w:pStyle w:val="1012"/>
              <w:ind w:firstLine="0"/>
              <w:jc w:val="center"/>
              <w:spacing w:line="440" w:lineRule="exact"/>
              <w:widowControl w:val="off"/>
              <w:rPr>
                <w:rFonts w:hint="eastAsia" w:ascii="宋体" w:hAnsi="宋体" w:eastAsia="宋体" w:cs="宋体"/>
                <w:color w:val="000000" w:themeColor="text1"/>
                <w:sz w:val="24"/>
                <w:szCs w:val="21"/>
                <w:highlight w:val="none"/>
              </w:rPr>
            </w:pPr>
            <w:r>
              <w:rPr>
                <w:rFonts w:hint="eastAsia" w:ascii="宋体" w:hAnsi="宋体" w:eastAsia="宋体" w:cs="宋体"/>
                <w:color w:val="000000" w:themeColor="text1"/>
                <w:sz w:val="24"/>
                <w:szCs w:val="21"/>
                <w:highlight w:val="none"/>
                <w:lang w:val="en-US" w:eastAsia="zh-CN" w:bidi="ar-SA"/>
              </w:rPr>
              <w:t xml:space="preserve">姓　名</w:t>
            </w:r>
            <w:r>
              <w:rPr>
                <w:rFonts w:hint="eastAsia" w:ascii="宋体" w:hAnsi="宋体" w:eastAsia="宋体" w:cs="宋体"/>
                <w:color w:val="000000" w:themeColor="text1"/>
                <w:sz w:val="24"/>
                <w:szCs w:val="21"/>
                <w:highlight w:val="none"/>
                <w:lang w:val="en-US" w:eastAsia="zh-CN" w:bidi="ar-SA"/>
              </w:rPr>
            </w:r>
            <w:r>
              <w:rPr>
                <w:color w:val="000000" w:themeColor="text1"/>
              </w:rPr>
            </w:r>
          </w:p>
        </w:tc>
        <w:tc>
          <w:tcPr>
            <w:tcW w:w="881" w:type="dxa"/>
            <w:vAlign w:val="center"/>
            <w:textDirection w:val="lrTb"/>
            <w:noWrap w:val="false"/>
          </w:tcPr>
          <w:p>
            <w:pPr>
              <w:pStyle w:val="1012"/>
              <w:ind w:firstLine="0"/>
              <w:jc w:val="center"/>
              <w:spacing w:line="440" w:lineRule="exact"/>
              <w:widowControl w:val="off"/>
              <w:rPr>
                <w:rFonts w:hint="eastAsia" w:ascii="宋体" w:hAnsi="宋体" w:eastAsia="宋体" w:cs="宋体"/>
                <w:color w:val="000000" w:themeColor="text1"/>
                <w:sz w:val="24"/>
                <w:szCs w:val="21"/>
                <w:highlight w:val="none"/>
              </w:rPr>
            </w:pPr>
            <w:r>
              <w:rPr>
                <w:rFonts w:hint="eastAsia" w:ascii="宋体" w:hAnsi="宋体" w:eastAsia="宋体" w:cs="宋体"/>
                <w:color w:val="000000" w:themeColor="text1"/>
                <w:sz w:val="24"/>
                <w:szCs w:val="21"/>
                <w:highlight w:val="none"/>
                <w:lang w:val="en-US" w:eastAsia="zh-CN" w:bidi="ar-SA"/>
              </w:rPr>
            </w:r>
            <w:r>
              <w:rPr>
                <w:color w:val="000000" w:themeColor="text1"/>
              </w:rPr>
            </w:r>
          </w:p>
        </w:tc>
        <w:tc>
          <w:tcPr>
            <w:tcW w:w="1275" w:type="dxa"/>
            <w:vAlign w:val="center"/>
            <w:textDirection w:val="lrTb"/>
            <w:noWrap w:val="false"/>
          </w:tcPr>
          <w:p>
            <w:pPr>
              <w:pStyle w:val="1012"/>
              <w:ind w:firstLine="0"/>
              <w:jc w:val="center"/>
              <w:spacing w:line="440" w:lineRule="exact"/>
              <w:widowControl w:val="off"/>
              <w:rPr>
                <w:rFonts w:hint="eastAsia" w:ascii="宋体" w:hAnsi="宋体" w:eastAsia="宋体" w:cs="宋体"/>
                <w:color w:val="000000" w:themeColor="text1"/>
                <w:sz w:val="24"/>
                <w:szCs w:val="21"/>
                <w:highlight w:val="none"/>
              </w:rPr>
            </w:pPr>
            <w:r>
              <w:rPr>
                <w:rFonts w:hint="eastAsia" w:ascii="宋体" w:hAnsi="宋体" w:eastAsia="宋体" w:cs="宋体"/>
                <w:color w:val="000000" w:themeColor="text1"/>
                <w:sz w:val="24"/>
                <w:szCs w:val="21"/>
                <w:highlight w:val="none"/>
                <w:lang w:val="en-US" w:eastAsia="zh-CN" w:bidi="ar-SA"/>
              </w:rPr>
              <w:t xml:space="preserve">技术职称</w:t>
            </w:r>
            <w:r>
              <w:rPr>
                <w:rFonts w:hint="eastAsia" w:ascii="宋体" w:hAnsi="宋体" w:eastAsia="宋体" w:cs="宋体"/>
                <w:color w:val="000000" w:themeColor="text1"/>
                <w:sz w:val="24"/>
                <w:szCs w:val="21"/>
                <w:highlight w:val="none"/>
                <w:lang w:val="en-US" w:eastAsia="zh-CN" w:bidi="ar-SA"/>
              </w:rPr>
            </w:r>
            <w:r>
              <w:rPr>
                <w:color w:val="000000" w:themeColor="text1"/>
              </w:rPr>
            </w:r>
          </w:p>
        </w:tc>
        <w:tc>
          <w:tcPr>
            <w:tcW w:w="1276" w:type="dxa"/>
            <w:vAlign w:val="center"/>
            <w:textDirection w:val="lrTb"/>
            <w:noWrap w:val="false"/>
          </w:tcPr>
          <w:p>
            <w:pPr>
              <w:pStyle w:val="1012"/>
              <w:ind w:firstLine="0"/>
              <w:jc w:val="center"/>
              <w:spacing w:line="440" w:lineRule="exact"/>
              <w:widowControl w:val="off"/>
              <w:rPr>
                <w:rFonts w:hint="eastAsia" w:ascii="宋体" w:hAnsi="宋体" w:eastAsia="宋体" w:cs="宋体"/>
                <w:color w:val="000000" w:themeColor="text1"/>
                <w:sz w:val="24"/>
                <w:szCs w:val="21"/>
                <w:highlight w:val="none"/>
              </w:rPr>
            </w:pPr>
            <w:r>
              <w:rPr>
                <w:rFonts w:hint="eastAsia" w:ascii="宋体" w:hAnsi="宋体" w:eastAsia="宋体" w:cs="宋体"/>
                <w:color w:val="000000" w:themeColor="text1"/>
                <w:sz w:val="24"/>
                <w:szCs w:val="21"/>
                <w:highlight w:val="none"/>
                <w:lang w:val="en-US" w:eastAsia="zh-CN" w:bidi="ar-SA"/>
              </w:rPr>
            </w:r>
            <w:r>
              <w:rPr>
                <w:color w:val="000000" w:themeColor="text1"/>
              </w:rPr>
            </w:r>
          </w:p>
        </w:tc>
        <w:tc>
          <w:tcPr>
            <w:tcW w:w="1066" w:type="dxa"/>
            <w:vAlign w:val="center"/>
            <w:textDirection w:val="lrTb"/>
            <w:noWrap w:val="false"/>
          </w:tcPr>
          <w:p>
            <w:pPr>
              <w:pStyle w:val="1012"/>
              <w:ind w:firstLine="0"/>
              <w:jc w:val="center"/>
              <w:spacing w:line="440" w:lineRule="exact"/>
              <w:widowControl w:val="off"/>
              <w:rPr>
                <w:rFonts w:hint="eastAsia" w:ascii="宋体" w:hAnsi="宋体" w:eastAsia="宋体" w:cs="宋体"/>
                <w:color w:val="000000" w:themeColor="text1"/>
                <w:sz w:val="24"/>
                <w:szCs w:val="21"/>
                <w:highlight w:val="none"/>
              </w:rPr>
            </w:pPr>
            <w:r>
              <w:rPr>
                <w:rFonts w:hint="eastAsia" w:ascii="宋体" w:hAnsi="宋体" w:eastAsia="宋体" w:cs="宋体"/>
                <w:color w:val="000000" w:themeColor="text1"/>
                <w:sz w:val="24"/>
                <w:szCs w:val="21"/>
                <w:highlight w:val="none"/>
                <w:lang w:val="en-US" w:eastAsia="zh-CN" w:bidi="ar-SA"/>
              </w:rPr>
              <w:t xml:space="preserve">电　话</w:t>
            </w:r>
            <w:r>
              <w:rPr>
                <w:rFonts w:hint="eastAsia" w:ascii="宋体" w:hAnsi="宋体" w:eastAsia="宋体" w:cs="宋体"/>
                <w:color w:val="000000" w:themeColor="text1"/>
                <w:sz w:val="24"/>
                <w:szCs w:val="21"/>
                <w:highlight w:val="none"/>
                <w:lang w:val="en-US" w:eastAsia="zh-CN" w:bidi="ar-SA"/>
              </w:rPr>
            </w:r>
            <w:r>
              <w:rPr>
                <w:color w:val="000000" w:themeColor="text1"/>
              </w:rPr>
            </w:r>
          </w:p>
        </w:tc>
        <w:tc>
          <w:tcPr>
            <w:tcW w:w="992" w:type="dxa"/>
            <w:vAlign w:val="center"/>
            <w:textDirection w:val="lrTb"/>
            <w:noWrap w:val="false"/>
          </w:tcPr>
          <w:p>
            <w:pPr>
              <w:pStyle w:val="1012"/>
              <w:ind w:firstLine="0"/>
              <w:jc w:val="center"/>
              <w:spacing w:line="440" w:lineRule="exact"/>
              <w:widowControl w:val="off"/>
              <w:rPr>
                <w:rFonts w:hint="eastAsia" w:ascii="宋体" w:hAnsi="宋体" w:eastAsia="宋体" w:cs="宋体"/>
                <w:color w:val="000000" w:themeColor="text1"/>
                <w:sz w:val="24"/>
                <w:szCs w:val="21"/>
                <w:highlight w:val="none"/>
              </w:rPr>
            </w:pPr>
            <w:r>
              <w:rPr>
                <w:rFonts w:hint="eastAsia" w:ascii="宋体" w:hAnsi="宋体" w:eastAsia="宋体" w:cs="宋体"/>
                <w:color w:val="000000" w:themeColor="text1"/>
                <w:sz w:val="24"/>
                <w:szCs w:val="21"/>
                <w:highlight w:val="none"/>
                <w:lang w:val="en-US" w:eastAsia="zh-CN" w:bidi="ar-SA"/>
              </w:rPr>
            </w:r>
            <w:r>
              <w:rPr>
                <w:color w:val="000000" w:themeColor="text1"/>
              </w:rPr>
            </w:r>
          </w:p>
        </w:tc>
      </w:tr>
      <w:tr>
        <w:trPr>
          <w:trHeight w:val="602"/>
        </w:trPr>
        <w:tc>
          <w:tcPr>
            <w:tcW w:w="1986" w:type="dxa"/>
            <w:vAlign w:val="center"/>
            <w:textDirection w:val="lrTb"/>
            <w:noWrap w:val="false"/>
          </w:tcPr>
          <w:p>
            <w:pPr>
              <w:pStyle w:val="1012"/>
              <w:ind w:firstLine="0"/>
              <w:jc w:val="center"/>
              <w:spacing w:line="440" w:lineRule="exact"/>
              <w:widowControl w:val="off"/>
              <w:rPr>
                <w:rFonts w:hint="eastAsia" w:ascii="宋体" w:hAnsi="宋体" w:eastAsia="宋体" w:cs="宋体"/>
                <w:color w:val="000000" w:themeColor="text1"/>
                <w:sz w:val="24"/>
                <w:szCs w:val="21"/>
                <w:highlight w:val="none"/>
              </w:rPr>
            </w:pPr>
            <w:r>
              <w:rPr>
                <w:rFonts w:hint="eastAsia" w:ascii="宋体" w:hAnsi="宋体" w:eastAsia="宋体" w:cs="宋体"/>
                <w:color w:val="000000" w:themeColor="text1"/>
                <w:sz w:val="24"/>
                <w:szCs w:val="21"/>
                <w:highlight w:val="none"/>
                <w:lang w:val="en-US" w:eastAsia="zh-CN" w:bidi="ar-SA"/>
              </w:rPr>
              <w:t xml:space="preserve">技术负责人</w:t>
            </w:r>
            <w:r>
              <w:rPr>
                <w:rFonts w:hint="eastAsia" w:ascii="宋体" w:hAnsi="宋体" w:eastAsia="宋体" w:cs="宋体"/>
                <w:color w:val="000000" w:themeColor="text1"/>
                <w:sz w:val="24"/>
                <w:szCs w:val="21"/>
                <w:highlight w:val="none"/>
                <w:lang w:val="en-US" w:eastAsia="zh-CN" w:bidi="ar-SA"/>
              </w:rPr>
            </w:r>
            <w:r>
              <w:rPr>
                <w:color w:val="000000" w:themeColor="text1"/>
              </w:rPr>
            </w:r>
          </w:p>
        </w:tc>
        <w:tc>
          <w:tcPr>
            <w:tcW w:w="1092" w:type="dxa"/>
            <w:vAlign w:val="center"/>
            <w:textDirection w:val="lrTb"/>
            <w:noWrap w:val="false"/>
          </w:tcPr>
          <w:p>
            <w:pPr>
              <w:pStyle w:val="1012"/>
              <w:ind w:firstLine="0"/>
              <w:jc w:val="center"/>
              <w:spacing w:line="440" w:lineRule="exact"/>
              <w:widowControl w:val="off"/>
              <w:rPr>
                <w:rFonts w:hint="eastAsia" w:ascii="宋体" w:hAnsi="宋体" w:eastAsia="宋体" w:cs="宋体"/>
                <w:color w:val="000000" w:themeColor="text1"/>
                <w:sz w:val="24"/>
                <w:szCs w:val="21"/>
                <w:highlight w:val="none"/>
              </w:rPr>
            </w:pPr>
            <w:r>
              <w:rPr>
                <w:rFonts w:hint="eastAsia" w:ascii="宋体" w:hAnsi="宋体" w:eastAsia="宋体" w:cs="宋体"/>
                <w:color w:val="000000" w:themeColor="text1"/>
                <w:sz w:val="24"/>
                <w:szCs w:val="21"/>
                <w:highlight w:val="none"/>
                <w:lang w:val="en-US" w:eastAsia="zh-CN" w:bidi="ar-SA"/>
              </w:rPr>
              <w:t xml:space="preserve">姓　名</w:t>
            </w:r>
            <w:r>
              <w:rPr>
                <w:rFonts w:hint="eastAsia" w:ascii="宋体" w:hAnsi="宋体" w:eastAsia="宋体" w:cs="宋体"/>
                <w:color w:val="000000" w:themeColor="text1"/>
                <w:sz w:val="24"/>
                <w:szCs w:val="21"/>
                <w:highlight w:val="none"/>
                <w:lang w:val="en-US" w:eastAsia="zh-CN" w:bidi="ar-SA"/>
              </w:rPr>
            </w:r>
            <w:r>
              <w:rPr>
                <w:color w:val="000000" w:themeColor="text1"/>
              </w:rPr>
            </w:r>
          </w:p>
        </w:tc>
        <w:tc>
          <w:tcPr>
            <w:tcW w:w="881" w:type="dxa"/>
            <w:vAlign w:val="center"/>
            <w:textDirection w:val="lrTb"/>
            <w:noWrap w:val="false"/>
          </w:tcPr>
          <w:p>
            <w:pPr>
              <w:pStyle w:val="1012"/>
              <w:ind w:firstLine="0"/>
              <w:jc w:val="center"/>
              <w:spacing w:line="440" w:lineRule="exact"/>
              <w:widowControl w:val="off"/>
              <w:rPr>
                <w:rFonts w:hint="eastAsia" w:ascii="宋体" w:hAnsi="宋体" w:eastAsia="宋体" w:cs="宋体"/>
                <w:color w:val="000000" w:themeColor="text1"/>
                <w:sz w:val="24"/>
                <w:szCs w:val="21"/>
                <w:highlight w:val="none"/>
              </w:rPr>
            </w:pPr>
            <w:r>
              <w:rPr>
                <w:rFonts w:hint="eastAsia" w:ascii="宋体" w:hAnsi="宋体" w:eastAsia="宋体" w:cs="宋体"/>
                <w:color w:val="000000" w:themeColor="text1"/>
                <w:sz w:val="24"/>
                <w:szCs w:val="21"/>
                <w:highlight w:val="none"/>
                <w:lang w:val="en-US" w:eastAsia="zh-CN" w:bidi="ar-SA"/>
              </w:rPr>
            </w:r>
            <w:r>
              <w:rPr>
                <w:color w:val="000000" w:themeColor="text1"/>
              </w:rPr>
            </w:r>
          </w:p>
        </w:tc>
        <w:tc>
          <w:tcPr>
            <w:tcW w:w="1275" w:type="dxa"/>
            <w:vAlign w:val="center"/>
            <w:textDirection w:val="lrTb"/>
            <w:noWrap w:val="false"/>
          </w:tcPr>
          <w:p>
            <w:pPr>
              <w:pStyle w:val="1012"/>
              <w:ind w:firstLine="0"/>
              <w:jc w:val="center"/>
              <w:spacing w:line="440" w:lineRule="exact"/>
              <w:widowControl w:val="off"/>
              <w:rPr>
                <w:rFonts w:hint="eastAsia" w:ascii="宋体" w:hAnsi="宋体" w:eastAsia="宋体" w:cs="宋体"/>
                <w:color w:val="000000" w:themeColor="text1"/>
                <w:sz w:val="24"/>
                <w:szCs w:val="21"/>
                <w:highlight w:val="none"/>
              </w:rPr>
            </w:pPr>
            <w:r>
              <w:rPr>
                <w:rFonts w:hint="eastAsia" w:ascii="宋体" w:hAnsi="宋体" w:eastAsia="宋体" w:cs="宋体"/>
                <w:color w:val="000000" w:themeColor="text1"/>
                <w:sz w:val="24"/>
                <w:szCs w:val="21"/>
                <w:highlight w:val="none"/>
                <w:lang w:val="en-US" w:eastAsia="zh-CN" w:bidi="ar-SA"/>
              </w:rPr>
              <w:t xml:space="preserve">技术职称</w:t>
            </w:r>
            <w:r>
              <w:rPr>
                <w:rFonts w:hint="eastAsia" w:ascii="宋体" w:hAnsi="宋体" w:eastAsia="宋体" w:cs="宋体"/>
                <w:color w:val="000000" w:themeColor="text1"/>
                <w:sz w:val="24"/>
                <w:szCs w:val="21"/>
                <w:highlight w:val="none"/>
                <w:lang w:val="en-US" w:eastAsia="zh-CN" w:bidi="ar-SA"/>
              </w:rPr>
            </w:r>
            <w:r>
              <w:rPr>
                <w:color w:val="000000" w:themeColor="text1"/>
              </w:rPr>
            </w:r>
          </w:p>
        </w:tc>
        <w:tc>
          <w:tcPr>
            <w:tcW w:w="1276" w:type="dxa"/>
            <w:vAlign w:val="center"/>
            <w:textDirection w:val="lrTb"/>
            <w:noWrap w:val="false"/>
          </w:tcPr>
          <w:p>
            <w:pPr>
              <w:pStyle w:val="1012"/>
              <w:ind w:firstLine="0"/>
              <w:jc w:val="center"/>
              <w:spacing w:line="440" w:lineRule="exact"/>
              <w:widowControl w:val="off"/>
              <w:rPr>
                <w:rFonts w:hint="eastAsia" w:ascii="宋体" w:hAnsi="宋体" w:eastAsia="宋体" w:cs="宋体"/>
                <w:color w:val="000000" w:themeColor="text1"/>
                <w:sz w:val="24"/>
                <w:szCs w:val="21"/>
                <w:highlight w:val="none"/>
              </w:rPr>
            </w:pPr>
            <w:r>
              <w:rPr>
                <w:rFonts w:hint="eastAsia" w:ascii="宋体" w:hAnsi="宋体" w:eastAsia="宋体" w:cs="宋体"/>
                <w:color w:val="000000" w:themeColor="text1"/>
                <w:sz w:val="24"/>
                <w:szCs w:val="21"/>
                <w:highlight w:val="none"/>
                <w:lang w:val="en-US" w:eastAsia="zh-CN" w:bidi="ar-SA"/>
              </w:rPr>
            </w:r>
            <w:r>
              <w:rPr>
                <w:color w:val="000000" w:themeColor="text1"/>
              </w:rPr>
            </w:r>
          </w:p>
        </w:tc>
        <w:tc>
          <w:tcPr>
            <w:tcW w:w="1066" w:type="dxa"/>
            <w:vAlign w:val="center"/>
            <w:textDirection w:val="lrTb"/>
            <w:noWrap w:val="false"/>
          </w:tcPr>
          <w:p>
            <w:pPr>
              <w:pStyle w:val="1012"/>
              <w:ind w:firstLine="0"/>
              <w:jc w:val="center"/>
              <w:spacing w:line="440" w:lineRule="exact"/>
              <w:widowControl w:val="off"/>
              <w:rPr>
                <w:rFonts w:hint="eastAsia" w:ascii="宋体" w:hAnsi="宋体" w:eastAsia="宋体" w:cs="宋体"/>
                <w:color w:val="000000" w:themeColor="text1"/>
                <w:sz w:val="24"/>
                <w:szCs w:val="21"/>
                <w:highlight w:val="none"/>
              </w:rPr>
            </w:pPr>
            <w:r>
              <w:rPr>
                <w:rFonts w:hint="eastAsia" w:ascii="宋体" w:hAnsi="宋体" w:eastAsia="宋体" w:cs="宋体"/>
                <w:color w:val="000000" w:themeColor="text1"/>
                <w:sz w:val="24"/>
                <w:szCs w:val="21"/>
                <w:highlight w:val="none"/>
                <w:lang w:val="en-US" w:eastAsia="zh-CN" w:bidi="ar-SA"/>
              </w:rPr>
              <w:t xml:space="preserve">电　话</w:t>
            </w:r>
            <w:r>
              <w:rPr>
                <w:rFonts w:hint="eastAsia" w:ascii="宋体" w:hAnsi="宋体" w:eastAsia="宋体" w:cs="宋体"/>
                <w:color w:val="000000" w:themeColor="text1"/>
                <w:sz w:val="24"/>
                <w:szCs w:val="21"/>
                <w:highlight w:val="none"/>
                <w:lang w:val="en-US" w:eastAsia="zh-CN" w:bidi="ar-SA"/>
              </w:rPr>
            </w:r>
            <w:r>
              <w:rPr>
                <w:color w:val="000000" w:themeColor="text1"/>
              </w:rPr>
            </w:r>
          </w:p>
        </w:tc>
        <w:tc>
          <w:tcPr>
            <w:tcW w:w="992" w:type="dxa"/>
            <w:vAlign w:val="center"/>
            <w:textDirection w:val="lrTb"/>
            <w:noWrap w:val="false"/>
          </w:tcPr>
          <w:p>
            <w:pPr>
              <w:pStyle w:val="1012"/>
              <w:ind w:firstLine="0"/>
              <w:jc w:val="center"/>
              <w:spacing w:line="440" w:lineRule="exact"/>
              <w:widowControl w:val="off"/>
              <w:rPr>
                <w:rFonts w:hint="eastAsia" w:ascii="宋体" w:hAnsi="宋体" w:eastAsia="宋体" w:cs="宋体"/>
                <w:color w:val="000000" w:themeColor="text1"/>
                <w:sz w:val="24"/>
                <w:szCs w:val="21"/>
                <w:highlight w:val="none"/>
              </w:rPr>
            </w:pPr>
            <w:r>
              <w:rPr>
                <w:rFonts w:hint="eastAsia" w:ascii="宋体" w:hAnsi="宋体" w:eastAsia="宋体" w:cs="宋体"/>
                <w:color w:val="000000" w:themeColor="text1"/>
                <w:sz w:val="24"/>
                <w:szCs w:val="21"/>
                <w:highlight w:val="none"/>
                <w:lang w:val="en-US" w:eastAsia="zh-CN" w:bidi="ar-SA"/>
              </w:rPr>
            </w:r>
            <w:r>
              <w:rPr>
                <w:color w:val="000000" w:themeColor="text1"/>
              </w:rPr>
            </w:r>
          </w:p>
        </w:tc>
      </w:tr>
      <w:tr>
        <w:trPr>
          <w:trHeight w:val="624"/>
        </w:trPr>
        <w:tc>
          <w:tcPr>
            <w:tcW w:w="1986" w:type="dxa"/>
            <w:vAlign w:val="center"/>
            <w:textDirection w:val="lrTb"/>
            <w:noWrap w:val="false"/>
          </w:tcPr>
          <w:p>
            <w:pPr>
              <w:pStyle w:val="1012"/>
              <w:ind w:firstLine="0"/>
              <w:jc w:val="center"/>
              <w:spacing w:line="440" w:lineRule="exact"/>
              <w:widowControl w:val="off"/>
              <w:rPr>
                <w:rFonts w:hint="eastAsia" w:ascii="宋体" w:hAnsi="宋体" w:eastAsia="宋体" w:cs="宋体"/>
                <w:color w:val="000000" w:themeColor="text1"/>
                <w:sz w:val="24"/>
                <w:szCs w:val="21"/>
                <w:highlight w:val="none"/>
              </w:rPr>
            </w:pPr>
            <w:r>
              <w:rPr>
                <w:rFonts w:hint="eastAsia" w:ascii="宋体" w:hAnsi="宋体" w:eastAsia="宋体" w:cs="宋体"/>
                <w:color w:val="000000" w:themeColor="text1"/>
                <w:sz w:val="24"/>
                <w:szCs w:val="21"/>
                <w:highlight w:val="none"/>
                <w:lang w:val="en-US" w:eastAsia="zh-CN" w:bidi="ar-SA"/>
              </w:rPr>
              <w:t xml:space="preserve">成立时间</w:t>
            </w:r>
            <w:r>
              <w:rPr>
                <w:rFonts w:hint="eastAsia" w:ascii="宋体" w:hAnsi="宋体" w:eastAsia="宋体" w:cs="宋体"/>
                <w:color w:val="000000" w:themeColor="text1"/>
                <w:sz w:val="24"/>
                <w:szCs w:val="21"/>
                <w:highlight w:val="none"/>
                <w:lang w:val="en-US" w:eastAsia="zh-CN" w:bidi="ar-SA"/>
              </w:rPr>
            </w:r>
            <w:r>
              <w:rPr>
                <w:color w:val="000000" w:themeColor="text1"/>
              </w:rPr>
            </w:r>
          </w:p>
        </w:tc>
        <w:tc>
          <w:tcPr>
            <w:gridSpan w:val="2"/>
            <w:tcW w:w="1973" w:type="dxa"/>
            <w:vAlign w:val="center"/>
            <w:textDirection w:val="lrTb"/>
            <w:noWrap w:val="false"/>
          </w:tcPr>
          <w:p>
            <w:pPr>
              <w:pStyle w:val="1012"/>
              <w:ind w:firstLine="0"/>
              <w:jc w:val="center"/>
              <w:spacing w:line="440" w:lineRule="exact"/>
              <w:widowControl w:val="off"/>
              <w:rPr>
                <w:rFonts w:hint="eastAsia" w:ascii="宋体" w:hAnsi="宋体" w:eastAsia="宋体" w:cs="宋体"/>
                <w:color w:val="000000" w:themeColor="text1"/>
                <w:sz w:val="24"/>
                <w:szCs w:val="21"/>
                <w:highlight w:val="none"/>
              </w:rPr>
            </w:pPr>
            <w:r>
              <w:rPr>
                <w:rFonts w:hint="eastAsia" w:ascii="宋体" w:hAnsi="宋体" w:eastAsia="宋体" w:cs="宋体"/>
                <w:color w:val="000000" w:themeColor="text1"/>
                <w:sz w:val="24"/>
                <w:szCs w:val="21"/>
                <w:highlight w:val="none"/>
                <w:lang w:val="en-US" w:eastAsia="zh-CN" w:bidi="ar-SA"/>
              </w:rPr>
            </w:r>
            <w:r>
              <w:rPr>
                <w:color w:val="000000" w:themeColor="text1"/>
              </w:rPr>
            </w:r>
          </w:p>
        </w:tc>
        <w:tc>
          <w:tcPr>
            <w:gridSpan w:val="4"/>
            <w:tcW w:w="4609" w:type="dxa"/>
            <w:vAlign w:val="center"/>
            <w:textDirection w:val="lrTb"/>
            <w:noWrap w:val="false"/>
          </w:tcPr>
          <w:p>
            <w:pPr>
              <w:pStyle w:val="1012"/>
              <w:ind w:firstLine="0"/>
              <w:jc w:val="center"/>
              <w:spacing w:line="440" w:lineRule="exact"/>
              <w:widowControl w:val="off"/>
              <w:rPr>
                <w:rFonts w:hint="eastAsia" w:ascii="宋体" w:hAnsi="宋体" w:eastAsia="宋体" w:cs="宋体"/>
                <w:color w:val="000000" w:themeColor="text1"/>
                <w:sz w:val="24"/>
                <w:szCs w:val="21"/>
                <w:highlight w:val="none"/>
              </w:rPr>
            </w:pPr>
            <w:r>
              <w:rPr>
                <w:rFonts w:hint="eastAsia" w:ascii="宋体" w:hAnsi="宋体" w:eastAsia="宋体" w:cs="宋体"/>
                <w:color w:val="000000" w:themeColor="text1"/>
                <w:sz w:val="24"/>
                <w:szCs w:val="21"/>
                <w:highlight w:val="none"/>
                <w:lang w:val="en-US" w:eastAsia="zh-CN" w:bidi="ar-SA"/>
              </w:rPr>
              <w:t xml:space="preserve">员工总人数：</w:t>
            </w:r>
            <w:r>
              <w:rPr>
                <w:rFonts w:hint="eastAsia" w:ascii="宋体" w:hAnsi="宋体" w:eastAsia="宋体" w:cs="宋体"/>
                <w:color w:val="000000" w:themeColor="text1"/>
                <w:sz w:val="24"/>
                <w:szCs w:val="21"/>
                <w:highlight w:val="none"/>
                <w:lang w:val="en-US" w:eastAsia="zh-CN" w:bidi="ar-SA"/>
              </w:rPr>
            </w:r>
            <w:r>
              <w:rPr>
                <w:color w:val="000000" w:themeColor="text1"/>
              </w:rPr>
            </w:r>
          </w:p>
        </w:tc>
      </w:tr>
      <w:tr>
        <w:trPr>
          <w:cantSplit/>
          <w:trHeight w:val="610"/>
        </w:trPr>
        <w:tc>
          <w:tcPr>
            <w:tcW w:w="1986" w:type="dxa"/>
            <w:vAlign w:val="center"/>
            <w:textDirection w:val="lrTb"/>
            <w:noWrap w:val="false"/>
          </w:tcPr>
          <w:p>
            <w:pPr>
              <w:pStyle w:val="1012"/>
              <w:ind w:firstLine="0"/>
              <w:jc w:val="center"/>
              <w:spacing w:line="440" w:lineRule="exact"/>
              <w:widowControl w:val="off"/>
              <w:rPr>
                <w:rFonts w:hint="eastAsia" w:ascii="宋体" w:hAnsi="宋体" w:eastAsia="宋体" w:cs="宋体"/>
                <w:color w:val="000000" w:themeColor="text1"/>
                <w:sz w:val="24"/>
                <w:szCs w:val="21"/>
                <w:highlight w:val="none"/>
              </w:rPr>
            </w:pPr>
            <w:r>
              <w:rPr>
                <w:rFonts w:hint="eastAsia" w:ascii="宋体" w:hAnsi="宋体" w:eastAsia="宋体" w:cs="宋体"/>
                <w:color w:val="000000" w:themeColor="text1"/>
                <w:sz w:val="24"/>
                <w:szCs w:val="21"/>
                <w:highlight w:val="none"/>
                <w:lang w:val="en-US" w:eastAsia="zh-CN" w:bidi="ar-SA"/>
              </w:rPr>
              <w:t xml:space="preserve">营业执照号</w:t>
            </w:r>
            <w:r>
              <w:rPr>
                <w:rFonts w:hint="eastAsia" w:ascii="宋体" w:hAnsi="宋体" w:eastAsia="宋体" w:cs="宋体"/>
                <w:color w:val="000000" w:themeColor="text1"/>
                <w:sz w:val="24"/>
                <w:szCs w:val="21"/>
                <w:highlight w:val="none"/>
                <w:lang w:val="en-US" w:eastAsia="zh-CN" w:bidi="ar-SA"/>
              </w:rPr>
            </w:r>
            <w:r>
              <w:rPr>
                <w:color w:val="000000" w:themeColor="text1"/>
              </w:rPr>
            </w:r>
          </w:p>
        </w:tc>
        <w:tc>
          <w:tcPr>
            <w:gridSpan w:val="6"/>
            <w:tcW w:w="6582" w:type="dxa"/>
            <w:vAlign w:val="center"/>
            <w:textDirection w:val="lrTb"/>
            <w:noWrap w:val="false"/>
          </w:tcPr>
          <w:p>
            <w:pPr>
              <w:pStyle w:val="1012"/>
              <w:ind w:firstLine="0"/>
              <w:jc w:val="center"/>
              <w:spacing w:line="440" w:lineRule="exact"/>
              <w:widowControl w:val="off"/>
              <w:rPr>
                <w:rFonts w:hint="eastAsia" w:ascii="宋体" w:hAnsi="宋体" w:eastAsia="宋体" w:cs="宋体"/>
                <w:color w:val="000000" w:themeColor="text1"/>
                <w:sz w:val="24"/>
                <w:szCs w:val="21"/>
                <w:highlight w:val="none"/>
              </w:rPr>
            </w:pPr>
            <w:r>
              <w:rPr>
                <w:rFonts w:hint="eastAsia" w:ascii="宋体" w:hAnsi="宋体" w:eastAsia="宋体" w:cs="宋体"/>
                <w:color w:val="000000" w:themeColor="text1"/>
                <w:sz w:val="24"/>
                <w:szCs w:val="21"/>
                <w:highlight w:val="none"/>
                <w:lang w:val="en-US" w:eastAsia="zh-CN" w:bidi="ar-SA"/>
              </w:rPr>
            </w:r>
            <w:r>
              <w:rPr>
                <w:color w:val="000000" w:themeColor="text1"/>
              </w:rPr>
            </w:r>
          </w:p>
        </w:tc>
      </w:tr>
      <w:tr>
        <w:trPr>
          <w:cantSplit/>
          <w:trHeight w:val="604"/>
        </w:trPr>
        <w:tc>
          <w:tcPr>
            <w:tcW w:w="1986" w:type="dxa"/>
            <w:vAlign w:val="center"/>
            <w:textDirection w:val="lrTb"/>
            <w:noWrap w:val="false"/>
          </w:tcPr>
          <w:p>
            <w:pPr>
              <w:pStyle w:val="1012"/>
              <w:ind w:firstLine="0"/>
              <w:jc w:val="center"/>
              <w:spacing w:line="440" w:lineRule="exact"/>
              <w:widowControl w:val="off"/>
              <w:rPr>
                <w:rFonts w:hint="eastAsia" w:ascii="宋体" w:hAnsi="宋体" w:eastAsia="宋体" w:cs="宋体"/>
                <w:color w:val="000000" w:themeColor="text1"/>
                <w:sz w:val="24"/>
                <w:szCs w:val="21"/>
                <w:highlight w:val="none"/>
              </w:rPr>
            </w:pPr>
            <w:r>
              <w:rPr>
                <w:rFonts w:hint="eastAsia" w:ascii="宋体" w:hAnsi="宋体" w:eastAsia="宋体" w:cs="宋体"/>
                <w:color w:val="000000" w:themeColor="text1"/>
                <w:sz w:val="24"/>
                <w:szCs w:val="21"/>
                <w:highlight w:val="none"/>
                <w:lang w:val="en-US" w:eastAsia="zh-CN" w:bidi="ar-SA"/>
              </w:rPr>
              <w:t xml:space="preserve">注册资金</w:t>
            </w:r>
            <w:r>
              <w:rPr>
                <w:rFonts w:hint="eastAsia" w:ascii="宋体" w:hAnsi="宋体" w:eastAsia="宋体" w:cs="宋体"/>
                <w:color w:val="000000" w:themeColor="text1"/>
                <w:sz w:val="24"/>
                <w:szCs w:val="21"/>
                <w:highlight w:val="none"/>
                <w:lang w:val="en-US" w:eastAsia="zh-CN" w:bidi="ar-SA"/>
              </w:rPr>
            </w:r>
            <w:r>
              <w:rPr>
                <w:color w:val="000000" w:themeColor="text1"/>
              </w:rPr>
            </w:r>
          </w:p>
        </w:tc>
        <w:tc>
          <w:tcPr>
            <w:gridSpan w:val="6"/>
            <w:tcW w:w="6582" w:type="dxa"/>
            <w:vAlign w:val="center"/>
            <w:textDirection w:val="lrTb"/>
            <w:noWrap w:val="false"/>
          </w:tcPr>
          <w:p>
            <w:pPr>
              <w:pStyle w:val="1012"/>
              <w:ind w:firstLine="0"/>
              <w:jc w:val="center"/>
              <w:spacing w:line="440" w:lineRule="exact"/>
              <w:widowControl w:val="off"/>
              <w:rPr>
                <w:rFonts w:hint="eastAsia" w:ascii="宋体" w:hAnsi="宋体" w:eastAsia="宋体" w:cs="宋体"/>
                <w:color w:val="000000" w:themeColor="text1"/>
                <w:sz w:val="24"/>
                <w:szCs w:val="21"/>
                <w:highlight w:val="none"/>
              </w:rPr>
            </w:pPr>
            <w:r>
              <w:rPr>
                <w:rFonts w:hint="eastAsia" w:ascii="宋体" w:hAnsi="宋体" w:eastAsia="宋体" w:cs="宋体"/>
                <w:color w:val="000000" w:themeColor="text1"/>
                <w:sz w:val="24"/>
                <w:szCs w:val="21"/>
                <w:highlight w:val="none"/>
                <w:lang w:val="en-US" w:eastAsia="zh-CN" w:bidi="ar-SA"/>
              </w:rPr>
            </w:r>
            <w:r>
              <w:rPr>
                <w:color w:val="000000" w:themeColor="text1"/>
              </w:rPr>
            </w:r>
          </w:p>
        </w:tc>
      </w:tr>
      <w:tr>
        <w:trPr>
          <w:cantSplit/>
          <w:trHeight w:val="626"/>
        </w:trPr>
        <w:tc>
          <w:tcPr>
            <w:tcW w:w="1986" w:type="dxa"/>
            <w:vAlign w:val="center"/>
            <w:textDirection w:val="lrTb"/>
            <w:noWrap w:val="false"/>
          </w:tcPr>
          <w:p>
            <w:pPr>
              <w:pStyle w:val="1012"/>
              <w:ind w:firstLine="0"/>
              <w:jc w:val="center"/>
              <w:spacing w:line="440" w:lineRule="exact"/>
              <w:widowControl w:val="off"/>
              <w:rPr>
                <w:rFonts w:hint="eastAsia" w:ascii="宋体" w:hAnsi="宋体" w:eastAsia="宋体" w:cs="宋体"/>
                <w:color w:val="000000" w:themeColor="text1"/>
                <w:sz w:val="24"/>
                <w:szCs w:val="21"/>
                <w:highlight w:val="none"/>
              </w:rPr>
            </w:pPr>
            <w:r>
              <w:rPr>
                <w:rFonts w:hint="eastAsia" w:ascii="宋体" w:hAnsi="宋体" w:eastAsia="宋体" w:cs="宋体"/>
                <w:color w:val="000000" w:themeColor="text1"/>
                <w:sz w:val="24"/>
                <w:szCs w:val="21"/>
                <w:highlight w:val="none"/>
                <w:lang w:val="en-US" w:eastAsia="zh-CN" w:bidi="ar-SA"/>
              </w:rPr>
              <w:t xml:space="preserve">开户银行</w:t>
            </w:r>
            <w:r>
              <w:rPr>
                <w:rFonts w:hint="eastAsia" w:ascii="宋体" w:hAnsi="宋体" w:eastAsia="宋体" w:cs="宋体"/>
                <w:color w:val="000000" w:themeColor="text1"/>
                <w:sz w:val="24"/>
                <w:szCs w:val="21"/>
                <w:highlight w:val="none"/>
                <w:lang w:val="en-US" w:eastAsia="zh-CN" w:bidi="ar-SA"/>
              </w:rPr>
            </w:r>
            <w:r>
              <w:rPr>
                <w:color w:val="000000" w:themeColor="text1"/>
              </w:rPr>
            </w:r>
          </w:p>
        </w:tc>
        <w:tc>
          <w:tcPr>
            <w:gridSpan w:val="6"/>
            <w:tcW w:w="6582" w:type="dxa"/>
            <w:vAlign w:val="center"/>
            <w:textDirection w:val="lrTb"/>
            <w:noWrap w:val="false"/>
          </w:tcPr>
          <w:p>
            <w:pPr>
              <w:pStyle w:val="1012"/>
              <w:ind w:firstLine="0"/>
              <w:jc w:val="center"/>
              <w:spacing w:line="440" w:lineRule="exact"/>
              <w:widowControl w:val="off"/>
              <w:rPr>
                <w:rFonts w:hint="eastAsia" w:ascii="宋体" w:hAnsi="宋体" w:eastAsia="宋体" w:cs="宋体"/>
                <w:color w:val="000000" w:themeColor="text1"/>
                <w:sz w:val="24"/>
                <w:szCs w:val="21"/>
                <w:highlight w:val="none"/>
              </w:rPr>
            </w:pPr>
            <w:r>
              <w:rPr>
                <w:rFonts w:hint="eastAsia" w:ascii="宋体" w:hAnsi="宋体" w:eastAsia="宋体" w:cs="宋体"/>
                <w:color w:val="000000" w:themeColor="text1"/>
                <w:sz w:val="24"/>
                <w:szCs w:val="21"/>
                <w:highlight w:val="none"/>
                <w:lang w:val="en-US" w:eastAsia="zh-CN" w:bidi="ar-SA"/>
              </w:rPr>
            </w:r>
            <w:r>
              <w:rPr>
                <w:color w:val="000000" w:themeColor="text1"/>
              </w:rPr>
            </w:r>
          </w:p>
        </w:tc>
      </w:tr>
      <w:tr>
        <w:trPr>
          <w:cantSplit/>
          <w:trHeight w:val="606"/>
        </w:trPr>
        <w:tc>
          <w:tcPr>
            <w:tcW w:w="1986" w:type="dxa"/>
            <w:vAlign w:val="center"/>
            <w:textDirection w:val="lrTb"/>
            <w:noWrap w:val="false"/>
          </w:tcPr>
          <w:p>
            <w:pPr>
              <w:pStyle w:val="1012"/>
              <w:ind w:firstLine="0"/>
              <w:jc w:val="center"/>
              <w:spacing w:line="440" w:lineRule="exact"/>
              <w:widowControl w:val="off"/>
              <w:rPr>
                <w:rFonts w:hint="eastAsia" w:ascii="宋体" w:hAnsi="宋体" w:eastAsia="宋体" w:cs="宋体"/>
                <w:color w:val="000000" w:themeColor="text1"/>
                <w:sz w:val="24"/>
                <w:szCs w:val="21"/>
                <w:highlight w:val="none"/>
              </w:rPr>
            </w:pPr>
            <w:r>
              <w:rPr>
                <w:rFonts w:hint="eastAsia" w:ascii="宋体" w:hAnsi="宋体" w:eastAsia="宋体" w:cs="宋体"/>
                <w:color w:val="000000" w:themeColor="text1"/>
                <w:sz w:val="24"/>
                <w:szCs w:val="21"/>
                <w:highlight w:val="none"/>
                <w:lang w:val="en-US" w:eastAsia="zh-CN" w:bidi="ar-SA"/>
              </w:rPr>
              <w:t xml:space="preserve">开户银行帐户</w:t>
            </w:r>
            <w:r>
              <w:rPr>
                <w:rFonts w:hint="eastAsia" w:ascii="宋体" w:hAnsi="宋体" w:eastAsia="宋体" w:cs="宋体"/>
                <w:color w:val="000000" w:themeColor="text1"/>
                <w:sz w:val="24"/>
                <w:szCs w:val="21"/>
                <w:highlight w:val="none"/>
                <w:lang w:val="en-US" w:eastAsia="zh-CN" w:bidi="ar-SA"/>
              </w:rPr>
            </w:r>
            <w:r>
              <w:rPr>
                <w:color w:val="000000" w:themeColor="text1"/>
              </w:rPr>
            </w:r>
          </w:p>
          <w:p>
            <w:pPr>
              <w:pStyle w:val="1012"/>
              <w:ind w:firstLine="0"/>
              <w:jc w:val="center"/>
              <w:spacing w:line="440" w:lineRule="exact"/>
              <w:widowControl w:val="off"/>
              <w:rPr>
                <w:rFonts w:hint="eastAsia" w:ascii="宋体" w:hAnsi="宋体" w:eastAsia="宋体" w:cs="宋体"/>
                <w:color w:val="000000" w:themeColor="text1"/>
                <w:sz w:val="24"/>
                <w:szCs w:val="21"/>
                <w:highlight w:val="none"/>
              </w:rPr>
            </w:pPr>
            <w:r>
              <w:rPr>
                <w:rFonts w:hint="eastAsia" w:ascii="宋体" w:hAnsi="宋体" w:eastAsia="宋体" w:cs="宋体"/>
                <w:color w:val="000000" w:themeColor="text1"/>
                <w:sz w:val="24"/>
                <w:szCs w:val="21"/>
                <w:highlight w:val="none"/>
                <w:lang w:val="en-US" w:eastAsia="zh-CN" w:bidi="ar-SA"/>
              </w:rPr>
              <w:t xml:space="preserve">名称</w:t>
            </w:r>
            <w:r>
              <w:rPr>
                <w:rFonts w:hint="eastAsia" w:ascii="宋体" w:hAnsi="宋体" w:eastAsia="宋体" w:cs="宋体"/>
                <w:color w:val="000000" w:themeColor="text1"/>
                <w:sz w:val="24"/>
                <w:szCs w:val="21"/>
                <w:highlight w:val="none"/>
                <w:lang w:val="en-US" w:eastAsia="zh-CN" w:bidi="ar-SA"/>
              </w:rPr>
            </w:r>
            <w:r>
              <w:rPr>
                <w:color w:val="000000" w:themeColor="text1"/>
              </w:rPr>
            </w:r>
          </w:p>
        </w:tc>
        <w:tc>
          <w:tcPr>
            <w:gridSpan w:val="6"/>
            <w:tcW w:w="6582" w:type="dxa"/>
            <w:vAlign w:val="center"/>
            <w:textDirection w:val="lrTb"/>
            <w:noWrap w:val="false"/>
          </w:tcPr>
          <w:p>
            <w:pPr>
              <w:pStyle w:val="1012"/>
              <w:ind w:firstLine="0"/>
              <w:jc w:val="center"/>
              <w:spacing w:line="440" w:lineRule="exact"/>
              <w:widowControl w:val="off"/>
              <w:rPr>
                <w:rFonts w:hint="eastAsia" w:ascii="宋体" w:hAnsi="宋体" w:eastAsia="宋体" w:cs="宋体"/>
                <w:color w:val="000000" w:themeColor="text1"/>
                <w:sz w:val="24"/>
                <w:szCs w:val="21"/>
                <w:highlight w:val="none"/>
              </w:rPr>
            </w:pPr>
            <w:r>
              <w:rPr>
                <w:rFonts w:hint="eastAsia" w:ascii="宋体" w:hAnsi="宋体" w:eastAsia="宋体" w:cs="宋体"/>
                <w:color w:val="000000" w:themeColor="text1"/>
                <w:sz w:val="24"/>
                <w:szCs w:val="21"/>
                <w:highlight w:val="none"/>
                <w:lang w:val="en-US" w:eastAsia="zh-CN" w:bidi="ar-SA"/>
              </w:rPr>
            </w:r>
            <w:r>
              <w:rPr>
                <w:color w:val="000000" w:themeColor="text1"/>
              </w:rPr>
            </w:r>
          </w:p>
        </w:tc>
      </w:tr>
      <w:tr>
        <w:trPr>
          <w:cantSplit/>
          <w:trHeight w:val="606"/>
        </w:trPr>
        <w:tc>
          <w:tcPr>
            <w:tcW w:w="1986" w:type="dxa"/>
            <w:vAlign w:val="center"/>
            <w:textDirection w:val="lrTb"/>
            <w:noWrap w:val="false"/>
          </w:tcPr>
          <w:p>
            <w:pPr>
              <w:pStyle w:val="1012"/>
              <w:ind w:firstLine="0"/>
              <w:jc w:val="center"/>
              <w:spacing w:line="440" w:lineRule="exact"/>
              <w:widowControl w:val="off"/>
              <w:rPr>
                <w:rFonts w:hint="eastAsia" w:ascii="宋体" w:hAnsi="宋体" w:eastAsia="宋体" w:cs="宋体"/>
                <w:color w:val="000000" w:themeColor="text1"/>
                <w:sz w:val="24"/>
                <w:szCs w:val="21"/>
                <w:highlight w:val="none"/>
              </w:rPr>
            </w:pPr>
            <w:r>
              <w:rPr>
                <w:rFonts w:hint="eastAsia" w:ascii="宋体" w:hAnsi="宋体" w:eastAsia="宋体" w:cs="宋体"/>
                <w:color w:val="000000" w:themeColor="text1"/>
                <w:sz w:val="24"/>
                <w:szCs w:val="21"/>
                <w:highlight w:val="none"/>
                <w:lang w:val="en-US" w:eastAsia="zh-CN" w:bidi="ar-SA"/>
              </w:rPr>
              <w:t xml:space="preserve">账号</w:t>
            </w:r>
            <w:r>
              <w:rPr>
                <w:rFonts w:hint="eastAsia" w:ascii="宋体" w:hAnsi="宋体" w:eastAsia="宋体" w:cs="宋体"/>
                <w:color w:val="000000" w:themeColor="text1"/>
                <w:sz w:val="24"/>
                <w:szCs w:val="21"/>
                <w:highlight w:val="none"/>
                <w:lang w:val="en-US" w:eastAsia="zh-CN" w:bidi="ar-SA"/>
              </w:rPr>
            </w:r>
            <w:r>
              <w:rPr>
                <w:color w:val="000000" w:themeColor="text1"/>
              </w:rPr>
            </w:r>
          </w:p>
        </w:tc>
        <w:tc>
          <w:tcPr>
            <w:gridSpan w:val="6"/>
            <w:tcW w:w="6582" w:type="dxa"/>
            <w:vAlign w:val="center"/>
            <w:textDirection w:val="lrTb"/>
            <w:noWrap w:val="false"/>
          </w:tcPr>
          <w:p>
            <w:pPr>
              <w:pStyle w:val="1012"/>
              <w:ind w:firstLine="0"/>
              <w:jc w:val="center"/>
              <w:spacing w:line="440" w:lineRule="exact"/>
              <w:widowControl w:val="off"/>
              <w:rPr>
                <w:rFonts w:hint="eastAsia" w:ascii="宋体" w:hAnsi="宋体" w:eastAsia="宋体" w:cs="宋体"/>
                <w:color w:val="000000" w:themeColor="text1"/>
                <w:sz w:val="24"/>
                <w:szCs w:val="21"/>
                <w:highlight w:val="none"/>
              </w:rPr>
            </w:pPr>
            <w:r>
              <w:rPr>
                <w:rFonts w:hint="eastAsia" w:ascii="宋体" w:hAnsi="宋体" w:eastAsia="宋体" w:cs="宋体"/>
                <w:color w:val="000000" w:themeColor="text1"/>
                <w:sz w:val="24"/>
                <w:szCs w:val="21"/>
                <w:highlight w:val="none"/>
                <w:lang w:val="en-US" w:eastAsia="zh-CN" w:bidi="ar-SA"/>
              </w:rPr>
            </w:r>
            <w:r>
              <w:rPr>
                <w:color w:val="000000" w:themeColor="text1"/>
              </w:rPr>
            </w:r>
          </w:p>
        </w:tc>
      </w:tr>
      <w:tr>
        <w:trPr>
          <w:trHeight w:val="700"/>
        </w:trPr>
        <w:tc>
          <w:tcPr>
            <w:tcW w:w="1986" w:type="dxa"/>
            <w:vAlign w:val="center"/>
            <w:textDirection w:val="lrTb"/>
            <w:noWrap w:val="false"/>
          </w:tcPr>
          <w:p>
            <w:pPr>
              <w:pStyle w:val="1012"/>
              <w:ind w:firstLine="0"/>
              <w:jc w:val="center"/>
              <w:spacing w:line="440" w:lineRule="exact"/>
              <w:widowControl w:val="off"/>
              <w:rPr>
                <w:rFonts w:hint="eastAsia" w:ascii="宋体" w:hAnsi="宋体" w:eastAsia="宋体" w:cs="宋体"/>
                <w:color w:val="000000" w:themeColor="text1"/>
                <w:sz w:val="24"/>
                <w:szCs w:val="21"/>
                <w:highlight w:val="none"/>
              </w:rPr>
            </w:pPr>
            <w:r>
              <w:rPr>
                <w:rFonts w:hint="eastAsia" w:ascii="宋体" w:hAnsi="宋体" w:eastAsia="宋体" w:cs="宋体"/>
                <w:color w:val="000000" w:themeColor="text1"/>
                <w:sz w:val="24"/>
                <w:szCs w:val="21"/>
                <w:highlight w:val="none"/>
                <w:lang w:val="en-US" w:eastAsia="zh-CN" w:bidi="ar-SA"/>
              </w:rPr>
              <w:t xml:space="preserve">经营范围</w:t>
            </w:r>
            <w:r>
              <w:rPr>
                <w:rFonts w:hint="eastAsia" w:ascii="宋体" w:hAnsi="宋体" w:eastAsia="宋体" w:cs="宋体"/>
                <w:color w:val="000000" w:themeColor="text1"/>
                <w:sz w:val="24"/>
                <w:szCs w:val="21"/>
                <w:highlight w:val="none"/>
                <w:lang w:val="en-US" w:eastAsia="zh-CN" w:bidi="ar-SA"/>
              </w:rPr>
            </w:r>
            <w:r>
              <w:rPr>
                <w:color w:val="000000" w:themeColor="text1"/>
              </w:rPr>
            </w:r>
          </w:p>
        </w:tc>
        <w:tc>
          <w:tcPr>
            <w:gridSpan w:val="6"/>
            <w:tcW w:w="6582" w:type="dxa"/>
            <w:vAlign w:val="center"/>
            <w:textDirection w:val="lrTb"/>
            <w:noWrap w:val="false"/>
          </w:tcPr>
          <w:p>
            <w:pPr>
              <w:pStyle w:val="1012"/>
              <w:ind w:firstLine="0"/>
              <w:jc w:val="both"/>
              <w:spacing w:line="440" w:lineRule="exact"/>
              <w:widowControl w:val="off"/>
              <w:rPr>
                <w:rFonts w:hint="eastAsia" w:ascii="宋体" w:hAnsi="宋体" w:eastAsia="宋体" w:cs="宋体"/>
                <w:color w:val="000000" w:themeColor="text1"/>
                <w:sz w:val="24"/>
                <w:szCs w:val="21"/>
                <w:highlight w:val="none"/>
              </w:rPr>
            </w:pPr>
            <w:r>
              <w:rPr>
                <w:rFonts w:hint="eastAsia" w:ascii="宋体" w:hAnsi="宋体" w:eastAsia="宋体" w:cs="宋体"/>
                <w:color w:val="000000" w:themeColor="text1"/>
                <w:sz w:val="24"/>
                <w:szCs w:val="21"/>
                <w:highlight w:val="none"/>
                <w:lang w:val="en-US" w:eastAsia="zh-CN" w:bidi="ar-SA"/>
              </w:rPr>
            </w:r>
            <w:r>
              <w:rPr>
                <w:color w:val="000000" w:themeColor="text1"/>
              </w:rPr>
            </w:r>
          </w:p>
        </w:tc>
      </w:tr>
      <w:tr>
        <w:trPr>
          <w:trHeight w:val="847"/>
        </w:trPr>
        <w:tc>
          <w:tcPr>
            <w:tcW w:w="1986" w:type="dxa"/>
            <w:vAlign w:val="center"/>
            <w:textDirection w:val="lrTb"/>
            <w:noWrap w:val="false"/>
          </w:tcPr>
          <w:p>
            <w:pPr>
              <w:pStyle w:val="1012"/>
              <w:ind w:firstLine="0"/>
              <w:jc w:val="center"/>
              <w:spacing w:line="440" w:lineRule="exact"/>
              <w:widowControl w:val="off"/>
              <w:rPr>
                <w:rFonts w:hint="eastAsia" w:ascii="宋体" w:hAnsi="宋体" w:eastAsia="宋体" w:cs="宋体"/>
                <w:color w:val="000000" w:themeColor="text1"/>
                <w:sz w:val="24"/>
                <w:szCs w:val="21"/>
                <w:highlight w:val="none"/>
              </w:rPr>
            </w:pPr>
            <w:r>
              <w:rPr>
                <w:rFonts w:hint="eastAsia" w:ascii="宋体" w:hAnsi="宋体" w:eastAsia="宋体" w:cs="宋体"/>
                <w:color w:val="000000" w:themeColor="text1"/>
                <w:sz w:val="24"/>
                <w:szCs w:val="21"/>
                <w:highlight w:val="none"/>
                <w:lang w:val="en-US" w:eastAsia="zh-CN" w:bidi="ar-SA"/>
              </w:rPr>
              <w:t xml:space="preserve">企业类型</w:t>
            </w:r>
            <w:r>
              <w:rPr>
                <w:rFonts w:hint="eastAsia" w:ascii="宋体" w:hAnsi="宋体" w:eastAsia="宋体" w:cs="宋体"/>
                <w:color w:val="000000" w:themeColor="text1"/>
                <w:sz w:val="24"/>
                <w:szCs w:val="21"/>
                <w:highlight w:val="none"/>
                <w:lang w:val="en-US" w:eastAsia="zh-CN" w:bidi="ar-SA"/>
              </w:rPr>
            </w:r>
            <w:r>
              <w:rPr>
                <w:color w:val="000000" w:themeColor="text1"/>
              </w:rPr>
            </w:r>
          </w:p>
        </w:tc>
        <w:tc>
          <w:tcPr>
            <w:gridSpan w:val="6"/>
            <w:tcW w:w="6582" w:type="dxa"/>
            <w:vAlign w:val="center"/>
            <w:textDirection w:val="lrTb"/>
            <w:noWrap w:val="false"/>
          </w:tcPr>
          <w:p>
            <w:pPr>
              <w:pStyle w:val="1012"/>
              <w:ind w:firstLine="0"/>
              <w:jc w:val="center"/>
              <w:spacing w:line="5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大型企业 </w:t>
            </w:r>
            <w:r>
              <w:rPr>
                <w:rFonts w:hint="eastAsia" w:ascii="仿宋" w:hAnsi="仿宋" w:eastAsia="仿宋" w:cs="宋体"/>
                <w:b/>
                <w:color w:val="000000" w:themeColor="text1"/>
                <w:sz w:val="24"/>
                <w:szCs w:val="21"/>
                <w:highlight w:val="none"/>
                <w:lang w:val="en-US" w:eastAsia="zh-CN" w:bidi="ar-SA"/>
              </w:rPr>
              <w:t xml:space="preserve">□</w:t>
            </w:r>
            <w:r>
              <w:rPr>
                <w:rFonts w:hint="eastAsia" w:ascii="宋体" w:hAnsi="宋体" w:eastAsia="宋体" w:cs="宋体"/>
                <w:color w:val="000000" w:themeColor="text1"/>
                <w:sz w:val="24"/>
                <w:szCs w:val="24"/>
                <w:highlight w:val="none"/>
                <w:lang w:val="en-US" w:eastAsia="zh-CN" w:bidi="ar-SA"/>
              </w:rPr>
              <w:t xml:space="preserve">    中型企业 </w:t>
            </w:r>
            <w:r>
              <w:rPr>
                <w:rFonts w:hint="eastAsia" w:ascii="仿宋" w:hAnsi="仿宋" w:eastAsia="仿宋" w:cs="宋体"/>
                <w:b/>
                <w:color w:val="000000" w:themeColor="text1"/>
                <w:sz w:val="24"/>
                <w:szCs w:val="21"/>
                <w:highlight w:val="none"/>
                <w:lang w:val="en-US" w:eastAsia="zh-CN" w:bidi="ar-SA"/>
              </w:rPr>
              <w:t xml:space="preserve">□</w:t>
            </w:r>
            <w:r>
              <w:rPr>
                <w:rFonts w:hint="eastAsia" w:ascii="宋体" w:hAnsi="宋体" w:eastAsia="宋体" w:cs="宋体"/>
                <w:color w:val="000000" w:themeColor="text1"/>
                <w:sz w:val="24"/>
                <w:szCs w:val="24"/>
                <w:highlight w:val="none"/>
                <w:lang w:val="en-US" w:eastAsia="zh-CN" w:bidi="ar-SA"/>
              </w:rPr>
            </w:r>
            <w:r>
              <w:rPr>
                <w:color w:val="000000" w:themeColor="text1"/>
              </w:rPr>
            </w:r>
          </w:p>
          <w:p>
            <w:pPr>
              <w:pStyle w:val="1012"/>
              <w:ind w:firstLine="0"/>
              <w:jc w:val="center"/>
              <w:spacing w:line="580" w:lineRule="exact"/>
              <w:widowControl w:val="off"/>
              <w:rPr>
                <w:rFonts w:hint="eastAsia" w:ascii="宋体" w:hAnsi="宋体" w:eastAsia="仿宋" w:cs="宋体"/>
                <w:color w:val="000000" w:themeColor="text1"/>
                <w:sz w:val="24"/>
                <w:szCs w:val="21"/>
                <w:highlight w:val="none"/>
              </w:rPr>
            </w:pPr>
            <w:r>
              <w:rPr>
                <w:rFonts w:hint="eastAsia" w:ascii="宋体" w:hAnsi="宋体" w:eastAsia="宋体" w:cs="宋体"/>
                <w:color w:val="000000" w:themeColor="text1"/>
                <w:sz w:val="24"/>
                <w:szCs w:val="24"/>
                <w:highlight w:val="none"/>
                <w:lang w:val="en-US" w:eastAsia="zh-CN" w:bidi="ar-SA"/>
              </w:rPr>
              <w:t xml:space="preserve">小型企业 </w:t>
            </w:r>
            <w:r>
              <w:rPr>
                <w:rFonts w:hint="eastAsia" w:ascii="仿宋" w:hAnsi="仿宋" w:eastAsia="仿宋" w:cs="宋体"/>
                <w:b/>
                <w:color w:val="000000" w:themeColor="text1"/>
                <w:sz w:val="24"/>
                <w:szCs w:val="21"/>
                <w:highlight w:val="none"/>
                <w:lang w:val="en-US" w:eastAsia="zh-CN" w:bidi="ar-SA"/>
              </w:rPr>
              <w:t xml:space="preserve">□</w:t>
            </w:r>
            <w:r>
              <w:rPr>
                <w:rFonts w:hint="eastAsia" w:ascii="宋体" w:hAnsi="宋体" w:eastAsia="宋体" w:cs="宋体"/>
                <w:color w:val="000000" w:themeColor="text1"/>
                <w:sz w:val="24"/>
                <w:szCs w:val="24"/>
                <w:highlight w:val="none"/>
                <w:lang w:val="en-US" w:eastAsia="zh-CN" w:bidi="ar-SA"/>
              </w:rPr>
              <w:t xml:space="preserve">    微型企业 </w:t>
            </w:r>
            <w:r>
              <w:rPr>
                <w:rFonts w:hint="eastAsia" w:ascii="仿宋" w:hAnsi="仿宋" w:eastAsia="仿宋" w:cs="宋体"/>
                <w:b/>
                <w:color w:val="000000" w:themeColor="text1"/>
                <w:sz w:val="24"/>
                <w:szCs w:val="21"/>
                <w:highlight w:val="none"/>
                <w:lang w:val="en-US" w:eastAsia="zh-CN" w:bidi="ar-SA"/>
              </w:rPr>
              <w:t xml:space="preserve">□</w:t>
            </w:r>
            <w:r>
              <w:rPr>
                <w:rFonts w:hint="eastAsia" w:ascii="宋体" w:hAnsi="宋体" w:eastAsia="仿宋" w:cs="宋体"/>
                <w:color w:val="000000" w:themeColor="text1"/>
                <w:sz w:val="24"/>
                <w:szCs w:val="21"/>
                <w:highlight w:val="none"/>
                <w:lang w:val="en-US" w:eastAsia="zh-CN" w:bidi="ar-SA"/>
              </w:rPr>
            </w:r>
            <w:r>
              <w:rPr>
                <w:color w:val="000000" w:themeColor="text1"/>
              </w:rPr>
            </w:r>
          </w:p>
        </w:tc>
      </w:tr>
      <w:tr>
        <w:trPr>
          <w:trHeight w:val="507"/>
        </w:trPr>
        <w:tc>
          <w:tcPr>
            <w:tcW w:w="1986" w:type="dxa"/>
            <w:vAlign w:val="center"/>
            <w:textDirection w:val="lrTb"/>
            <w:noWrap w:val="false"/>
          </w:tcPr>
          <w:p>
            <w:pPr>
              <w:pStyle w:val="1012"/>
              <w:ind w:firstLine="0"/>
              <w:jc w:val="center"/>
              <w:spacing w:line="440" w:lineRule="exact"/>
              <w:widowControl w:val="off"/>
              <w:rPr>
                <w:rFonts w:hint="eastAsia" w:ascii="宋体" w:hAnsi="宋体" w:eastAsia="宋体" w:cs="宋体"/>
                <w:color w:val="000000" w:themeColor="text1"/>
                <w:sz w:val="24"/>
                <w:szCs w:val="21"/>
                <w:highlight w:val="none"/>
              </w:rPr>
            </w:pPr>
            <w:r>
              <w:rPr>
                <w:rFonts w:hint="eastAsia" w:ascii="宋体" w:hAnsi="宋体" w:eastAsia="宋体" w:cs="宋体"/>
                <w:color w:val="000000" w:themeColor="text1"/>
                <w:sz w:val="24"/>
                <w:szCs w:val="21"/>
                <w:highlight w:val="none"/>
                <w:lang w:val="en-US" w:eastAsia="zh-CN" w:bidi="ar-SA"/>
              </w:rPr>
              <w:t xml:space="preserve">备注</w:t>
            </w:r>
            <w:r>
              <w:rPr>
                <w:rFonts w:hint="eastAsia" w:ascii="宋体" w:hAnsi="宋体" w:eastAsia="宋体" w:cs="宋体"/>
                <w:color w:val="000000" w:themeColor="text1"/>
                <w:sz w:val="24"/>
                <w:szCs w:val="21"/>
                <w:highlight w:val="none"/>
                <w:lang w:val="en-US" w:eastAsia="zh-CN" w:bidi="ar-SA"/>
              </w:rPr>
            </w:r>
            <w:r>
              <w:rPr>
                <w:color w:val="000000" w:themeColor="text1"/>
              </w:rPr>
            </w:r>
          </w:p>
        </w:tc>
        <w:tc>
          <w:tcPr>
            <w:gridSpan w:val="6"/>
            <w:tcW w:w="6582" w:type="dxa"/>
            <w:vAlign w:val="center"/>
            <w:textDirection w:val="lrTb"/>
            <w:noWrap w:val="false"/>
          </w:tcPr>
          <w:p>
            <w:pPr>
              <w:pStyle w:val="1012"/>
              <w:ind w:firstLine="0"/>
              <w:jc w:val="center"/>
              <w:spacing w:line="440" w:lineRule="exact"/>
              <w:widowControl w:val="off"/>
              <w:rPr>
                <w:rFonts w:hint="eastAsia" w:ascii="宋体" w:hAnsi="宋体" w:eastAsia="宋体" w:cs="宋体"/>
                <w:color w:val="000000" w:themeColor="text1"/>
                <w:sz w:val="24"/>
                <w:szCs w:val="21"/>
                <w:highlight w:val="none"/>
              </w:rPr>
            </w:pPr>
            <w:r>
              <w:rPr>
                <w:rFonts w:hint="eastAsia" w:ascii="宋体" w:hAnsi="宋体" w:eastAsia="宋体" w:cs="宋体"/>
                <w:color w:val="000000" w:themeColor="text1"/>
                <w:sz w:val="24"/>
                <w:szCs w:val="21"/>
                <w:highlight w:val="none"/>
                <w:lang w:val="en-US" w:eastAsia="zh-CN" w:bidi="ar-SA"/>
              </w:rPr>
            </w:r>
            <w:r>
              <w:rPr>
                <w:color w:val="000000" w:themeColor="text1"/>
              </w:rPr>
            </w:r>
          </w:p>
        </w:tc>
      </w:tr>
    </w:tbl>
    <w:p>
      <w:pPr>
        <w:pStyle w:val="1012"/>
        <w:ind w:firstLine="480"/>
        <w:spacing w:line="50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1012"/>
        <w:ind w:firstLine="480"/>
        <w:jc w:val="right"/>
        <w:spacing w:line="50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投标人名称（电子签章）： ______________</w:t>
      </w:r>
      <w:r>
        <w:rPr>
          <w:rFonts w:hint="eastAsia" w:ascii="宋体" w:hAnsi="宋体" w:eastAsia="宋体" w:cs="宋体"/>
          <w:color w:val="000000" w:themeColor="text1"/>
          <w:highlight w:val="none"/>
        </w:rPr>
      </w:r>
      <w:r>
        <w:rPr>
          <w:color w:val="000000" w:themeColor="text1"/>
        </w:rPr>
      </w:r>
    </w:p>
    <w:p>
      <w:pPr>
        <w:pStyle w:val="1012"/>
        <w:ind w:firstLine="480"/>
        <w:jc w:val="center"/>
        <w:spacing w:line="50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rFonts w:hint="eastAsia" w:ascii="宋体" w:hAnsi="宋体" w:eastAsia="宋体" w:cs="宋体"/>
          <w:color w:val="000000" w:themeColor="text1"/>
          <w:highlight w:val="none"/>
          <w:lang w:val="en-US" w:eastAsia="zh-CN"/>
        </w:rPr>
        <w:t xml:space="preserve">    </w:t>
      </w:r>
      <w:r>
        <w:rPr>
          <w:rFonts w:hint="eastAsia" w:ascii="宋体" w:hAnsi="宋体" w:eastAsia="宋体" w:cs="宋体"/>
          <w:color w:val="000000" w:themeColor="text1"/>
          <w:highlight w:val="none"/>
        </w:rPr>
        <w:t xml:space="preserve"> 日  期：   年  月  </w:t>
      </w:r>
      <w:r>
        <w:rPr>
          <w:rFonts w:hint="eastAsia" w:ascii="宋体" w:hAnsi="宋体" w:eastAsia="宋体" w:cs="宋体"/>
          <w:color w:val="000000" w:themeColor="text1"/>
          <w:highlight w:val="none"/>
          <w:lang w:val="en-US" w:eastAsia="zh-CN"/>
        </w:rPr>
        <w:t xml:space="preserve">日</w:t>
      </w:r>
      <w:r>
        <w:rPr>
          <w:rFonts w:hint="eastAsia" w:ascii="宋体" w:hAnsi="宋体" w:eastAsia="宋体" w:cs="宋体"/>
          <w:color w:val="000000" w:themeColor="text1"/>
          <w:highlight w:val="none"/>
        </w:rPr>
        <w:t xml:space="preserve">           </w:t>
      </w:r>
      <w:r>
        <w:rPr>
          <w:rFonts w:hint="eastAsia" w:ascii="宋体" w:hAnsi="宋体" w:eastAsia="宋体" w:cs="宋体"/>
          <w:color w:val="000000" w:themeColor="text1"/>
          <w:highlight w:val="none"/>
        </w:rPr>
      </w:r>
      <w:r>
        <w:rPr>
          <w:color w:val="000000" w:themeColor="text1"/>
        </w:rPr>
      </w:r>
    </w:p>
    <w:p>
      <w:pPr>
        <w:pStyle w:val="1012"/>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rPr>
        <w:br w:type="page" w:clear="all"/>
      </w:r>
      <w:r>
        <w:rPr>
          <w:rFonts w:hint="eastAsia" w:ascii="宋体" w:hAnsi="宋体" w:eastAsia="宋体" w:cs="宋体"/>
          <w:b/>
          <w:color w:val="000000" w:themeColor="text1"/>
          <w:sz w:val="32"/>
          <w:szCs w:val="32"/>
          <w:highlight w:val="none"/>
        </w:rPr>
      </w:r>
      <w:r>
        <w:rPr>
          <w:color w:val="000000" w:themeColor="text1"/>
        </w:rPr>
      </w:r>
    </w:p>
    <w:p>
      <w:pPr>
        <w:pStyle w:val="1012"/>
        <w:jc w:val="center"/>
        <w:rPr>
          <w:rFonts w:hint="eastAsia" w:ascii="宋体" w:hAnsi="宋体" w:eastAsia="宋体" w:cs="宋体"/>
          <w:color w:val="000000" w:themeColor="text1"/>
          <w:sz w:val="32"/>
          <w:szCs w:val="32"/>
          <w:highlight w:val="none"/>
        </w:rPr>
      </w:pPr>
      <w:r>
        <w:rPr>
          <w:rFonts w:hint="eastAsia" w:ascii="宋体" w:hAnsi="宋体" w:eastAsia="宋体" w:cs="宋体"/>
          <w:b/>
          <w:color w:val="000000" w:themeColor="text1"/>
          <w:sz w:val="32"/>
          <w:szCs w:val="32"/>
          <w:highlight w:val="none"/>
          <w:lang w:val="en-US" w:eastAsia="zh-CN"/>
        </w:rPr>
        <w:t xml:space="preserve">12.</w:t>
      </w:r>
      <w:r>
        <w:rPr>
          <w:rFonts w:hint="eastAsia" w:ascii="宋体" w:hAnsi="宋体" w:eastAsia="宋体" w:cs="宋体"/>
          <w:b/>
          <w:color w:val="000000" w:themeColor="text1"/>
          <w:sz w:val="32"/>
          <w:szCs w:val="32"/>
          <w:highlight w:val="none"/>
        </w:rPr>
        <w:t xml:space="preserve">关于符合本国产品标准的声明函</w:t>
      </w:r>
      <w:r>
        <w:rPr>
          <w:rFonts w:hint="eastAsia" w:ascii="宋体" w:hAnsi="宋体" w:eastAsia="宋体" w:cs="宋体"/>
          <w:color w:val="000000" w:themeColor="text1"/>
          <w:sz w:val="32"/>
          <w:szCs w:val="32"/>
          <w:highlight w:val="none"/>
        </w:rPr>
      </w:r>
      <w:r>
        <w:rPr>
          <w:color w:val="000000" w:themeColor="text1"/>
        </w:rPr>
      </w:r>
    </w:p>
    <w:p>
      <w:pPr>
        <w:pStyle w:val="1040"/>
        <w:ind w:firstLine="420"/>
        <w:spacing w:before="0" w:beforeAutospacing="0" w:after="0" w:afterAutospacing="0" w:line="0" w:lineRule="atLeast"/>
        <w:rPr>
          <w:rFonts w:ascii="方正魏碑_GBK" w:hAnsi="方正魏碑_GBK" w:eastAsia="方正魏碑_GBK" w:cs="方正魏碑_GBK"/>
          <w:color w:val="000000" w:themeColor="text1"/>
          <w:highlight w:val="none"/>
        </w:rPr>
      </w:pPr>
      <w:r>
        <w:rPr>
          <w:rFonts w:ascii="方正魏碑_GBK" w:hAnsi="方正魏碑_GBK" w:eastAsia="方正魏碑_GBK" w:cs="方正魏碑_GBK"/>
          <w:color w:val="000000" w:themeColor="text1"/>
          <w:highlight w:val="none"/>
        </w:rPr>
      </w:r>
      <w:r>
        <w:rPr>
          <w:color w:val="000000" w:themeColor="text1"/>
        </w:rPr>
      </w:r>
    </w:p>
    <w:p>
      <w:pPr>
        <w:pStyle w:val="1337"/>
        <w:ind w:left="0" w:right="0" w:firstLine="420"/>
        <w:keepLines w:val="0"/>
        <w:keepNext w:val="0"/>
        <w:pageBreakBefore w:val="0"/>
        <w:spacing w:before="0" w:beforeAutospacing="0" w:after="0" w:afterAutospacing="0" w:line="400" w:lineRule="exact"/>
        <w:widowControl/>
        <w:rPr>
          <w:rFonts w:hint="eastAsia" w:ascii="宋体" w:hAnsi="宋体" w:eastAsia="宋体" w:cs="宋体"/>
          <w:i w:val="0"/>
          <w:iCs w:val="0"/>
          <w:caps w:val="0"/>
          <w:color w:val="000000" w:themeColor="text1"/>
          <w:spacing w:val="0"/>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iCs w:val="0"/>
          <w:caps w:val="0"/>
          <w:color w:val="000000" w:themeColor="text1"/>
          <w:spacing w:val="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themeColor="text1"/>
          <w:spacing w:val="0"/>
          <w:sz w:val="24"/>
          <w:szCs w:val="24"/>
          <w:highlight w:val="none"/>
        </w:rPr>
      </w:r>
      <w:r>
        <w:rPr>
          <w:color w:val="000000" w:themeColor="text1"/>
        </w:rPr>
      </w:r>
    </w:p>
    <w:p>
      <w:pPr>
        <w:pStyle w:val="1337"/>
        <w:ind w:left="0" w:right="0" w:firstLine="42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themeColor="text1"/>
          <w:spacing w:val="0"/>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rPr>
        <w:t xml:space="preserve">1.</w:t>
      </w:r>
      <w:r>
        <w:rPr>
          <w:rStyle w:val="1262"/>
          <w:rFonts w:hint="eastAsia" w:ascii="宋体" w:hAnsi="宋体" w:eastAsia="宋体" w:cs="宋体"/>
          <w:i w:val="0"/>
          <w:iCs w:val="0"/>
          <w:caps w:val="0"/>
          <w:color w:val="000000" w:themeColor="text1"/>
          <w:spacing w:val="0"/>
          <w:sz w:val="24"/>
          <w:szCs w:val="24"/>
          <w:highlight w:val="none"/>
          <w:u w:val="single"/>
          <w:shd w:val="clear" w:color="auto" w:fill="ffffff"/>
        </w:rPr>
        <w:t xml:space="preserve">（产品名称1）</w:t>
      </w:r>
      <w:r>
        <w:rPr>
          <w:rStyle w:val="1262"/>
          <w:rFonts w:hint="eastAsia" w:ascii="宋体" w:hAnsi="宋体" w:eastAsia="宋体" w:cs="宋体"/>
          <w:i w:val="0"/>
          <w:iCs w:val="0"/>
          <w:caps w:val="0"/>
          <w:color w:val="000000" w:themeColor="text1"/>
          <w:spacing w:val="0"/>
          <w:sz w:val="24"/>
          <w:szCs w:val="24"/>
          <w:highlight w:val="none"/>
          <w:u w:val="none"/>
          <w:shd w:val="clear" w:color="auto" w:fill="ffffff"/>
          <w:vertAlign w:val="superscript"/>
        </w:rPr>
        <w:t xml:space="preserve">1</w:t>
      </w:r>
      <w:r>
        <w:rPr>
          <w:rFonts w:hint="eastAsia" w:ascii="宋体" w:hAnsi="宋体" w:eastAsia="宋体" w:cs="宋体"/>
          <w:i w:val="0"/>
          <w:iCs w:val="0"/>
          <w:caps w:val="0"/>
          <w:color w:val="000000" w:themeColor="text1"/>
          <w:spacing w:val="0"/>
          <w:sz w:val="24"/>
          <w:szCs w:val="24"/>
          <w:highlight w:val="none"/>
          <w:shd w:val="clear" w:color="auto" w:fill="ffffff"/>
        </w:rPr>
        <w:t xml:space="preserve">，生产厂为</w:t>
      </w:r>
      <w:r>
        <w:rPr>
          <w:rStyle w:val="1262"/>
          <w:rFonts w:hint="eastAsia" w:ascii="宋体" w:hAnsi="宋体" w:eastAsia="宋体" w:cs="宋体"/>
          <w:i w:val="0"/>
          <w:iCs w:val="0"/>
          <w:caps w:val="0"/>
          <w:color w:val="000000" w:themeColor="text1"/>
          <w:spacing w:val="0"/>
          <w:sz w:val="24"/>
          <w:szCs w:val="24"/>
          <w:highlight w:val="none"/>
          <w:u w:val="single"/>
          <w:shd w:val="clear" w:color="auto" w:fill="ffffff"/>
        </w:rPr>
        <w:t xml:space="preserve">（厂名）</w:t>
      </w:r>
      <w:r>
        <w:rPr>
          <w:rStyle w:val="1262"/>
          <w:rFonts w:hint="eastAsia" w:ascii="宋体" w:hAnsi="宋体" w:eastAsia="宋体" w:cs="宋体"/>
          <w:i w:val="0"/>
          <w:iCs w:val="0"/>
          <w:caps w:val="0"/>
          <w:color w:val="000000" w:themeColor="text1"/>
          <w:spacing w:val="0"/>
          <w:sz w:val="24"/>
          <w:szCs w:val="24"/>
          <w:highlight w:val="none"/>
          <w:u w:val="none"/>
          <w:shd w:val="clear" w:color="auto" w:fill="ffffff"/>
          <w:vertAlign w:val="superscript"/>
        </w:rPr>
        <w:t xml:space="preserve">2</w:t>
      </w:r>
      <w:r>
        <w:rPr>
          <w:rFonts w:hint="eastAsia" w:ascii="宋体" w:hAnsi="宋体" w:eastAsia="宋体" w:cs="宋体"/>
          <w:i w:val="0"/>
          <w:iCs w:val="0"/>
          <w:caps w:val="0"/>
          <w:color w:val="000000" w:themeColor="text1"/>
          <w:spacing w:val="0"/>
          <w:sz w:val="24"/>
          <w:szCs w:val="24"/>
          <w:highlight w:val="none"/>
          <w:shd w:val="clear" w:color="auto" w:fill="ffffff"/>
        </w:rPr>
        <w:t xml:space="preserve">，厂址为</w:t>
      </w:r>
      <w:r>
        <w:rPr>
          <w:rStyle w:val="1262"/>
          <w:rFonts w:hint="eastAsia" w:ascii="宋体" w:hAnsi="宋体" w:eastAsia="宋体" w:cs="宋体"/>
          <w:i w:val="0"/>
          <w:iCs w:val="0"/>
          <w:caps w:val="0"/>
          <w:color w:val="000000" w:themeColor="text1"/>
          <w:spacing w:val="0"/>
          <w:sz w:val="24"/>
          <w:szCs w:val="24"/>
          <w:highlight w:val="none"/>
          <w:u w:val="single"/>
          <w:shd w:val="clear" w:color="auto" w:fill="ffffff"/>
        </w:rPr>
        <w:t xml:space="preserve">（生产厂址）</w:t>
      </w:r>
      <w:r>
        <w:rPr>
          <w:rFonts w:hint="eastAsia" w:ascii="宋体" w:hAnsi="宋体" w:eastAsia="宋体" w:cs="宋体"/>
          <w:i w:val="0"/>
          <w:iCs w:val="0"/>
          <w:caps w:val="0"/>
          <w:color w:val="000000" w:themeColor="text1"/>
          <w:spacing w:val="0"/>
          <w:sz w:val="24"/>
          <w:szCs w:val="24"/>
          <w:highlight w:val="none"/>
          <w:shd w:val="clear" w:color="auto" w:fill="ffffff"/>
        </w:rPr>
        <w:t xml:space="preserve">。</w:t>
      </w:r>
      <w:r>
        <w:rPr>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rPr>
        <w:t xml:space="preserve"> </w:t>
      </w:r>
      <w:r>
        <w:rPr>
          <w:rStyle w:val="1262"/>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themeColor="text1"/>
          <w:spacing w:val="0"/>
          <w:sz w:val="24"/>
          <w:szCs w:val="24"/>
          <w:highlight w:val="none"/>
          <w:shd w:val="clear" w:color="auto" w:fill="ffffff"/>
        </w:rPr>
        <w:t xml:space="preserve">的中国境内生产的组件成本占比≥</w:t>
      </w:r>
      <w:r>
        <w:rPr>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rPr>
        <w:t xml:space="preserve">  </w:t>
      </w:r>
      <w:r>
        <w:rPr>
          <w:rStyle w:val="1262"/>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rPr>
        <w:t xml:space="preserve">/  </w:t>
      </w:r>
      <w:r>
        <w:rPr>
          <w:rStyle w:val="1262"/>
          <w:rFonts w:hint="eastAsia" w:ascii="宋体" w:hAnsi="宋体" w:eastAsia="宋体" w:cs="宋体"/>
          <w:i w:val="0"/>
          <w:iCs w:val="0"/>
          <w:caps w:val="0"/>
          <w:color w:val="000000" w:themeColor="text1"/>
          <w:spacing w:val="0"/>
          <w:sz w:val="24"/>
          <w:szCs w:val="24"/>
          <w:highlight w:val="none"/>
          <w:u w:val="none"/>
          <w:shd w:val="clear" w:color="auto" w:fill="ffffff"/>
          <w:vertAlign w:val="superscript"/>
        </w:rPr>
        <w:t xml:space="preserve">3</w:t>
      </w:r>
      <w:r>
        <w:rPr>
          <w:rFonts w:hint="eastAsia" w:ascii="宋体" w:hAnsi="宋体" w:eastAsia="宋体" w:cs="宋体"/>
          <w:i w:val="0"/>
          <w:iCs w:val="0"/>
          <w:caps w:val="0"/>
          <w:color w:val="000000" w:themeColor="text1"/>
          <w:spacing w:val="0"/>
          <w:sz w:val="24"/>
          <w:szCs w:val="24"/>
          <w:highlight w:val="none"/>
          <w:shd w:val="clear" w:color="auto" w:fill="ffffff"/>
        </w:rPr>
        <w:t xml:space="preserve">。</w:t>
      </w:r>
      <w:r>
        <w:rPr>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rPr>
        <w:t xml:space="preserve">  </w:t>
      </w:r>
      <w:r>
        <w:rPr>
          <w:rStyle w:val="1262"/>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themeColor="text1"/>
          <w:spacing w:val="0"/>
          <w:sz w:val="24"/>
          <w:szCs w:val="24"/>
          <w:highlight w:val="none"/>
          <w:shd w:val="clear" w:color="auto" w:fill="ffffff"/>
        </w:rPr>
        <w:t xml:space="preserve">的</w:t>
      </w:r>
      <w:r>
        <w:rPr>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rPr>
        <w:t xml:space="preserve">  </w:t>
      </w:r>
      <w:r>
        <w:rPr>
          <w:rStyle w:val="1262"/>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rPr>
        <w:t xml:space="preserve">/  </w:t>
      </w:r>
      <w:r>
        <w:rPr>
          <w:rStyle w:val="1262"/>
          <w:rFonts w:hint="eastAsia" w:ascii="宋体" w:hAnsi="宋体" w:eastAsia="宋体" w:cs="宋体"/>
          <w:i w:val="0"/>
          <w:iCs w:val="0"/>
          <w:caps w:val="0"/>
          <w:color w:val="000000" w:themeColor="text1"/>
          <w:spacing w:val="0"/>
          <w:sz w:val="24"/>
          <w:szCs w:val="24"/>
          <w:highlight w:val="none"/>
          <w:u w:val="none"/>
          <w:shd w:val="clear" w:color="auto" w:fill="ffffff"/>
          <w:vertAlign w:val="superscript"/>
        </w:rPr>
        <w:t xml:space="preserve">4</w:t>
      </w:r>
      <w:r>
        <w:rPr>
          <w:rFonts w:hint="eastAsia" w:ascii="宋体" w:hAnsi="宋体" w:eastAsia="宋体" w:cs="宋体"/>
          <w:i w:val="0"/>
          <w:iCs w:val="0"/>
          <w:caps w:val="0"/>
          <w:color w:val="000000" w:themeColor="text1"/>
          <w:spacing w:val="0"/>
          <w:sz w:val="24"/>
          <w:szCs w:val="24"/>
          <w:highlight w:val="none"/>
          <w:shd w:val="clear" w:color="auto" w:fill="ffffff"/>
        </w:rPr>
        <w:t xml:space="preserve">在中国境内生产。</w:t>
      </w:r>
      <w:r>
        <w:rPr>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rPr>
        <w:t xml:space="preserve">  </w:t>
      </w:r>
      <w:r>
        <w:rPr>
          <w:rStyle w:val="1262"/>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themeColor="text1"/>
          <w:spacing w:val="0"/>
          <w:sz w:val="24"/>
          <w:szCs w:val="24"/>
          <w:highlight w:val="none"/>
          <w:shd w:val="clear" w:color="auto" w:fill="ffffff"/>
        </w:rPr>
        <w:t xml:space="preserve">的</w:t>
      </w:r>
      <w:r>
        <w:rPr>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rPr>
        <w:t xml:space="preserve">  </w:t>
      </w:r>
      <w:r>
        <w:rPr>
          <w:rStyle w:val="1262"/>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rPr>
        <w:t xml:space="preserve">/  </w:t>
      </w:r>
      <w:r>
        <w:rPr>
          <w:rStyle w:val="1262"/>
          <w:rFonts w:hint="eastAsia" w:ascii="宋体" w:hAnsi="宋体" w:eastAsia="宋体" w:cs="宋体"/>
          <w:i w:val="0"/>
          <w:iCs w:val="0"/>
          <w:caps w:val="0"/>
          <w:color w:val="000000" w:themeColor="text1"/>
          <w:spacing w:val="0"/>
          <w:sz w:val="24"/>
          <w:szCs w:val="24"/>
          <w:highlight w:val="none"/>
          <w:u w:val="none"/>
          <w:shd w:val="clear" w:color="auto" w:fill="ffffff"/>
          <w:vertAlign w:val="superscript"/>
        </w:rPr>
        <w:t xml:space="preserve">5</w:t>
      </w:r>
      <w:r>
        <w:rPr>
          <w:rFonts w:hint="eastAsia" w:ascii="宋体" w:hAnsi="宋体" w:eastAsia="宋体" w:cs="宋体"/>
          <w:i w:val="0"/>
          <w:iCs w:val="0"/>
          <w:caps w:val="0"/>
          <w:color w:val="000000" w:themeColor="text1"/>
          <w:spacing w:val="0"/>
          <w:sz w:val="24"/>
          <w:szCs w:val="24"/>
          <w:highlight w:val="none"/>
          <w:shd w:val="clear" w:color="auto" w:fill="ffffff"/>
        </w:rPr>
        <w:t xml:space="preserve">在中国境内完成。</w:t>
      </w:r>
      <w:r>
        <w:rPr>
          <w:rFonts w:hint="eastAsia" w:ascii="宋体" w:hAnsi="宋体" w:eastAsia="宋体" w:cs="宋体"/>
          <w:i w:val="0"/>
          <w:iCs w:val="0"/>
          <w:caps w:val="0"/>
          <w:color w:val="000000" w:themeColor="text1"/>
          <w:spacing w:val="0"/>
          <w:sz w:val="24"/>
          <w:szCs w:val="24"/>
          <w:highlight w:val="none"/>
        </w:rPr>
      </w:r>
      <w:r>
        <w:rPr>
          <w:color w:val="000000" w:themeColor="text1"/>
        </w:rPr>
      </w:r>
    </w:p>
    <w:p>
      <w:pPr>
        <w:pStyle w:val="1337"/>
        <w:ind w:left="0" w:right="0" w:firstLine="42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themeColor="text1"/>
          <w:spacing w:val="0"/>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000000" w:themeColor="text1"/>
          <w:spacing w:val="0"/>
          <w:sz w:val="24"/>
          <w:szCs w:val="24"/>
          <w:highlight w:val="none"/>
          <w:shd w:val="clear" w:color="auto" w:fill="ffffff"/>
        </w:rPr>
        <w:t xml:space="preserve">.</w:t>
      </w:r>
      <w:r>
        <w:rPr>
          <w:rStyle w:val="1262"/>
          <w:rFonts w:hint="eastAsia" w:ascii="宋体" w:hAnsi="宋体" w:eastAsia="宋体" w:cs="宋体"/>
          <w:i w:val="0"/>
          <w:iCs w:val="0"/>
          <w:caps w:val="0"/>
          <w:color w:val="000000" w:themeColor="text1"/>
          <w:spacing w:val="0"/>
          <w:sz w:val="24"/>
          <w:szCs w:val="24"/>
          <w:highlight w:val="none"/>
          <w:u w:val="single"/>
          <w:shd w:val="clear" w:color="auto" w:fill="ffffff"/>
        </w:rPr>
        <w:t xml:space="preserve">（产品名称</w:t>
      </w:r>
      <w:r>
        <w:rPr>
          <w:rStyle w:val="1262"/>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rPr>
        <w:t xml:space="preserve">2</w:t>
      </w:r>
      <w:r>
        <w:rPr>
          <w:rStyle w:val="1262"/>
          <w:rFonts w:hint="eastAsia" w:ascii="宋体" w:hAnsi="宋体" w:eastAsia="宋体" w:cs="宋体"/>
          <w:i w:val="0"/>
          <w:iCs w:val="0"/>
          <w:caps w:val="0"/>
          <w:color w:val="000000" w:themeColor="text1"/>
          <w:spacing w:val="0"/>
          <w:sz w:val="24"/>
          <w:szCs w:val="24"/>
          <w:highlight w:val="none"/>
          <w:u w:val="single"/>
          <w:shd w:val="clear" w:color="auto" w:fill="ffffff"/>
        </w:rPr>
        <w:t xml:space="preserve">）</w:t>
      </w:r>
      <w:r>
        <w:rPr>
          <w:rFonts w:hint="eastAsia" w:ascii="宋体" w:hAnsi="宋体" w:eastAsia="宋体" w:cs="宋体"/>
          <w:i w:val="0"/>
          <w:iCs w:val="0"/>
          <w:caps w:val="0"/>
          <w:color w:val="000000" w:themeColor="text1"/>
          <w:spacing w:val="0"/>
          <w:sz w:val="24"/>
          <w:szCs w:val="24"/>
          <w:highlight w:val="none"/>
          <w:shd w:val="clear" w:color="auto" w:fill="ffffff"/>
        </w:rPr>
        <w:t xml:space="preserve">，生产厂为</w:t>
      </w:r>
      <w:r>
        <w:rPr>
          <w:rStyle w:val="1262"/>
          <w:rFonts w:hint="eastAsia" w:ascii="宋体" w:hAnsi="宋体" w:eastAsia="宋体" w:cs="宋体"/>
          <w:i w:val="0"/>
          <w:iCs w:val="0"/>
          <w:caps w:val="0"/>
          <w:color w:val="000000" w:themeColor="text1"/>
          <w:spacing w:val="0"/>
          <w:sz w:val="24"/>
          <w:szCs w:val="24"/>
          <w:highlight w:val="none"/>
          <w:u w:val="single"/>
          <w:shd w:val="clear" w:color="auto" w:fill="ffffff"/>
        </w:rPr>
        <w:t xml:space="preserve">（厂名）</w:t>
      </w:r>
      <w:r>
        <w:rPr>
          <w:rFonts w:hint="eastAsia" w:ascii="宋体" w:hAnsi="宋体" w:eastAsia="宋体" w:cs="宋体"/>
          <w:i w:val="0"/>
          <w:iCs w:val="0"/>
          <w:caps w:val="0"/>
          <w:color w:val="000000" w:themeColor="text1"/>
          <w:spacing w:val="0"/>
          <w:sz w:val="24"/>
          <w:szCs w:val="24"/>
          <w:highlight w:val="none"/>
          <w:shd w:val="clear" w:color="auto" w:fill="ffffff"/>
        </w:rPr>
        <w:t xml:space="preserve">，厂址为</w:t>
      </w:r>
      <w:r>
        <w:rPr>
          <w:rStyle w:val="1262"/>
          <w:rFonts w:hint="eastAsia" w:ascii="宋体" w:hAnsi="宋体" w:eastAsia="宋体" w:cs="宋体"/>
          <w:i w:val="0"/>
          <w:iCs w:val="0"/>
          <w:caps w:val="0"/>
          <w:color w:val="000000" w:themeColor="text1"/>
          <w:spacing w:val="0"/>
          <w:sz w:val="24"/>
          <w:szCs w:val="24"/>
          <w:highlight w:val="none"/>
          <w:u w:val="single"/>
          <w:shd w:val="clear" w:color="auto" w:fill="ffffff"/>
        </w:rPr>
        <w:t xml:space="preserve">（生产厂址）</w:t>
      </w:r>
      <w:r>
        <w:rPr>
          <w:rFonts w:hint="eastAsia" w:ascii="宋体" w:hAnsi="宋体" w:eastAsia="宋体" w:cs="宋体"/>
          <w:i w:val="0"/>
          <w:iCs w:val="0"/>
          <w:caps w:val="0"/>
          <w:color w:val="000000" w:themeColor="text1"/>
          <w:spacing w:val="0"/>
          <w:sz w:val="24"/>
          <w:szCs w:val="24"/>
          <w:highlight w:val="none"/>
          <w:shd w:val="clear" w:color="auto" w:fill="ffffff"/>
        </w:rPr>
        <w:t xml:space="preserve">。</w:t>
      </w:r>
      <w:r>
        <w:rPr>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rPr>
        <w:t xml:space="preserve"> </w:t>
      </w:r>
      <w:r>
        <w:rPr>
          <w:rStyle w:val="1262"/>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themeColor="text1"/>
          <w:spacing w:val="0"/>
          <w:sz w:val="24"/>
          <w:szCs w:val="24"/>
          <w:highlight w:val="none"/>
          <w:shd w:val="clear" w:color="auto" w:fill="ffffff"/>
        </w:rPr>
        <w:t xml:space="preserve">的中国境内生产的组件成本占比≥</w:t>
      </w:r>
      <w:r>
        <w:rPr>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rPr>
        <w:t xml:space="preserve">  </w:t>
      </w:r>
      <w:r>
        <w:rPr>
          <w:rStyle w:val="1262"/>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themeColor="text1"/>
          <w:spacing w:val="0"/>
          <w:sz w:val="24"/>
          <w:szCs w:val="24"/>
          <w:highlight w:val="none"/>
          <w:shd w:val="clear" w:color="auto" w:fill="ffffff"/>
        </w:rPr>
        <w:t xml:space="preserve">。</w:t>
      </w:r>
      <w:r>
        <w:rPr>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rPr>
        <w:t xml:space="preserve">  </w:t>
      </w:r>
      <w:r>
        <w:rPr>
          <w:rStyle w:val="1262"/>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themeColor="text1"/>
          <w:spacing w:val="0"/>
          <w:sz w:val="24"/>
          <w:szCs w:val="24"/>
          <w:highlight w:val="none"/>
          <w:shd w:val="clear" w:color="auto" w:fill="ffffff"/>
        </w:rPr>
        <w:t xml:space="preserve">的</w:t>
      </w:r>
      <w:r>
        <w:rPr>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rPr>
        <w:t xml:space="preserve">  </w:t>
      </w:r>
      <w:r>
        <w:rPr>
          <w:rStyle w:val="1262"/>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themeColor="text1"/>
          <w:spacing w:val="0"/>
          <w:sz w:val="24"/>
          <w:szCs w:val="24"/>
          <w:highlight w:val="none"/>
          <w:shd w:val="clear" w:color="auto" w:fill="ffffff"/>
        </w:rPr>
        <w:t xml:space="preserve">在中国境内生产。</w:t>
      </w:r>
      <w:r>
        <w:rPr>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rPr>
        <w:t xml:space="preserve">  </w:t>
      </w:r>
      <w:r>
        <w:rPr>
          <w:rStyle w:val="1262"/>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themeColor="text1"/>
          <w:spacing w:val="0"/>
          <w:sz w:val="24"/>
          <w:szCs w:val="24"/>
          <w:highlight w:val="none"/>
          <w:shd w:val="clear" w:color="auto" w:fill="ffffff"/>
        </w:rPr>
        <w:t xml:space="preserve">的</w:t>
      </w:r>
      <w:r>
        <w:rPr>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rPr>
        <w:t xml:space="preserve">  </w:t>
      </w:r>
      <w:r>
        <w:rPr>
          <w:rStyle w:val="1262"/>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themeColor="text1"/>
          <w:spacing w:val="0"/>
          <w:sz w:val="24"/>
          <w:szCs w:val="24"/>
          <w:highlight w:val="none"/>
          <w:shd w:val="clear" w:color="auto" w:fill="ffffff"/>
        </w:rPr>
        <w:t xml:space="preserve">在中国境内完成。</w:t>
      </w:r>
      <w:r>
        <w:rPr>
          <w:rFonts w:hint="eastAsia" w:ascii="宋体" w:hAnsi="宋体" w:eastAsia="宋体" w:cs="宋体"/>
          <w:i w:val="0"/>
          <w:iCs w:val="0"/>
          <w:caps w:val="0"/>
          <w:color w:val="000000" w:themeColor="text1"/>
          <w:spacing w:val="0"/>
          <w:sz w:val="24"/>
          <w:szCs w:val="24"/>
          <w:highlight w:val="none"/>
        </w:rPr>
      </w:r>
      <w:r>
        <w:rPr>
          <w:color w:val="000000" w:themeColor="text1"/>
        </w:rPr>
      </w:r>
    </w:p>
    <w:p>
      <w:pPr>
        <w:pStyle w:val="1337"/>
        <w:ind w:left="0" w:right="0" w:firstLine="42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themeColor="text1"/>
          <w:spacing w:val="0"/>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rPr>
        <w:t xml:space="preserve">……</w:t>
      </w:r>
      <w:r>
        <w:rPr>
          <w:rFonts w:hint="eastAsia" w:ascii="宋体" w:hAnsi="宋体" w:eastAsia="宋体" w:cs="宋体"/>
          <w:i w:val="0"/>
          <w:iCs w:val="0"/>
          <w:caps w:val="0"/>
          <w:color w:val="000000" w:themeColor="text1"/>
          <w:spacing w:val="0"/>
          <w:sz w:val="24"/>
          <w:szCs w:val="24"/>
          <w:highlight w:val="none"/>
        </w:rPr>
      </w:r>
      <w:r>
        <w:rPr>
          <w:color w:val="000000" w:themeColor="text1"/>
        </w:rPr>
      </w:r>
    </w:p>
    <w:p>
      <w:pPr>
        <w:pStyle w:val="1337"/>
        <w:ind w:left="0" w:right="0" w:firstLine="42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themeColor="text1"/>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rPr>
      </w:r>
      <w:r>
        <w:rPr>
          <w:color w:val="000000" w:themeColor="text1"/>
        </w:rPr>
      </w:r>
    </w:p>
    <w:p>
      <w:pPr>
        <w:pStyle w:val="1337"/>
        <w:ind w:left="0" w:right="0" w:firstLine="42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themeColor="text1"/>
          <w:spacing w:val="0"/>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rPr>
        <w:t xml:space="preserve">本公司（单位）对上述声明内容的真实性负责。如有虚假，愿承担相应法律责任。</w:t>
      </w:r>
      <w:r>
        <w:rPr>
          <w:rFonts w:hint="eastAsia" w:ascii="宋体" w:hAnsi="宋体" w:eastAsia="宋体" w:cs="宋体"/>
          <w:i w:val="0"/>
          <w:iCs w:val="0"/>
          <w:caps w:val="0"/>
          <w:color w:val="000000" w:themeColor="text1"/>
          <w:spacing w:val="0"/>
          <w:sz w:val="24"/>
          <w:szCs w:val="24"/>
          <w:highlight w:val="none"/>
        </w:rPr>
      </w:r>
      <w:r>
        <w:rPr>
          <w:color w:val="000000" w:themeColor="text1"/>
        </w:rPr>
      </w:r>
    </w:p>
    <w:p>
      <w:pPr>
        <w:pStyle w:val="1337"/>
        <w:ind w:left="0" w:right="0" w:firstLine="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themeColor="text1"/>
          <w:spacing w:val="0"/>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iCs w:val="0"/>
          <w:caps w:val="0"/>
          <w:color w:val="000000" w:themeColor="text1"/>
          <w:spacing w:val="0"/>
          <w:sz w:val="24"/>
          <w:szCs w:val="24"/>
          <w:highlight w:val="none"/>
        </w:rPr>
      </w:r>
      <w:r>
        <w:rPr>
          <w:color w:val="000000" w:themeColor="text1"/>
        </w:rPr>
      </w:r>
    </w:p>
    <w:p>
      <w:pPr>
        <w:pStyle w:val="1337"/>
        <w:ind w:left="0" w:right="0" w:firstLine="0"/>
        <w:jc w:val="right"/>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themeColor="text1"/>
          <w:spacing w:val="0"/>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rPr>
        <w:t xml:space="preserve">     </w:t>
      </w:r>
      <w:r>
        <w:rPr>
          <w:rFonts w:hint="eastAsia" w:ascii="宋体" w:hAnsi="宋体" w:eastAsia="宋体" w:cs="宋体"/>
          <w:i w:val="0"/>
          <w:iCs w:val="0"/>
          <w:caps w:val="0"/>
          <w:color w:val="000000" w:themeColor="text1"/>
          <w:spacing w:val="0"/>
          <w:sz w:val="24"/>
          <w:szCs w:val="24"/>
          <w:highlight w:val="none"/>
          <w:shd w:val="clear" w:color="auto" w:fill="ffffff"/>
        </w:rPr>
        <w:t xml:space="preserve">公司（单位）名称（</w:t>
      </w:r>
      <w:r>
        <w:rPr>
          <w:rFonts w:hint="eastAsia" w:ascii="宋体" w:hAnsi="宋体" w:eastAsia="宋体" w:cs="宋体"/>
          <w:i w:val="0"/>
          <w:iCs w:val="0"/>
          <w:caps w:val="0"/>
          <w:color w:val="000000" w:themeColor="text1"/>
          <w:spacing w:val="0"/>
          <w:sz w:val="24"/>
          <w:szCs w:val="24"/>
          <w:highlight w:val="none"/>
          <w:shd w:val="clear" w:color="auto" w:fill="ffffff"/>
          <w:lang w:eastAsia="zh-CN"/>
        </w:rPr>
        <w:t xml:space="preserve">加盖</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rPr>
        <w:t xml:space="preserve">CA电子公章</w:t>
      </w:r>
      <w:r>
        <w:rPr>
          <w:rFonts w:hint="eastAsia" w:ascii="宋体" w:hAnsi="宋体" w:eastAsia="宋体" w:cs="宋体"/>
          <w:i w:val="0"/>
          <w:iCs w:val="0"/>
          <w:caps w:val="0"/>
          <w:color w:val="000000" w:themeColor="text1"/>
          <w:spacing w:val="0"/>
          <w:sz w:val="24"/>
          <w:szCs w:val="24"/>
          <w:highlight w:val="none"/>
          <w:shd w:val="clear" w:color="auto" w:fill="ffffff"/>
        </w:rPr>
        <w:t xml:space="preserve">）：　        </w:t>
      </w:r>
      <w:r>
        <w:rPr>
          <w:rFonts w:hint="eastAsia" w:ascii="宋体" w:hAnsi="宋体" w:eastAsia="宋体" w:cs="宋体"/>
          <w:i w:val="0"/>
          <w:iCs w:val="0"/>
          <w:caps w:val="0"/>
          <w:color w:val="000000" w:themeColor="text1"/>
          <w:spacing w:val="0"/>
          <w:sz w:val="24"/>
          <w:szCs w:val="24"/>
          <w:highlight w:val="none"/>
        </w:rPr>
      </w:r>
      <w:r>
        <w:rPr>
          <w:color w:val="000000" w:themeColor="text1"/>
        </w:rPr>
      </w:r>
    </w:p>
    <w:p>
      <w:pPr>
        <w:pStyle w:val="1337"/>
        <w:ind w:left="0" w:right="0" w:firstLine="0"/>
        <w:jc w:val="center"/>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themeColor="text1"/>
          <w:spacing w:val="0"/>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rPr>
        <w:t xml:space="preserve">                 </w:t>
      </w:r>
      <w:r>
        <w:rPr>
          <w:rFonts w:hint="eastAsia" w:ascii="宋体" w:hAnsi="宋体" w:eastAsia="宋体" w:cs="宋体"/>
          <w:i w:val="0"/>
          <w:iCs w:val="0"/>
          <w:caps w:val="0"/>
          <w:color w:val="000000" w:themeColor="text1"/>
          <w:spacing w:val="0"/>
          <w:sz w:val="24"/>
          <w:szCs w:val="24"/>
          <w:highlight w:val="none"/>
          <w:shd w:val="clear" w:color="auto" w:fill="ffffff"/>
        </w:rPr>
        <w:t xml:space="preserve">日期：</w:t>
      </w:r>
      <w:r>
        <w:rPr>
          <w:rFonts w:hint="eastAsia" w:ascii="宋体" w:hAnsi="宋体" w:eastAsia="宋体" w:cs="宋体"/>
          <w:color w:val="000000" w:themeColor="text1"/>
          <w:sz w:val="24"/>
          <w:szCs w:val="21"/>
          <w:highlight w:val="none"/>
        </w:rPr>
        <w:t xml:space="preserve">___年____月____日</w:t>
      </w:r>
      <w:r>
        <w:rPr>
          <w:rFonts w:hint="eastAsia" w:ascii="宋体" w:hAnsi="宋体" w:eastAsia="宋体" w:cs="宋体"/>
          <w:i w:val="0"/>
          <w:iCs w:val="0"/>
          <w:caps w:val="0"/>
          <w:color w:val="000000" w:themeColor="text1"/>
          <w:spacing w:val="0"/>
          <w:sz w:val="24"/>
          <w:szCs w:val="24"/>
          <w:highlight w:val="none"/>
          <w:shd w:val="clear" w:color="auto" w:fill="ffffff"/>
        </w:rPr>
        <w:t xml:space="preserve">        </w:t>
      </w:r>
      <w:r>
        <w:rPr>
          <w:rFonts w:hint="eastAsia" w:ascii="宋体" w:hAnsi="宋体" w:eastAsia="宋体" w:cs="宋体"/>
          <w:i w:val="0"/>
          <w:iCs w:val="0"/>
          <w:caps w:val="0"/>
          <w:color w:val="000000" w:themeColor="text1"/>
          <w:spacing w:val="0"/>
          <w:sz w:val="24"/>
          <w:szCs w:val="24"/>
          <w:highlight w:val="none"/>
        </w:rPr>
      </w:r>
      <w:r>
        <w:rPr>
          <w:color w:val="000000" w:themeColor="text1"/>
        </w:rPr>
      </w:r>
    </w:p>
    <w:p>
      <w:pPr>
        <w:pStyle w:val="1337"/>
        <w:ind w:left="0" w:right="0" w:firstLine="0"/>
        <w:jc w:val="left"/>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themeColor="text1"/>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rPr>
      </w:r>
      <w:r>
        <w:rPr>
          <w:color w:val="000000" w:themeColor="text1"/>
        </w:rPr>
      </w:r>
    </w:p>
    <w:p>
      <w:pPr>
        <w:pStyle w:val="1337"/>
        <w:ind w:left="0" w:right="0" w:firstLine="0"/>
        <w:jc w:val="left"/>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themeColor="text1"/>
          <w:spacing w:val="0"/>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rPr>
        <w:t xml:space="preserve">__________________</w:t>
      </w:r>
      <w:r>
        <w:rPr>
          <w:rFonts w:hint="eastAsia" w:ascii="宋体" w:hAnsi="宋体" w:eastAsia="宋体" w:cs="宋体"/>
          <w:i w:val="0"/>
          <w:iCs w:val="0"/>
          <w:caps w:val="0"/>
          <w:color w:val="000000" w:themeColor="text1"/>
          <w:spacing w:val="0"/>
          <w:sz w:val="24"/>
          <w:szCs w:val="24"/>
          <w:highlight w:val="none"/>
        </w:rPr>
      </w:r>
      <w:r>
        <w:rPr>
          <w:color w:val="000000" w:themeColor="text1"/>
        </w:rPr>
      </w:r>
    </w:p>
    <w:p>
      <w:pPr>
        <w:pStyle w:val="1337"/>
        <w:ind w:right="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themeColor="text1"/>
          <w:spacing w:val="0"/>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rPr>
        <w:t xml:space="preserve">1.产品如有型号，请在“产品名称”栏一并填写。</w:t>
      </w:r>
      <w:r>
        <w:rPr>
          <w:rFonts w:hint="eastAsia" w:ascii="宋体" w:hAnsi="宋体" w:eastAsia="宋体" w:cs="宋体"/>
          <w:i w:val="0"/>
          <w:iCs w:val="0"/>
          <w:caps w:val="0"/>
          <w:color w:val="000000" w:themeColor="text1"/>
          <w:spacing w:val="0"/>
          <w:sz w:val="24"/>
          <w:szCs w:val="24"/>
          <w:highlight w:val="none"/>
        </w:rPr>
      </w:r>
      <w:r>
        <w:rPr>
          <w:color w:val="000000" w:themeColor="text1"/>
        </w:rPr>
      </w:r>
    </w:p>
    <w:p>
      <w:pPr>
        <w:pStyle w:val="1337"/>
        <w:ind w:right="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themeColor="text1"/>
          <w:spacing w:val="0"/>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rPr>
        <w:t xml:space="preserve">2.生产厂名与厂址应与生产厂营业执照载明的相关信息保持一致。</w:t>
      </w:r>
      <w:r>
        <w:rPr>
          <w:rFonts w:hint="eastAsia" w:ascii="宋体" w:hAnsi="宋体" w:eastAsia="宋体" w:cs="宋体"/>
          <w:i w:val="0"/>
          <w:iCs w:val="0"/>
          <w:caps w:val="0"/>
          <w:color w:val="000000" w:themeColor="text1"/>
          <w:spacing w:val="0"/>
          <w:sz w:val="24"/>
          <w:szCs w:val="24"/>
          <w:highlight w:val="none"/>
        </w:rPr>
      </w:r>
      <w:r>
        <w:rPr>
          <w:color w:val="000000" w:themeColor="text1"/>
        </w:rPr>
      </w:r>
    </w:p>
    <w:p>
      <w:pPr>
        <w:pStyle w:val="1337"/>
        <w:ind w:right="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themeColor="text1"/>
          <w:spacing w:val="0"/>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rPr>
        <w:t xml:space="preserve">3.该产品的中国境内生产的组件成本占比相关要求实施前，“规定比例”栏可不填，下同。</w:t>
      </w:r>
      <w:r>
        <w:rPr>
          <w:rFonts w:hint="eastAsia" w:ascii="宋体" w:hAnsi="宋体" w:eastAsia="宋体" w:cs="宋体"/>
          <w:i w:val="0"/>
          <w:iCs w:val="0"/>
          <w:caps w:val="0"/>
          <w:color w:val="000000" w:themeColor="text1"/>
          <w:spacing w:val="0"/>
          <w:sz w:val="24"/>
          <w:szCs w:val="24"/>
          <w:highlight w:val="none"/>
        </w:rPr>
      </w:r>
      <w:r>
        <w:rPr>
          <w:color w:val="000000" w:themeColor="text1"/>
        </w:rPr>
      </w:r>
    </w:p>
    <w:p>
      <w:pPr>
        <w:pStyle w:val="1337"/>
        <w:ind w:right="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themeColor="text1"/>
          <w:spacing w:val="0"/>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rPr>
        <w:t xml:space="preserve">4.该产品的关键组件要求实施前，“关键组件”栏可不填，下同。</w:t>
      </w:r>
      <w:r>
        <w:rPr>
          <w:rFonts w:hint="eastAsia" w:ascii="宋体" w:hAnsi="宋体" w:eastAsia="宋体" w:cs="宋体"/>
          <w:i w:val="0"/>
          <w:iCs w:val="0"/>
          <w:caps w:val="0"/>
          <w:color w:val="000000" w:themeColor="text1"/>
          <w:spacing w:val="0"/>
          <w:sz w:val="24"/>
          <w:szCs w:val="24"/>
          <w:highlight w:val="none"/>
        </w:rPr>
      </w:r>
      <w:r>
        <w:rPr>
          <w:color w:val="000000" w:themeColor="text1"/>
        </w:rPr>
      </w:r>
    </w:p>
    <w:p>
      <w:pPr>
        <w:pStyle w:val="1337"/>
        <w:ind w:right="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themeColor="text1"/>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rPr>
        <w:t xml:space="preserve">5.该产品的关键工序要求实施前，“关键工序”栏可不填，下同。</w:t>
      </w:r>
      <w:r>
        <w:rPr>
          <w:rFonts w:hint="eastAsia" w:ascii="宋体" w:hAnsi="宋体" w:eastAsia="宋体" w:cs="宋体"/>
          <w:i w:val="0"/>
          <w:iCs w:val="0"/>
          <w:caps w:val="0"/>
          <w:color w:val="000000" w:themeColor="text1"/>
          <w:spacing w:val="0"/>
          <w:sz w:val="24"/>
          <w:szCs w:val="24"/>
          <w:highlight w:val="none"/>
          <w:shd w:val="clear" w:color="auto" w:fill="ffffff"/>
        </w:rPr>
      </w:r>
      <w:r>
        <w:rPr>
          <w:color w:val="000000" w:themeColor="text1"/>
        </w:rPr>
      </w:r>
    </w:p>
    <w:p>
      <w:pPr>
        <w:pStyle w:val="1337"/>
        <w:ind w:right="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themeColor="text1"/>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rPr>
        <w:t xml:space="preserve">6.《声明函》中标注“</w:t>
      </w:r>
      <w:r>
        <w:rPr>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rPr>
        <w:t xml:space="preserve">  </w:t>
      </w:r>
      <w:r>
        <w:rPr>
          <w:rStyle w:val="1262"/>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rPr>
        <w:t xml:space="preserve">”的地方无需填写。</w:t>
      </w:r>
      <w:r>
        <w:rPr>
          <w:rFonts w:hint="eastAsia" w:ascii="宋体" w:hAnsi="宋体" w:eastAsia="宋体" w:cs="宋体"/>
          <w:i w:val="0"/>
          <w:iCs w:val="0"/>
          <w:caps w:val="0"/>
          <w:color w:val="000000" w:themeColor="text1"/>
          <w:spacing w:val="0"/>
          <w:sz w:val="24"/>
          <w:szCs w:val="24"/>
          <w:highlight w:val="none"/>
          <w:shd w:val="clear" w:color="auto" w:fill="ffffff"/>
        </w:rPr>
      </w:r>
      <w:r>
        <w:rPr>
          <w:color w:val="000000" w:themeColor="text1"/>
        </w:rPr>
      </w:r>
    </w:p>
    <w:p>
      <w:pPr>
        <w:pStyle w:val="1012"/>
        <w:ind w:firstLine="643"/>
        <w:jc w:val="center"/>
        <w:spacing w:line="480" w:lineRule="exact"/>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rPr>
      </w:r>
      <w:r>
        <w:rPr>
          <w:color w:val="000000" w:themeColor="text1"/>
        </w:rPr>
      </w:r>
    </w:p>
    <w:p>
      <w:pPr>
        <w:pStyle w:val="1071"/>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rPr>
      </w:r>
      <w:r>
        <w:rPr>
          <w:color w:val="000000" w:themeColor="text1"/>
        </w:rPr>
      </w:r>
    </w:p>
    <w:p>
      <w:pPr>
        <w:pStyle w:val="1012"/>
        <w:rPr>
          <w:rFonts w:hint="eastAsia"/>
          <w:color w:val="000000" w:themeColor="text1"/>
          <w:highlight w:val="none"/>
        </w:rPr>
      </w:pPr>
      <w:r>
        <w:rPr>
          <w:rFonts w:hint="eastAsia"/>
          <w:color w:val="000000" w:themeColor="text1"/>
          <w:highlight w:val="none"/>
        </w:rPr>
      </w:r>
      <w:r>
        <w:rPr>
          <w:color w:val="000000" w:themeColor="text1"/>
        </w:rPr>
      </w:r>
    </w:p>
    <w:p>
      <w:pPr>
        <w:pStyle w:val="1012"/>
        <w:rPr>
          <w:rFonts w:hint="eastAsia"/>
          <w:color w:val="000000" w:themeColor="text1"/>
          <w:highlight w:val="none"/>
        </w:rPr>
      </w:pPr>
      <w:r>
        <w:rPr>
          <w:rFonts w:hint="eastAsia"/>
          <w:color w:val="000000" w:themeColor="text1"/>
          <w:highlight w:val="none"/>
        </w:rPr>
      </w:r>
      <w:r>
        <w:rPr>
          <w:color w:val="000000" w:themeColor="text1"/>
        </w:rPr>
      </w:r>
    </w:p>
    <w:p>
      <w:pPr>
        <w:pStyle w:val="1012"/>
        <w:jc w:val="center"/>
        <w:rPr>
          <w:rFonts w:hint="eastAsia" w:ascii="宋体" w:hAnsi="宋体" w:cs="仿宋"/>
          <w:b/>
          <w:bCs/>
          <w:color w:val="000000" w:themeColor="text1"/>
          <w:sz w:val="32"/>
          <w:szCs w:val="32"/>
          <w:highlight w:val="none"/>
        </w:rPr>
      </w:pPr>
      <w:r>
        <w:rPr>
          <w:rFonts w:hint="eastAsia" w:ascii="宋体" w:hAnsi="宋体" w:cs="仿宋"/>
          <w:b/>
          <w:bCs/>
          <w:color w:val="000000" w:themeColor="text1"/>
          <w:sz w:val="32"/>
          <w:szCs w:val="32"/>
          <w:highlight w:val="none"/>
        </w:rPr>
      </w:r>
      <w:r>
        <w:rPr>
          <w:color w:val="000000" w:themeColor="text1"/>
        </w:rPr>
      </w:r>
    </w:p>
    <w:p>
      <w:pPr>
        <w:pStyle w:val="1012"/>
        <w:jc w:val="center"/>
        <w:rPr>
          <w:rFonts w:hint="eastAsia" w:ascii="宋体" w:hAnsi="宋体" w:eastAsia="宋体" w:cs="宋体"/>
          <w:b/>
          <w:bCs/>
          <w:color w:val="000000" w:themeColor="text1"/>
          <w:sz w:val="44"/>
          <w:szCs w:val="44"/>
          <w:highlight w:val="none"/>
        </w:rPr>
      </w:pPr>
      <w:r>
        <w:rPr>
          <w:rFonts w:hint="eastAsia" w:ascii="宋体" w:hAnsi="宋体" w:eastAsia="宋体" w:cs="宋体"/>
          <w:b/>
          <w:bCs/>
          <w:color w:val="000000" w:themeColor="text1"/>
          <w:sz w:val="44"/>
          <w:szCs w:val="44"/>
          <w:highlight w:val="none"/>
        </w:rPr>
        <w:t xml:space="preserve">质疑函范本</w:t>
      </w:r>
      <w:r>
        <w:rPr>
          <w:rFonts w:hint="eastAsia" w:ascii="宋体" w:hAnsi="宋体" w:eastAsia="宋体" w:cs="宋体"/>
          <w:b/>
          <w:bCs/>
          <w:color w:val="000000" w:themeColor="text1"/>
          <w:sz w:val="44"/>
          <w:szCs w:val="44"/>
          <w:highlight w:val="none"/>
        </w:rPr>
      </w:r>
      <w:r>
        <w:rPr>
          <w:color w:val="000000" w:themeColor="text1"/>
        </w:rPr>
      </w:r>
    </w:p>
    <w:p>
      <w:pPr>
        <w:pStyle w:val="1012"/>
        <w:ind w:firstLine="198"/>
        <w:keepLines w:val="0"/>
        <w:keepNext w:val="0"/>
        <w:pageBreakBefore w:val="0"/>
        <w:spacing w:line="500" w:lineRule="exact"/>
        <w:widowControl w:val="off"/>
        <w:rPr>
          <w:rFonts w:hint="eastAsia" w:ascii="黑体" w:hAnsi="黑体" w:eastAsia="黑体" w:cs="仿宋"/>
          <w:bCs/>
          <w:color w:val="000000" w:themeColor="text1"/>
          <w:sz w:val="32"/>
          <w:szCs w:val="32"/>
          <w:highlight w:val="none"/>
        </w:rPr>
        <w:outlineLvl w:val="9"/>
      </w:pPr>
      <w:r>
        <w:rPr>
          <w:rFonts w:hint="eastAsia" w:ascii="黑体" w:hAnsi="黑体" w:eastAsia="黑体" w:cs="仿宋"/>
          <w:bCs/>
          <w:color w:val="000000" w:themeColor="text1"/>
          <w:sz w:val="32"/>
          <w:szCs w:val="32"/>
          <w:highlight w:val="none"/>
        </w:rPr>
      </w:r>
      <w:r>
        <w:rPr>
          <w:color w:val="000000" w:themeColor="text1"/>
        </w:rPr>
      </w:r>
    </w:p>
    <w:p>
      <w:pPr>
        <w:pStyle w:val="1012"/>
        <w:ind w:firstLine="198"/>
        <w:keepLines w:val="0"/>
        <w:keepNext w:val="0"/>
        <w:pageBreakBefore w:val="0"/>
        <w:spacing w:line="500" w:lineRule="exact"/>
        <w:widowControl w:val="off"/>
        <w:rPr>
          <w:rFonts w:ascii="黑体" w:hAnsi="黑体" w:eastAsia="黑体" w:cs="仿宋"/>
          <w:bCs/>
          <w:color w:val="000000" w:themeColor="text1"/>
          <w:sz w:val="32"/>
          <w:szCs w:val="32"/>
          <w:highlight w:val="none"/>
        </w:rPr>
        <w:outlineLvl w:val="9"/>
      </w:pPr>
      <w:r>
        <w:rPr>
          <w:rFonts w:hint="eastAsia" w:ascii="黑体" w:hAnsi="黑体" w:eastAsia="黑体" w:cs="仿宋"/>
          <w:bCs/>
          <w:color w:val="000000" w:themeColor="text1"/>
          <w:sz w:val="32"/>
          <w:szCs w:val="32"/>
          <w:highlight w:val="none"/>
        </w:rPr>
        <w:t xml:space="preserve">一、质疑供应商基本信息</w:t>
      </w:r>
      <w:r>
        <w:rPr>
          <w:rFonts w:ascii="黑体" w:hAnsi="黑体" w:eastAsia="黑体" w:cs="仿宋"/>
          <w:bCs/>
          <w:color w:val="000000" w:themeColor="text1"/>
          <w:sz w:val="32"/>
          <w:szCs w:val="32"/>
          <w:highlight w:val="none"/>
        </w:rPr>
      </w:r>
      <w:r>
        <w:rPr>
          <w:color w:val="000000" w:themeColor="text1"/>
        </w:rPr>
      </w:r>
    </w:p>
    <w:p>
      <w:pPr>
        <w:pStyle w:val="1012"/>
        <w:ind w:firstLine="198"/>
        <w:keepLines w:val="0"/>
        <w:keepNext w:val="0"/>
        <w:pageBreakBefore w:val="0"/>
        <w:spacing w:line="500" w:lineRule="exact"/>
        <w:widowControl w:val="off"/>
        <w:rPr>
          <w:rFonts w:ascii="仿宋" w:hAnsi="仿宋" w:eastAsia="仿宋" w:cs="仿宋"/>
          <w:color w:val="000000" w:themeColor="text1"/>
          <w:sz w:val="32"/>
          <w:szCs w:val="32"/>
          <w:highlight w:val="none"/>
          <w:u w:val="single"/>
        </w:rPr>
        <w:outlineLvl w:val="9"/>
      </w:pPr>
      <w:r>
        <w:rPr>
          <w:rFonts w:hint="eastAsia" w:ascii="仿宋" w:hAnsi="仿宋" w:eastAsia="仿宋" w:cs="仿宋"/>
          <w:color w:val="000000" w:themeColor="text1"/>
          <w:sz w:val="32"/>
          <w:szCs w:val="32"/>
          <w:highlight w:val="none"/>
        </w:rPr>
        <w:t xml:space="preserve">质疑供应商：</w:t>
      </w:r>
      <w:r>
        <w:rPr>
          <w:rFonts w:hint="eastAsia" w:ascii="仿宋" w:hAnsi="仿宋" w:eastAsia="仿宋" w:cs="仿宋"/>
          <w:color w:val="000000" w:themeColor="text1"/>
          <w:sz w:val="32"/>
          <w:szCs w:val="32"/>
          <w:highlight w:val="none"/>
          <w:u w:val="single"/>
        </w:rPr>
        <w:t xml:space="preserve">                                        </w:t>
      </w:r>
      <w:r>
        <w:rPr>
          <w:rFonts w:ascii="仿宋" w:hAnsi="仿宋" w:eastAsia="仿宋" w:cs="仿宋"/>
          <w:color w:val="000000" w:themeColor="text1"/>
          <w:sz w:val="32"/>
          <w:szCs w:val="32"/>
          <w:highlight w:val="none"/>
          <w:u w:val="single"/>
        </w:rPr>
      </w:r>
      <w:r>
        <w:rPr>
          <w:color w:val="000000" w:themeColor="text1"/>
        </w:rPr>
      </w:r>
    </w:p>
    <w:p>
      <w:pPr>
        <w:pStyle w:val="1012"/>
        <w:ind w:firstLine="198"/>
        <w:keepLines w:val="0"/>
        <w:keepNext w:val="0"/>
        <w:pageBreakBefore w:val="0"/>
        <w:spacing w:line="500" w:lineRule="exact"/>
        <w:widowControl w:val="off"/>
        <w:rPr>
          <w:rFonts w:ascii="仿宋" w:hAnsi="仿宋" w:eastAsia="仿宋" w:cs="仿宋"/>
          <w:color w:val="000000" w:themeColor="text1"/>
          <w:sz w:val="32"/>
          <w:szCs w:val="32"/>
          <w:highlight w:val="none"/>
        </w:rPr>
        <w:outlineLvl w:val="9"/>
      </w:pPr>
      <w:r>
        <w:rPr>
          <w:rFonts w:hint="eastAsia" w:ascii="仿宋" w:hAnsi="仿宋" w:eastAsia="仿宋" w:cs="仿宋"/>
          <w:color w:val="000000" w:themeColor="text1"/>
          <w:sz w:val="32"/>
          <w:szCs w:val="32"/>
          <w:highlight w:val="none"/>
        </w:rPr>
        <w:t xml:space="preserve">地址：</w:t>
      </w:r>
      <w:r>
        <w:rPr>
          <w:rFonts w:hint="eastAsia" w:ascii="仿宋" w:hAnsi="仿宋" w:eastAsia="仿宋" w:cs="仿宋"/>
          <w:color w:val="000000" w:themeColor="text1"/>
          <w:sz w:val="32"/>
          <w:szCs w:val="32"/>
          <w:highlight w:val="none"/>
          <w:u w:val="single"/>
        </w:rPr>
        <w:t xml:space="preserve">                          </w:t>
      </w:r>
      <w:r>
        <w:rPr>
          <w:rFonts w:hint="eastAsia" w:ascii="仿宋" w:hAnsi="仿宋" w:eastAsia="仿宋" w:cs="仿宋"/>
          <w:color w:val="000000" w:themeColor="text1"/>
          <w:sz w:val="32"/>
          <w:szCs w:val="32"/>
          <w:highlight w:val="none"/>
        </w:rPr>
        <w:t xml:space="preserve">邮编：</w:t>
      </w:r>
      <w:r>
        <w:rPr>
          <w:rFonts w:hint="eastAsia" w:ascii="仿宋" w:hAnsi="仿宋" w:eastAsia="仿宋" w:cs="仿宋"/>
          <w:color w:val="000000" w:themeColor="text1"/>
          <w:sz w:val="32"/>
          <w:szCs w:val="32"/>
          <w:highlight w:val="none"/>
          <w:u w:val="single"/>
        </w:rPr>
        <w:t xml:space="preserve">                                                   </w:t>
      </w:r>
      <w:r>
        <w:rPr>
          <w:rFonts w:ascii="仿宋" w:hAnsi="仿宋" w:eastAsia="仿宋" w:cs="仿宋"/>
          <w:color w:val="000000" w:themeColor="text1"/>
          <w:sz w:val="32"/>
          <w:szCs w:val="32"/>
          <w:highlight w:val="none"/>
        </w:rPr>
      </w:r>
      <w:r>
        <w:rPr>
          <w:color w:val="000000" w:themeColor="text1"/>
        </w:rPr>
      </w:r>
    </w:p>
    <w:p>
      <w:pPr>
        <w:pStyle w:val="1012"/>
        <w:ind w:firstLine="198"/>
        <w:keepLines w:val="0"/>
        <w:keepNext w:val="0"/>
        <w:pageBreakBefore w:val="0"/>
        <w:spacing w:line="500" w:lineRule="exact"/>
        <w:widowControl w:val="off"/>
        <w:rPr>
          <w:rFonts w:ascii="仿宋" w:hAnsi="仿宋" w:eastAsia="仿宋" w:cs="仿宋"/>
          <w:color w:val="000000" w:themeColor="text1"/>
          <w:sz w:val="32"/>
          <w:szCs w:val="32"/>
          <w:highlight w:val="none"/>
        </w:rPr>
        <w:outlineLvl w:val="9"/>
      </w:pPr>
      <w:r>
        <w:rPr>
          <w:rFonts w:hint="eastAsia" w:ascii="仿宋" w:hAnsi="仿宋" w:eastAsia="仿宋" w:cs="仿宋"/>
          <w:color w:val="000000" w:themeColor="text1"/>
          <w:sz w:val="32"/>
          <w:szCs w:val="32"/>
          <w:highlight w:val="none"/>
        </w:rPr>
        <w:t xml:space="preserve">联系人：</w:t>
      </w:r>
      <w:r>
        <w:rPr>
          <w:rFonts w:hint="eastAsia" w:ascii="仿宋" w:hAnsi="仿宋" w:eastAsia="仿宋" w:cs="仿宋"/>
          <w:color w:val="000000" w:themeColor="text1"/>
          <w:sz w:val="32"/>
          <w:szCs w:val="32"/>
          <w:highlight w:val="none"/>
          <w:u w:val="single"/>
        </w:rPr>
        <w:t xml:space="preserve">                      </w:t>
      </w:r>
      <w:r>
        <w:rPr>
          <w:rFonts w:hint="eastAsia" w:ascii="仿宋" w:hAnsi="仿宋" w:eastAsia="仿宋" w:cs="仿宋"/>
          <w:color w:val="000000" w:themeColor="text1"/>
          <w:sz w:val="32"/>
          <w:szCs w:val="32"/>
          <w:highlight w:val="none"/>
        </w:rPr>
        <w:t xml:space="preserve">联系电话：</w:t>
      </w:r>
      <w:r>
        <w:rPr>
          <w:rFonts w:hint="eastAsia" w:ascii="仿宋" w:hAnsi="仿宋" w:eastAsia="仿宋" w:cs="仿宋"/>
          <w:color w:val="000000" w:themeColor="text1"/>
          <w:sz w:val="32"/>
          <w:szCs w:val="32"/>
          <w:highlight w:val="none"/>
          <w:u w:val="single"/>
        </w:rPr>
        <w:t xml:space="preserve">                              </w:t>
      </w:r>
      <w:r>
        <w:rPr>
          <w:rFonts w:ascii="仿宋" w:hAnsi="仿宋" w:eastAsia="仿宋" w:cs="仿宋"/>
          <w:color w:val="000000" w:themeColor="text1"/>
          <w:sz w:val="32"/>
          <w:szCs w:val="32"/>
          <w:highlight w:val="none"/>
        </w:rPr>
      </w:r>
      <w:r>
        <w:rPr>
          <w:color w:val="000000" w:themeColor="text1"/>
        </w:rPr>
      </w:r>
    </w:p>
    <w:p>
      <w:pPr>
        <w:pStyle w:val="1012"/>
        <w:ind w:firstLine="198"/>
        <w:keepLines w:val="0"/>
        <w:keepNext w:val="0"/>
        <w:pageBreakBefore w:val="0"/>
        <w:spacing w:line="500" w:lineRule="exact"/>
        <w:widowControl w:val="off"/>
        <w:rPr>
          <w:rFonts w:ascii="仿宋" w:hAnsi="仿宋" w:eastAsia="仿宋" w:cs="仿宋"/>
          <w:color w:val="000000" w:themeColor="text1"/>
          <w:sz w:val="32"/>
          <w:szCs w:val="32"/>
          <w:highlight w:val="none"/>
          <w:u w:val="single"/>
        </w:rPr>
        <w:outlineLvl w:val="9"/>
      </w:pPr>
      <w:r>
        <w:rPr>
          <w:rFonts w:hint="eastAsia" w:ascii="仿宋" w:hAnsi="仿宋" w:eastAsia="仿宋" w:cs="仿宋"/>
          <w:color w:val="000000" w:themeColor="text1"/>
          <w:sz w:val="32"/>
          <w:szCs w:val="32"/>
          <w:highlight w:val="none"/>
        </w:rPr>
        <w:t xml:space="preserve">授权代表：</w:t>
      </w:r>
      <w:r>
        <w:rPr>
          <w:rFonts w:hint="eastAsia" w:ascii="仿宋" w:hAnsi="仿宋" w:eastAsia="仿宋" w:cs="仿宋"/>
          <w:color w:val="000000" w:themeColor="text1"/>
          <w:sz w:val="32"/>
          <w:szCs w:val="32"/>
          <w:highlight w:val="none"/>
          <w:u w:val="single"/>
        </w:rPr>
        <w:t xml:space="preserve">                                          </w:t>
      </w:r>
      <w:r>
        <w:rPr>
          <w:rFonts w:ascii="仿宋" w:hAnsi="仿宋" w:eastAsia="仿宋" w:cs="仿宋"/>
          <w:color w:val="000000" w:themeColor="text1"/>
          <w:sz w:val="32"/>
          <w:szCs w:val="32"/>
          <w:highlight w:val="none"/>
          <w:u w:val="single"/>
        </w:rPr>
      </w:r>
      <w:r>
        <w:rPr>
          <w:color w:val="000000" w:themeColor="text1"/>
        </w:rPr>
      </w:r>
    </w:p>
    <w:p>
      <w:pPr>
        <w:pStyle w:val="1012"/>
        <w:ind w:firstLine="198"/>
        <w:keepLines w:val="0"/>
        <w:keepNext w:val="0"/>
        <w:pageBreakBefore w:val="0"/>
        <w:spacing w:line="500" w:lineRule="exact"/>
        <w:widowControl w:val="off"/>
        <w:rPr>
          <w:rFonts w:ascii="仿宋" w:hAnsi="仿宋" w:eastAsia="仿宋" w:cs="仿宋"/>
          <w:color w:val="000000" w:themeColor="text1"/>
          <w:sz w:val="32"/>
          <w:szCs w:val="32"/>
          <w:highlight w:val="none"/>
        </w:rPr>
        <w:outlineLvl w:val="9"/>
      </w:pPr>
      <w:r>
        <w:rPr>
          <w:rFonts w:hint="eastAsia" w:ascii="仿宋" w:hAnsi="仿宋" w:eastAsia="仿宋" w:cs="仿宋"/>
          <w:color w:val="000000" w:themeColor="text1"/>
          <w:sz w:val="32"/>
          <w:szCs w:val="32"/>
          <w:highlight w:val="none"/>
        </w:rPr>
        <w:t xml:space="preserve">联系电话：</w:t>
      </w:r>
      <w:r>
        <w:rPr>
          <w:rFonts w:hint="eastAsia" w:ascii="仿宋" w:hAnsi="仿宋" w:eastAsia="仿宋" w:cs="仿宋"/>
          <w:color w:val="000000" w:themeColor="text1"/>
          <w:sz w:val="32"/>
          <w:szCs w:val="32"/>
          <w:highlight w:val="none"/>
          <w:u w:val="single"/>
        </w:rPr>
        <w:t xml:space="preserve">                                           </w:t>
      </w:r>
      <w:r>
        <w:rPr>
          <w:rFonts w:ascii="仿宋" w:hAnsi="仿宋" w:eastAsia="仿宋" w:cs="仿宋"/>
          <w:color w:val="000000" w:themeColor="text1"/>
          <w:sz w:val="32"/>
          <w:szCs w:val="32"/>
          <w:highlight w:val="none"/>
        </w:rPr>
        <w:t xml:space="preserve"> </w:t>
      </w:r>
      <w:r>
        <w:rPr>
          <w:rFonts w:ascii="仿宋" w:hAnsi="仿宋" w:eastAsia="仿宋" w:cs="仿宋"/>
          <w:color w:val="000000" w:themeColor="text1"/>
          <w:sz w:val="32"/>
          <w:szCs w:val="32"/>
          <w:highlight w:val="none"/>
        </w:rPr>
      </w:r>
      <w:r>
        <w:rPr>
          <w:color w:val="000000" w:themeColor="text1"/>
        </w:rPr>
      </w:r>
    </w:p>
    <w:p>
      <w:pPr>
        <w:pStyle w:val="1012"/>
        <w:ind w:firstLine="198"/>
        <w:keepLines w:val="0"/>
        <w:keepNext w:val="0"/>
        <w:pageBreakBefore w:val="0"/>
        <w:spacing w:line="500" w:lineRule="exact"/>
        <w:widowControl w:val="off"/>
        <w:rPr>
          <w:rFonts w:ascii="仿宋" w:hAnsi="仿宋" w:eastAsia="仿宋" w:cs="仿宋"/>
          <w:color w:val="000000" w:themeColor="text1"/>
          <w:sz w:val="32"/>
          <w:szCs w:val="32"/>
          <w:highlight w:val="none"/>
        </w:rPr>
        <w:outlineLvl w:val="9"/>
      </w:pPr>
      <w:r>
        <w:rPr>
          <w:rFonts w:hint="eastAsia" w:ascii="仿宋" w:hAnsi="仿宋" w:eastAsia="仿宋" w:cs="仿宋"/>
          <w:color w:val="000000" w:themeColor="text1"/>
          <w:sz w:val="32"/>
          <w:szCs w:val="32"/>
          <w:highlight w:val="none"/>
        </w:rPr>
        <w:t xml:space="preserve">地址：</w:t>
      </w:r>
      <w:r>
        <w:rPr>
          <w:rFonts w:ascii="仿宋" w:hAnsi="仿宋" w:eastAsia="仿宋" w:cs="仿宋"/>
          <w:color w:val="000000" w:themeColor="text1"/>
          <w:sz w:val="32"/>
          <w:szCs w:val="32"/>
          <w:highlight w:val="none"/>
        </w:rPr>
        <w:t xml:space="preserve"> </w:t>
      </w:r>
      <w:r>
        <w:rPr>
          <w:rFonts w:hint="eastAsia" w:ascii="仿宋" w:hAnsi="仿宋" w:eastAsia="仿宋" w:cs="仿宋"/>
          <w:color w:val="000000" w:themeColor="text1"/>
          <w:sz w:val="32"/>
          <w:szCs w:val="32"/>
          <w:highlight w:val="none"/>
          <w:u w:val="single"/>
        </w:rPr>
        <w:t xml:space="preserve">                        </w:t>
      </w:r>
      <w:r>
        <w:rPr>
          <w:rFonts w:hint="eastAsia" w:ascii="仿宋" w:hAnsi="仿宋" w:eastAsia="仿宋" w:cs="仿宋"/>
          <w:color w:val="000000" w:themeColor="text1"/>
          <w:sz w:val="32"/>
          <w:szCs w:val="32"/>
          <w:highlight w:val="none"/>
        </w:rPr>
        <w:t xml:space="preserve">邮编：</w:t>
      </w:r>
      <w:r>
        <w:rPr>
          <w:rFonts w:hint="eastAsia" w:ascii="仿宋" w:hAnsi="仿宋" w:eastAsia="仿宋" w:cs="仿宋"/>
          <w:color w:val="000000" w:themeColor="text1"/>
          <w:sz w:val="32"/>
          <w:szCs w:val="32"/>
          <w:highlight w:val="none"/>
          <w:u w:val="single"/>
        </w:rPr>
        <w:t xml:space="preserve">                                                </w:t>
      </w:r>
      <w:r>
        <w:rPr>
          <w:rFonts w:ascii="仿宋" w:hAnsi="仿宋" w:eastAsia="仿宋" w:cs="仿宋"/>
          <w:color w:val="000000" w:themeColor="text1"/>
          <w:sz w:val="32"/>
          <w:szCs w:val="32"/>
          <w:highlight w:val="none"/>
        </w:rPr>
      </w:r>
      <w:r>
        <w:rPr>
          <w:color w:val="000000" w:themeColor="text1"/>
        </w:rPr>
      </w:r>
    </w:p>
    <w:p>
      <w:pPr>
        <w:pStyle w:val="1012"/>
        <w:ind w:firstLine="198"/>
        <w:keepLines w:val="0"/>
        <w:keepNext w:val="0"/>
        <w:pageBreakBefore w:val="0"/>
        <w:spacing w:line="500" w:lineRule="exact"/>
        <w:widowControl w:val="off"/>
        <w:rPr>
          <w:rFonts w:ascii="黑体" w:hAnsi="黑体" w:eastAsia="黑体" w:cs="仿宋"/>
          <w:bCs/>
          <w:color w:val="000000" w:themeColor="text1"/>
          <w:sz w:val="32"/>
          <w:szCs w:val="32"/>
          <w:highlight w:val="none"/>
        </w:rPr>
        <w:outlineLvl w:val="9"/>
      </w:pPr>
      <w:r>
        <w:rPr>
          <w:rFonts w:hint="eastAsia" w:ascii="黑体" w:hAnsi="黑体" w:eastAsia="黑体" w:cs="仿宋"/>
          <w:bCs/>
          <w:color w:val="000000" w:themeColor="text1"/>
          <w:sz w:val="32"/>
          <w:szCs w:val="32"/>
          <w:highlight w:val="none"/>
        </w:rPr>
        <w:t xml:space="preserve">二、质疑项目基本情况</w:t>
      </w:r>
      <w:r>
        <w:rPr>
          <w:rFonts w:ascii="黑体" w:hAnsi="黑体" w:eastAsia="黑体" w:cs="仿宋"/>
          <w:bCs/>
          <w:color w:val="000000" w:themeColor="text1"/>
          <w:sz w:val="32"/>
          <w:szCs w:val="32"/>
          <w:highlight w:val="none"/>
        </w:rPr>
      </w:r>
      <w:r>
        <w:rPr>
          <w:color w:val="000000" w:themeColor="text1"/>
        </w:rPr>
      </w:r>
    </w:p>
    <w:p>
      <w:pPr>
        <w:pStyle w:val="1012"/>
        <w:ind w:firstLine="198"/>
        <w:keepLines w:val="0"/>
        <w:keepNext w:val="0"/>
        <w:pageBreakBefore w:val="0"/>
        <w:spacing w:line="500" w:lineRule="exact"/>
        <w:widowControl w:val="off"/>
        <w:rPr>
          <w:rFonts w:ascii="仿宋" w:hAnsi="仿宋" w:eastAsia="仿宋" w:cs="仿宋"/>
          <w:color w:val="000000" w:themeColor="text1"/>
          <w:sz w:val="32"/>
          <w:szCs w:val="32"/>
          <w:highlight w:val="none"/>
        </w:rPr>
        <w:outlineLvl w:val="9"/>
      </w:pPr>
      <w:r>
        <w:rPr>
          <w:rFonts w:hint="eastAsia" w:ascii="仿宋" w:hAnsi="仿宋" w:eastAsia="仿宋" w:cs="仿宋"/>
          <w:color w:val="000000" w:themeColor="text1"/>
          <w:sz w:val="32"/>
          <w:szCs w:val="32"/>
          <w:highlight w:val="none"/>
        </w:rPr>
        <w:t xml:space="preserve">质疑项目的名称：</w:t>
      </w:r>
      <w:r>
        <w:rPr>
          <w:rFonts w:hint="eastAsia" w:ascii="仿宋" w:hAnsi="仿宋" w:eastAsia="仿宋" w:cs="仿宋"/>
          <w:color w:val="000000" w:themeColor="text1"/>
          <w:sz w:val="32"/>
          <w:szCs w:val="32"/>
          <w:highlight w:val="none"/>
          <w:u w:val="single"/>
        </w:rPr>
        <w:t xml:space="preserve">                                      </w:t>
      </w:r>
      <w:r>
        <w:rPr>
          <w:rFonts w:ascii="仿宋" w:hAnsi="仿宋" w:eastAsia="仿宋" w:cs="仿宋"/>
          <w:color w:val="000000" w:themeColor="text1"/>
          <w:sz w:val="32"/>
          <w:szCs w:val="32"/>
          <w:highlight w:val="none"/>
        </w:rPr>
      </w:r>
      <w:r>
        <w:rPr>
          <w:color w:val="000000" w:themeColor="text1"/>
        </w:rPr>
      </w:r>
    </w:p>
    <w:p>
      <w:pPr>
        <w:pStyle w:val="1012"/>
        <w:ind w:firstLine="198"/>
        <w:keepLines w:val="0"/>
        <w:keepNext w:val="0"/>
        <w:pageBreakBefore w:val="0"/>
        <w:spacing w:line="500" w:lineRule="exact"/>
        <w:widowControl w:val="off"/>
        <w:rPr>
          <w:rFonts w:ascii="仿宋" w:hAnsi="仿宋" w:eastAsia="仿宋" w:cs="仿宋"/>
          <w:color w:val="000000" w:themeColor="text1"/>
          <w:sz w:val="32"/>
          <w:szCs w:val="32"/>
          <w:highlight w:val="none"/>
        </w:rPr>
        <w:outlineLvl w:val="9"/>
      </w:pPr>
      <w:r>
        <w:rPr>
          <w:rFonts w:hint="eastAsia" w:ascii="仿宋" w:hAnsi="仿宋" w:eastAsia="仿宋" w:cs="仿宋"/>
          <w:color w:val="000000" w:themeColor="text1"/>
          <w:sz w:val="32"/>
          <w:szCs w:val="32"/>
          <w:highlight w:val="none"/>
        </w:rPr>
        <w:t xml:space="preserve">质疑项目的编号：</w:t>
      </w:r>
      <w:r>
        <w:rPr>
          <w:rFonts w:hint="eastAsia" w:ascii="仿宋" w:hAnsi="仿宋" w:eastAsia="仿宋" w:cs="仿宋"/>
          <w:color w:val="000000" w:themeColor="text1"/>
          <w:sz w:val="32"/>
          <w:szCs w:val="32"/>
          <w:highlight w:val="none"/>
          <w:u w:val="single"/>
        </w:rPr>
        <w:t xml:space="preserve">               </w:t>
      </w:r>
      <w:r>
        <w:rPr>
          <w:rFonts w:hint="eastAsia" w:ascii="仿宋" w:hAnsi="仿宋" w:eastAsia="仿宋" w:cs="仿宋"/>
          <w:color w:val="000000" w:themeColor="text1"/>
          <w:sz w:val="32"/>
          <w:szCs w:val="32"/>
          <w:highlight w:val="none"/>
        </w:rPr>
        <w:t xml:space="preserve">包号：</w:t>
      </w:r>
      <w:r>
        <w:rPr>
          <w:rFonts w:hint="eastAsia" w:ascii="仿宋" w:hAnsi="仿宋" w:eastAsia="仿宋" w:cs="仿宋"/>
          <w:color w:val="000000" w:themeColor="text1"/>
          <w:sz w:val="32"/>
          <w:szCs w:val="32"/>
          <w:highlight w:val="none"/>
          <w:u w:val="single"/>
        </w:rPr>
        <w:t xml:space="preserve">                 </w:t>
      </w:r>
      <w:r>
        <w:rPr>
          <w:rFonts w:ascii="仿宋" w:hAnsi="仿宋" w:eastAsia="仿宋" w:cs="仿宋"/>
          <w:color w:val="000000" w:themeColor="text1"/>
          <w:sz w:val="32"/>
          <w:szCs w:val="32"/>
          <w:highlight w:val="none"/>
        </w:rPr>
      </w:r>
      <w:r>
        <w:rPr>
          <w:color w:val="000000" w:themeColor="text1"/>
        </w:rPr>
      </w:r>
    </w:p>
    <w:p>
      <w:pPr>
        <w:pStyle w:val="1012"/>
        <w:ind w:firstLine="198"/>
        <w:keepLines w:val="0"/>
        <w:keepNext w:val="0"/>
        <w:pageBreakBefore w:val="0"/>
        <w:spacing w:line="500" w:lineRule="exact"/>
        <w:widowControl w:val="off"/>
        <w:rPr>
          <w:rFonts w:ascii="仿宋" w:hAnsi="仿宋" w:eastAsia="仿宋" w:cs="仿宋"/>
          <w:color w:val="000000" w:themeColor="text1"/>
          <w:sz w:val="32"/>
          <w:szCs w:val="32"/>
          <w:highlight w:val="none"/>
          <w:u w:val="single"/>
        </w:rPr>
        <w:outlineLvl w:val="9"/>
      </w:pPr>
      <w:r>
        <w:rPr>
          <w:rFonts w:hint="eastAsia" w:ascii="仿宋" w:hAnsi="仿宋" w:eastAsia="仿宋" w:cs="仿宋"/>
          <w:color w:val="000000" w:themeColor="text1"/>
          <w:sz w:val="32"/>
          <w:szCs w:val="32"/>
          <w:highlight w:val="none"/>
        </w:rPr>
        <w:t xml:space="preserve">采购人名称：</w:t>
      </w:r>
      <w:r>
        <w:rPr>
          <w:rFonts w:hint="eastAsia" w:ascii="仿宋" w:hAnsi="仿宋" w:eastAsia="仿宋" w:cs="仿宋"/>
          <w:color w:val="000000" w:themeColor="text1"/>
          <w:sz w:val="32"/>
          <w:szCs w:val="32"/>
          <w:highlight w:val="none"/>
          <w:u w:val="single"/>
        </w:rPr>
        <w:t xml:space="preserve">                                         </w:t>
      </w:r>
      <w:r>
        <w:rPr>
          <w:rFonts w:ascii="仿宋" w:hAnsi="仿宋" w:eastAsia="仿宋" w:cs="仿宋"/>
          <w:color w:val="000000" w:themeColor="text1"/>
          <w:sz w:val="32"/>
          <w:szCs w:val="32"/>
          <w:highlight w:val="none"/>
          <w:u w:val="single"/>
        </w:rPr>
      </w:r>
      <w:r>
        <w:rPr>
          <w:color w:val="000000" w:themeColor="text1"/>
        </w:rPr>
      </w:r>
    </w:p>
    <w:p>
      <w:pPr>
        <w:pStyle w:val="1012"/>
        <w:ind w:firstLine="198"/>
        <w:keepLines w:val="0"/>
        <w:keepNext w:val="0"/>
        <w:pageBreakBefore w:val="0"/>
        <w:spacing w:line="500" w:lineRule="exact"/>
        <w:widowControl w:val="off"/>
        <w:rPr>
          <w:rFonts w:ascii="仿宋" w:hAnsi="仿宋" w:eastAsia="仿宋" w:cs="仿宋"/>
          <w:color w:val="000000" w:themeColor="text1"/>
          <w:sz w:val="32"/>
          <w:szCs w:val="32"/>
          <w:highlight w:val="none"/>
        </w:rPr>
        <w:outlineLvl w:val="9"/>
      </w:pPr>
      <w:r>
        <w:rPr>
          <w:rFonts w:hint="eastAsia" w:ascii="仿宋" w:hAnsi="仿宋" w:eastAsia="仿宋" w:cs="仿宋"/>
          <w:color w:val="000000" w:themeColor="text1"/>
          <w:sz w:val="32"/>
          <w:szCs w:val="32"/>
          <w:highlight w:val="none"/>
        </w:rPr>
        <w:t xml:space="preserve">采购文件获取日期：</w:t>
      </w:r>
      <w:r>
        <w:rPr>
          <w:rFonts w:hint="eastAsia" w:ascii="仿宋" w:hAnsi="仿宋" w:eastAsia="仿宋" w:cs="仿宋"/>
          <w:color w:val="000000" w:themeColor="text1"/>
          <w:sz w:val="32"/>
          <w:szCs w:val="32"/>
          <w:highlight w:val="none"/>
          <w:u w:val="single"/>
        </w:rPr>
        <w:t xml:space="preserve">                                           </w:t>
      </w:r>
      <w:r>
        <w:rPr>
          <w:rFonts w:ascii="仿宋" w:hAnsi="仿宋" w:eastAsia="仿宋" w:cs="仿宋"/>
          <w:color w:val="000000" w:themeColor="text1"/>
          <w:sz w:val="32"/>
          <w:szCs w:val="32"/>
          <w:highlight w:val="none"/>
        </w:rPr>
      </w:r>
      <w:r>
        <w:rPr>
          <w:color w:val="000000" w:themeColor="text1"/>
        </w:rPr>
      </w:r>
    </w:p>
    <w:p>
      <w:pPr>
        <w:pStyle w:val="1012"/>
        <w:ind w:firstLine="198"/>
        <w:keepLines w:val="0"/>
        <w:keepNext w:val="0"/>
        <w:pageBreakBefore w:val="0"/>
        <w:spacing w:line="500" w:lineRule="exact"/>
        <w:widowControl w:val="off"/>
        <w:rPr>
          <w:rFonts w:ascii="黑体" w:hAnsi="黑体" w:eastAsia="黑体" w:cs="仿宋"/>
          <w:bCs/>
          <w:color w:val="000000" w:themeColor="text1"/>
          <w:sz w:val="32"/>
          <w:szCs w:val="32"/>
          <w:highlight w:val="none"/>
        </w:rPr>
        <w:outlineLvl w:val="9"/>
      </w:pPr>
      <w:r>
        <w:rPr>
          <w:rFonts w:hint="eastAsia" w:ascii="黑体" w:hAnsi="黑体" w:eastAsia="黑体" w:cs="仿宋"/>
          <w:bCs/>
          <w:color w:val="000000" w:themeColor="text1"/>
          <w:sz w:val="32"/>
          <w:szCs w:val="32"/>
          <w:highlight w:val="none"/>
        </w:rPr>
        <w:t xml:space="preserve">三、质疑事项具体内容</w:t>
      </w:r>
      <w:r>
        <w:rPr>
          <w:rFonts w:ascii="黑体" w:hAnsi="黑体" w:eastAsia="黑体" w:cs="仿宋"/>
          <w:bCs/>
          <w:color w:val="000000" w:themeColor="text1"/>
          <w:sz w:val="32"/>
          <w:szCs w:val="32"/>
          <w:highlight w:val="none"/>
        </w:rPr>
      </w:r>
      <w:r>
        <w:rPr>
          <w:color w:val="000000" w:themeColor="text1"/>
        </w:rPr>
      </w:r>
    </w:p>
    <w:p>
      <w:pPr>
        <w:pStyle w:val="1012"/>
        <w:ind w:firstLine="198"/>
        <w:keepLines w:val="0"/>
        <w:keepNext w:val="0"/>
        <w:pageBreakBefore w:val="0"/>
        <w:spacing w:line="500" w:lineRule="exact"/>
        <w:widowControl w:val="off"/>
        <w:rPr>
          <w:rFonts w:ascii="仿宋" w:hAnsi="仿宋" w:eastAsia="仿宋" w:cs="仿宋"/>
          <w:color w:val="000000" w:themeColor="text1"/>
          <w:sz w:val="32"/>
          <w:szCs w:val="32"/>
          <w:highlight w:val="none"/>
          <w:u w:val="single"/>
        </w:rPr>
        <w:outlineLvl w:val="9"/>
      </w:pPr>
      <w:r>
        <w:rPr>
          <w:rFonts w:hint="eastAsia" w:ascii="仿宋" w:hAnsi="仿宋" w:eastAsia="仿宋" w:cs="仿宋"/>
          <w:color w:val="000000" w:themeColor="text1"/>
          <w:sz w:val="32"/>
          <w:szCs w:val="32"/>
          <w:highlight w:val="none"/>
        </w:rPr>
        <w:t xml:space="preserve">质疑事项1：</w:t>
      </w:r>
      <w:r>
        <w:rPr>
          <w:rFonts w:hint="eastAsia" w:ascii="仿宋" w:hAnsi="仿宋" w:eastAsia="仿宋" w:cs="仿宋"/>
          <w:color w:val="000000" w:themeColor="text1"/>
          <w:sz w:val="32"/>
          <w:szCs w:val="32"/>
          <w:highlight w:val="none"/>
          <w:u w:val="single"/>
        </w:rPr>
        <w:t xml:space="preserve">                                         </w:t>
      </w:r>
      <w:r>
        <w:rPr>
          <w:rFonts w:ascii="仿宋" w:hAnsi="仿宋" w:eastAsia="仿宋" w:cs="仿宋"/>
          <w:color w:val="000000" w:themeColor="text1"/>
          <w:sz w:val="32"/>
          <w:szCs w:val="32"/>
          <w:highlight w:val="none"/>
          <w:u w:val="single"/>
        </w:rPr>
      </w:r>
      <w:r>
        <w:rPr>
          <w:color w:val="000000" w:themeColor="text1"/>
        </w:rPr>
      </w:r>
    </w:p>
    <w:p>
      <w:pPr>
        <w:pStyle w:val="1012"/>
        <w:ind w:firstLine="198"/>
        <w:keepLines w:val="0"/>
        <w:keepNext w:val="0"/>
        <w:pageBreakBefore w:val="0"/>
        <w:spacing w:line="500" w:lineRule="exact"/>
        <w:widowControl w:val="off"/>
        <w:rPr>
          <w:rFonts w:ascii="仿宋" w:hAnsi="仿宋" w:eastAsia="仿宋" w:cs="仿宋"/>
          <w:color w:val="000000" w:themeColor="text1"/>
          <w:sz w:val="32"/>
          <w:szCs w:val="32"/>
          <w:highlight w:val="none"/>
          <w:u w:val="single"/>
        </w:rPr>
        <w:outlineLvl w:val="9"/>
      </w:pPr>
      <w:r>
        <w:rPr>
          <w:rFonts w:hint="eastAsia" w:ascii="仿宋" w:hAnsi="仿宋" w:eastAsia="仿宋" w:cs="仿宋"/>
          <w:color w:val="000000" w:themeColor="text1"/>
          <w:sz w:val="32"/>
          <w:szCs w:val="32"/>
          <w:highlight w:val="none"/>
        </w:rPr>
        <w:t xml:space="preserve">事实依据：</w:t>
      </w:r>
      <w:r>
        <w:rPr>
          <w:rFonts w:hint="eastAsia" w:ascii="仿宋" w:hAnsi="仿宋" w:eastAsia="仿宋" w:cs="仿宋"/>
          <w:color w:val="000000" w:themeColor="text1"/>
          <w:sz w:val="32"/>
          <w:szCs w:val="32"/>
          <w:highlight w:val="none"/>
          <w:u w:val="single"/>
        </w:rPr>
        <w:t xml:space="preserve">                                          </w:t>
      </w:r>
      <w:r>
        <w:rPr>
          <w:rFonts w:ascii="仿宋" w:hAnsi="仿宋" w:eastAsia="仿宋" w:cs="仿宋"/>
          <w:color w:val="000000" w:themeColor="text1"/>
          <w:sz w:val="32"/>
          <w:szCs w:val="32"/>
          <w:highlight w:val="none"/>
          <w:u w:val="single"/>
        </w:rPr>
      </w:r>
      <w:r>
        <w:rPr>
          <w:color w:val="000000" w:themeColor="text1"/>
        </w:rPr>
      </w:r>
    </w:p>
    <w:p>
      <w:pPr>
        <w:pStyle w:val="1012"/>
        <w:ind w:firstLine="198"/>
        <w:keepLines w:val="0"/>
        <w:keepNext w:val="0"/>
        <w:pageBreakBefore w:val="0"/>
        <w:spacing w:line="500" w:lineRule="exact"/>
        <w:widowControl w:val="off"/>
        <w:rPr>
          <w:rFonts w:ascii="仿宋" w:hAnsi="仿宋" w:eastAsia="仿宋" w:cs="仿宋"/>
          <w:color w:val="000000" w:themeColor="text1"/>
          <w:sz w:val="32"/>
          <w:szCs w:val="32"/>
          <w:highlight w:val="none"/>
        </w:rPr>
        <w:outlineLvl w:val="9"/>
      </w:pPr>
      <w:r>
        <w:rPr>
          <w:rFonts w:hint="eastAsia" w:ascii="仿宋" w:hAnsi="仿宋" w:eastAsia="仿宋" w:cs="仿宋"/>
          <w:color w:val="000000" w:themeColor="text1"/>
          <w:sz w:val="32"/>
          <w:szCs w:val="32"/>
          <w:highlight w:val="none"/>
          <w:u w:val="single"/>
        </w:rPr>
        <w:t xml:space="preserve">                                                       </w:t>
      </w:r>
      <w:r>
        <w:rPr>
          <w:rFonts w:ascii="仿宋" w:hAnsi="仿宋" w:eastAsia="仿宋" w:cs="仿宋"/>
          <w:color w:val="000000" w:themeColor="text1"/>
          <w:sz w:val="32"/>
          <w:szCs w:val="32"/>
          <w:highlight w:val="none"/>
        </w:rPr>
      </w:r>
      <w:r>
        <w:rPr>
          <w:color w:val="000000" w:themeColor="text1"/>
        </w:rPr>
      </w:r>
    </w:p>
    <w:p>
      <w:pPr>
        <w:pStyle w:val="1012"/>
        <w:ind w:firstLine="198"/>
        <w:keepLines w:val="0"/>
        <w:keepNext w:val="0"/>
        <w:pageBreakBefore w:val="0"/>
        <w:spacing w:line="500" w:lineRule="exact"/>
        <w:widowControl w:val="off"/>
        <w:rPr>
          <w:rFonts w:ascii="仿宋" w:hAnsi="仿宋" w:eastAsia="仿宋" w:cs="仿宋"/>
          <w:color w:val="000000" w:themeColor="text1"/>
          <w:sz w:val="32"/>
          <w:szCs w:val="32"/>
          <w:highlight w:val="none"/>
          <w:u w:val="single"/>
        </w:rPr>
        <w:outlineLvl w:val="9"/>
      </w:pPr>
      <w:r>
        <w:rPr>
          <w:rFonts w:hint="eastAsia" w:ascii="仿宋" w:hAnsi="仿宋" w:eastAsia="仿宋" w:cs="仿宋"/>
          <w:color w:val="000000" w:themeColor="text1"/>
          <w:sz w:val="32"/>
          <w:szCs w:val="32"/>
          <w:highlight w:val="none"/>
        </w:rPr>
        <w:t xml:space="preserve">法律依据：</w:t>
      </w:r>
      <w:r>
        <w:rPr>
          <w:rFonts w:hint="eastAsia" w:ascii="仿宋" w:hAnsi="仿宋" w:eastAsia="仿宋" w:cs="仿宋"/>
          <w:color w:val="000000" w:themeColor="text1"/>
          <w:sz w:val="32"/>
          <w:szCs w:val="32"/>
          <w:highlight w:val="none"/>
          <w:u w:val="single"/>
        </w:rPr>
        <w:t xml:space="preserve">                                          </w:t>
      </w:r>
      <w:r>
        <w:rPr>
          <w:rFonts w:ascii="仿宋" w:hAnsi="仿宋" w:eastAsia="仿宋" w:cs="仿宋"/>
          <w:color w:val="000000" w:themeColor="text1"/>
          <w:sz w:val="32"/>
          <w:szCs w:val="32"/>
          <w:highlight w:val="none"/>
          <w:u w:val="single"/>
        </w:rPr>
      </w:r>
      <w:r>
        <w:rPr>
          <w:color w:val="000000" w:themeColor="text1"/>
        </w:rPr>
      </w:r>
    </w:p>
    <w:p>
      <w:pPr>
        <w:pStyle w:val="1012"/>
        <w:ind w:firstLine="198"/>
        <w:keepLines w:val="0"/>
        <w:keepNext w:val="0"/>
        <w:pageBreakBefore w:val="0"/>
        <w:spacing w:line="500" w:lineRule="exact"/>
        <w:widowControl w:val="off"/>
        <w:rPr>
          <w:rFonts w:ascii="仿宋" w:hAnsi="仿宋" w:eastAsia="仿宋" w:cs="仿宋"/>
          <w:color w:val="000000" w:themeColor="text1"/>
          <w:sz w:val="32"/>
          <w:szCs w:val="32"/>
          <w:highlight w:val="none"/>
          <w:u w:val="single"/>
        </w:rPr>
        <w:outlineLvl w:val="9"/>
      </w:pPr>
      <w:r>
        <w:rPr>
          <w:rFonts w:hint="eastAsia" w:ascii="仿宋" w:hAnsi="仿宋" w:eastAsia="仿宋" w:cs="仿宋"/>
          <w:color w:val="000000" w:themeColor="text1"/>
          <w:sz w:val="32"/>
          <w:szCs w:val="32"/>
          <w:highlight w:val="none"/>
          <w:u w:val="single"/>
        </w:rPr>
        <w:t xml:space="preserve">                                                     </w:t>
      </w:r>
      <w:r>
        <w:rPr>
          <w:rFonts w:ascii="仿宋" w:hAnsi="仿宋" w:eastAsia="仿宋" w:cs="仿宋"/>
          <w:color w:val="000000" w:themeColor="text1"/>
          <w:sz w:val="32"/>
          <w:szCs w:val="32"/>
          <w:highlight w:val="none"/>
          <w:u w:val="single"/>
        </w:rPr>
      </w:r>
      <w:r>
        <w:rPr>
          <w:color w:val="000000" w:themeColor="text1"/>
        </w:rPr>
      </w:r>
    </w:p>
    <w:p>
      <w:pPr>
        <w:pStyle w:val="1012"/>
        <w:ind w:firstLine="198"/>
        <w:keepLines w:val="0"/>
        <w:keepNext w:val="0"/>
        <w:pageBreakBefore w:val="0"/>
        <w:spacing w:line="500" w:lineRule="exact"/>
        <w:widowControl w:val="off"/>
        <w:rPr>
          <w:rFonts w:ascii="仿宋" w:hAnsi="仿宋" w:eastAsia="仿宋" w:cs="仿宋"/>
          <w:color w:val="000000" w:themeColor="text1"/>
          <w:sz w:val="32"/>
          <w:szCs w:val="32"/>
          <w:highlight w:val="none"/>
          <w:u w:val="single"/>
        </w:rPr>
        <w:outlineLvl w:val="9"/>
      </w:pPr>
      <w:r>
        <w:rPr>
          <w:rFonts w:hint="eastAsia" w:ascii="仿宋" w:hAnsi="仿宋" w:eastAsia="仿宋" w:cs="仿宋"/>
          <w:color w:val="000000" w:themeColor="text1"/>
          <w:sz w:val="32"/>
          <w:szCs w:val="32"/>
          <w:highlight w:val="none"/>
        </w:rPr>
        <w:t xml:space="preserve">质疑事项2</w:t>
      </w:r>
      <w:r>
        <w:rPr>
          <w:rFonts w:ascii="仿宋" w:hAnsi="仿宋" w:eastAsia="仿宋" w:cs="仿宋"/>
          <w:color w:val="000000" w:themeColor="text1"/>
          <w:sz w:val="32"/>
          <w:szCs w:val="32"/>
          <w:highlight w:val="none"/>
          <w:u w:val="single"/>
        </w:rPr>
      </w:r>
      <w:r>
        <w:rPr>
          <w:color w:val="000000" w:themeColor="text1"/>
        </w:rPr>
      </w:r>
    </w:p>
    <w:p>
      <w:pPr>
        <w:pStyle w:val="1012"/>
        <w:ind w:firstLine="198"/>
        <w:keepLines w:val="0"/>
        <w:keepNext w:val="0"/>
        <w:pageBreakBefore w:val="0"/>
        <w:spacing w:line="500" w:lineRule="exact"/>
        <w:widowControl w:val="off"/>
        <w:rPr>
          <w:rFonts w:ascii="仿宋" w:hAnsi="仿宋" w:eastAsia="仿宋" w:cs="仿宋"/>
          <w:color w:val="000000" w:themeColor="text1"/>
          <w:sz w:val="32"/>
          <w:szCs w:val="32"/>
          <w:highlight w:val="none"/>
        </w:rPr>
        <w:outlineLvl w:val="9"/>
      </w:pPr>
      <w:r>
        <w:rPr>
          <w:rFonts w:hint="eastAsia" w:ascii="仿宋" w:hAnsi="仿宋" w:eastAsia="仿宋" w:cs="仿宋"/>
          <w:color w:val="000000" w:themeColor="text1"/>
          <w:sz w:val="32"/>
          <w:szCs w:val="32"/>
          <w:highlight w:val="none"/>
        </w:rPr>
        <w:t xml:space="preserve">……</w:t>
      </w:r>
      <w:r>
        <w:rPr>
          <w:rFonts w:ascii="仿宋" w:hAnsi="仿宋" w:eastAsia="仿宋" w:cs="仿宋"/>
          <w:color w:val="000000" w:themeColor="text1"/>
          <w:sz w:val="32"/>
          <w:szCs w:val="32"/>
          <w:highlight w:val="none"/>
        </w:rPr>
      </w:r>
      <w:r>
        <w:rPr>
          <w:color w:val="000000" w:themeColor="text1"/>
        </w:rPr>
      </w:r>
    </w:p>
    <w:p>
      <w:pPr>
        <w:pStyle w:val="1012"/>
        <w:ind w:firstLine="198"/>
        <w:keepLines w:val="0"/>
        <w:keepNext w:val="0"/>
        <w:pageBreakBefore w:val="0"/>
        <w:spacing w:line="500" w:lineRule="exact"/>
        <w:widowControl w:val="off"/>
        <w:rPr>
          <w:rFonts w:ascii="黑体" w:hAnsi="黑体" w:eastAsia="黑体" w:cs="仿宋"/>
          <w:bCs/>
          <w:color w:val="000000" w:themeColor="text1"/>
          <w:sz w:val="32"/>
          <w:szCs w:val="32"/>
          <w:highlight w:val="none"/>
        </w:rPr>
        <w:outlineLvl w:val="9"/>
      </w:pPr>
      <w:r>
        <w:rPr>
          <w:rFonts w:hint="eastAsia" w:ascii="黑体" w:hAnsi="黑体" w:eastAsia="黑体" w:cs="仿宋"/>
          <w:bCs/>
          <w:color w:val="000000" w:themeColor="text1"/>
          <w:sz w:val="32"/>
          <w:szCs w:val="32"/>
          <w:highlight w:val="none"/>
        </w:rPr>
        <w:t xml:space="preserve">四、与质疑事项相关的质疑请求</w:t>
      </w:r>
      <w:r>
        <w:rPr>
          <w:rFonts w:ascii="黑体" w:hAnsi="黑体" w:eastAsia="黑体" w:cs="仿宋"/>
          <w:bCs/>
          <w:color w:val="000000" w:themeColor="text1"/>
          <w:sz w:val="32"/>
          <w:szCs w:val="32"/>
          <w:highlight w:val="none"/>
        </w:rPr>
      </w:r>
      <w:r>
        <w:rPr>
          <w:color w:val="000000" w:themeColor="text1"/>
        </w:rPr>
      </w:r>
    </w:p>
    <w:p>
      <w:pPr>
        <w:pStyle w:val="1012"/>
        <w:ind w:firstLine="198"/>
        <w:keepLines w:val="0"/>
        <w:keepNext w:val="0"/>
        <w:pageBreakBefore w:val="0"/>
        <w:spacing w:line="500" w:lineRule="exact"/>
        <w:widowControl w:val="off"/>
        <w:rPr>
          <w:rFonts w:ascii="仿宋" w:hAnsi="仿宋" w:eastAsia="仿宋" w:cs="仿宋"/>
          <w:color w:val="000000" w:themeColor="text1"/>
          <w:sz w:val="32"/>
          <w:szCs w:val="32"/>
          <w:highlight w:val="none"/>
          <w:u w:val="single"/>
        </w:rPr>
        <w:outlineLvl w:val="9"/>
      </w:pPr>
      <w:r>
        <w:rPr>
          <w:rFonts w:hint="eastAsia" w:ascii="仿宋" w:hAnsi="仿宋" w:eastAsia="仿宋" w:cs="仿宋"/>
          <w:color w:val="000000" w:themeColor="text1"/>
          <w:sz w:val="32"/>
          <w:szCs w:val="32"/>
          <w:highlight w:val="none"/>
        </w:rPr>
        <w:t xml:space="preserve">请求：</w:t>
      </w:r>
      <w:r>
        <w:rPr>
          <w:rFonts w:hint="eastAsia" w:ascii="仿宋" w:hAnsi="仿宋" w:eastAsia="仿宋" w:cs="仿宋"/>
          <w:color w:val="000000" w:themeColor="text1"/>
          <w:sz w:val="32"/>
          <w:szCs w:val="32"/>
          <w:highlight w:val="none"/>
          <w:u w:val="single"/>
        </w:rPr>
        <w:t xml:space="preserve">                                               </w:t>
      </w:r>
      <w:r>
        <w:rPr>
          <w:rFonts w:ascii="仿宋" w:hAnsi="仿宋" w:eastAsia="仿宋" w:cs="仿宋"/>
          <w:color w:val="000000" w:themeColor="text1"/>
          <w:sz w:val="32"/>
          <w:szCs w:val="32"/>
          <w:highlight w:val="none"/>
          <w:u w:val="single"/>
        </w:rPr>
      </w:r>
      <w:r>
        <w:rPr>
          <w:color w:val="000000" w:themeColor="text1"/>
        </w:rPr>
      </w:r>
    </w:p>
    <w:p>
      <w:pPr>
        <w:pStyle w:val="1012"/>
        <w:ind w:firstLine="198"/>
        <w:keepLines w:val="0"/>
        <w:keepNext w:val="0"/>
        <w:pageBreakBefore w:val="0"/>
        <w:spacing w:line="500" w:lineRule="exact"/>
        <w:widowControl w:val="off"/>
        <w:rPr>
          <w:rFonts w:ascii="方正仿宋_GB2312" w:eastAsia="方正仿宋_GB2312"/>
          <w:color w:val="000000" w:themeColor="text1"/>
          <w:sz w:val="30"/>
          <w:szCs w:val="30"/>
          <w:highlight w:val="none"/>
        </w:rPr>
        <w:outlineLvl w:val="9"/>
      </w:pPr>
      <w:r>
        <w:rPr>
          <w:rFonts w:hint="eastAsia" w:ascii="方正仿宋_GB2312" w:eastAsia="方正仿宋_GB2312"/>
          <w:color w:val="000000" w:themeColor="text1"/>
          <w:sz w:val="30"/>
          <w:szCs w:val="30"/>
          <w:highlight w:val="none"/>
        </w:rPr>
        <w:t xml:space="preserve">签字(签章</w:t>
      </w:r>
      <w:r>
        <w:rPr>
          <w:rFonts w:hint="eastAsia"/>
          <w:color w:val="000000" w:themeColor="text1"/>
          <w:sz w:val="30"/>
          <w:szCs w:val="30"/>
          <w:highlight w:val="none"/>
          <w:lang w:eastAsia="zh-CN"/>
        </w:rPr>
        <w:t xml:space="preserve">）</w:t>
      </w:r>
      <w:r>
        <w:rPr>
          <w:rFonts w:hint="eastAsia" w:ascii="方正仿宋_GB2312" w:eastAsia="方正仿宋_GB2312"/>
          <w:color w:val="000000" w:themeColor="text1"/>
          <w:sz w:val="30"/>
          <w:szCs w:val="30"/>
          <w:highlight w:val="none"/>
        </w:rPr>
        <w:t xml:space="preserve">：                   公章：                      </w:t>
      </w:r>
      <w:r>
        <w:rPr>
          <w:rFonts w:ascii="方正仿宋_GB2312" w:eastAsia="方正仿宋_GB2312"/>
          <w:color w:val="000000" w:themeColor="text1"/>
          <w:sz w:val="30"/>
          <w:szCs w:val="30"/>
          <w:highlight w:val="none"/>
        </w:rPr>
      </w:r>
      <w:r>
        <w:rPr>
          <w:color w:val="000000" w:themeColor="text1"/>
        </w:rPr>
      </w:r>
    </w:p>
    <w:p>
      <w:pPr>
        <w:pStyle w:val="1012"/>
        <w:ind w:firstLine="198"/>
        <w:keepLines w:val="0"/>
        <w:keepNext w:val="0"/>
        <w:pageBreakBefore w:val="0"/>
        <w:spacing w:line="500" w:lineRule="exact"/>
        <w:widowControl w:val="off"/>
        <w:rPr>
          <w:rFonts w:ascii="方正仿宋_GB2312" w:eastAsia="方正仿宋_GB2312"/>
          <w:color w:val="000000" w:themeColor="text1"/>
          <w:sz w:val="30"/>
          <w:szCs w:val="30"/>
          <w:highlight w:val="none"/>
        </w:rPr>
        <w:outlineLvl w:val="9"/>
      </w:pPr>
      <w:r>
        <w:rPr>
          <w:rFonts w:hint="eastAsia" w:ascii="方正仿宋_GB2312" w:eastAsia="方正仿宋_GB2312"/>
          <w:color w:val="000000" w:themeColor="text1"/>
          <w:sz w:val="30"/>
          <w:szCs w:val="30"/>
          <w:highlight w:val="none"/>
        </w:rPr>
        <w:t xml:space="preserve">日期：    </w:t>
      </w:r>
      <w:r>
        <w:rPr>
          <w:rFonts w:ascii="方正仿宋_GB2312" w:eastAsia="方正仿宋_GB2312"/>
          <w:color w:val="000000" w:themeColor="text1"/>
          <w:sz w:val="30"/>
          <w:szCs w:val="30"/>
          <w:highlight w:val="none"/>
        </w:rPr>
      </w:r>
      <w:r>
        <w:rPr>
          <w:color w:val="000000" w:themeColor="text1"/>
        </w:rPr>
      </w:r>
    </w:p>
    <w:p>
      <w:pPr>
        <w:pStyle w:val="1012"/>
        <w:ind w:firstLine="198"/>
        <w:keepLines w:val="0"/>
        <w:keepNext w:val="0"/>
        <w:pageBreakBefore w:val="0"/>
        <w:spacing w:line="440" w:lineRule="exact"/>
        <w:widowControl w:val="off"/>
        <w:rPr>
          <w:rFonts w:ascii="仿宋" w:hAnsi="仿宋" w:eastAsia="仿宋" w:cs="仿宋"/>
          <w:color w:val="000000" w:themeColor="text1"/>
          <w:sz w:val="32"/>
          <w:szCs w:val="32"/>
          <w:highlight w:val="none"/>
        </w:rPr>
        <w:outlineLvl w:val="9"/>
      </w:pPr>
      <w:r>
        <w:rPr>
          <w:rFonts w:ascii="仿宋" w:hAnsi="仿宋" w:eastAsia="仿宋" w:cs="仿宋"/>
          <w:color w:val="000000" w:themeColor="text1"/>
          <w:sz w:val="32"/>
          <w:szCs w:val="32"/>
          <w:highlight w:val="none"/>
        </w:rPr>
      </w:r>
      <w:r>
        <w:rPr>
          <w:color w:val="000000" w:themeColor="text1"/>
        </w:rPr>
      </w:r>
    </w:p>
    <w:p>
      <w:pPr>
        <w:pStyle w:val="1012"/>
        <w:ind w:firstLine="198"/>
        <w:keepLines w:val="0"/>
        <w:keepNext w:val="0"/>
        <w:pageBreakBefore w:val="0"/>
        <w:spacing w:line="440" w:lineRule="exact"/>
        <w:widowControl w:val="off"/>
        <w:rPr>
          <w:rFonts w:ascii="仿宋" w:hAnsi="仿宋" w:eastAsia="仿宋" w:cs="仿宋"/>
          <w:color w:val="000000" w:themeColor="text1"/>
          <w:sz w:val="32"/>
          <w:szCs w:val="32"/>
          <w:highlight w:val="none"/>
        </w:rPr>
        <w:outlineLvl w:val="9"/>
      </w:pPr>
      <w:r>
        <w:rPr>
          <w:rFonts w:ascii="仿宋" w:hAnsi="仿宋" w:eastAsia="仿宋" w:cs="仿宋"/>
          <w:color w:val="000000" w:themeColor="text1"/>
          <w:sz w:val="32"/>
          <w:szCs w:val="32"/>
          <w:highlight w:val="none"/>
        </w:rPr>
      </w:r>
      <w:r>
        <w:rPr>
          <w:color w:val="000000" w:themeColor="text1"/>
        </w:rPr>
      </w:r>
    </w:p>
    <w:p>
      <w:pPr>
        <w:pStyle w:val="1012"/>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rPr>
      </w:r>
    </w:p>
    <w:p>
      <w:pPr>
        <w:pStyle w:val="1012"/>
        <w:rPr>
          <w:rFonts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t xml:space="preserve">质疑函制作说明：</w:t>
      </w:r>
      <w:r>
        <w:rPr>
          <w:rFonts w:ascii="黑体" w:hAnsi="黑体" w:eastAsia="黑体"/>
          <w:b/>
          <w:color w:val="000000" w:themeColor="text1"/>
          <w:sz w:val="32"/>
          <w:szCs w:val="32"/>
          <w:highlight w:val="none"/>
        </w:rPr>
      </w:r>
      <w:r>
        <w:rPr>
          <w:color w:val="000000" w:themeColor="text1"/>
        </w:rPr>
      </w:r>
    </w:p>
    <w:p>
      <w:pPr>
        <w:pStyle w:val="1012"/>
        <w:ind w:firstLine="640"/>
        <w:jc w:val="left"/>
        <w:widowControl/>
        <w:rPr>
          <w:rFonts w:ascii="方正仿宋_GB2312" w:eastAsia="方正仿宋_GB2312"/>
          <w:color w:val="000000" w:themeColor="text1"/>
          <w:sz w:val="32"/>
          <w:szCs w:val="32"/>
          <w:highlight w:val="none"/>
        </w:rPr>
      </w:pPr>
      <w:r>
        <w:rPr>
          <w:rFonts w:hint="eastAsia" w:ascii="方正仿宋_GB2312" w:eastAsia="方正仿宋_GB2312"/>
          <w:color w:val="000000" w:themeColor="text1"/>
          <w:sz w:val="32"/>
          <w:szCs w:val="32"/>
          <w:highlight w:val="none"/>
        </w:rPr>
        <w:t xml:space="preserve">1.供应商提出质疑时，应提交质疑函和必要的证明材料。</w:t>
      </w:r>
      <w:r>
        <w:rPr>
          <w:rFonts w:ascii="方正仿宋_GB2312" w:eastAsia="方正仿宋_GB2312"/>
          <w:color w:val="000000" w:themeColor="text1"/>
          <w:sz w:val="32"/>
          <w:szCs w:val="32"/>
          <w:highlight w:val="none"/>
        </w:rPr>
      </w:r>
      <w:r>
        <w:rPr>
          <w:color w:val="000000" w:themeColor="text1"/>
        </w:rPr>
      </w:r>
    </w:p>
    <w:p>
      <w:pPr>
        <w:pStyle w:val="1012"/>
        <w:ind w:firstLine="640"/>
        <w:jc w:val="left"/>
        <w:widowControl/>
        <w:rPr>
          <w:rFonts w:ascii="方正仿宋_GB2312" w:eastAsia="方正仿宋_GB2312"/>
          <w:color w:val="000000" w:themeColor="text1"/>
          <w:sz w:val="32"/>
          <w:szCs w:val="32"/>
          <w:highlight w:val="none"/>
        </w:rPr>
      </w:pPr>
      <w:r>
        <w:rPr>
          <w:rFonts w:hint="eastAsia" w:ascii="方正仿宋_GB2312" w:eastAsia="方正仿宋_GB2312"/>
          <w:color w:val="000000" w:themeColor="text1"/>
          <w:sz w:val="32"/>
          <w:szCs w:val="32"/>
          <w:highlight w:val="none"/>
        </w:rPr>
        <w:t xml:space="preserve">2.质疑供应商若委托代理人进行质疑的，质疑函应按要求列明“授权代表”的有关内容，并在附件中提交由质疑</w:t>
      </w:r>
      <w:r>
        <w:rPr>
          <w:rFonts w:hint="eastAsia" w:ascii="方正仿宋_GB2312" w:hAnsi="宋体" w:eastAsia="方正仿宋_GB2312" w:cs="宋体"/>
          <w:color w:val="000000" w:themeColor="text1"/>
          <w:sz w:val="32"/>
          <w:szCs w:val="32"/>
          <w:highlight w:val="none"/>
        </w:rPr>
        <w:t xml:space="preserve">供应商签署的授权委托书。授权委托书应载明代理人的姓名或者名称、代理事项、具体权限、期限和相关事项。</w:t>
      </w:r>
      <w:r>
        <w:rPr>
          <w:rFonts w:ascii="方正仿宋_GB2312" w:eastAsia="方正仿宋_GB2312"/>
          <w:color w:val="000000" w:themeColor="text1"/>
          <w:sz w:val="32"/>
          <w:szCs w:val="32"/>
          <w:highlight w:val="none"/>
        </w:rPr>
      </w:r>
      <w:r>
        <w:rPr>
          <w:color w:val="000000" w:themeColor="text1"/>
        </w:rPr>
      </w:r>
    </w:p>
    <w:p>
      <w:pPr>
        <w:pStyle w:val="1012"/>
        <w:ind w:firstLine="640"/>
        <w:jc w:val="left"/>
        <w:widowControl/>
        <w:rPr>
          <w:rFonts w:ascii="方正仿宋_GB2312" w:eastAsia="方正仿宋_GB2312"/>
          <w:color w:val="000000" w:themeColor="text1"/>
          <w:sz w:val="32"/>
          <w:szCs w:val="32"/>
          <w:highlight w:val="none"/>
        </w:rPr>
      </w:pPr>
      <w:r>
        <w:rPr>
          <w:rFonts w:hint="eastAsia" w:ascii="方正仿宋_GB2312" w:eastAsia="方正仿宋_GB2312"/>
          <w:color w:val="000000" w:themeColor="text1"/>
          <w:sz w:val="32"/>
          <w:szCs w:val="32"/>
          <w:highlight w:val="none"/>
        </w:rPr>
        <w:t xml:space="preserve">3.质疑供应商若对项目的某一分包进行质疑，质疑函中应列明具体分包号。</w:t>
      </w:r>
      <w:r>
        <w:rPr>
          <w:rFonts w:ascii="方正仿宋_GB2312" w:eastAsia="方正仿宋_GB2312"/>
          <w:color w:val="000000" w:themeColor="text1"/>
          <w:sz w:val="32"/>
          <w:szCs w:val="32"/>
          <w:highlight w:val="none"/>
        </w:rPr>
      </w:r>
      <w:r>
        <w:rPr>
          <w:color w:val="000000" w:themeColor="text1"/>
        </w:rPr>
      </w:r>
    </w:p>
    <w:p>
      <w:pPr>
        <w:pStyle w:val="1012"/>
        <w:ind w:firstLine="640"/>
        <w:jc w:val="left"/>
        <w:widowControl/>
        <w:rPr>
          <w:rFonts w:ascii="方正仿宋_GB2312" w:eastAsia="方正仿宋_GB2312"/>
          <w:color w:val="000000" w:themeColor="text1"/>
          <w:sz w:val="32"/>
          <w:szCs w:val="32"/>
          <w:highlight w:val="none"/>
        </w:rPr>
      </w:pPr>
      <w:r>
        <w:rPr>
          <w:rFonts w:hint="eastAsia" w:ascii="方正仿宋_GB2312" w:eastAsia="方正仿宋_GB2312"/>
          <w:color w:val="000000" w:themeColor="text1"/>
          <w:sz w:val="32"/>
          <w:szCs w:val="32"/>
          <w:highlight w:val="none"/>
        </w:rPr>
        <w:t xml:space="preserve">4.质疑函的质疑事项应具体、明确，并有必要的事实依据和法律依据。</w:t>
      </w:r>
      <w:r>
        <w:rPr>
          <w:rFonts w:ascii="方正仿宋_GB2312" w:eastAsia="方正仿宋_GB2312"/>
          <w:color w:val="000000" w:themeColor="text1"/>
          <w:sz w:val="32"/>
          <w:szCs w:val="32"/>
          <w:highlight w:val="none"/>
        </w:rPr>
      </w:r>
      <w:r>
        <w:rPr>
          <w:color w:val="000000" w:themeColor="text1"/>
        </w:rPr>
      </w:r>
    </w:p>
    <w:p>
      <w:pPr>
        <w:pStyle w:val="1012"/>
        <w:ind w:firstLine="640"/>
        <w:jc w:val="left"/>
        <w:widowControl/>
        <w:rPr>
          <w:rFonts w:ascii="方正仿宋_GB2312" w:eastAsia="方正仿宋_GB2312"/>
          <w:color w:val="000000" w:themeColor="text1"/>
          <w:sz w:val="32"/>
          <w:szCs w:val="32"/>
          <w:highlight w:val="none"/>
        </w:rPr>
      </w:pPr>
      <w:r>
        <w:rPr>
          <w:rFonts w:hint="eastAsia" w:ascii="方正仿宋_GB2312" w:eastAsia="方正仿宋_GB2312"/>
          <w:color w:val="000000" w:themeColor="text1"/>
          <w:sz w:val="32"/>
          <w:szCs w:val="32"/>
          <w:highlight w:val="none"/>
        </w:rPr>
        <w:t xml:space="preserve">5.质疑函的质疑请求应与质疑事项相关。</w:t>
      </w:r>
      <w:r>
        <w:rPr>
          <w:rFonts w:ascii="方正仿宋_GB2312" w:eastAsia="方正仿宋_GB2312"/>
          <w:color w:val="000000" w:themeColor="text1"/>
          <w:sz w:val="32"/>
          <w:szCs w:val="32"/>
          <w:highlight w:val="none"/>
        </w:rPr>
      </w:r>
      <w:r>
        <w:rPr>
          <w:color w:val="000000" w:themeColor="text1"/>
        </w:rPr>
      </w:r>
    </w:p>
    <w:p>
      <w:pPr>
        <w:pStyle w:val="1012"/>
        <w:ind w:firstLine="640"/>
        <w:jc w:val="left"/>
        <w:widowControl/>
        <w:rPr>
          <w:rFonts w:ascii="方正仿宋_GB2312" w:eastAsia="方正仿宋_GB2312"/>
          <w:color w:val="000000" w:themeColor="text1"/>
          <w:sz w:val="32"/>
          <w:szCs w:val="32"/>
          <w:highlight w:val="none"/>
        </w:rPr>
      </w:pPr>
      <w:r>
        <w:rPr>
          <w:rFonts w:hint="eastAsia" w:ascii="方正仿宋_GB2312" w:eastAsia="方正仿宋_GB2312"/>
          <w:color w:val="000000" w:themeColor="text1"/>
          <w:sz w:val="32"/>
          <w:szCs w:val="32"/>
          <w:highlight w:val="none"/>
        </w:rPr>
        <w:t xml:space="preserve">6.质疑供应商为自然人的，质疑函应由本人签字；质疑供应商为法人或者其他组织的，质疑函应由法定代表人、主要负责人，或者其授权代表签字或者盖章，并加盖公章。</w:t>
      </w:r>
      <w:r>
        <w:rPr>
          <w:rFonts w:ascii="方正仿宋_GB2312" w:eastAsia="方正仿宋_GB2312"/>
          <w:color w:val="000000" w:themeColor="text1"/>
          <w:sz w:val="32"/>
          <w:szCs w:val="32"/>
          <w:highlight w:val="none"/>
        </w:rPr>
      </w:r>
      <w:r>
        <w:rPr>
          <w:color w:val="000000" w:themeColor="text1"/>
        </w:rPr>
      </w:r>
    </w:p>
    <w:p>
      <w:pPr>
        <w:pStyle w:val="1012"/>
        <w:ind w:firstLine="600"/>
        <w:jc w:val="left"/>
        <w:widowControl/>
        <w:rPr>
          <w:rFonts w:ascii="方正仿宋_GB2312" w:eastAsia="方正仿宋_GB2312"/>
          <w:color w:val="000000" w:themeColor="text1"/>
          <w:sz w:val="30"/>
          <w:szCs w:val="30"/>
          <w:highlight w:val="none"/>
        </w:rPr>
      </w:pPr>
      <w:r>
        <w:rPr>
          <w:rFonts w:ascii="方正仿宋_GB2312" w:eastAsia="方正仿宋_GB2312"/>
          <w:color w:val="000000" w:themeColor="text1"/>
          <w:sz w:val="30"/>
          <w:szCs w:val="30"/>
          <w:highlight w:val="none"/>
        </w:rPr>
      </w:r>
      <w:r>
        <w:rPr>
          <w:color w:val="000000" w:themeColor="text1"/>
        </w:rPr>
      </w:r>
    </w:p>
    <w:p>
      <w:pPr>
        <w:pStyle w:val="1012"/>
        <w:ind w:firstLine="643"/>
        <w:jc w:val="center"/>
        <w:spacing w:line="480" w:lineRule="exact"/>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rPr>
      </w:r>
      <w:r>
        <w:rPr>
          <w:color w:val="000000" w:themeColor="text1"/>
        </w:rPr>
      </w:r>
    </w:p>
    <w:p>
      <w:pPr>
        <w:pStyle w:val="1012"/>
        <w:ind w:firstLine="643"/>
        <w:jc w:val="center"/>
        <w:spacing w:line="480" w:lineRule="exact"/>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rPr>
      </w:r>
      <w:r>
        <w:rPr>
          <w:color w:val="000000" w:themeColor="text1"/>
        </w:rPr>
      </w:r>
    </w:p>
    <w:p>
      <w:pPr>
        <w:pStyle w:val="1012"/>
        <w:ind w:firstLine="643"/>
        <w:jc w:val="center"/>
        <w:spacing w:line="480" w:lineRule="exact"/>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rPr>
      </w:r>
      <w:r>
        <w:rPr>
          <w:color w:val="000000" w:themeColor="text1"/>
        </w:rPr>
      </w:r>
    </w:p>
    <w:p>
      <w:pPr>
        <w:pStyle w:val="1012"/>
        <w:ind w:firstLine="643"/>
        <w:jc w:val="center"/>
        <w:spacing w:line="480" w:lineRule="exact"/>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rPr>
      </w:r>
      <w:r>
        <w:rPr>
          <w:color w:val="000000" w:themeColor="text1"/>
        </w:rPr>
      </w:r>
    </w:p>
    <w:p>
      <w:pPr>
        <w:pStyle w:val="1012"/>
        <w:ind w:firstLine="643"/>
        <w:jc w:val="center"/>
        <w:spacing w:line="480" w:lineRule="exact"/>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rPr>
      </w:r>
      <w:r>
        <w:rPr>
          <w:color w:val="000000" w:themeColor="text1"/>
        </w:rPr>
      </w:r>
    </w:p>
    <w:p>
      <w:pPr>
        <w:pStyle w:val="1012"/>
        <w:ind w:firstLine="643"/>
        <w:jc w:val="center"/>
        <w:spacing w:line="480" w:lineRule="exact"/>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rPr>
      </w:r>
      <w:r>
        <w:rPr>
          <w:color w:val="000000" w:themeColor="text1"/>
        </w:rPr>
      </w:r>
    </w:p>
    <w:p>
      <w:pPr>
        <w:pStyle w:val="1012"/>
        <w:ind w:firstLine="643"/>
        <w:jc w:val="center"/>
        <w:spacing w:line="480" w:lineRule="exact"/>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rPr>
      </w:r>
      <w:r>
        <w:rPr>
          <w:color w:val="000000" w:themeColor="text1"/>
        </w:rPr>
      </w:r>
    </w:p>
    <w:p>
      <w:pPr>
        <w:pStyle w:val="1012"/>
        <w:ind w:firstLine="643"/>
        <w:jc w:val="center"/>
        <w:spacing w:line="480" w:lineRule="exact"/>
        <w:rPr>
          <w:rFonts w:hint="eastAsia" w:ascii="宋体" w:hAnsi="宋体" w:eastAsia="宋体" w:cs="宋体"/>
          <w:b/>
          <w:color w:val="000000" w:themeColor="text1"/>
          <w:sz w:val="32"/>
          <w:szCs w:val="32"/>
          <w:highlight w:val="none"/>
        </w:rPr>
        <w:sectPr>
          <w:headerReference w:type="default" r:id="rId17"/>
          <w:footerReference w:type="default" r:id="rId26"/>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eastAsia="宋体" w:cs="宋体"/>
          <w:b/>
          <w:color w:val="000000" w:themeColor="text1"/>
          <w:sz w:val="32"/>
          <w:szCs w:val="32"/>
          <w:highlight w:val="none"/>
        </w:rPr>
      </w:r>
      <w:r>
        <w:rPr>
          <w:color w:val="000000" w:themeColor="text1"/>
        </w:rPr>
      </w:r>
    </w:p>
    <w:p>
      <w:pPr>
        <w:pStyle w:val="1012"/>
        <w:ind w:firstLine="361"/>
        <w:jc w:val="center"/>
        <w:spacing w:line="360" w:lineRule="auto"/>
        <w:widowControl/>
        <w:rPr>
          <w:rFonts w:ascii="宋体" w:hAnsi="宋体" w:eastAsia="宋体" w:cs="宋体"/>
          <w:b/>
          <w:color w:val="000000" w:themeColor="text1"/>
          <w:sz w:val="36"/>
          <w:szCs w:val="36"/>
        </w:rPr>
        <w:outlineLvl w:val="1"/>
      </w:pPr>
      <w:r>
        <w:rPr>
          <w:color w:val="000000" w:themeColor="text1"/>
        </w:rPr>
      </w:r>
      <w:bookmarkStart w:id="78" w:name="_Toc28938"/>
      <w:r>
        <w:rPr>
          <w:rFonts w:hint="eastAsia" w:ascii="宋体" w:hAnsi="宋体" w:eastAsia="宋体" w:cs="宋体"/>
          <w:b/>
          <w:color w:val="000000" w:themeColor="text1"/>
          <w:sz w:val="32"/>
          <w:szCs w:val="32"/>
        </w:rPr>
        <w:t xml:space="preserve">13、代理服务收费标准</w:t>
      </w:r>
      <w:bookmarkEnd w:id="78"/>
      <w:r>
        <w:rPr>
          <w:rFonts w:ascii="宋体" w:hAnsi="宋体" w:eastAsia="宋体" w:cs="宋体"/>
          <w:b/>
          <w:color w:val="000000" w:themeColor="text1"/>
          <w:sz w:val="36"/>
          <w:szCs w:val="36"/>
        </w:rPr>
      </w:r>
      <w:r>
        <w:rPr>
          <w:color w:val="000000" w:themeColor="text1"/>
        </w:rPr>
      </w:r>
    </w:p>
    <w:tbl>
      <w:tblPr>
        <w:tblStyle w:val="1451"/>
        <w:tblW w:w="6699"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703"/>
        <w:gridCol w:w="1996"/>
      </w:tblGrid>
      <w:tr>
        <w:trPr>
          <w:trHeight w:val="576"/>
        </w:trPr>
        <w:tc>
          <w:tcPr>
            <w:tcW w:w="4703" w:type="dxa"/>
            <w:vAlign w:val="top"/>
            <w:textDirection w:val="lrTb"/>
            <w:noWrap w:val="false"/>
          </w:tcPr>
          <w:p>
            <w:pPr>
              <w:pStyle w:val="1012"/>
              <w:ind w:left="974" w:firstLine="0"/>
              <w:jc w:val="left"/>
              <w:spacing w:before="168" w:line="219" w:lineRule="auto"/>
              <w:widowControl/>
              <w:rPr>
                <w:rFonts w:ascii="宋体" w:hAnsi="宋体" w:eastAsia="宋体" w:cs="宋体"/>
                <w:color w:val="000000" w:themeColor="text1"/>
                <w:sz w:val="24"/>
                <w:szCs w:val="24"/>
              </w:rPr>
            </w:pPr>
            <w:r>
              <w:rPr>
                <w:rFonts w:ascii="宋体" w:hAnsi="宋体" w:eastAsia="宋体" w:cs="宋体"/>
                <w:color w:val="000000" w:themeColor="text1"/>
                <w:spacing w:val="1"/>
                <w:sz w:val="24"/>
                <w:szCs w:val="24"/>
                <w:lang w:val="en-US" w:eastAsia="en-US" w:bidi="ar-SA"/>
              </w:rPr>
              <w:t xml:space="preserve">中标或者成交金额</w:t>
            </w:r>
            <w:r>
              <w:rPr>
                <w:rFonts w:ascii="宋体" w:hAnsi="宋体" w:eastAsia="宋体" w:cs="宋体"/>
                <w:color w:val="000000" w:themeColor="text1"/>
                <w:sz w:val="24"/>
                <w:szCs w:val="24"/>
                <w:lang w:val="en-US" w:eastAsia="zh-CN" w:bidi="ar-SA"/>
              </w:rPr>
            </w:r>
            <w:r>
              <w:rPr>
                <w:color w:val="000000" w:themeColor="text1"/>
              </w:rPr>
            </w:r>
          </w:p>
        </w:tc>
        <w:tc>
          <w:tcPr>
            <w:tcW w:w="1996" w:type="dxa"/>
            <w:vAlign w:val="top"/>
            <w:textDirection w:val="lrTb"/>
            <w:noWrap w:val="false"/>
          </w:tcPr>
          <w:p>
            <w:pPr>
              <w:pStyle w:val="1012"/>
              <w:ind w:left="667" w:firstLine="0"/>
              <w:jc w:val="left"/>
              <w:spacing w:before="168" w:line="219" w:lineRule="auto"/>
              <w:widowControl/>
              <w:rPr>
                <w:rFonts w:ascii="宋体" w:hAnsi="宋体" w:eastAsia="宋体" w:cs="宋体"/>
                <w:color w:val="000000" w:themeColor="text1"/>
                <w:sz w:val="24"/>
                <w:szCs w:val="24"/>
              </w:rPr>
            </w:pPr>
            <w:r>
              <w:rPr>
                <w:rFonts w:ascii="宋体" w:hAnsi="宋体" w:eastAsia="宋体" w:cs="宋体"/>
                <w:color w:val="000000" w:themeColor="text1"/>
                <w:spacing w:val="7"/>
                <w:sz w:val="24"/>
                <w:szCs w:val="24"/>
                <w:lang w:val="en-US" w:eastAsia="en-US" w:bidi="ar-SA"/>
              </w:rPr>
              <w:t xml:space="preserve">费率</w:t>
            </w:r>
            <w:r>
              <w:rPr>
                <w:rFonts w:ascii="宋体" w:hAnsi="宋体" w:eastAsia="宋体" w:cs="宋体"/>
                <w:color w:val="000000" w:themeColor="text1"/>
                <w:sz w:val="24"/>
                <w:szCs w:val="24"/>
                <w:lang w:val="en-US" w:eastAsia="zh-CN" w:bidi="ar-SA"/>
              </w:rPr>
            </w:r>
            <w:r>
              <w:rPr>
                <w:color w:val="000000" w:themeColor="text1"/>
              </w:rPr>
            </w:r>
          </w:p>
        </w:tc>
      </w:tr>
      <w:tr>
        <w:trPr>
          <w:trHeight w:val="403"/>
        </w:trPr>
        <w:tc>
          <w:tcPr>
            <w:tcW w:w="4703" w:type="dxa"/>
            <w:vAlign w:val="top"/>
            <w:textDirection w:val="lrTb"/>
            <w:noWrap w:val="false"/>
          </w:tcPr>
          <w:p>
            <w:pPr>
              <w:pStyle w:val="1012"/>
              <w:ind w:left="175" w:firstLine="0"/>
              <w:jc w:val="left"/>
              <w:spacing w:before="154" w:line="219" w:lineRule="auto"/>
              <w:widowControl/>
              <w:rPr>
                <w:rFonts w:ascii="宋体" w:hAnsi="宋体" w:eastAsia="宋体" w:cs="宋体"/>
                <w:color w:val="000000" w:themeColor="text1"/>
                <w:sz w:val="24"/>
                <w:szCs w:val="24"/>
              </w:rPr>
            </w:pPr>
            <w:r>
              <w:rPr>
                <w:rFonts w:ascii="宋体" w:hAnsi="宋体" w:eastAsia="宋体" w:cs="宋体"/>
                <w:color w:val="000000" w:themeColor="text1"/>
                <w:spacing w:val="4"/>
                <w:sz w:val="24"/>
                <w:szCs w:val="24"/>
                <w:lang w:val="en-US" w:eastAsia="en-US" w:bidi="ar-SA"/>
              </w:rPr>
              <w:t xml:space="preserve">最低收费金额(每个委托项目)</w:t>
            </w:r>
            <w:r>
              <w:rPr>
                <w:rFonts w:ascii="宋体" w:hAnsi="宋体" w:eastAsia="宋体" w:cs="宋体"/>
                <w:color w:val="000000" w:themeColor="text1"/>
                <w:sz w:val="24"/>
                <w:szCs w:val="24"/>
                <w:lang w:val="en-US" w:eastAsia="zh-CN" w:bidi="ar-SA"/>
              </w:rPr>
            </w:r>
            <w:r>
              <w:rPr>
                <w:color w:val="000000" w:themeColor="text1"/>
              </w:rPr>
            </w:r>
          </w:p>
        </w:tc>
        <w:tc>
          <w:tcPr>
            <w:tcW w:w="1996" w:type="dxa"/>
            <w:vAlign w:val="top"/>
            <w:textDirection w:val="lrTb"/>
            <w:noWrap w:val="false"/>
          </w:tcPr>
          <w:p>
            <w:pPr>
              <w:pStyle w:val="1012"/>
              <w:ind w:left="507" w:firstLine="0"/>
              <w:jc w:val="left"/>
              <w:spacing w:before="155" w:line="220" w:lineRule="auto"/>
              <w:widowControl/>
              <w:rPr>
                <w:rFonts w:ascii="宋体" w:hAnsi="宋体" w:eastAsia="宋体" w:cs="宋体"/>
                <w:color w:val="000000" w:themeColor="text1"/>
                <w:sz w:val="24"/>
                <w:szCs w:val="24"/>
              </w:rPr>
            </w:pPr>
            <w:r>
              <w:rPr>
                <w:rFonts w:ascii="宋体" w:hAnsi="宋体" w:eastAsia="宋体" w:cs="宋体"/>
                <w:color w:val="000000" w:themeColor="text1"/>
                <w:spacing w:val="2"/>
                <w:sz w:val="24"/>
                <w:szCs w:val="24"/>
                <w:lang w:val="en-US" w:eastAsia="en-US" w:bidi="ar-SA"/>
              </w:rPr>
              <w:t xml:space="preserve">5000元</w:t>
            </w:r>
            <w:r>
              <w:rPr>
                <w:rFonts w:ascii="宋体" w:hAnsi="宋体" w:eastAsia="宋体" w:cs="宋体"/>
                <w:color w:val="000000" w:themeColor="text1"/>
                <w:sz w:val="24"/>
                <w:szCs w:val="24"/>
                <w:lang w:val="en-US" w:eastAsia="zh-CN" w:bidi="ar-SA"/>
              </w:rPr>
            </w:r>
            <w:r>
              <w:rPr>
                <w:color w:val="000000" w:themeColor="text1"/>
              </w:rPr>
            </w:r>
          </w:p>
        </w:tc>
      </w:tr>
      <w:tr>
        <w:trPr>
          <w:trHeight w:val="343"/>
        </w:trPr>
        <w:tc>
          <w:tcPr>
            <w:tcW w:w="4703" w:type="dxa"/>
            <w:vAlign w:val="top"/>
            <w:textDirection w:val="lrTb"/>
            <w:noWrap w:val="false"/>
          </w:tcPr>
          <w:p>
            <w:pPr>
              <w:pStyle w:val="1012"/>
              <w:ind w:left="654" w:firstLine="0"/>
              <w:jc w:val="left"/>
              <w:spacing w:before="155" w:line="219" w:lineRule="auto"/>
              <w:widowControl/>
              <w:rPr>
                <w:rFonts w:ascii="宋体" w:hAnsi="宋体" w:eastAsia="宋体" w:cs="宋体"/>
                <w:color w:val="000000" w:themeColor="text1"/>
                <w:sz w:val="24"/>
                <w:szCs w:val="24"/>
              </w:rPr>
            </w:pPr>
            <w:r>
              <w:rPr>
                <w:rFonts w:ascii="宋体" w:hAnsi="宋体" w:eastAsia="宋体" w:cs="宋体"/>
                <w:color w:val="000000" w:themeColor="text1"/>
                <w:spacing w:val="5"/>
                <w:sz w:val="24"/>
                <w:szCs w:val="24"/>
                <w:lang w:val="en-US" w:eastAsia="en-US" w:bidi="ar-SA"/>
              </w:rPr>
              <w:t xml:space="preserve">50万元以下(含50万元)</w:t>
            </w:r>
            <w:r>
              <w:rPr>
                <w:rFonts w:ascii="宋体" w:hAnsi="宋体" w:eastAsia="宋体" w:cs="宋体"/>
                <w:color w:val="000000" w:themeColor="text1"/>
                <w:sz w:val="24"/>
                <w:szCs w:val="24"/>
                <w:lang w:val="en-US" w:eastAsia="zh-CN" w:bidi="ar-SA"/>
              </w:rPr>
            </w:r>
            <w:r>
              <w:rPr>
                <w:color w:val="000000" w:themeColor="text1"/>
              </w:rPr>
            </w:r>
          </w:p>
        </w:tc>
        <w:tc>
          <w:tcPr>
            <w:tcW w:w="1996" w:type="dxa"/>
            <w:vAlign w:val="top"/>
            <w:textDirection w:val="lrTb"/>
            <w:noWrap w:val="false"/>
          </w:tcPr>
          <w:p>
            <w:pPr>
              <w:pStyle w:val="1012"/>
              <w:ind w:left="667" w:firstLine="0"/>
              <w:jc w:val="left"/>
              <w:spacing w:before="236" w:line="184" w:lineRule="auto"/>
              <w:widowControl/>
              <w:rPr>
                <w:rFonts w:ascii="宋体" w:hAnsi="宋体" w:eastAsia="宋体" w:cs="宋体"/>
                <w:color w:val="000000" w:themeColor="text1"/>
                <w:sz w:val="24"/>
                <w:szCs w:val="24"/>
              </w:rPr>
            </w:pPr>
            <w:r>
              <w:rPr>
                <w:rFonts w:ascii="宋体" w:hAnsi="宋体" w:eastAsia="宋体" w:cs="宋体"/>
                <w:color w:val="000000" w:themeColor="text1"/>
                <w:spacing w:val="-8"/>
                <w:sz w:val="24"/>
                <w:szCs w:val="24"/>
                <w:lang w:val="en-US" w:eastAsia="en-US" w:bidi="ar-SA"/>
              </w:rPr>
              <w:t xml:space="preserve">1.6%</w:t>
            </w:r>
            <w:r>
              <w:rPr>
                <w:rFonts w:ascii="宋体" w:hAnsi="宋体" w:eastAsia="宋体" w:cs="宋体"/>
                <w:color w:val="000000" w:themeColor="text1"/>
                <w:sz w:val="24"/>
                <w:szCs w:val="24"/>
                <w:lang w:val="en-US" w:eastAsia="zh-CN" w:bidi="ar-SA"/>
              </w:rPr>
            </w:r>
            <w:r>
              <w:rPr>
                <w:color w:val="000000" w:themeColor="text1"/>
              </w:rPr>
            </w:r>
          </w:p>
        </w:tc>
      </w:tr>
      <w:tr>
        <w:trPr>
          <w:trHeight w:val="328"/>
        </w:trPr>
        <w:tc>
          <w:tcPr>
            <w:tcW w:w="4703" w:type="dxa"/>
            <w:vAlign w:val="top"/>
            <w:textDirection w:val="lrTb"/>
            <w:noWrap w:val="false"/>
          </w:tcPr>
          <w:p>
            <w:pPr>
              <w:pStyle w:val="1012"/>
              <w:ind w:left="575" w:firstLine="0"/>
              <w:jc w:val="left"/>
              <w:spacing w:before="156" w:line="219" w:lineRule="auto"/>
              <w:widowControl/>
              <w:rPr>
                <w:rFonts w:ascii="宋体" w:hAnsi="宋体" w:eastAsia="宋体" w:cs="宋体"/>
                <w:color w:val="000000" w:themeColor="text1"/>
                <w:sz w:val="24"/>
                <w:szCs w:val="24"/>
              </w:rPr>
            </w:pPr>
            <w:r>
              <w:rPr>
                <w:rFonts w:ascii="宋体" w:hAnsi="宋体" w:eastAsia="宋体" w:cs="宋体"/>
                <w:color w:val="000000" w:themeColor="text1"/>
                <w:spacing w:val="4"/>
                <w:sz w:val="24"/>
                <w:szCs w:val="24"/>
                <w:lang w:val="en-US" w:eastAsia="en-US" w:bidi="ar-SA"/>
              </w:rPr>
              <w:t xml:space="preserve">50-400万元(含400万元)</w:t>
            </w:r>
            <w:r>
              <w:rPr>
                <w:rFonts w:ascii="宋体" w:hAnsi="宋体" w:eastAsia="宋体" w:cs="宋体"/>
                <w:color w:val="000000" w:themeColor="text1"/>
                <w:sz w:val="24"/>
                <w:szCs w:val="24"/>
                <w:lang w:val="en-US" w:eastAsia="zh-CN" w:bidi="ar-SA"/>
              </w:rPr>
            </w:r>
            <w:r>
              <w:rPr>
                <w:color w:val="000000" w:themeColor="text1"/>
              </w:rPr>
            </w:r>
          </w:p>
        </w:tc>
        <w:tc>
          <w:tcPr>
            <w:tcW w:w="1996" w:type="dxa"/>
            <w:vAlign w:val="top"/>
            <w:textDirection w:val="lrTb"/>
            <w:noWrap w:val="false"/>
          </w:tcPr>
          <w:p>
            <w:pPr>
              <w:pStyle w:val="1012"/>
              <w:ind w:left="667" w:firstLine="0"/>
              <w:jc w:val="left"/>
              <w:spacing w:before="237" w:line="184" w:lineRule="auto"/>
              <w:widowControl/>
              <w:rPr>
                <w:rFonts w:ascii="宋体" w:hAnsi="宋体" w:eastAsia="宋体" w:cs="宋体"/>
                <w:color w:val="000000" w:themeColor="text1"/>
                <w:sz w:val="24"/>
                <w:szCs w:val="24"/>
              </w:rPr>
            </w:pPr>
            <w:r>
              <w:rPr>
                <w:rFonts w:ascii="宋体" w:hAnsi="宋体" w:eastAsia="宋体" w:cs="宋体"/>
                <w:color w:val="000000" w:themeColor="text1"/>
                <w:spacing w:val="-7"/>
                <w:sz w:val="24"/>
                <w:szCs w:val="24"/>
                <w:lang w:val="en-US" w:eastAsia="en-US" w:bidi="ar-SA"/>
              </w:rPr>
              <w:t xml:space="preserve">1.5%</w:t>
            </w:r>
            <w:r>
              <w:rPr>
                <w:rFonts w:ascii="宋体" w:hAnsi="宋体" w:eastAsia="宋体" w:cs="宋体"/>
                <w:color w:val="000000" w:themeColor="text1"/>
                <w:sz w:val="24"/>
                <w:szCs w:val="24"/>
                <w:lang w:val="en-US" w:eastAsia="zh-CN" w:bidi="ar-SA"/>
              </w:rPr>
            </w:r>
            <w:r>
              <w:rPr>
                <w:color w:val="000000" w:themeColor="text1"/>
              </w:rPr>
            </w:r>
          </w:p>
        </w:tc>
      </w:tr>
      <w:tr>
        <w:trPr>
          <w:trHeight w:val="366"/>
        </w:trPr>
        <w:tc>
          <w:tcPr>
            <w:tcW w:w="4703" w:type="dxa"/>
            <w:vAlign w:val="top"/>
            <w:textDirection w:val="lrTb"/>
            <w:noWrap w:val="false"/>
          </w:tcPr>
          <w:p>
            <w:pPr>
              <w:pStyle w:val="1012"/>
              <w:ind w:left="334" w:firstLine="0"/>
              <w:jc w:val="left"/>
              <w:spacing w:before="167" w:line="219" w:lineRule="auto"/>
              <w:widowControl/>
              <w:rPr>
                <w:rFonts w:ascii="宋体" w:hAnsi="宋体" w:eastAsia="宋体" w:cs="宋体"/>
                <w:color w:val="000000" w:themeColor="text1"/>
                <w:sz w:val="24"/>
                <w:szCs w:val="24"/>
              </w:rPr>
            </w:pPr>
            <w:r>
              <w:rPr>
                <w:rFonts w:ascii="宋体" w:hAnsi="宋体" w:eastAsia="宋体" w:cs="宋体"/>
                <w:color w:val="000000" w:themeColor="text1"/>
                <w:spacing w:val="3"/>
                <w:sz w:val="24"/>
                <w:szCs w:val="24"/>
                <w:lang w:val="en-US" w:eastAsia="en-US" w:bidi="ar-SA"/>
              </w:rPr>
              <w:t xml:space="preserve">400-1000万元(含1000万元)</w:t>
            </w:r>
            <w:r>
              <w:rPr>
                <w:rFonts w:ascii="宋体" w:hAnsi="宋体" w:eastAsia="宋体" w:cs="宋体"/>
                <w:color w:val="000000" w:themeColor="text1"/>
                <w:sz w:val="24"/>
                <w:szCs w:val="24"/>
                <w:lang w:val="en-US" w:eastAsia="zh-CN" w:bidi="ar-SA"/>
              </w:rPr>
            </w:r>
            <w:r>
              <w:rPr>
                <w:color w:val="000000" w:themeColor="text1"/>
              </w:rPr>
            </w:r>
          </w:p>
        </w:tc>
        <w:tc>
          <w:tcPr>
            <w:tcW w:w="1996" w:type="dxa"/>
            <w:vAlign w:val="top"/>
            <w:textDirection w:val="lrTb"/>
            <w:noWrap w:val="false"/>
          </w:tcPr>
          <w:p>
            <w:pPr>
              <w:pStyle w:val="1012"/>
              <w:ind w:left="667" w:firstLine="0"/>
              <w:jc w:val="left"/>
              <w:spacing w:before="248" w:line="184" w:lineRule="auto"/>
              <w:widowControl/>
              <w:rPr>
                <w:rFonts w:ascii="宋体" w:hAnsi="宋体" w:eastAsia="宋体" w:cs="宋体"/>
                <w:color w:val="000000" w:themeColor="text1"/>
                <w:sz w:val="24"/>
                <w:szCs w:val="24"/>
              </w:rPr>
            </w:pPr>
            <w:r>
              <w:rPr>
                <w:rFonts w:ascii="宋体" w:hAnsi="宋体" w:eastAsia="宋体" w:cs="宋体"/>
                <w:color w:val="000000" w:themeColor="text1"/>
                <w:spacing w:val="-5"/>
                <w:sz w:val="24"/>
                <w:szCs w:val="24"/>
                <w:lang w:val="en-US" w:eastAsia="en-US" w:bidi="ar-SA"/>
              </w:rPr>
              <w:t xml:space="preserve">1.1%</w:t>
            </w:r>
            <w:r>
              <w:rPr>
                <w:rFonts w:ascii="宋体" w:hAnsi="宋体" w:eastAsia="宋体" w:cs="宋体"/>
                <w:color w:val="000000" w:themeColor="text1"/>
                <w:sz w:val="24"/>
                <w:szCs w:val="24"/>
                <w:lang w:val="en-US" w:eastAsia="zh-CN" w:bidi="ar-SA"/>
              </w:rPr>
            </w:r>
            <w:r>
              <w:rPr>
                <w:color w:val="000000" w:themeColor="text1"/>
              </w:rPr>
            </w:r>
          </w:p>
        </w:tc>
      </w:tr>
      <w:tr>
        <w:trPr>
          <w:trHeight w:val="328"/>
        </w:trPr>
        <w:tc>
          <w:tcPr>
            <w:tcW w:w="4703" w:type="dxa"/>
            <w:vAlign w:val="top"/>
            <w:textDirection w:val="lrTb"/>
            <w:noWrap w:val="false"/>
          </w:tcPr>
          <w:p>
            <w:pPr>
              <w:pStyle w:val="1012"/>
              <w:ind w:left="255" w:firstLine="0"/>
              <w:jc w:val="left"/>
              <w:spacing w:before="158" w:line="219" w:lineRule="auto"/>
              <w:widowControl/>
              <w:rPr>
                <w:rFonts w:ascii="宋体" w:hAnsi="宋体" w:eastAsia="宋体" w:cs="宋体"/>
                <w:color w:val="000000" w:themeColor="text1"/>
                <w:sz w:val="24"/>
                <w:szCs w:val="24"/>
              </w:rPr>
            </w:pPr>
            <w:r>
              <w:rPr>
                <w:rFonts w:ascii="宋体" w:hAnsi="宋体" w:eastAsia="宋体" w:cs="宋体"/>
                <w:color w:val="000000" w:themeColor="text1"/>
                <w:spacing w:val="3"/>
                <w:sz w:val="24"/>
                <w:szCs w:val="24"/>
                <w:lang w:val="en-US" w:eastAsia="en-US" w:bidi="ar-SA"/>
              </w:rPr>
              <w:t xml:space="preserve">1000-5000万元(含5000万元)</w:t>
            </w:r>
            <w:r>
              <w:rPr>
                <w:rFonts w:ascii="宋体" w:hAnsi="宋体" w:eastAsia="宋体" w:cs="宋体"/>
                <w:color w:val="000000" w:themeColor="text1"/>
                <w:sz w:val="24"/>
                <w:szCs w:val="24"/>
                <w:lang w:val="en-US" w:eastAsia="zh-CN" w:bidi="ar-SA"/>
              </w:rPr>
            </w:r>
            <w:r>
              <w:rPr>
                <w:color w:val="000000" w:themeColor="text1"/>
              </w:rPr>
            </w:r>
          </w:p>
        </w:tc>
        <w:tc>
          <w:tcPr>
            <w:tcW w:w="1996" w:type="dxa"/>
            <w:vAlign w:val="top"/>
            <w:textDirection w:val="lrTb"/>
            <w:noWrap w:val="false"/>
          </w:tcPr>
          <w:p>
            <w:pPr>
              <w:pStyle w:val="1012"/>
              <w:ind w:left="667" w:firstLine="0"/>
              <w:jc w:val="left"/>
              <w:spacing w:before="240" w:line="183" w:lineRule="auto"/>
              <w:widowControl/>
              <w:rPr>
                <w:rFonts w:ascii="宋体" w:hAnsi="宋体" w:eastAsia="宋体" w:cs="宋体"/>
                <w:color w:val="000000" w:themeColor="text1"/>
                <w:sz w:val="24"/>
                <w:szCs w:val="24"/>
              </w:rPr>
            </w:pPr>
            <w:r>
              <w:rPr>
                <w:rFonts w:ascii="宋体" w:hAnsi="宋体" w:eastAsia="宋体" w:cs="宋体"/>
                <w:color w:val="000000" w:themeColor="text1"/>
                <w:spacing w:val="-3"/>
                <w:sz w:val="24"/>
                <w:szCs w:val="24"/>
                <w:lang w:val="en-US" w:eastAsia="en-US" w:bidi="ar-SA"/>
              </w:rPr>
              <w:t xml:space="preserve">0.8%</w:t>
            </w:r>
            <w:r>
              <w:rPr>
                <w:rFonts w:ascii="宋体" w:hAnsi="宋体" w:eastAsia="宋体" w:cs="宋体"/>
                <w:color w:val="000000" w:themeColor="text1"/>
                <w:sz w:val="24"/>
                <w:szCs w:val="24"/>
                <w:lang w:val="en-US" w:eastAsia="zh-CN" w:bidi="ar-SA"/>
              </w:rPr>
            </w:r>
            <w:r>
              <w:rPr>
                <w:color w:val="000000" w:themeColor="text1"/>
              </w:rPr>
            </w:r>
          </w:p>
        </w:tc>
      </w:tr>
      <w:tr>
        <w:trPr>
          <w:trHeight w:val="223"/>
        </w:trPr>
        <w:tc>
          <w:tcPr>
            <w:tcW w:w="4703" w:type="dxa"/>
            <w:vAlign w:val="top"/>
            <w:textDirection w:val="lrTb"/>
            <w:noWrap w:val="false"/>
          </w:tcPr>
          <w:p>
            <w:pPr>
              <w:pStyle w:val="1012"/>
              <w:ind w:left="735" w:firstLine="0"/>
              <w:jc w:val="left"/>
              <w:spacing w:before="159" w:line="219" w:lineRule="auto"/>
              <w:widowControl/>
              <w:rPr>
                <w:rFonts w:ascii="宋体" w:hAnsi="宋体" w:eastAsia="宋体" w:cs="宋体"/>
                <w:color w:val="000000" w:themeColor="text1"/>
                <w:sz w:val="24"/>
                <w:szCs w:val="24"/>
              </w:rPr>
            </w:pPr>
            <w:r>
              <w:rPr>
                <w:rFonts w:ascii="宋体" w:hAnsi="宋体" w:eastAsia="宋体" w:cs="宋体"/>
                <w:color w:val="000000" w:themeColor="text1"/>
                <w:spacing w:val="5"/>
                <w:sz w:val="24"/>
                <w:szCs w:val="24"/>
                <w:lang w:val="en-US" w:eastAsia="en-US" w:bidi="ar-SA"/>
              </w:rPr>
              <w:t xml:space="preserve">5000-1亿元(含1亿元)</w:t>
            </w:r>
            <w:r>
              <w:rPr>
                <w:rFonts w:ascii="宋体" w:hAnsi="宋体" w:eastAsia="宋体" w:cs="宋体"/>
                <w:color w:val="000000" w:themeColor="text1"/>
                <w:sz w:val="24"/>
                <w:szCs w:val="24"/>
                <w:lang w:val="en-US" w:eastAsia="zh-CN" w:bidi="ar-SA"/>
              </w:rPr>
            </w:r>
            <w:r>
              <w:rPr>
                <w:color w:val="000000" w:themeColor="text1"/>
              </w:rPr>
            </w:r>
          </w:p>
        </w:tc>
        <w:tc>
          <w:tcPr>
            <w:tcW w:w="1996" w:type="dxa"/>
            <w:vAlign w:val="top"/>
            <w:textDirection w:val="lrTb"/>
            <w:noWrap w:val="false"/>
          </w:tcPr>
          <w:p>
            <w:pPr>
              <w:pStyle w:val="1012"/>
              <w:ind w:left="586" w:firstLine="0"/>
              <w:jc w:val="left"/>
              <w:spacing w:before="241" w:line="183" w:lineRule="auto"/>
              <w:widowControl/>
              <w:rPr>
                <w:rFonts w:ascii="宋体" w:hAnsi="宋体" w:eastAsia="宋体" w:cs="宋体"/>
                <w:color w:val="000000" w:themeColor="text1"/>
                <w:sz w:val="24"/>
                <w:szCs w:val="24"/>
              </w:rPr>
            </w:pPr>
            <w:r>
              <w:rPr>
                <w:rFonts w:ascii="宋体" w:hAnsi="宋体" w:eastAsia="宋体" w:cs="宋体"/>
                <w:color w:val="000000" w:themeColor="text1"/>
                <w:spacing w:val="-2"/>
                <w:sz w:val="24"/>
                <w:szCs w:val="24"/>
                <w:lang w:val="en-US" w:eastAsia="en-US" w:bidi="ar-SA"/>
              </w:rPr>
              <w:t xml:space="preserve">0.25%</w:t>
            </w:r>
            <w:r>
              <w:rPr>
                <w:rFonts w:ascii="宋体" w:hAnsi="宋体" w:eastAsia="宋体" w:cs="宋体"/>
                <w:color w:val="000000" w:themeColor="text1"/>
                <w:sz w:val="24"/>
                <w:szCs w:val="24"/>
                <w:lang w:val="en-US" w:eastAsia="zh-CN" w:bidi="ar-SA"/>
              </w:rPr>
            </w:r>
            <w:r>
              <w:rPr>
                <w:color w:val="000000" w:themeColor="text1"/>
              </w:rPr>
            </w:r>
          </w:p>
        </w:tc>
      </w:tr>
      <w:tr>
        <w:trPr>
          <w:trHeight w:val="90"/>
        </w:trPr>
        <w:tc>
          <w:tcPr>
            <w:tcW w:w="4703" w:type="dxa"/>
            <w:vAlign w:val="top"/>
            <w:textDirection w:val="lrTb"/>
            <w:noWrap w:val="false"/>
          </w:tcPr>
          <w:p>
            <w:pPr>
              <w:pStyle w:val="1012"/>
              <w:ind w:left="815" w:firstLine="0"/>
              <w:jc w:val="left"/>
              <w:spacing w:before="170" w:line="219" w:lineRule="auto"/>
              <w:widowControl/>
              <w:rPr>
                <w:rFonts w:ascii="宋体" w:hAnsi="宋体" w:eastAsia="宋体" w:cs="宋体"/>
                <w:color w:val="000000" w:themeColor="text1"/>
                <w:sz w:val="24"/>
                <w:szCs w:val="24"/>
              </w:rPr>
            </w:pPr>
            <w:r>
              <w:rPr>
                <w:rFonts w:ascii="宋体" w:hAnsi="宋体" w:eastAsia="宋体" w:cs="宋体"/>
                <w:color w:val="000000" w:themeColor="text1"/>
                <w:spacing w:val="5"/>
                <w:sz w:val="24"/>
                <w:szCs w:val="24"/>
                <w:lang w:val="en-US" w:eastAsia="en-US" w:bidi="ar-SA"/>
              </w:rPr>
              <w:t xml:space="preserve">1-10亿元(含10亿元)</w:t>
            </w:r>
            <w:r>
              <w:rPr>
                <w:rFonts w:ascii="宋体" w:hAnsi="宋体" w:eastAsia="宋体" w:cs="宋体"/>
                <w:color w:val="000000" w:themeColor="text1"/>
                <w:sz w:val="24"/>
                <w:szCs w:val="24"/>
                <w:lang w:val="en-US" w:eastAsia="zh-CN" w:bidi="ar-SA"/>
              </w:rPr>
            </w:r>
            <w:r>
              <w:rPr>
                <w:color w:val="000000" w:themeColor="text1"/>
              </w:rPr>
            </w:r>
          </w:p>
        </w:tc>
        <w:tc>
          <w:tcPr>
            <w:tcW w:w="1996" w:type="dxa"/>
            <w:vAlign w:val="top"/>
            <w:textDirection w:val="lrTb"/>
            <w:noWrap w:val="false"/>
          </w:tcPr>
          <w:p>
            <w:pPr>
              <w:pStyle w:val="1012"/>
              <w:ind w:left="586" w:firstLine="0"/>
              <w:jc w:val="left"/>
              <w:spacing w:before="252" w:line="183" w:lineRule="auto"/>
              <w:widowControl/>
              <w:rPr>
                <w:rFonts w:ascii="宋体" w:hAnsi="宋体" w:eastAsia="宋体" w:cs="宋体"/>
                <w:color w:val="000000" w:themeColor="text1"/>
                <w:sz w:val="24"/>
                <w:szCs w:val="24"/>
              </w:rPr>
            </w:pPr>
            <w:r>
              <w:rPr>
                <w:rFonts w:ascii="宋体" w:hAnsi="宋体" w:eastAsia="宋体" w:cs="宋体"/>
                <w:color w:val="000000" w:themeColor="text1"/>
                <w:spacing w:val="-3"/>
                <w:sz w:val="24"/>
                <w:szCs w:val="24"/>
                <w:lang w:val="en-US" w:eastAsia="en-US" w:bidi="ar-SA"/>
              </w:rPr>
              <w:t xml:space="preserve">0.05%</w:t>
            </w:r>
            <w:r>
              <w:rPr>
                <w:rFonts w:ascii="宋体" w:hAnsi="宋体" w:eastAsia="宋体" w:cs="宋体"/>
                <w:color w:val="000000" w:themeColor="text1"/>
                <w:sz w:val="24"/>
                <w:szCs w:val="24"/>
                <w:lang w:val="en-US" w:eastAsia="zh-CN" w:bidi="ar-SA"/>
              </w:rPr>
            </w:r>
            <w:r>
              <w:rPr>
                <w:color w:val="000000" w:themeColor="text1"/>
              </w:rPr>
            </w:r>
          </w:p>
        </w:tc>
      </w:tr>
      <w:tr>
        <w:trPr>
          <w:trHeight w:val="223"/>
        </w:trPr>
        <w:tc>
          <w:tcPr>
            <w:tcW w:w="4703" w:type="dxa"/>
            <w:vAlign w:val="top"/>
            <w:textDirection w:val="lrTb"/>
            <w:noWrap w:val="false"/>
          </w:tcPr>
          <w:p>
            <w:pPr>
              <w:pStyle w:val="1012"/>
              <w:ind w:left="735" w:firstLine="0"/>
              <w:jc w:val="left"/>
              <w:spacing w:before="162" w:line="219" w:lineRule="auto"/>
              <w:widowControl/>
              <w:rPr>
                <w:rFonts w:ascii="宋体" w:hAnsi="宋体" w:eastAsia="宋体" w:cs="宋体"/>
                <w:color w:val="000000" w:themeColor="text1"/>
                <w:sz w:val="24"/>
                <w:szCs w:val="24"/>
              </w:rPr>
            </w:pPr>
            <w:r>
              <w:rPr>
                <w:rFonts w:ascii="宋体" w:hAnsi="宋体" w:eastAsia="宋体" w:cs="宋体"/>
                <w:color w:val="000000" w:themeColor="text1"/>
                <w:spacing w:val="5"/>
                <w:sz w:val="24"/>
                <w:szCs w:val="24"/>
                <w:lang w:val="en-US" w:eastAsia="en-US" w:bidi="ar-SA"/>
              </w:rPr>
              <w:t xml:space="preserve">10-50亿元(含50亿元)</w:t>
            </w:r>
            <w:r>
              <w:rPr>
                <w:rFonts w:ascii="宋体" w:hAnsi="宋体" w:eastAsia="宋体" w:cs="宋体"/>
                <w:color w:val="000000" w:themeColor="text1"/>
                <w:sz w:val="24"/>
                <w:szCs w:val="24"/>
                <w:lang w:val="en-US" w:eastAsia="zh-CN" w:bidi="ar-SA"/>
              </w:rPr>
            </w:r>
            <w:r>
              <w:rPr>
                <w:color w:val="000000" w:themeColor="text1"/>
              </w:rPr>
            </w:r>
          </w:p>
        </w:tc>
        <w:tc>
          <w:tcPr>
            <w:tcW w:w="1996" w:type="dxa"/>
            <w:vAlign w:val="top"/>
            <w:textDirection w:val="lrTb"/>
            <w:noWrap w:val="false"/>
          </w:tcPr>
          <w:p>
            <w:pPr>
              <w:pStyle w:val="1012"/>
              <w:ind w:left="586" w:firstLine="0"/>
              <w:jc w:val="left"/>
              <w:spacing w:before="243" w:line="184" w:lineRule="auto"/>
              <w:widowControl/>
              <w:rPr>
                <w:rFonts w:ascii="宋体" w:hAnsi="宋体" w:eastAsia="宋体" w:cs="宋体"/>
                <w:color w:val="000000" w:themeColor="text1"/>
                <w:sz w:val="24"/>
                <w:szCs w:val="24"/>
              </w:rPr>
            </w:pPr>
            <w:r>
              <w:rPr>
                <w:rFonts w:ascii="宋体" w:hAnsi="宋体" w:eastAsia="宋体" w:cs="宋体"/>
                <w:color w:val="000000" w:themeColor="text1"/>
                <w:spacing w:val="-3"/>
                <w:sz w:val="24"/>
                <w:szCs w:val="24"/>
                <w:lang w:val="en-US" w:eastAsia="en-US" w:bidi="ar-SA"/>
              </w:rPr>
              <w:t xml:space="preserve">0.01%</w:t>
            </w:r>
            <w:r>
              <w:rPr>
                <w:rFonts w:ascii="宋体" w:hAnsi="宋体" w:eastAsia="宋体" w:cs="宋体"/>
                <w:color w:val="000000" w:themeColor="text1"/>
                <w:sz w:val="24"/>
                <w:szCs w:val="24"/>
                <w:lang w:val="en-US" w:eastAsia="zh-CN" w:bidi="ar-SA"/>
              </w:rPr>
            </w:r>
            <w:r>
              <w:rPr>
                <w:color w:val="000000" w:themeColor="text1"/>
              </w:rPr>
            </w:r>
          </w:p>
        </w:tc>
      </w:tr>
      <w:tr>
        <w:trPr>
          <w:trHeight w:val="141"/>
        </w:trPr>
        <w:tc>
          <w:tcPr>
            <w:tcW w:w="4703" w:type="dxa"/>
            <w:vAlign w:val="top"/>
            <w:textDirection w:val="lrTb"/>
            <w:noWrap w:val="false"/>
          </w:tcPr>
          <w:p>
            <w:pPr>
              <w:pStyle w:val="1012"/>
              <w:ind w:left="1455" w:firstLine="0"/>
              <w:jc w:val="left"/>
              <w:spacing w:before="164" w:line="220" w:lineRule="auto"/>
              <w:widowControl/>
              <w:rPr>
                <w:rFonts w:ascii="宋体" w:hAnsi="宋体" w:eastAsia="宋体" w:cs="宋体"/>
                <w:color w:val="000000" w:themeColor="text1"/>
                <w:sz w:val="24"/>
                <w:szCs w:val="24"/>
              </w:rPr>
            </w:pPr>
            <w:r>
              <w:rPr>
                <w:rFonts w:ascii="宋体" w:hAnsi="宋体" w:eastAsia="宋体" w:cs="宋体"/>
                <w:color w:val="000000" w:themeColor="text1"/>
                <w:spacing w:val="2"/>
                <w:sz w:val="24"/>
                <w:szCs w:val="24"/>
                <w:lang w:val="en-US" w:eastAsia="en-US" w:bidi="ar-SA"/>
              </w:rPr>
              <w:t xml:space="preserve">50亿元以上</w:t>
            </w:r>
            <w:r>
              <w:rPr>
                <w:rFonts w:ascii="宋体" w:hAnsi="宋体" w:eastAsia="宋体" w:cs="宋体"/>
                <w:color w:val="000000" w:themeColor="text1"/>
                <w:sz w:val="24"/>
                <w:szCs w:val="24"/>
                <w:lang w:val="en-US" w:eastAsia="zh-CN" w:bidi="ar-SA"/>
              </w:rPr>
            </w:r>
            <w:r>
              <w:rPr>
                <w:color w:val="000000" w:themeColor="text1"/>
              </w:rPr>
            </w:r>
          </w:p>
        </w:tc>
        <w:tc>
          <w:tcPr>
            <w:tcW w:w="1996" w:type="dxa"/>
            <w:vAlign w:val="top"/>
            <w:textDirection w:val="lrTb"/>
            <w:noWrap w:val="false"/>
          </w:tcPr>
          <w:p>
            <w:pPr>
              <w:pStyle w:val="1012"/>
              <w:ind w:left="507" w:firstLine="0"/>
              <w:jc w:val="left"/>
              <w:spacing w:before="245" w:line="183" w:lineRule="auto"/>
              <w:widowControl/>
              <w:rPr>
                <w:rFonts w:ascii="宋体" w:hAnsi="宋体" w:eastAsia="宋体" w:cs="宋体"/>
                <w:color w:val="000000" w:themeColor="text1"/>
                <w:sz w:val="24"/>
                <w:szCs w:val="24"/>
              </w:rPr>
            </w:pPr>
            <w:r>
              <w:rPr>
                <w:rFonts w:ascii="宋体" w:hAnsi="宋体" w:eastAsia="宋体" w:cs="宋体"/>
                <w:color w:val="000000" w:themeColor="text1"/>
                <w:spacing w:val="-2"/>
                <w:sz w:val="24"/>
                <w:szCs w:val="24"/>
                <w:lang w:val="en-US" w:eastAsia="en-US" w:bidi="ar-SA"/>
              </w:rPr>
              <w:t xml:space="preserve">0.005%</w:t>
            </w:r>
            <w:r>
              <w:rPr>
                <w:rFonts w:ascii="宋体" w:hAnsi="宋体" w:eastAsia="宋体" w:cs="宋体"/>
                <w:color w:val="000000" w:themeColor="text1"/>
                <w:sz w:val="24"/>
                <w:szCs w:val="24"/>
                <w:lang w:val="en-US" w:eastAsia="zh-CN" w:bidi="ar-SA"/>
              </w:rPr>
            </w:r>
            <w:r>
              <w:rPr>
                <w:color w:val="000000" w:themeColor="text1"/>
              </w:rPr>
            </w:r>
          </w:p>
        </w:tc>
      </w:tr>
    </w:tbl>
    <w:p>
      <w:pPr>
        <w:pStyle w:val="1012"/>
        <w:ind w:firstLine="0"/>
        <w:keepLines w:val="0"/>
        <w:keepNext w:val="0"/>
        <w:pageBreakBefore w:val="0"/>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1012"/>
        <w:ind w:firstLine="0"/>
        <w:keepLines w:val="0"/>
        <w:keepNext w:val="0"/>
        <w:pageBreakBefore w:val="0"/>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说明：</w:t>
      </w:r>
      <w:r>
        <w:rPr>
          <w:rFonts w:hint="eastAsia" w:ascii="宋体" w:hAnsi="宋体" w:eastAsia="宋体" w:cs="宋体"/>
          <w:color w:val="000000" w:themeColor="text1"/>
          <w:sz w:val="24"/>
          <w:szCs w:val="24"/>
          <w:highlight w:val="none"/>
        </w:rPr>
      </w:r>
      <w:r>
        <w:rPr>
          <w:color w:val="000000" w:themeColor="text1"/>
        </w:rPr>
      </w:r>
    </w:p>
    <w:p>
      <w:pPr>
        <w:pStyle w:val="1012"/>
        <w:ind w:firstLine="480"/>
        <w:jc w:val="left"/>
        <w:keepLines w:val="0"/>
        <w:keepNext w:val="0"/>
        <w:pageBreakBefore w:val="0"/>
        <w:spacing w:line="240" w:lineRule="auto"/>
        <w:widowControl/>
        <w:rPr>
          <w:rFonts w:hint="eastAsia" w:ascii="宋体" w:hAnsi="宋体" w:eastAsia="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0"/>
          <w:highlight w:val="none"/>
        </w:rPr>
        <w:t xml:space="preserve">1</w:t>
      </w:r>
      <w:r>
        <w:rPr>
          <w:rFonts w:hint="eastAsia" w:ascii="宋体" w:hAnsi="宋体" w:eastAsia="宋体" w:cs="宋体"/>
          <w:color w:val="000000" w:themeColor="text1"/>
          <w:sz w:val="24"/>
          <w:szCs w:val="20"/>
          <w:highlight w:val="none"/>
          <w:lang w:eastAsia="zh-CN"/>
        </w:rPr>
        <w:t xml:space="preserve">、</w:t>
      </w:r>
      <w:r>
        <w:rPr>
          <w:rFonts w:hint="eastAsia" w:ascii="宋体" w:hAnsi="宋体" w:eastAsia="宋体" w:cs="宋体"/>
          <w:color w:val="000000" w:themeColor="text1"/>
          <w:sz w:val="24"/>
          <w:szCs w:val="20"/>
          <w:highlight w:val="none"/>
        </w:rPr>
        <w:t xml:space="preserve">按上表计算的收费为代理服务全过程的收费金额。各社会代理机构不再收取采购文件制作售卖费用。</w:t>
      </w:r>
      <w:r>
        <w:rPr>
          <w:rFonts w:hint="eastAsia" w:ascii="宋体" w:hAnsi="宋体" w:eastAsia="宋体" w:cs="宋体"/>
          <w:color w:val="000000" w:themeColor="text1"/>
          <w:sz w:val="24"/>
          <w:szCs w:val="20"/>
          <w:highlight w:val="none"/>
        </w:rPr>
      </w:r>
      <w:r>
        <w:rPr>
          <w:color w:val="000000" w:themeColor="text1"/>
        </w:rPr>
      </w:r>
    </w:p>
    <w:p>
      <w:pPr>
        <w:pStyle w:val="1012"/>
        <w:ind w:firstLine="480"/>
        <w:jc w:val="left"/>
        <w:keepLines w:val="0"/>
        <w:keepNext w:val="0"/>
        <w:pageBreakBefore w:val="0"/>
        <w:spacing w:line="240" w:lineRule="auto"/>
        <w:widowControl/>
        <w:rPr>
          <w:rFonts w:hint="eastAsia" w:ascii="宋体" w:hAnsi="宋体" w:eastAsia="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0"/>
          <w:highlight w:val="none"/>
        </w:rPr>
        <w:t xml:space="preserve">2</w:t>
      </w:r>
      <w:r>
        <w:rPr>
          <w:rFonts w:hint="eastAsia" w:ascii="宋体" w:hAnsi="宋体" w:eastAsia="宋体" w:cs="宋体"/>
          <w:color w:val="000000" w:themeColor="text1"/>
          <w:sz w:val="24"/>
          <w:szCs w:val="20"/>
          <w:highlight w:val="none"/>
          <w:lang w:eastAsia="zh-CN"/>
        </w:rPr>
        <w:t xml:space="preserve">、</w:t>
      </w:r>
      <w:r>
        <w:rPr>
          <w:rFonts w:hint="eastAsia" w:ascii="宋体" w:hAnsi="宋体" w:eastAsia="宋体" w:cs="宋体"/>
          <w:color w:val="000000" w:themeColor="text1"/>
          <w:sz w:val="24"/>
          <w:szCs w:val="20"/>
          <w:highlight w:val="none"/>
        </w:rPr>
        <w:t xml:space="preserve">代理服务费按差额定率累进法计算。</w:t>
      </w:r>
      <w:r>
        <w:rPr>
          <w:rFonts w:hint="eastAsia" w:ascii="宋体" w:hAnsi="宋体" w:eastAsia="宋体" w:cs="宋体"/>
          <w:color w:val="000000" w:themeColor="text1"/>
          <w:sz w:val="24"/>
          <w:szCs w:val="20"/>
          <w:highlight w:val="none"/>
        </w:rPr>
      </w:r>
      <w:r>
        <w:rPr>
          <w:color w:val="000000" w:themeColor="text1"/>
        </w:rPr>
      </w:r>
    </w:p>
    <w:p>
      <w:pPr>
        <w:pStyle w:val="1012"/>
        <w:ind w:firstLine="480"/>
        <w:jc w:val="left"/>
        <w:keepLines w:val="0"/>
        <w:keepNext w:val="0"/>
        <w:pageBreakBefore w:val="0"/>
        <w:spacing w:line="240" w:lineRule="auto"/>
        <w:widowControl/>
        <w:rPr>
          <w:rFonts w:hint="eastAsia" w:ascii="宋体" w:hAnsi="宋体" w:eastAsia="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0"/>
          <w:highlight w:val="none"/>
        </w:rPr>
        <w:t xml:space="preserve">3</w:t>
      </w:r>
      <w:r>
        <w:rPr>
          <w:rFonts w:hint="eastAsia" w:ascii="宋体" w:hAnsi="宋体" w:eastAsia="宋体" w:cs="宋体"/>
          <w:color w:val="000000" w:themeColor="text1"/>
          <w:sz w:val="24"/>
          <w:szCs w:val="20"/>
          <w:highlight w:val="none"/>
          <w:lang w:eastAsia="zh-CN"/>
        </w:rPr>
        <w:t xml:space="preserve">、</w:t>
      </w:r>
      <w:r>
        <w:rPr>
          <w:rFonts w:hint="eastAsia" w:ascii="宋体" w:hAnsi="宋体" w:eastAsia="宋体" w:cs="宋体"/>
          <w:color w:val="000000" w:themeColor="text1"/>
          <w:sz w:val="24"/>
          <w:szCs w:val="20"/>
          <w:highlight w:val="none"/>
        </w:rPr>
        <w:t xml:space="preserve">代理服务费基准金额(按差额定率累进法计算的)=中标金额(按差额定率累进法计算的)*费率(%)。</w:t>
      </w:r>
      <w:r>
        <w:rPr>
          <w:rFonts w:hint="eastAsia" w:ascii="宋体" w:hAnsi="宋体" w:eastAsia="宋体" w:cs="宋体"/>
          <w:color w:val="000000" w:themeColor="text1"/>
          <w:sz w:val="24"/>
          <w:szCs w:val="20"/>
          <w:highlight w:val="none"/>
        </w:rPr>
      </w:r>
      <w:r>
        <w:rPr>
          <w:color w:val="000000" w:themeColor="text1"/>
        </w:rPr>
      </w:r>
    </w:p>
    <w:p>
      <w:pPr>
        <w:pStyle w:val="1012"/>
        <w:ind w:firstLine="480"/>
        <w:jc w:val="left"/>
        <w:keepLines w:val="0"/>
        <w:keepNext w:val="0"/>
        <w:pageBreakBefore w:val="0"/>
        <w:spacing w:line="240" w:lineRule="auto"/>
        <w:widowControl/>
        <w:rPr>
          <w:rFonts w:hint="eastAsia" w:ascii="宋体" w:hAnsi="宋体" w:eastAsia="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0"/>
          <w:highlight w:val="none"/>
        </w:rPr>
        <w:t xml:space="preserve">4</w:t>
      </w:r>
      <w:r>
        <w:rPr>
          <w:rFonts w:hint="eastAsia" w:ascii="宋体" w:hAnsi="宋体" w:eastAsia="宋体" w:cs="宋体"/>
          <w:color w:val="000000" w:themeColor="text1"/>
          <w:sz w:val="24"/>
          <w:szCs w:val="20"/>
          <w:highlight w:val="none"/>
          <w:lang w:eastAsia="zh-CN"/>
        </w:rPr>
        <w:t xml:space="preserve">、</w:t>
      </w:r>
      <w:r>
        <w:rPr>
          <w:rFonts w:hint="eastAsia" w:ascii="宋体" w:hAnsi="宋体" w:eastAsia="宋体" w:cs="宋体"/>
          <w:color w:val="000000" w:themeColor="text1"/>
          <w:sz w:val="24"/>
          <w:szCs w:val="20"/>
          <w:highlight w:val="none"/>
        </w:rPr>
        <w:t xml:space="preserve">代理服务费应收取金额=代理服务费基准金额(按差额定率累进法计算的)的合计数。</w:t>
      </w:r>
      <w:r>
        <w:rPr>
          <w:rFonts w:hint="eastAsia" w:ascii="宋体" w:hAnsi="宋体" w:eastAsia="宋体" w:cs="宋体"/>
          <w:color w:val="000000" w:themeColor="text1"/>
          <w:sz w:val="24"/>
          <w:szCs w:val="20"/>
          <w:highlight w:val="none"/>
        </w:rPr>
      </w:r>
      <w:r>
        <w:rPr>
          <w:color w:val="000000" w:themeColor="text1"/>
        </w:rPr>
      </w:r>
    </w:p>
    <w:p>
      <w:pPr>
        <w:pStyle w:val="1012"/>
        <w:ind w:firstLine="480"/>
        <w:jc w:val="left"/>
        <w:keepLines w:val="0"/>
        <w:keepNext w:val="0"/>
        <w:pageBreakBefore w:val="0"/>
        <w:spacing w:line="240" w:lineRule="auto"/>
        <w:widowControl/>
        <w:rPr>
          <w:rFonts w:hint="eastAsia" w:ascii="宋体" w:hAnsi="宋体" w:eastAsia="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0"/>
          <w:highlight w:val="none"/>
        </w:rPr>
        <w:t xml:space="preserve">5</w:t>
      </w:r>
      <w:r>
        <w:rPr>
          <w:rFonts w:hint="eastAsia" w:ascii="宋体" w:hAnsi="宋体" w:eastAsia="宋体" w:cs="宋体"/>
          <w:color w:val="000000" w:themeColor="text1"/>
          <w:sz w:val="24"/>
          <w:szCs w:val="20"/>
          <w:highlight w:val="none"/>
          <w:lang w:eastAsia="zh-CN"/>
        </w:rPr>
        <w:t xml:space="preserve">、</w:t>
      </w:r>
      <w:r>
        <w:rPr>
          <w:rFonts w:hint="eastAsia" w:ascii="宋体" w:hAnsi="宋体" w:eastAsia="宋体" w:cs="宋体"/>
          <w:color w:val="000000" w:themeColor="text1"/>
          <w:sz w:val="24"/>
          <w:szCs w:val="20"/>
          <w:highlight w:val="none"/>
        </w:rPr>
        <w:t xml:space="preserve">定点类等无金额或事先不能计算出价格总额的项目，按中标(成交)  金额按100万元计算。</w:t>
      </w:r>
      <w:r>
        <w:rPr>
          <w:rFonts w:hint="eastAsia" w:ascii="宋体" w:hAnsi="宋体" w:eastAsia="宋体" w:cs="宋体"/>
          <w:color w:val="000000" w:themeColor="text1"/>
          <w:sz w:val="24"/>
          <w:szCs w:val="20"/>
          <w:highlight w:val="none"/>
        </w:rPr>
      </w:r>
      <w:r>
        <w:rPr>
          <w:color w:val="000000" w:themeColor="text1"/>
        </w:rPr>
      </w:r>
    </w:p>
    <w:p>
      <w:pPr>
        <w:pStyle w:val="1012"/>
        <w:ind w:firstLine="480"/>
        <w:jc w:val="left"/>
        <w:keepLines w:val="0"/>
        <w:keepNext w:val="0"/>
        <w:pageBreakBefore w:val="0"/>
        <w:spacing w:line="240" w:lineRule="auto"/>
        <w:widowControl/>
        <w:rPr>
          <w:rFonts w:hint="eastAsia" w:ascii="宋体" w:hAnsi="宋体" w:eastAsia="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0"/>
          <w:highlight w:val="none"/>
        </w:rPr>
        <w:t xml:space="preserve">6</w:t>
      </w:r>
      <w:r>
        <w:rPr>
          <w:rFonts w:hint="eastAsia" w:ascii="宋体" w:hAnsi="宋体" w:eastAsia="宋体" w:cs="宋体"/>
          <w:color w:val="000000" w:themeColor="text1"/>
          <w:sz w:val="24"/>
          <w:szCs w:val="20"/>
          <w:highlight w:val="none"/>
          <w:lang w:eastAsia="zh-CN"/>
        </w:rPr>
        <w:t xml:space="preserve">、</w:t>
      </w:r>
      <w:r>
        <w:rPr>
          <w:rFonts w:hint="eastAsia" w:ascii="宋体" w:hAnsi="宋体" w:eastAsia="宋体" w:cs="宋体"/>
          <w:color w:val="000000" w:themeColor="text1"/>
          <w:sz w:val="24"/>
          <w:szCs w:val="20"/>
          <w:highlight w:val="none"/>
        </w:rPr>
        <w:t xml:space="preserve">有分包(分标段)的以一个项目计算。</w:t>
      </w:r>
      <w:r>
        <w:rPr>
          <w:rFonts w:hint="eastAsia" w:ascii="宋体" w:hAnsi="宋体" w:eastAsia="宋体" w:cs="宋体"/>
          <w:color w:val="000000" w:themeColor="text1"/>
          <w:sz w:val="24"/>
          <w:szCs w:val="20"/>
          <w:highlight w:val="none"/>
        </w:rPr>
      </w:r>
      <w:r>
        <w:rPr>
          <w:color w:val="000000" w:themeColor="text1"/>
        </w:rPr>
      </w:r>
    </w:p>
    <w:p>
      <w:pPr>
        <w:pStyle w:val="1012"/>
        <w:ind w:firstLine="480"/>
        <w:jc w:val="left"/>
        <w:keepLines w:val="0"/>
        <w:keepNext w:val="0"/>
        <w:pageBreakBefore w:val="0"/>
        <w:spacing w:line="240" w:lineRule="auto"/>
        <w:widowControl/>
        <w:rPr>
          <w:rFonts w:hint="eastAsia" w:ascii="宋体" w:hAnsi="宋体" w:eastAsia="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0"/>
          <w:highlight w:val="none"/>
        </w:rPr>
        <w:t xml:space="preserve">7</w:t>
      </w:r>
      <w:r>
        <w:rPr>
          <w:rFonts w:hint="eastAsia" w:ascii="宋体" w:hAnsi="宋体" w:eastAsia="宋体" w:cs="宋体"/>
          <w:color w:val="000000" w:themeColor="text1"/>
          <w:sz w:val="24"/>
          <w:szCs w:val="20"/>
          <w:highlight w:val="none"/>
          <w:lang w:eastAsia="zh-CN"/>
        </w:rPr>
        <w:t xml:space="preserve">、</w:t>
      </w:r>
      <w:r>
        <w:rPr>
          <w:rFonts w:hint="eastAsia" w:ascii="宋体" w:hAnsi="宋体" w:eastAsia="宋体" w:cs="宋体"/>
          <w:color w:val="000000" w:themeColor="text1"/>
          <w:sz w:val="24"/>
          <w:szCs w:val="20"/>
          <w:highlight w:val="none"/>
        </w:rPr>
        <w:t xml:space="preserve">以上价格为协会指导价，双方可根据项目难易程度和优质优价原则协商确定 。</w:t>
      </w:r>
      <w:r>
        <w:rPr>
          <w:rFonts w:hint="eastAsia" w:ascii="宋体" w:hAnsi="宋体" w:eastAsia="宋体" w:cs="宋体"/>
          <w:color w:val="000000" w:themeColor="text1"/>
          <w:sz w:val="24"/>
          <w:szCs w:val="20"/>
          <w:highlight w:val="none"/>
        </w:rPr>
      </w:r>
      <w:r>
        <w:rPr>
          <w:color w:val="000000" w:themeColor="text1"/>
        </w:rPr>
      </w:r>
    </w:p>
    <w:p>
      <w:pPr>
        <w:pStyle w:val="1012"/>
        <w:ind w:left="9" w:right="29" w:firstLine="0"/>
        <w:keepLines w:val="0"/>
        <w:keepNext w:val="0"/>
        <w:pageBreakBefore w:val="0"/>
        <w:spacing w:before="14" w:after="240" w:line="240" w:lineRule="auto"/>
        <w:widowControl w:val="off"/>
        <w:rPr>
          <w:rFonts w:ascii="宋体" w:hAnsi="宋体" w:eastAsia="宋体" w:cs="宋体"/>
          <w:color w:val="000000" w:themeColor="text1"/>
          <w:spacing w:val="2"/>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2"/>
          <w:sz w:val="24"/>
        </w:rPr>
        <w:t xml:space="preserve">备注：</w:t>
      </w:r>
      <w:r>
        <w:rPr>
          <w:rFonts w:hint="eastAsia" w:ascii="宋体" w:hAnsi="宋体" w:eastAsia="宋体" w:cs="宋体"/>
          <w:color w:val="000000" w:themeColor="text1"/>
          <w:spacing w:val="2"/>
          <w:sz w:val="24"/>
          <w:lang w:val="en-US" w:eastAsia="zh-CN"/>
        </w:rPr>
        <w:t xml:space="preserve">1、</w:t>
      </w:r>
      <w:r>
        <w:rPr>
          <w:rFonts w:ascii="宋体" w:hAnsi="宋体" w:eastAsia="宋体" w:cs="宋体"/>
          <w:color w:val="000000" w:themeColor="text1"/>
          <w:spacing w:val="2"/>
          <w:sz w:val="24"/>
        </w:rPr>
        <w:t xml:space="preserve">本项目代理服务收费金额为：</w:t>
      </w:r>
      <w:r>
        <w:rPr>
          <w:rFonts w:hint="eastAsia" w:ascii="宋体" w:hAnsi="宋体" w:eastAsia="宋体" w:cs="宋体"/>
          <w:color w:val="000000" w:themeColor="text1"/>
          <w:spacing w:val="2"/>
          <w:sz w:val="24"/>
          <w:lang w:val="en-US" w:eastAsia="zh-CN"/>
        </w:rPr>
        <w:t xml:space="preserve">500元</w:t>
      </w:r>
      <w:r>
        <w:rPr>
          <w:rFonts w:ascii="宋体" w:hAnsi="宋体" w:eastAsia="宋体" w:cs="宋体"/>
          <w:color w:val="000000" w:themeColor="text1"/>
          <w:spacing w:val="2"/>
          <w:sz w:val="24"/>
        </w:rPr>
        <w:t xml:space="preserve"> ，由</w:t>
      </w:r>
      <w:r>
        <w:rPr>
          <w:rFonts w:hint="eastAsia" w:ascii="宋体" w:hAnsi="宋体" w:eastAsia="宋体" w:cs="宋体"/>
          <w:color w:val="000000" w:themeColor="text1"/>
          <w:spacing w:val="2"/>
          <w:sz w:val="24"/>
          <w:lang w:val="en-US" w:eastAsia="zh-CN"/>
        </w:rPr>
        <w:t xml:space="preserve">采购人</w:t>
      </w:r>
      <w:r>
        <w:rPr>
          <w:rFonts w:ascii="宋体" w:hAnsi="宋体" w:eastAsia="宋体" w:cs="宋体"/>
          <w:color w:val="000000" w:themeColor="text1"/>
          <w:spacing w:val="2"/>
          <w:sz w:val="24"/>
        </w:rPr>
        <w:t xml:space="preserve">支付。</w:t>
      </w:r>
      <w:r>
        <w:rPr>
          <w:rFonts w:ascii="宋体" w:hAnsi="宋体" w:eastAsia="宋体" w:cs="宋体"/>
          <w:color w:val="000000" w:themeColor="text1"/>
          <w:spacing w:val="2"/>
          <w:sz w:val="24"/>
        </w:rPr>
      </w:r>
      <w:r>
        <w:rPr>
          <w:color w:val="000000" w:themeColor="text1"/>
        </w:rPr>
      </w:r>
    </w:p>
    <w:p>
      <w:pPr>
        <w:pStyle w:val="1012"/>
        <w:ind w:firstLine="720"/>
        <w:jc w:val="left"/>
        <w:keepLines w:val="0"/>
        <w:keepNext w:val="0"/>
        <w:pageBreakBefore w:val="0"/>
        <w:spacing w:line="240" w:lineRule="auto"/>
        <w:widowControl/>
        <w:rPr>
          <w:rFonts w:hint="eastAsia" w:ascii="宋体" w:hAnsi="宋体" w:eastAsia="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0"/>
          <w:highlight w:val="none"/>
          <w:lang w:val="en-US" w:eastAsia="zh-CN"/>
        </w:rPr>
        <w:t xml:space="preserve">2、关于进一步规范政府采购活动相关费用管理的通知（苏财规〔2026〕1号）</w:t>
      </w:r>
      <w:r>
        <w:rPr>
          <w:rFonts w:hint="eastAsia" w:ascii="宋体" w:hAnsi="宋体" w:eastAsia="宋体" w:cs="宋体"/>
          <w:color w:val="000000" w:themeColor="text1"/>
          <w:sz w:val="24"/>
          <w:szCs w:val="20"/>
          <w:highlight w:val="none"/>
        </w:rPr>
      </w:r>
      <w:r>
        <w:rPr>
          <w:color w:val="000000" w:themeColor="text1"/>
        </w:rPr>
      </w:r>
    </w:p>
    <w:p>
      <w:pPr>
        <w:pStyle w:val="1012"/>
        <w:ind w:firstLine="480"/>
        <w:jc w:val="left"/>
        <w:keepLines w:val="0"/>
        <w:keepNext w:val="0"/>
        <w:pageBreakBefore w:val="0"/>
        <w:spacing w:line="240" w:lineRule="auto"/>
        <w:widowControl/>
        <w:rPr>
          <w:rFonts w:ascii="宋体" w:hAnsi="宋体" w:eastAsia="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0"/>
          <w:highlight w:val="none"/>
        </w:rPr>
        <w:t xml:space="preserve">评审活动</w:t>
      </w:r>
      <w:r>
        <w:rPr>
          <w:rFonts w:ascii="宋体" w:hAnsi="宋体" w:eastAsia="宋体" w:cs="宋体"/>
          <w:color w:val="000000" w:themeColor="text1"/>
          <w:sz w:val="24"/>
          <w:szCs w:val="20"/>
          <w:highlight w:val="none"/>
        </w:rPr>
        <w:t xml:space="preserve">相关费用</w:t>
      </w:r>
      <w:r>
        <w:rPr>
          <w:rFonts w:hint="eastAsia" w:ascii="宋体" w:hAnsi="宋体" w:eastAsia="宋体" w:cs="宋体"/>
          <w:color w:val="000000" w:themeColor="text1"/>
          <w:sz w:val="24"/>
          <w:szCs w:val="20"/>
          <w:highlight w:val="none"/>
          <w:lang w:eastAsia="zh-CN"/>
        </w:rPr>
        <w:t xml:space="preserve">：</w:t>
      </w:r>
      <w:r>
        <w:rPr>
          <w:rFonts w:hint="eastAsia" w:ascii="宋体" w:hAnsi="宋体" w:eastAsia="宋体" w:cs="宋体"/>
          <w:color w:val="000000" w:themeColor="text1"/>
          <w:sz w:val="24"/>
          <w:szCs w:val="20"/>
          <w:highlight w:val="none"/>
        </w:rPr>
        <w:t xml:space="preserve">评审专家参加</w:t>
      </w:r>
      <w:r>
        <w:rPr>
          <w:rFonts w:ascii="宋体" w:hAnsi="宋体" w:eastAsia="宋体" w:cs="宋体"/>
          <w:color w:val="000000" w:themeColor="text1"/>
          <w:sz w:val="24"/>
          <w:szCs w:val="20"/>
          <w:highlight w:val="none"/>
        </w:rPr>
        <w:t xml:space="preserve">省内政府采购项目评审时应获得的专家评审费按以下规定进行管理。</w:t>
      </w:r>
      <w:r>
        <w:rPr>
          <w:rFonts w:ascii="宋体" w:hAnsi="宋体" w:eastAsia="宋体" w:cs="宋体"/>
          <w:color w:val="000000" w:themeColor="text1"/>
          <w:sz w:val="24"/>
          <w:szCs w:val="20"/>
          <w:highlight w:val="none"/>
        </w:rPr>
      </w:r>
      <w:r>
        <w:rPr>
          <w:color w:val="000000" w:themeColor="text1"/>
        </w:rPr>
      </w:r>
    </w:p>
    <w:p>
      <w:pPr>
        <w:pStyle w:val="1012"/>
        <w:ind w:firstLine="480"/>
        <w:jc w:val="left"/>
        <w:keepLines w:val="0"/>
        <w:keepNext w:val="0"/>
        <w:pageBreakBefore w:val="0"/>
        <w:spacing w:line="240" w:lineRule="auto"/>
        <w:widowControl/>
        <w:rPr>
          <w:rFonts w:ascii="宋体" w:hAnsi="宋体" w:eastAsia="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0"/>
          <w:highlight w:val="none"/>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rPr>
          <w:rFonts w:ascii="宋体" w:hAnsi="宋体" w:eastAsia="宋体" w:cs="宋体"/>
          <w:color w:val="000000" w:themeColor="text1"/>
          <w:sz w:val="24"/>
          <w:szCs w:val="20"/>
          <w:highlight w:val="none"/>
        </w:rPr>
      </w:r>
      <w:r>
        <w:rPr>
          <w:color w:val="000000" w:themeColor="text1"/>
        </w:rPr>
      </w:r>
    </w:p>
    <w:p>
      <w:pPr>
        <w:pStyle w:val="1012"/>
        <w:ind w:firstLine="480"/>
        <w:jc w:val="left"/>
        <w:keepLines w:val="0"/>
        <w:keepNext w:val="0"/>
        <w:pageBreakBefore w:val="0"/>
        <w:spacing w:line="240" w:lineRule="auto"/>
        <w:widowControl/>
        <w:rPr>
          <w:rFonts w:ascii="宋体" w:hAnsi="宋体" w:eastAsia="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0"/>
          <w:highlight w:val="none"/>
        </w:rPr>
        <w:t xml:space="preserve">（二）远程异地评标项目专家评审费按评审专家属地规定的标准支付。</w:t>
      </w:r>
      <w:r>
        <w:rPr>
          <w:rFonts w:ascii="宋体" w:hAnsi="宋体" w:eastAsia="宋体" w:cs="宋体"/>
          <w:color w:val="000000" w:themeColor="text1"/>
          <w:sz w:val="24"/>
          <w:szCs w:val="20"/>
          <w:highlight w:val="none"/>
        </w:rPr>
      </w:r>
      <w:r>
        <w:rPr>
          <w:color w:val="000000" w:themeColor="text1"/>
        </w:rPr>
      </w:r>
    </w:p>
    <w:p>
      <w:pPr>
        <w:pStyle w:val="1012"/>
        <w:ind w:firstLine="480"/>
        <w:jc w:val="left"/>
        <w:keepLines w:val="0"/>
        <w:keepNext w:val="0"/>
        <w:pageBreakBefore w:val="0"/>
        <w:spacing w:line="240" w:lineRule="auto"/>
        <w:widowControl/>
        <w:rPr>
          <w:rFonts w:ascii="宋体" w:hAnsi="宋体" w:eastAsia="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0"/>
          <w:highlight w:val="none"/>
        </w:rPr>
        <w:t xml:space="preserve">（三）专家评审费应在项目评审完成后30个工作日内支付专家。因专家原因导致项目废标，则不需要向应当承担责任的专家支付费用。</w:t>
      </w:r>
      <w:r>
        <w:rPr>
          <w:color w:val="000000" w:themeColor="text1"/>
        </w:rPr>
      </w:r>
    </w:p>
    <w:sectPr>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Symbol">
    <w:panose1 w:val="05050102010706020507"/>
  </w:font>
  <w:font w:name="方正魏碑_GBK">
    <w:panose1 w:val="020B0503020202020204"/>
  </w:font>
  <w:font w:name="Calibri Light">
    <w:panose1 w:val="020F0302020204030204"/>
  </w:font>
  <w:font w:name="Wingdings">
    <w:panose1 w:val="05000000000000000000"/>
  </w:font>
  <w:font w:name="华文楷体">
    <w:panose1 w:val="02010600040101010101"/>
  </w:font>
  <w:font w:name="Book Antiqua">
    <w:panose1 w:val="02040602050305030304"/>
  </w:font>
  <w:font w:name="Tahoma">
    <w:panose1 w:val="020B0604030504040204"/>
  </w:font>
  <w:font w:name="Verdana">
    <w:panose1 w:val="020B0604030504040204"/>
  </w:font>
  <w:font w:name="黑体">
    <w:panose1 w:val="02010609060101010101"/>
  </w:font>
  <w:font w:name="Segoe UI Symbol">
    <w:panose1 w:val="020B0502040204020203"/>
  </w:font>
  <w:font w:name="方正仿宋_GBK">
    <w:panose1 w:val="020B0503020202020204"/>
  </w:font>
  <w:font w:name="方正兰亭黑简体">
    <w:panose1 w:val="020B0503020202020204"/>
  </w:font>
  <w:font w:name="Cambria">
    <w:panose1 w:val="02040503050406030204"/>
  </w:font>
  <w:font w:name="Arial">
    <w:panose1 w:val="020B0604020202020204"/>
  </w:font>
  <w:font w:name="Courier New">
    <w:panose1 w:val="02070309020205020404"/>
  </w:font>
  <w:font w:name="仿宋">
    <w:panose1 w:val="02010609060101010101"/>
  </w:font>
  <w:font w:name="方正楷体_GB2312">
    <w:panose1 w:val="020B0503020202020204"/>
  </w:font>
  <w:font w:name="Calibri">
    <w:panose1 w:val="020F0502020204030204"/>
  </w:font>
  <w:font w:name="微软雅黑">
    <w:panose1 w:val="020B0503020204020204"/>
  </w:font>
  <w:font w:name="方正仿宋_GB2312">
    <w:panose1 w:val="020B0503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tabs>
        <w:tab w:val="center" w:pos="7143" w:leader="none"/>
        <w:tab w:val="right" w:pos="14287" w:leader="none"/>
      </w:tabs>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8"/>
                            <w:tabs>
                              <w:tab w:val="clear" w:pos="7143" w:leader="none"/>
                              <w:tab w:val="clear" w:pos="14287" w:leader="none"/>
                            </w:tabs>
                            <w:rPr>
                              <w:rFonts w:hint="eastAsia" w:ascii="宋体" w:hAnsi="宋体" w:eastAsia="宋体" w:cs="宋体"/>
                              <w:lang w:eastAsia="zh-CN"/>
                            </w:rPr>
                          </w:pPr>
                          <w:r>
                            <w:rPr>
                              <w:rFonts w:hint="eastAsia" w:ascii="宋体" w:hAnsi="宋体" w:eastAsia="宋体" w:cs="宋体"/>
                              <w:lang w:eastAsia="zh-CN"/>
                            </w:rPr>
                            <w:fldChar w:fldCharType="begin"/>
                          </w:r>
                          <w:r>
                            <w:rPr>
                              <w:rFonts w:hint="eastAsia" w:ascii="宋体" w:hAnsi="宋体" w:eastAsia="宋体" w:cs="宋体"/>
                              <w:lang w:eastAsia="zh-CN"/>
                            </w:rPr>
                            <w:instrText xml:space="preserve"> PAGE  \* MERGEFORMAT </w:instrText>
                          </w:r>
                          <w:r>
                            <w:rPr>
                              <w:rFonts w:hint="eastAsia" w:ascii="宋体" w:hAnsi="宋体" w:eastAsia="宋体" w:cs="宋体"/>
                              <w:lang w:eastAsia="zh-CN"/>
                            </w:rPr>
                            <w:fldChar w:fldCharType="separate"/>
                          </w:r>
                          <w:r>
                            <w:rPr>
                              <w:rFonts w:hint="eastAsia" w:ascii="宋体" w:hAnsi="宋体" w:eastAsia="宋体" w:cs="宋体"/>
                              <w:lang w:eastAsia="zh-CN"/>
                            </w:rPr>
                            <w:t xml:space="preserve">1</w:t>
                          </w:r>
                          <w:r>
                            <w:rPr>
                              <w:rFonts w:hint="eastAsia" w:ascii="宋体" w:hAnsi="宋体" w:eastAsia="宋体" w:cs="宋体"/>
                              <w:lang w:eastAsia="zh-CN"/>
                            </w:rPr>
                            <w:fldChar w:fldCharType="end"/>
                          </w:r>
                          <w:r>
                            <w:rPr>
                              <w:rFonts w:hint="eastAsia" w:ascii="宋体" w:hAnsi="宋体" w:eastAsia="宋体" w:cs="宋体"/>
                              <w:lang w:eastAsia="zh-CN"/>
                            </w:rPr>
                          </w:r>
                          <w:r/>
                        </w:p>
                        <w:p>
                          <w:pPr>
                            <w:pStyle w:val="101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8"/>
                      <w:tabs>
                        <w:tab w:val="clear" w:pos="7143" w:leader="none"/>
                        <w:tab w:val="clear" w:pos="14287" w:leader="none"/>
                      </w:tabs>
                      <w:rPr>
                        <w:rFonts w:hint="eastAsia" w:ascii="宋体" w:hAnsi="宋体" w:eastAsia="宋体" w:cs="宋体"/>
                        <w:lang w:eastAsia="zh-CN"/>
                      </w:rPr>
                    </w:pPr>
                    <w:r>
                      <w:rPr>
                        <w:rFonts w:hint="eastAsia" w:ascii="宋体" w:hAnsi="宋体" w:eastAsia="宋体" w:cs="宋体"/>
                        <w:lang w:eastAsia="zh-CN"/>
                      </w:rPr>
                      <w:fldChar w:fldCharType="begin"/>
                    </w:r>
                    <w:r>
                      <w:rPr>
                        <w:rFonts w:hint="eastAsia" w:ascii="宋体" w:hAnsi="宋体" w:eastAsia="宋体" w:cs="宋体"/>
                        <w:lang w:eastAsia="zh-CN"/>
                      </w:rPr>
                      <w:instrText xml:space="preserve"> PAGE  \* MERGEFORMAT </w:instrText>
                    </w:r>
                    <w:r>
                      <w:rPr>
                        <w:rFonts w:hint="eastAsia" w:ascii="宋体" w:hAnsi="宋体" w:eastAsia="宋体" w:cs="宋体"/>
                        <w:lang w:eastAsia="zh-CN"/>
                      </w:rPr>
                      <w:fldChar w:fldCharType="separate"/>
                    </w:r>
                    <w:r>
                      <w:rPr>
                        <w:rFonts w:hint="eastAsia" w:ascii="宋体" w:hAnsi="宋体" w:eastAsia="宋体" w:cs="宋体"/>
                        <w:lang w:eastAsia="zh-CN"/>
                      </w:rPr>
                      <w:t xml:space="preserve">1</w:t>
                    </w:r>
                    <w:r>
                      <w:rPr>
                        <w:rFonts w:hint="eastAsia" w:ascii="宋体" w:hAnsi="宋体" w:eastAsia="宋体" w:cs="宋体"/>
                        <w:lang w:eastAsia="zh-CN"/>
                      </w:rPr>
                      <w:fldChar w:fldCharType="end"/>
                    </w:r>
                    <w:r>
                      <w:rPr>
                        <w:rFonts w:hint="eastAsia" w:ascii="宋体" w:hAnsi="宋体" w:eastAsia="宋体" w:cs="宋体"/>
                        <w:lang w:eastAsia="zh-CN"/>
                      </w:rPr>
                    </w:r>
                    <w:r/>
                  </w:p>
                  <w:p>
                    <w:pPr>
                      <w:pStyle w:val="1012"/>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3"/>
      <w:ind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3"/>
      <w:ind w:firstLine="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3"/>
      <w:ind w:firstLine="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8"/>
                            <w:tabs>
                              <w:tab w:val="clear" w:pos="7143" w:leader="none"/>
                              <w:tab w:val="clear" w:pos="14287" w:leader="none"/>
                            </w:tabs>
                            <w:rPr>
                              <w:rFonts w:hint="eastAsia" w:eastAsia="方正仿宋_GB2312"/>
                              <w:sz w:val="22"/>
                              <w:szCs w:val="22"/>
                              <w:lang w:eastAsia="zh-CN"/>
                            </w:rPr>
                          </w:pPr>
                          <w:r>
                            <w:rPr>
                              <w:rFonts w:hint="eastAsia" w:ascii="宋体" w:hAnsi="宋体" w:eastAsia="宋体" w:cs="宋体"/>
                              <w:sz w:val="22"/>
                              <w:szCs w:val="22"/>
                              <w:lang w:eastAsia="zh-CN"/>
                            </w:rPr>
                            <w:fldChar w:fldCharType="begin"/>
                          </w:r>
                          <w:r>
                            <w:rPr>
                              <w:rFonts w:hint="eastAsia" w:ascii="宋体" w:hAnsi="宋体" w:eastAsia="宋体" w:cs="宋体"/>
                              <w:sz w:val="22"/>
                              <w:szCs w:val="22"/>
                              <w:lang w:eastAsia="zh-CN"/>
                            </w:rPr>
                            <w:instrText xml:space="preserve"> PAGE  \* MERGEFORMAT </w:instrText>
                          </w:r>
                          <w:r>
                            <w:rPr>
                              <w:rFonts w:hint="eastAsia" w:ascii="宋体" w:hAnsi="宋体" w:eastAsia="宋体" w:cs="宋体"/>
                              <w:sz w:val="22"/>
                              <w:szCs w:val="22"/>
                              <w:lang w:eastAsia="zh-CN"/>
                            </w:rPr>
                            <w:fldChar w:fldCharType="separate"/>
                          </w:r>
                          <w:r>
                            <w:rPr>
                              <w:rFonts w:hint="eastAsia" w:ascii="宋体" w:hAnsi="宋体" w:eastAsia="宋体" w:cs="宋体"/>
                              <w:sz w:val="22"/>
                              <w:szCs w:val="22"/>
                              <w:lang w:eastAsia="zh-CN"/>
                            </w:rPr>
                            <w:t xml:space="preserve">- 42 -</w:t>
                          </w:r>
                          <w:r>
                            <w:rPr>
                              <w:rFonts w:hint="eastAsia" w:ascii="宋体" w:hAnsi="宋体" w:eastAsia="宋体" w:cs="宋体"/>
                              <w:sz w:val="22"/>
                              <w:szCs w:val="22"/>
                              <w:lang w:eastAsia="zh-CN"/>
                            </w:rPr>
                            <w:fldChar w:fldCharType="end"/>
                          </w:r>
                          <w:r>
                            <w:rPr>
                              <w:rFonts w:hint="eastAsia" w:eastAsia="方正仿宋_GB2312"/>
                              <w:sz w:val="22"/>
                              <w:szCs w:val="22"/>
                              <w:lang w:eastAsia="zh-CN"/>
                            </w:rPr>
                          </w:r>
                          <w:r/>
                        </w:p>
                        <w:p>
                          <w:pPr>
                            <w:pStyle w:val="101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8"/>
                      <w:tabs>
                        <w:tab w:val="clear" w:pos="7143" w:leader="none"/>
                        <w:tab w:val="clear" w:pos="14287" w:leader="none"/>
                      </w:tabs>
                      <w:rPr>
                        <w:rFonts w:hint="eastAsia" w:eastAsia="方正仿宋_GB2312"/>
                        <w:sz w:val="22"/>
                        <w:szCs w:val="22"/>
                        <w:lang w:eastAsia="zh-CN"/>
                      </w:rPr>
                    </w:pPr>
                    <w:r>
                      <w:rPr>
                        <w:rFonts w:hint="eastAsia" w:ascii="宋体" w:hAnsi="宋体" w:eastAsia="宋体" w:cs="宋体"/>
                        <w:sz w:val="22"/>
                        <w:szCs w:val="22"/>
                        <w:lang w:eastAsia="zh-CN"/>
                      </w:rPr>
                      <w:fldChar w:fldCharType="begin"/>
                    </w:r>
                    <w:r>
                      <w:rPr>
                        <w:rFonts w:hint="eastAsia" w:ascii="宋体" w:hAnsi="宋体" w:eastAsia="宋体" w:cs="宋体"/>
                        <w:sz w:val="22"/>
                        <w:szCs w:val="22"/>
                        <w:lang w:eastAsia="zh-CN"/>
                      </w:rPr>
                      <w:instrText xml:space="preserve"> PAGE  \* MERGEFORMAT </w:instrText>
                    </w:r>
                    <w:r>
                      <w:rPr>
                        <w:rFonts w:hint="eastAsia" w:ascii="宋体" w:hAnsi="宋体" w:eastAsia="宋体" w:cs="宋体"/>
                        <w:sz w:val="22"/>
                        <w:szCs w:val="22"/>
                        <w:lang w:eastAsia="zh-CN"/>
                      </w:rPr>
                      <w:fldChar w:fldCharType="separate"/>
                    </w:r>
                    <w:r>
                      <w:rPr>
                        <w:rFonts w:hint="eastAsia" w:ascii="宋体" w:hAnsi="宋体" w:eastAsia="宋体" w:cs="宋体"/>
                        <w:sz w:val="22"/>
                        <w:szCs w:val="22"/>
                        <w:lang w:eastAsia="zh-CN"/>
                      </w:rPr>
                      <w:t xml:space="preserve">- 42 -</w:t>
                    </w:r>
                    <w:r>
                      <w:rPr>
                        <w:rFonts w:hint="eastAsia" w:ascii="宋体" w:hAnsi="宋体" w:eastAsia="宋体" w:cs="宋体"/>
                        <w:sz w:val="22"/>
                        <w:szCs w:val="22"/>
                        <w:lang w:eastAsia="zh-CN"/>
                      </w:rPr>
                      <w:fldChar w:fldCharType="end"/>
                    </w:r>
                    <w:r>
                      <w:rPr>
                        <w:rFonts w:hint="eastAsia" w:eastAsia="方正仿宋_GB2312"/>
                        <w:sz w:val="22"/>
                        <w:szCs w:val="22"/>
                        <w:lang w:eastAsia="zh-CN"/>
                      </w:rPr>
                    </w:r>
                    <w:r/>
                  </w:p>
                  <w:p>
                    <w:pPr>
                      <w:pStyle w:val="1012"/>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3"/>
      <w:ind w:firstLine="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8"/>
                            <w:tabs>
                              <w:tab w:val="clear" w:pos="7143" w:leader="none"/>
                              <w:tab w:val="clear" w:pos="14287" w:leader="none"/>
                            </w:tabs>
                            <w:rPr>
                              <w:rFonts w:hint="eastAsia" w:eastAsia="方正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- 87 -</w:t>
                          </w:r>
                          <w:r>
                            <w:rPr>
                              <w:rFonts w:hint="eastAsia"/>
                              <w:lang w:eastAsia="zh-CN"/>
                            </w:rPr>
                            <w:fldChar w:fldCharType="end"/>
                          </w:r>
                          <w:r>
                            <w:rPr>
                              <w:rFonts w:hint="eastAsia" w:eastAsia="方正仿宋_GB2312"/>
                              <w:lang w:eastAsia="zh-CN"/>
                            </w:rPr>
                          </w:r>
                          <w:r/>
                        </w:p>
                        <w:p>
                          <w:pPr>
                            <w:pStyle w:val="1012"/>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8"/>
                      <w:tabs>
                        <w:tab w:val="clear" w:pos="7143" w:leader="none"/>
                        <w:tab w:val="clear" w:pos="14287" w:leader="none"/>
                      </w:tabs>
                      <w:rPr>
                        <w:rFonts w:hint="eastAsia" w:eastAsia="方正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- 87 -</w:t>
                    </w:r>
                    <w:r>
                      <w:rPr>
                        <w:rFonts w:hint="eastAsia"/>
                        <w:lang w:eastAsia="zh-CN"/>
                      </w:rPr>
                      <w:fldChar w:fldCharType="end"/>
                    </w:r>
                    <w:r>
                      <w:rPr>
                        <w:rFonts w:hint="eastAsia" w:eastAsia="方正仿宋_GB2312"/>
                        <w:lang w:eastAsia="zh-CN"/>
                      </w:rPr>
                    </w:r>
                    <w:r/>
                  </w:p>
                  <w:p>
                    <w:pPr>
                      <w:pStyle w:val="1012"/>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3"/>
      <w:ind w:firstLine="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8"/>
                            <w:tabs>
                              <w:tab w:val="clear" w:pos="7143" w:leader="none"/>
                              <w:tab w:val="clear" w:pos="14287" w:leader="none"/>
                            </w:tabs>
                            <w:rPr>
                              <w:rFonts w:hint="eastAsia" w:eastAsia="方正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- 88 -</w:t>
                          </w:r>
                          <w:r>
                            <w:rPr>
                              <w:rFonts w:hint="eastAsia"/>
                              <w:lang w:eastAsia="zh-CN"/>
                            </w:rPr>
                            <w:fldChar w:fldCharType="end"/>
                          </w:r>
                          <w:r>
                            <w:rPr>
                              <w:rFonts w:hint="eastAsia" w:eastAsia="方正仿宋_GB2312"/>
                              <w:lang w:eastAsia="zh-CN"/>
                            </w:rPr>
                          </w:r>
                          <w:r/>
                        </w:p>
                        <w:p>
                          <w:pPr>
                            <w:pStyle w:val="1012"/>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8"/>
                      <w:tabs>
                        <w:tab w:val="clear" w:pos="7143" w:leader="none"/>
                        <w:tab w:val="clear" w:pos="14287" w:leader="none"/>
                      </w:tabs>
                      <w:rPr>
                        <w:rFonts w:hint="eastAsia" w:eastAsia="方正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- 88 -</w:t>
                    </w:r>
                    <w:r>
                      <w:rPr>
                        <w:rFonts w:hint="eastAsia"/>
                        <w:lang w:eastAsia="zh-CN"/>
                      </w:rPr>
                      <w:fldChar w:fldCharType="end"/>
                    </w:r>
                    <w:r>
                      <w:rPr>
                        <w:rFonts w:hint="eastAsia" w:eastAsia="方正仿宋_GB2312"/>
                        <w:lang w:eastAsia="zh-CN"/>
                      </w:rPr>
                    </w:r>
                    <w:r/>
                  </w:p>
                  <w:p>
                    <w:pPr>
                      <w:pStyle w:val="1012"/>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3"/>
      <w:ind w:firstLine="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8"/>
                            <w:tabs>
                              <w:tab w:val="clear" w:pos="7143" w:leader="none"/>
                              <w:tab w:val="clear" w:pos="14287" w:leader="none"/>
                            </w:tabs>
                            <w:rPr>
                              <w:rFonts w:hint="eastAsia" w:eastAsia="方正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- 89 -</w:t>
                          </w:r>
                          <w:r>
                            <w:rPr>
                              <w:rFonts w:hint="eastAsia"/>
                              <w:lang w:eastAsia="zh-CN"/>
                            </w:rPr>
                            <w:fldChar w:fldCharType="end"/>
                          </w:r>
                          <w:r>
                            <w:rPr>
                              <w:rFonts w:hint="eastAsia" w:eastAsia="方正仿宋_GB2312"/>
                              <w:lang w:eastAsia="zh-CN"/>
                            </w:rPr>
                          </w:r>
                          <w:r/>
                        </w:p>
                        <w:p>
                          <w:pPr>
                            <w:pStyle w:val="1012"/>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8"/>
                      <w:tabs>
                        <w:tab w:val="clear" w:pos="7143" w:leader="none"/>
                        <w:tab w:val="clear" w:pos="14287" w:leader="none"/>
                      </w:tabs>
                      <w:rPr>
                        <w:rFonts w:hint="eastAsia" w:eastAsia="方正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- 89 -</w:t>
                    </w:r>
                    <w:r>
                      <w:rPr>
                        <w:rFonts w:hint="eastAsia"/>
                        <w:lang w:eastAsia="zh-CN"/>
                      </w:rPr>
                      <w:fldChar w:fldCharType="end"/>
                    </w:r>
                    <w:r>
                      <w:rPr>
                        <w:rFonts w:hint="eastAsia" w:eastAsia="方正仿宋_GB2312"/>
                        <w:lang w:eastAsia="zh-CN"/>
                      </w:rPr>
                    </w:r>
                    <w:r/>
                  </w:p>
                  <w:p>
                    <w:pPr>
                      <w:pStyle w:val="1012"/>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3"/>
      <w:ind w:firstLine="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8"/>
                            <w:tabs>
                              <w:tab w:val="clear" w:pos="7143" w:leader="none"/>
                              <w:tab w:val="clear" w:pos="14287" w:leader="none"/>
                            </w:tabs>
                            <w:rPr>
                              <w:rFonts w:hint="eastAsia" w:eastAsia="方正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- 90 -</w:t>
                          </w:r>
                          <w:r>
                            <w:rPr>
                              <w:rFonts w:hint="eastAsia"/>
                              <w:lang w:eastAsia="zh-CN"/>
                            </w:rPr>
                            <w:fldChar w:fldCharType="end"/>
                          </w:r>
                          <w:r>
                            <w:rPr>
                              <w:rFonts w:hint="eastAsia" w:eastAsia="方正仿宋_GB2312"/>
                              <w:lang w:eastAsia="zh-CN"/>
                            </w:rPr>
                          </w:r>
                          <w:r/>
                        </w:p>
                        <w:p>
                          <w:pPr>
                            <w:pStyle w:val="1012"/>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8"/>
                      <w:tabs>
                        <w:tab w:val="clear" w:pos="7143" w:leader="none"/>
                        <w:tab w:val="clear" w:pos="14287" w:leader="none"/>
                      </w:tabs>
                      <w:rPr>
                        <w:rFonts w:hint="eastAsia" w:eastAsia="方正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- 90 -</w:t>
                    </w:r>
                    <w:r>
                      <w:rPr>
                        <w:rFonts w:hint="eastAsia"/>
                        <w:lang w:eastAsia="zh-CN"/>
                      </w:rPr>
                      <w:fldChar w:fldCharType="end"/>
                    </w:r>
                    <w:r>
                      <w:rPr>
                        <w:rFonts w:hint="eastAsia" w:eastAsia="方正仿宋_GB2312"/>
                        <w:lang w:eastAsia="zh-CN"/>
                      </w:rPr>
                    </w:r>
                    <w:r/>
                  </w:p>
                  <w:p>
                    <w:pPr>
                      <w:pStyle w:val="1012"/>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3"/>
      <w:ind w:firstLine="360"/>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8"/>
                            <w:tabs>
                              <w:tab w:val="clear" w:pos="7143" w:leader="none"/>
                              <w:tab w:val="clear" w:pos="14287" w:leader="none"/>
                            </w:tabs>
                            <w:rPr>
                              <w:rFonts w:hint="eastAsia" w:eastAsia="方正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- 1 -</w:t>
                          </w:r>
                          <w:r>
                            <w:rPr>
                              <w:rFonts w:hint="eastAsia"/>
                              <w:lang w:eastAsia="zh-CN"/>
                            </w:rPr>
                            <w:fldChar w:fldCharType="end"/>
                          </w:r>
                          <w:r>
                            <w:rPr>
                              <w:rFonts w:hint="eastAsia" w:eastAsia="方正仿宋_GB2312"/>
                              <w:lang w:eastAsia="zh-CN"/>
                            </w:rPr>
                          </w:r>
                          <w:r/>
                        </w:p>
                        <w:p>
                          <w:pPr>
                            <w:pStyle w:val="1012"/>
                          </w:pPr>
                          <w:r/>
                          <w:r/>
                        </w:p>
                      </w:txbxContent>
                    </wps:txbx>
                    <wps:bodyPr wrap="none" lIns="0" tIns="0" rIns="0" bIns="0" upright="1">
                      <a:spAutoFit/>
                    </wps:bodyPr>
                  </wps:wsp>
                </a:graphicData>
              </a:graphic>
            </wp:anchor>
          </w:drawing>
        </mc:Choice>
        <mc:Fallback>
          <w:pict>
            <v:shape id="shape 6" o:spid="_x0000_s6"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8"/>
                      <w:tabs>
                        <w:tab w:val="clear" w:pos="7143" w:leader="none"/>
                        <w:tab w:val="clear" w:pos="14287" w:leader="none"/>
                      </w:tabs>
                      <w:rPr>
                        <w:rFonts w:hint="eastAsia" w:eastAsia="方正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- 1 -</w:t>
                    </w:r>
                    <w:r>
                      <w:rPr>
                        <w:rFonts w:hint="eastAsia"/>
                        <w:lang w:eastAsia="zh-CN"/>
                      </w:rPr>
                      <w:fldChar w:fldCharType="end"/>
                    </w:r>
                    <w:r>
                      <w:rPr>
                        <w:rFonts w:hint="eastAsia" w:eastAsia="方正仿宋_GB2312"/>
                        <w:lang w:eastAsia="zh-CN"/>
                      </w:rPr>
                    </w:r>
                    <w:r/>
                  </w:p>
                  <w:p>
                    <w:pPr>
                      <w:pStyle w:val="1012"/>
                    </w:pPr>
                    <w:r/>
                    <w:r/>
                  </w:p>
                </w:txbxContent>
              </v:textbox>
            </v:shape>
          </w:pict>
        </mc:Fallback>
      </mc:AlternateContent>
    </w:r>
    <w:r/>
  </w:p>
  <w:p>
    <w:pPr>
      <w:pStyle w:val="1283"/>
      <w:ind w:firstLine="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ind w:firstLine="0"/>
      <w:rPr>
        <w:rFonts w:hint="eastAsia"/>
        <w:iCs/>
        <w:sz w:val="18"/>
        <w:u w:val="single"/>
      </w:rPr>
    </w:pPr>
    <w:r>
      <w:rPr>
        <w:rFonts w:hint="eastAsia"/>
        <w:iCs/>
        <w:sz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7"/>
      <w:ind w:firstLine="360"/>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7"/>
      <w:ind w:firstLine="360"/>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7"/>
      <w:ind w:firstLine="360"/>
      <w:tabs>
        <w:tab w:val="center" w:pos="4153" w:leader="none"/>
        <w:tab w:val="right" w:pos="8306" w:leader="none"/>
      </w:tabs>
      <w:rPr>
        <w:rFonts w:hint="eastAsia"/>
      </w:rPr>
      <w:pBdr>
        <w:bottom w:val="none" w:color="000000" w:sz="0" w:space="0"/>
      </w:pBdr>
    </w:pPr>
    <w:r>
      <w:rPr>
        <w:rFonts w:hint="eastAsia"/>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7"/>
      <w:ind w:firstLine="360"/>
      <w:tabs>
        <w:tab w:val="center" w:pos="4153" w:leader="none"/>
        <w:tab w:val="right" w:pos="8306" w:leader="none"/>
      </w:tabs>
      <w:rPr>
        <w:rFonts w:hint="eastAsia"/>
      </w:rPr>
      <w:pBdr>
        <w:bottom w:val="none" w:color="000000" w:sz="0" w:space="0"/>
      </w:pBdr>
    </w:pPr>
    <w:r>
      <w:rPr>
        <w:rFonts w:hint="eastAsia"/>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7"/>
      <w:ind w:firstLine="360"/>
      <w:tabs>
        <w:tab w:val="center" w:pos="4153" w:leader="none"/>
        <w:tab w:val="right" w:pos="8306" w:leader="none"/>
      </w:tabs>
      <w:rPr>
        <w:rFonts w:hint="eastAsia"/>
      </w:rPr>
      <w:pBdr>
        <w:bottom w:val="none" w:color="000000" w:sz="0" w:space="0"/>
      </w:pBdr>
    </w:pPr>
    <w:r>
      <w:rPr>
        <w:rFonts w:hint="eastAsia"/>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7"/>
      <w:ind w:firstLine="360"/>
      <w:tabs>
        <w:tab w:val="center" w:pos="4153" w:leader="none"/>
        <w:tab w:val="right" w:pos="8306" w:leader="none"/>
      </w:tabs>
      <w:rPr>
        <w:rFonts w:hint="eastAsia"/>
      </w:rPr>
      <w:pBdr>
        <w:bottom w:val="none" w:color="000000" w:sz="0" w:space="0"/>
      </w:pBdr>
    </w:pPr>
    <w:r>
      <w:rPr>
        <w:rFonts w:hint="eastAsia"/>
      </w:r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7"/>
      <w:ind w:firstLine="360"/>
      <w:tabs>
        <w:tab w:val="center" w:pos="4153" w:leader="none"/>
        <w:tab w:val="right" w:pos="8306" w:leader="none"/>
      </w:tabs>
      <w:rPr>
        <w:rFonts w:hint="eastAsia"/>
      </w:rPr>
      <w:pBdr>
        <w:bottom w:val="none" w:color="000000" w:sz="0" w:space="0"/>
      </w:pBdr>
    </w:pPr>
    <w:r>
      <w:rPr>
        <w:rFonts w:hint="eastAsia"/>
      </w:r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7"/>
      <w:ind w:firstLine="360"/>
      <w:tabs>
        <w:tab w:val="center" w:pos="4153" w:leader="none"/>
        <w:tab w:val="right" w:pos="8306" w:leader="none"/>
      </w:tabs>
      <w:rPr>
        <w:rFonts w:hint="eastAsia"/>
      </w:rPr>
      <w:pBdr>
        <w:bottom w:val="none" w:color="000000" w:sz="0" w:space="0"/>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90"/>
      <w:isLgl w:val="false"/>
      <w:suff w:val="tab"/>
      <w:lvlText w:val="%1、"/>
      <w:lvlJc w:val="left"/>
      <w:pPr>
        <w:pStyle w:val="1012"/>
        <w:ind w:left="720" w:hanging="720"/>
        <w:tabs>
          <w:tab w:val="num" w:pos="720" w:leader="none"/>
        </w:tabs>
      </w:pPr>
    </w:lvl>
    <w:lvl w:ilvl="1">
      <w:start w:val="1"/>
      <w:numFmt w:val="lowerLetter"/>
      <w:isLgl w:val="false"/>
      <w:suff w:val="tab"/>
      <w:lvlText w:val="%2)"/>
      <w:lvlJc w:val="left"/>
      <w:pPr>
        <w:pStyle w:val="1012"/>
        <w:ind w:left="840" w:hanging="420"/>
        <w:tabs>
          <w:tab w:val="num" w:pos="840" w:leader="none"/>
        </w:tabs>
      </w:pPr>
    </w:lvl>
    <w:lvl w:ilvl="2">
      <w:start w:val="1"/>
      <w:numFmt w:val="lowerRoman"/>
      <w:isLgl w:val="false"/>
      <w:suff w:val="tab"/>
      <w:lvlText w:val="%3."/>
      <w:lvlJc w:val="right"/>
      <w:pPr>
        <w:pStyle w:val="1012"/>
        <w:ind w:left="1260" w:hanging="420"/>
        <w:tabs>
          <w:tab w:val="num" w:pos="1260" w:leader="none"/>
        </w:tabs>
      </w:pPr>
    </w:lvl>
    <w:lvl w:ilvl="3">
      <w:start w:val="1"/>
      <w:numFmt w:val="decimal"/>
      <w:isLgl w:val="false"/>
      <w:suff w:val="tab"/>
      <w:lvlText w:val="%4."/>
      <w:lvlJc w:val="left"/>
      <w:pPr>
        <w:pStyle w:val="1012"/>
        <w:ind w:left="1680" w:hanging="420"/>
        <w:tabs>
          <w:tab w:val="num" w:pos="1680" w:leader="none"/>
        </w:tabs>
      </w:pPr>
    </w:lvl>
    <w:lvl w:ilvl="4">
      <w:start w:val="1"/>
      <w:numFmt w:val="lowerLetter"/>
      <w:isLgl w:val="false"/>
      <w:suff w:val="tab"/>
      <w:lvlText w:val="%5)"/>
      <w:lvlJc w:val="left"/>
      <w:pPr>
        <w:pStyle w:val="1012"/>
        <w:ind w:left="2100" w:hanging="420"/>
        <w:tabs>
          <w:tab w:val="num" w:pos="2100" w:leader="none"/>
        </w:tabs>
      </w:pPr>
    </w:lvl>
    <w:lvl w:ilvl="5">
      <w:start w:val="1"/>
      <w:numFmt w:val="lowerRoman"/>
      <w:isLgl w:val="false"/>
      <w:suff w:val="tab"/>
      <w:lvlText w:val="%6."/>
      <w:lvlJc w:val="right"/>
      <w:pPr>
        <w:pStyle w:val="1012"/>
        <w:ind w:left="2520" w:hanging="420"/>
        <w:tabs>
          <w:tab w:val="num" w:pos="2520" w:leader="none"/>
        </w:tabs>
      </w:pPr>
    </w:lvl>
    <w:lvl w:ilvl="6">
      <w:start w:val="1"/>
      <w:numFmt w:val="decimal"/>
      <w:isLgl w:val="false"/>
      <w:suff w:val="tab"/>
      <w:lvlText w:val="%7."/>
      <w:lvlJc w:val="left"/>
      <w:pPr>
        <w:pStyle w:val="1012"/>
        <w:ind w:left="2940" w:hanging="420"/>
        <w:tabs>
          <w:tab w:val="num" w:pos="2940" w:leader="none"/>
        </w:tabs>
      </w:pPr>
    </w:lvl>
    <w:lvl w:ilvl="7">
      <w:start w:val="1"/>
      <w:numFmt w:val="lowerLetter"/>
      <w:isLgl w:val="false"/>
      <w:suff w:val="tab"/>
      <w:lvlText w:val="%8)"/>
      <w:lvlJc w:val="left"/>
      <w:pPr>
        <w:pStyle w:val="1012"/>
        <w:ind w:left="3360" w:hanging="420"/>
        <w:tabs>
          <w:tab w:val="num" w:pos="3360" w:leader="none"/>
        </w:tabs>
      </w:pPr>
    </w:lvl>
    <w:lvl w:ilvl="8">
      <w:start w:val="1"/>
      <w:numFmt w:val="lowerRoman"/>
      <w:isLgl w:val="false"/>
      <w:suff w:val="tab"/>
      <w:lvlText w:val="%9."/>
      <w:lvlJc w:val="right"/>
      <w:pPr>
        <w:pStyle w:val="1012"/>
        <w:ind w:left="3780" w:hanging="420"/>
        <w:tabs>
          <w:tab w:val="num" w:pos="3780" w:leader="none"/>
        </w:tabs>
      </w:pPr>
    </w:lvl>
  </w:abstractNum>
  <w:abstractNum w:abstractNumId="1">
    <w:multiLevelType w:val="hybridMultilevel"/>
    <w:lvl w:ilvl="0">
      <w:start w:val="1"/>
      <w:numFmt w:val="decimal"/>
      <w:pStyle w:val="1321"/>
      <w:isLgl w:val="false"/>
      <w:suff w:val="tab"/>
      <w:lvlText w:val="%1、"/>
      <w:lvlJc w:val="left"/>
      <w:pPr>
        <w:pStyle w:val="1012"/>
        <w:ind w:left="360" w:hanging="360"/>
      </w:pPr>
      <w:rPr>
        <w:rFonts w:ascii="Times New Roman" w:hAnsi="Times New Roman"/>
        <w:sz w:val="21"/>
      </w:rPr>
    </w:lvl>
    <w:lvl w:ilvl="1">
      <w:start w:val="1"/>
      <w:numFmt w:val="lowerLetter"/>
      <w:isLgl w:val="false"/>
      <w:suff w:val="tab"/>
      <w:lvlText w:val="%2)"/>
      <w:lvlJc w:val="left"/>
      <w:pPr>
        <w:pStyle w:val="1012"/>
        <w:ind w:left="840" w:hanging="420"/>
      </w:pPr>
    </w:lvl>
    <w:lvl w:ilvl="2">
      <w:start w:val="1"/>
      <w:numFmt w:val="lowerRoman"/>
      <w:isLgl w:val="false"/>
      <w:suff w:val="tab"/>
      <w:lvlText w:val="%3."/>
      <w:lvlJc w:val="right"/>
      <w:pPr>
        <w:pStyle w:val="1012"/>
        <w:ind w:left="1260" w:hanging="420"/>
      </w:pPr>
    </w:lvl>
    <w:lvl w:ilvl="3">
      <w:start w:val="1"/>
      <w:numFmt w:val="decimal"/>
      <w:isLgl w:val="false"/>
      <w:suff w:val="tab"/>
      <w:lvlText w:val="%4."/>
      <w:lvlJc w:val="left"/>
      <w:pPr>
        <w:pStyle w:val="1012"/>
        <w:ind w:left="1680" w:hanging="420"/>
      </w:pPr>
    </w:lvl>
    <w:lvl w:ilvl="4">
      <w:start w:val="1"/>
      <w:numFmt w:val="lowerLetter"/>
      <w:isLgl w:val="false"/>
      <w:suff w:val="tab"/>
      <w:lvlText w:val="%5)"/>
      <w:lvlJc w:val="left"/>
      <w:pPr>
        <w:pStyle w:val="1012"/>
        <w:ind w:left="2100" w:hanging="420"/>
      </w:pPr>
    </w:lvl>
    <w:lvl w:ilvl="5">
      <w:start w:val="1"/>
      <w:numFmt w:val="lowerRoman"/>
      <w:isLgl w:val="false"/>
      <w:suff w:val="tab"/>
      <w:lvlText w:val="%6."/>
      <w:lvlJc w:val="right"/>
      <w:pPr>
        <w:pStyle w:val="1012"/>
        <w:ind w:left="2520" w:hanging="420"/>
      </w:pPr>
    </w:lvl>
    <w:lvl w:ilvl="6">
      <w:start w:val="1"/>
      <w:numFmt w:val="decimal"/>
      <w:isLgl w:val="false"/>
      <w:suff w:val="tab"/>
      <w:lvlText w:val="%7."/>
      <w:lvlJc w:val="left"/>
      <w:pPr>
        <w:pStyle w:val="1012"/>
        <w:ind w:left="2940" w:hanging="420"/>
      </w:pPr>
    </w:lvl>
    <w:lvl w:ilvl="7">
      <w:start w:val="1"/>
      <w:numFmt w:val="lowerLetter"/>
      <w:isLgl w:val="false"/>
      <w:suff w:val="tab"/>
      <w:lvlText w:val="%8)"/>
      <w:lvlJc w:val="left"/>
      <w:pPr>
        <w:pStyle w:val="1012"/>
        <w:ind w:left="3360" w:hanging="420"/>
      </w:pPr>
    </w:lvl>
    <w:lvl w:ilvl="8">
      <w:start w:val="1"/>
      <w:numFmt w:val="lowerRoman"/>
      <w:isLgl w:val="false"/>
      <w:suff w:val="tab"/>
      <w:lvlText w:val="%9."/>
      <w:lvlJc w:val="right"/>
      <w:pPr>
        <w:pStyle w:val="1012"/>
        <w:ind w:left="3780" w:hanging="420"/>
      </w:pPr>
    </w:lvl>
  </w:abstractNum>
  <w:abstractNum w:abstractNumId="2">
    <w:multiLevelType w:val="hybridMultilevel"/>
    <w:lvl w:ilvl="0">
      <w:start w:val="1"/>
      <w:numFmt w:val="decimal"/>
      <w:isLgl w:val="false"/>
      <w:suff w:val="nothing"/>
      <w:lvlText w:val="(%1）"/>
      <w:lvlJc w:val="left"/>
      <w:pPr>
        <w:pStyle w:val="1012"/>
      </w:pPr>
    </w:lvl>
    <w:lvl w:ilvl="1">
      <w:start w:val="1"/>
      <w:numFmt w:val="bullet"/>
      <w:isLgl w:val="false"/>
      <w:suff w:val="tab"/>
      <w:lvlText w:val="o"/>
      <w:lvlJc w:val="left"/>
      <w:pPr>
        <w:pStyle w:val="1012"/>
        <w:ind w:left="1440" w:hanging="360"/>
      </w:pPr>
      <w:rPr>
        <w:rFonts w:ascii="Courier New" w:hAnsi="Courier New" w:eastAsia="Courier New" w:cs="Courier New"/>
      </w:rPr>
    </w:lvl>
    <w:lvl w:ilvl="2">
      <w:start w:val="1"/>
      <w:numFmt w:val="bullet"/>
      <w:isLgl w:val="false"/>
      <w:suff w:val="tab"/>
      <w:lvlText w:val="§"/>
      <w:lvlJc w:val="left"/>
      <w:pPr>
        <w:pStyle w:val="1012"/>
        <w:ind w:left="2160" w:hanging="360"/>
      </w:pPr>
      <w:rPr>
        <w:rFonts w:ascii="Wingdings" w:hAnsi="Wingdings" w:eastAsia="Wingdings" w:cs="Wingdings"/>
      </w:rPr>
    </w:lvl>
    <w:lvl w:ilvl="3">
      <w:start w:val="1"/>
      <w:numFmt w:val="bullet"/>
      <w:isLgl w:val="false"/>
      <w:suff w:val="tab"/>
      <w:lvlText w:val="·"/>
      <w:lvlJc w:val="left"/>
      <w:pPr>
        <w:pStyle w:val="1012"/>
        <w:ind w:left="2880" w:hanging="360"/>
      </w:pPr>
      <w:rPr>
        <w:rFonts w:ascii="Symbol" w:hAnsi="Symbol" w:eastAsia="Symbol" w:cs="Symbol"/>
      </w:rPr>
    </w:lvl>
    <w:lvl w:ilvl="4">
      <w:start w:val="1"/>
      <w:numFmt w:val="bullet"/>
      <w:isLgl w:val="false"/>
      <w:suff w:val="tab"/>
      <w:lvlText w:val="o"/>
      <w:lvlJc w:val="left"/>
      <w:pPr>
        <w:pStyle w:val="1012"/>
        <w:ind w:left="3600" w:hanging="360"/>
      </w:pPr>
      <w:rPr>
        <w:rFonts w:ascii="Courier New" w:hAnsi="Courier New" w:eastAsia="Courier New" w:cs="Courier New"/>
      </w:rPr>
    </w:lvl>
    <w:lvl w:ilvl="5">
      <w:start w:val="1"/>
      <w:numFmt w:val="bullet"/>
      <w:isLgl w:val="false"/>
      <w:suff w:val="tab"/>
      <w:lvlText w:val="§"/>
      <w:lvlJc w:val="left"/>
      <w:pPr>
        <w:pStyle w:val="1012"/>
        <w:ind w:left="4320" w:hanging="360"/>
      </w:pPr>
      <w:rPr>
        <w:rFonts w:ascii="Wingdings" w:hAnsi="Wingdings" w:eastAsia="Wingdings" w:cs="Wingdings"/>
      </w:rPr>
    </w:lvl>
    <w:lvl w:ilvl="6">
      <w:start w:val="1"/>
      <w:numFmt w:val="bullet"/>
      <w:isLgl w:val="false"/>
      <w:suff w:val="tab"/>
      <w:lvlText w:val="·"/>
      <w:lvlJc w:val="left"/>
      <w:pPr>
        <w:pStyle w:val="1012"/>
        <w:ind w:left="5040" w:hanging="360"/>
      </w:pPr>
      <w:rPr>
        <w:rFonts w:ascii="Symbol" w:hAnsi="Symbol" w:eastAsia="Symbol" w:cs="Symbol"/>
      </w:rPr>
    </w:lvl>
    <w:lvl w:ilvl="7">
      <w:start w:val="1"/>
      <w:numFmt w:val="bullet"/>
      <w:isLgl w:val="false"/>
      <w:suff w:val="tab"/>
      <w:lvlText w:val="o"/>
      <w:lvlJc w:val="left"/>
      <w:pPr>
        <w:pStyle w:val="1012"/>
        <w:ind w:left="5760" w:hanging="360"/>
      </w:pPr>
      <w:rPr>
        <w:rFonts w:ascii="Courier New" w:hAnsi="Courier New" w:eastAsia="Courier New" w:cs="Courier New"/>
      </w:rPr>
    </w:lvl>
    <w:lvl w:ilvl="8">
      <w:start w:val="1"/>
      <w:numFmt w:val="bullet"/>
      <w:isLgl w:val="false"/>
      <w:suff w:val="tab"/>
      <w:lvlText w:val="§"/>
      <w:lvlJc w:val="left"/>
      <w:pPr>
        <w:pStyle w:val="1012"/>
        <w:ind w:left="6480" w:hanging="360"/>
      </w:pPr>
      <w:rPr>
        <w:rFonts w:ascii="Wingdings" w:hAnsi="Wingdings" w:eastAsia="Wingdings" w:cs="Wingdings"/>
      </w:rPr>
    </w:lvl>
  </w:abstractNum>
  <w:abstractNum w:abstractNumId="3">
    <w:multiLevelType w:val="hybridMultilevel"/>
    <w:lvl w:ilvl="0">
      <w:start w:val="1"/>
      <w:numFmt w:val="chineseCounting"/>
      <w:isLgl w:val="false"/>
      <w:suff w:val="nothing"/>
      <w:lvlText w:val="%1、"/>
      <w:lvlJc w:val="left"/>
      <w:pPr>
        <w:pStyle w:val="1012"/>
        <w:ind w:left="-200"/>
      </w:pPr>
      <w:rPr>
        <w:rFonts w:hint="eastAsia"/>
      </w:rPr>
    </w:lvl>
    <w:lvl w:ilvl="1">
      <w:start w:val="1"/>
      <w:numFmt w:val="bullet"/>
      <w:isLgl w:val="false"/>
      <w:suff w:val="tab"/>
      <w:lvlText w:val="o"/>
      <w:lvlJc w:val="left"/>
      <w:pPr>
        <w:pStyle w:val="1012"/>
        <w:ind w:left="1440" w:hanging="360"/>
      </w:pPr>
      <w:rPr>
        <w:rFonts w:ascii="Courier New" w:hAnsi="Courier New" w:eastAsia="Courier New" w:cs="Courier New"/>
      </w:rPr>
    </w:lvl>
    <w:lvl w:ilvl="2">
      <w:start w:val="1"/>
      <w:numFmt w:val="bullet"/>
      <w:isLgl w:val="false"/>
      <w:suff w:val="tab"/>
      <w:lvlText w:val="§"/>
      <w:lvlJc w:val="left"/>
      <w:pPr>
        <w:pStyle w:val="1012"/>
        <w:ind w:left="2160" w:hanging="360"/>
      </w:pPr>
      <w:rPr>
        <w:rFonts w:ascii="Wingdings" w:hAnsi="Wingdings" w:eastAsia="Wingdings" w:cs="Wingdings"/>
      </w:rPr>
    </w:lvl>
    <w:lvl w:ilvl="3">
      <w:start w:val="1"/>
      <w:numFmt w:val="bullet"/>
      <w:isLgl w:val="false"/>
      <w:suff w:val="tab"/>
      <w:lvlText w:val="·"/>
      <w:lvlJc w:val="left"/>
      <w:pPr>
        <w:pStyle w:val="1012"/>
        <w:ind w:left="2880" w:hanging="360"/>
      </w:pPr>
      <w:rPr>
        <w:rFonts w:ascii="Symbol" w:hAnsi="Symbol" w:eastAsia="Symbol" w:cs="Symbol"/>
      </w:rPr>
    </w:lvl>
    <w:lvl w:ilvl="4">
      <w:start w:val="1"/>
      <w:numFmt w:val="bullet"/>
      <w:isLgl w:val="false"/>
      <w:suff w:val="tab"/>
      <w:lvlText w:val="o"/>
      <w:lvlJc w:val="left"/>
      <w:pPr>
        <w:pStyle w:val="1012"/>
        <w:ind w:left="3600" w:hanging="360"/>
      </w:pPr>
      <w:rPr>
        <w:rFonts w:ascii="Courier New" w:hAnsi="Courier New" w:eastAsia="Courier New" w:cs="Courier New"/>
      </w:rPr>
    </w:lvl>
    <w:lvl w:ilvl="5">
      <w:start w:val="1"/>
      <w:numFmt w:val="bullet"/>
      <w:isLgl w:val="false"/>
      <w:suff w:val="tab"/>
      <w:lvlText w:val="§"/>
      <w:lvlJc w:val="left"/>
      <w:pPr>
        <w:pStyle w:val="1012"/>
        <w:ind w:left="4320" w:hanging="360"/>
      </w:pPr>
      <w:rPr>
        <w:rFonts w:ascii="Wingdings" w:hAnsi="Wingdings" w:eastAsia="Wingdings" w:cs="Wingdings"/>
      </w:rPr>
    </w:lvl>
    <w:lvl w:ilvl="6">
      <w:start w:val="1"/>
      <w:numFmt w:val="bullet"/>
      <w:isLgl w:val="false"/>
      <w:suff w:val="tab"/>
      <w:lvlText w:val="·"/>
      <w:lvlJc w:val="left"/>
      <w:pPr>
        <w:pStyle w:val="1012"/>
        <w:ind w:left="5040" w:hanging="360"/>
      </w:pPr>
      <w:rPr>
        <w:rFonts w:ascii="Symbol" w:hAnsi="Symbol" w:eastAsia="Symbol" w:cs="Symbol"/>
      </w:rPr>
    </w:lvl>
    <w:lvl w:ilvl="7">
      <w:start w:val="1"/>
      <w:numFmt w:val="bullet"/>
      <w:isLgl w:val="false"/>
      <w:suff w:val="tab"/>
      <w:lvlText w:val="o"/>
      <w:lvlJc w:val="left"/>
      <w:pPr>
        <w:pStyle w:val="1012"/>
        <w:ind w:left="5760" w:hanging="360"/>
      </w:pPr>
      <w:rPr>
        <w:rFonts w:ascii="Courier New" w:hAnsi="Courier New" w:eastAsia="Courier New" w:cs="Courier New"/>
      </w:rPr>
    </w:lvl>
    <w:lvl w:ilvl="8">
      <w:start w:val="1"/>
      <w:numFmt w:val="bullet"/>
      <w:isLgl w:val="false"/>
      <w:suff w:val="tab"/>
      <w:lvlText w:val="§"/>
      <w:lvlJc w:val="left"/>
      <w:pPr>
        <w:pStyle w:val="1012"/>
        <w:ind w:left="6480" w:hanging="360"/>
      </w:pPr>
      <w:rPr>
        <w:rFonts w:ascii="Wingdings" w:hAnsi="Wingdings" w:eastAsia="Wingdings" w:cs="Wingdings"/>
      </w:rPr>
    </w:lvl>
  </w:abstractNum>
  <w:abstractNum w:abstractNumId="4">
    <w:multiLevelType w:val="hybridMultilevel"/>
    <w:lvl w:ilvl="0">
      <w:start w:val="1"/>
      <w:numFmt w:val="decimal"/>
      <w:isLgl w:val="false"/>
      <w:suff w:val="tab"/>
      <w:lvlText w:val="(%1)"/>
      <w:lvlJc w:val="left"/>
      <w:pPr>
        <w:pStyle w:val="1012"/>
        <w:tabs>
          <w:tab w:val="num" w:pos="312" w:leader="none"/>
        </w:tabs>
      </w:pPr>
    </w:lvl>
    <w:lvl w:ilvl="1">
      <w:start w:val="1"/>
      <w:numFmt w:val="bullet"/>
      <w:isLgl w:val="false"/>
      <w:suff w:val="tab"/>
      <w:lvlText w:val="o"/>
      <w:lvlJc w:val="left"/>
      <w:pPr>
        <w:pStyle w:val="1012"/>
        <w:ind w:left="1440" w:hanging="360"/>
      </w:pPr>
      <w:rPr>
        <w:rFonts w:ascii="Courier New" w:hAnsi="Courier New" w:eastAsia="Courier New" w:cs="Courier New"/>
      </w:rPr>
    </w:lvl>
    <w:lvl w:ilvl="2">
      <w:start w:val="1"/>
      <w:numFmt w:val="bullet"/>
      <w:isLgl w:val="false"/>
      <w:suff w:val="tab"/>
      <w:lvlText w:val="§"/>
      <w:lvlJc w:val="left"/>
      <w:pPr>
        <w:pStyle w:val="1012"/>
        <w:ind w:left="2160" w:hanging="360"/>
      </w:pPr>
      <w:rPr>
        <w:rFonts w:ascii="Wingdings" w:hAnsi="Wingdings" w:eastAsia="Wingdings" w:cs="Wingdings"/>
      </w:rPr>
    </w:lvl>
    <w:lvl w:ilvl="3">
      <w:start w:val="1"/>
      <w:numFmt w:val="bullet"/>
      <w:isLgl w:val="false"/>
      <w:suff w:val="tab"/>
      <w:lvlText w:val="·"/>
      <w:lvlJc w:val="left"/>
      <w:pPr>
        <w:pStyle w:val="1012"/>
        <w:ind w:left="2880" w:hanging="360"/>
      </w:pPr>
      <w:rPr>
        <w:rFonts w:ascii="Symbol" w:hAnsi="Symbol" w:eastAsia="Symbol" w:cs="Symbol"/>
      </w:rPr>
    </w:lvl>
    <w:lvl w:ilvl="4">
      <w:start w:val="1"/>
      <w:numFmt w:val="bullet"/>
      <w:isLgl w:val="false"/>
      <w:suff w:val="tab"/>
      <w:lvlText w:val="o"/>
      <w:lvlJc w:val="left"/>
      <w:pPr>
        <w:pStyle w:val="1012"/>
        <w:ind w:left="3600" w:hanging="360"/>
      </w:pPr>
      <w:rPr>
        <w:rFonts w:ascii="Courier New" w:hAnsi="Courier New" w:eastAsia="Courier New" w:cs="Courier New"/>
      </w:rPr>
    </w:lvl>
    <w:lvl w:ilvl="5">
      <w:start w:val="1"/>
      <w:numFmt w:val="bullet"/>
      <w:isLgl w:val="false"/>
      <w:suff w:val="tab"/>
      <w:lvlText w:val="§"/>
      <w:lvlJc w:val="left"/>
      <w:pPr>
        <w:pStyle w:val="1012"/>
        <w:ind w:left="4320" w:hanging="360"/>
      </w:pPr>
      <w:rPr>
        <w:rFonts w:ascii="Wingdings" w:hAnsi="Wingdings" w:eastAsia="Wingdings" w:cs="Wingdings"/>
      </w:rPr>
    </w:lvl>
    <w:lvl w:ilvl="6">
      <w:start w:val="1"/>
      <w:numFmt w:val="bullet"/>
      <w:isLgl w:val="false"/>
      <w:suff w:val="tab"/>
      <w:lvlText w:val="·"/>
      <w:lvlJc w:val="left"/>
      <w:pPr>
        <w:pStyle w:val="1012"/>
        <w:ind w:left="5040" w:hanging="360"/>
      </w:pPr>
      <w:rPr>
        <w:rFonts w:ascii="Symbol" w:hAnsi="Symbol" w:eastAsia="Symbol" w:cs="Symbol"/>
      </w:rPr>
    </w:lvl>
    <w:lvl w:ilvl="7">
      <w:start w:val="1"/>
      <w:numFmt w:val="bullet"/>
      <w:isLgl w:val="false"/>
      <w:suff w:val="tab"/>
      <w:lvlText w:val="o"/>
      <w:lvlJc w:val="left"/>
      <w:pPr>
        <w:pStyle w:val="1012"/>
        <w:ind w:left="5760" w:hanging="360"/>
      </w:pPr>
      <w:rPr>
        <w:rFonts w:ascii="Courier New" w:hAnsi="Courier New" w:eastAsia="Courier New" w:cs="Courier New"/>
      </w:rPr>
    </w:lvl>
    <w:lvl w:ilvl="8">
      <w:start w:val="1"/>
      <w:numFmt w:val="bullet"/>
      <w:isLgl w:val="false"/>
      <w:suff w:val="tab"/>
      <w:lvlText w:val="§"/>
      <w:lvlJc w:val="left"/>
      <w:pPr>
        <w:pStyle w:val="1012"/>
        <w:ind w:left="6480" w:hanging="360"/>
      </w:pPr>
      <w:rPr>
        <w:rFonts w:ascii="Wingdings" w:hAnsi="Wingdings" w:eastAsia="Wingdings" w:cs="Wingdings"/>
      </w:rPr>
    </w:lvl>
  </w:abstractNum>
  <w:abstractNum w:abstractNumId="5">
    <w:multiLevelType w:val="hybridMultilevel"/>
    <w:lvl w:ilvl="0">
      <w:start w:val="5"/>
      <w:numFmt w:val="decimal"/>
      <w:isLgl w:val="false"/>
      <w:suff w:val="space"/>
      <w:lvlText w:val="%1."/>
      <w:lvlJc w:val="left"/>
      <w:pPr>
        <w:pStyle w:val="1012"/>
        <w:ind w:left="-620"/>
      </w:pPr>
    </w:lvl>
    <w:lvl w:ilvl="1">
      <w:start w:val="1"/>
      <w:numFmt w:val="bullet"/>
      <w:isLgl w:val="false"/>
      <w:suff w:val="tab"/>
      <w:lvlText w:val="o"/>
      <w:lvlJc w:val="left"/>
      <w:pPr>
        <w:pStyle w:val="1012"/>
        <w:ind w:left="1440" w:hanging="360"/>
      </w:pPr>
      <w:rPr>
        <w:rFonts w:ascii="Courier New" w:hAnsi="Courier New" w:eastAsia="Courier New" w:cs="Courier New"/>
      </w:rPr>
    </w:lvl>
    <w:lvl w:ilvl="2">
      <w:start w:val="1"/>
      <w:numFmt w:val="bullet"/>
      <w:isLgl w:val="false"/>
      <w:suff w:val="tab"/>
      <w:lvlText w:val="§"/>
      <w:lvlJc w:val="left"/>
      <w:pPr>
        <w:pStyle w:val="1012"/>
        <w:ind w:left="2160" w:hanging="360"/>
      </w:pPr>
      <w:rPr>
        <w:rFonts w:ascii="Wingdings" w:hAnsi="Wingdings" w:eastAsia="Wingdings" w:cs="Wingdings"/>
      </w:rPr>
    </w:lvl>
    <w:lvl w:ilvl="3">
      <w:start w:val="1"/>
      <w:numFmt w:val="bullet"/>
      <w:isLgl w:val="false"/>
      <w:suff w:val="tab"/>
      <w:lvlText w:val="·"/>
      <w:lvlJc w:val="left"/>
      <w:pPr>
        <w:pStyle w:val="1012"/>
        <w:ind w:left="2880" w:hanging="360"/>
      </w:pPr>
      <w:rPr>
        <w:rFonts w:ascii="Symbol" w:hAnsi="Symbol" w:eastAsia="Symbol" w:cs="Symbol"/>
      </w:rPr>
    </w:lvl>
    <w:lvl w:ilvl="4">
      <w:start w:val="1"/>
      <w:numFmt w:val="bullet"/>
      <w:isLgl w:val="false"/>
      <w:suff w:val="tab"/>
      <w:lvlText w:val="o"/>
      <w:lvlJc w:val="left"/>
      <w:pPr>
        <w:pStyle w:val="1012"/>
        <w:ind w:left="3600" w:hanging="360"/>
      </w:pPr>
      <w:rPr>
        <w:rFonts w:ascii="Courier New" w:hAnsi="Courier New" w:eastAsia="Courier New" w:cs="Courier New"/>
      </w:rPr>
    </w:lvl>
    <w:lvl w:ilvl="5">
      <w:start w:val="1"/>
      <w:numFmt w:val="bullet"/>
      <w:isLgl w:val="false"/>
      <w:suff w:val="tab"/>
      <w:lvlText w:val="§"/>
      <w:lvlJc w:val="left"/>
      <w:pPr>
        <w:pStyle w:val="1012"/>
        <w:ind w:left="4320" w:hanging="360"/>
      </w:pPr>
      <w:rPr>
        <w:rFonts w:ascii="Wingdings" w:hAnsi="Wingdings" w:eastAsia="Wingdings" w:cs="Wingdings"/>
      </w:rPr>
    </w:lvl>
    <w:lvl w:ilvl="6">
      <w:start w:val="1"/>
      <w:numFmt w:val="bullet"/>
      <w:isLgl w:val="false"/>
      <w:suff w:val="tab"/>
      <w:lvlText w:val="·"/>
      <w:lvlJc w:val="left"/>
      <w:pPr>
        <w:pStyle w:val="1012"/>
        <w:ind w:left="5040" w:hanging="360"/>
      </w:pPr>
      <w:rPr>
        <w:rFonts w:ascii="Symbol" w:hAnsi="Symbol" w:eastAsia="Symbol" w:cs="Symbol"/>
      </w:rPr>
    </w:lvl>
    <w:lvl w:ilvl="7">
      <w:start w:val="1"/>
      <w:numFmt w:val="bullet"/>
      <w:isLgl w:val="false"/>
      <w:suff w:val="tab"/>
      <w:lvlText w:val="o"/>
      <w:lvlJc w:val="left"/>
      <w:pPr>
        <w:pStyle w:val="1012"/>
        <w:ind w:left="5760" w:hanging="360"/>
      </w:pPr>
      <w:rPr>
        <w:rFonts w:ascii="Courier New" w:hAnsi="Courier New" w:eastAsia="Courier New" w:cs="Courier New"/>
      </w:rPr>
    </w:lvl>
    <w:lvl w:ilvl="8">
      <w:start w:val="1"/>
      <w:numFmt w:val="bullet"/>
      <w:isLgl w:val="false"/>
      <w:suff w:val="tab"/>
      <w:lvlText w:val="§"/>
      <w:lvlJc w:val="left"/>
      <w:pPr>
        <w:pStyle w:val="1012"/>
        <w:ind w:left="6480" w:hanging="360"/>
      </w:pPr>
      <w:rPr>
        <w:rFonts w:ascii="Wingdings" w:hAnsi="Wingdings" w:eastAsia="Wingdings" w:cs="Wingdings"/>
      </w:rPr>
    </w:lvl>
  </w:abstractNum>
  <w:abstractNum w:abstractNumId="6">
    <w:multiLevelType w:val="hybridMultilevel"/>
    <w:lvl w:ilvl="0">
      <w:start w:val="1"/>
      <w:numFmt w:val="decimal"/>
      <w:isLgl w:val="false"/>
      <w:suff w:val="tab"/>
      <w:lvlText w:val="%1."/>
      <w:lvlJc w:val="left"/>
      <w:pPr>
        <w:pStyle w:val="1012"/>
        <w:tabs>
          <w:tab w:val="num" w:pos="312" w:leader="none"/>
        </w:tabs>
      </w:pPr>
    </w:lvl>
    <w:lvl w:ilvl="1">
      <w:start w:val="1"/>
      <w:numFmt w:val="bullet"/>
      <w:isLgl w:val="false"/>
      <w:suff w:val="tab"/>
      <w:lvlText w:val="o"/>
      <w:lvlJc w:val="left"/>
      <w:pPr>
        <w:pStyle w:val="1012"/>
        <w:ind w:left="1440" w:hanging="360"/>
      </w:pPr>
      <w:rPr>
        <w:rFonts w:ascii="Courier New" w:hAnsi="Courier New" w:eastAsia="Courier New" w:cs="Courier New"/>
      </w:rPr>
    </w:lvl>
    <w:lvl w:ilvl="2">
      <w:start w:val="1"/>
      <w:numFmt w:val="bullet"/>
      <w:isLgl w:val="false"/>
      <w:suff w:val="tab"/>
      <w:lvlText w:val="§"/>
      <w:lvlJc w:val="left"/>
      <w:pPr>
        <w:pStyle w:val="1012"/>
        <w:ind w:left="2160" w:hanging="360"/>
      </w:pPr>
      <w:rPr>
        <w:rFonts w:ascii="Wingdings" w:hAnsi="Wingdings" w:eastAsia="Wingdings" w:cs="Wingdings"/>
      </w:rPr>
    </w:lvl>
    <w:lvl w:ilvl="3">
      <w:start w:val="1"/>
      <w:numFmt w:val="bullet"/>
      <w:isLgl w:val="false"/>
      <w:suff w:val="tab"/>
      <w:lvlText w:val="·"/>
      <w:lvlJc w:val="left"/>
      <w:pPr>
        <w:pStyle w:val="1012"/>
        <w:ind w:left="2880" w:hanging="360"/>
      </w:pPr>
      <w:rPr>
        <w:rFonts w:ascii="Symbol" w:hAnsi="Symbol" w:eastAsia="Symbol" w:cs="Symbol"/>
      </w:rPr>
    </w:lvl>
    <w:lvl w:ilvl="4">
      <w:start w:val="1"/>
      <w:numFmt w:val="bullet"/>
      <w:isLgl w:val="false"/>
      <w:suff w:val="tab"/>
      <w:lvlText w:val="o"/>
      <w:lvlJc w:val="left"/>
      <w:pPr>
        <w:pStyle w:val="1012"/>
        <w:ind w:left="3600" w:hanging="360"/>
      </w:pPr>
      <w:rPr>
        <w:rFonts w:ascii="Courier New" w:hAnsi="Courier New" w:eastAsia="Courier New" w:cs="Courier New"/>
      </w:rPr>
    </w:lvl>
    <w:lvl w:ilvl="5">
      <w:start w:val="1"/>
      <w:numFmt w:val="bullet"/>
      <w:isLgl w:val="false"/>
      <w:suff w:val="tab"/>
      <w:lvlText w:val="§"/>
      <w:lvlJc w:val="left"/>
      <w:pPr>
        <w:pStyle w:val="1012"/>
        <w:ind w:left="4320" w:hanging="360"/>
      </w:pPr>
      <w:rPr>
        <w:rFonts w:ascii="Wingdings" w:hAnsi="Wingdings" w:eastAsia="Wingdings" w:cs="Wingdings"/>
      </w:rPr>
    </w:lvl>
    <w:lvl w:ilvl="6">
      <w:start w:val="1"/>
      <w:numFmt w:val="bullet"/>
      <w:isLgl w:val="false"/>
      <w:suff w:val="tab"/>
      <w:lvlText w:val="·"/>
      <w:lvlJc w:val="left"/>
      <w:pPr>
        <w:pStyle w:val="1012"/>
        <w:ind w:left="5040" w:hanging="360"/>
      </w:pPr>
      <w:rPr>
        <w:rFonts w:ascii="Symbol" w:hAnsi="Symbol" w:eastAsia="Symbol" w:cs="Symbol"/>
      </w:rPr>
    </w:lvl>
    <w:lvl w:ilvl="7">
      <w:start w:val="1"/>
      <w:numFmt w:val="bullet"/>
      <w:isLgl w:val="false"/>
      <w:suff w:val="tab"/>
      <w:lvlText w:val="o"/>
      <w:lvlJc w:val="left"/>
      <w:pPr>
        <w:pStyle w:val="1012"/>
        <w:ind w:left="5760" w:hanging="360"/>
      </w:pPr>
      <w:rPr>
        <w:rFonts w:ascii="Courier New" w:hAnsi="Courier New" w:eastAsia="Courier New" w:cs="Courier New"/>
      </w:rPr>
    </w:lvl>
    <w:lvl w:ilvl="8">
      <w:start w:val="1"/>
      <w:numFmt w:val="bullet"/>
      <w:isLgl w:val="false"/>
      <w:suff w:val="tab"/>
      <w:lvlText w:val="§"/>
      <w:lvlJc w:val="left"/>
      <w:pPr>
        <w:pStyle w:val="1012"/>
        <w:ind w:left="6480" w:hanging="360"/>
      </w:pPr>
      <w:rPr>
        <w:rFonts w:ascii="Wingdings" w:hAnsi="Wingdings" w:eastAsia="Wingdings" w:cs="Wingdings"/>
      </w:rPr>
    </w:lvl>
  </w:abstractNum>
  <w:abstractNum w:abstractNumId="7">
    <w:multiLevelType w:val="hybridMultilevel"/>
    <w:lvl w:ilvl="0">
      <w:start w:val="1"/>
      <w:numFmt w:val="decimal"/>
      <w:pStyle w:val="1435"/>
      <w:isLgl w:val="false"/>
      <w:suff w:val="tab"/>
      <w:lvlText w:val="%1."/>
      <w:lvlJc w:val="left"/>
      <w:pPr>
        <w:pStyle w:val="1012"/>
        <w:ind w:left="2126" w:hanging="425"/>
        <w:tabs>
          <w:tab w:val="num" w:pos="2126" w:leader="none"/>
        </w:tabs>
      </w:pPr>
      <w:rPr>
        <w:rFonts w:ascii="Times New Roman" w:hAnsi="Times New Roman" w:cs="Book Antiqua"/>
        <w:b w:val="0"/>
        <w:bCs/>
        <w:i w:val="0"/>
        <w:iCs w:val="0"/>
        <w:sz w:val="21"/>
        <w:szCs w:val="21"/>
        <w:u w:val="none"/>
      </w:rPr>
    </w:lvl>
    <w:lvl w:ilvl="1">
      <w:start w:val="1"/>
      <w:numFmt w:val="lowerLetter"/>
      <w:pStyle w:val="1366"/>
      <w:isLgl w:val="false"/>
      <w:suff w:val="tab"/>
      <w:lvlText w:val="%2."/>
      <w:lvlJc w:val="left"/>
      <w:pPr>
        <w:pStyle w:val="1012"/>
        <w:ind w:left="2551" w:hanging="425"/>
        <w:tabs>
          <w:tab w:val="num" w:pos="2551" w:leader="none"/>
        </w:tabs>
      </w:pPr>
      <w:rPr>
        <w:rFonts w:ascii="Times New Roman" w:hAnsi="Times New Roman" w:cs="Book Antiqua"/>
        <w:b w:val="0"/>
        <w:bCs/>
        <w:i w:val="0"/>
        <w:iCs w:val="0"/>
        <w:sz w:val="21"/>
        <w:szCs w:val="21"/>
        <w:u w:val="none"/>
      </w:rPr>
    </w:lvl>
    <w:lvl w:ilvl="2">
      <w:start w:val="1"/>
      <w:numFmt w:val="lowerRoman"/>
      <w:pStyle w:val="1340"/>
      <w:isLgl w:val="false"/>
      <w:suff w:val="tab"/>
      <w:lvlText w:val="%3."/>
      <w:lvlJc w:val="left"/>
      <w:pPr>
        <w:pStyle w:val="1012"/>
        <w:ind w:left="2976" w:hanging="425"/>
        <w:tabs>
          <w:tab w:val="num" w:pos="2976" w:leader="none"/>
        </w:tabs>
      </w:pPr>
      <w:rPr>
        <w:rFonts w:ascii="Times New Roman" w:hAnsi="Times New Roman" w:cs="Book Antiqua"/>
        <w:b w:val="0"/>
        <w:bCs/>
        <w:i w:val="0"/>
        <w:iCs w:val="0"/>
        <w:sz w:val="21"/>
        <w:szCs w:val="21"/>
        <w:u w:val="none"/>
      </w:rPr>
    </w:lvl>
    <w:lvl w:ilvl="3">
      <w:start w:val="1"/>
      <w:numFmt w:val="decimal"/>
      <w:pStyle w:val="1365"/>
      <w:isLgl w:val="false"/>
      <w:suff w:val="tab"/>
      <w:lvlText w:val="%4)"/>
      <w:lvlJc w:val="left"/>
      <w:pPr>
        <w:pStyle w:val="1012"/>
        <w:ind w:left="3401" w:hanging="425"/>
        <w:tabs>
          <w:tab w:val="num" w:pos="3401" w:leader="none"/>
        </w:tabs>
      </w:pPr>
      <w:rPr>
        <w:rFonts w:ascii="Times New Roman" w:hAnsi="Times New Roman" w:cs="Book Antiqua"/>
        <w:b w:val="0"/>
        <w:bCs/>
        <w:i w:val="0"/>
        <w:iCs w:val="0"/>
        <w:sz w:val="21"/>
        <w:szCs w:val="21"/>
        <w:u w:val="none"/>
      </w:rPr>
    </w:lvl>
    <w:lvl w:ilvl="4">
      <w:start w:val="1"/>
      <w:numFmt w:val="bullet"/>
      <w:isLgl w:val="false"/>
      <w:suff w:val="tab"/>
      <w:lvlText w:val=""/>
      <w:lvlJc w:val="left"/>
      <w:pPr>
        <w:pStyle w:val="1012"/>
        <w:ind w:left="1260" w:hanging="420"/>
        <w:tabs>
          <w:tab w:val="num" w:pos="1260" w:leader="none"/>
        </w:tabs>
      </w:pPr>
      <w:rPr>
        <w:rFonts w:ascii="Wingdings" w:hAnsi="Wingdings"/>
      </w:rPr>
    </w:lvl>
    <w:lvl w:ilvl="5">
      <w:start w:val="1"/>
      <w:numFmt w:val="bullet"/>
      <w:isLgl w:val="false"/>
      <w:suff w:val="tab"/>
      <w:lvlText w:val=""/>
      <w:lvlJc w:val="left"/>
      <w:pPr>
        <w:pStyle w:val="1012"/>
        <w:ind w:left="1680" w:hanging="420"/>
        <w:tabs>
          <w:tab w:val="num" w:pos="1680" w:leader="none"/>
        </w:tabs>
      </w:pPr>
      <w:rPr>
        <w:rFonts w:ascii="Wingdings" w:hAnsi="Wingdings"/>
      </w:rPr>
    </w:lvl>
    <w:lvl w:ilvl="6">
      <w:start w:val="1"/>
      <w:numFmt w:val="bullet"/>
      <w:isLgl w:val="false"/>
      <w:suff w:val="tab"/>
      <w:lvlText w:val=""/>
      <w:lvlJc w:val="left"/>
      <w:pPr>
        <w:pStyle w:val="1012"/>
        <w:ind w:left="2100" w:hanging="420"/>
        <w:tabs>
          <w:tab w:val="num" w:pos="2100" w:leader="none"/>
        </w:tabs>
      </w:pPr>
      <w:rPr>
        <w:rFonts w:ascii="Wingdings" w:hAnsi="Wingdings"/>
      </w:rPr>
    </w:lvl>
    <w:lvl w:ilvl="7">
      <w:start w:val="1"/>
      <w:numFmt w:val="bullet"/>
      <w:isLgl w:val="false"/>
      <w:suff w:val="tab"/>
      <w:lvlText w:val=""/>
      <w:lvlJc w:val="left"/>
      <w:pPr>
        <w:pStyle w:val="1012"/>
        <w:ind w:left="2520" w:hanging="420"/>
        <w:tabs>
          <w:tab w:val="num" w:pos="2520" w:leader="none"/>
        </w:tabs>
      </w:pPr>
      <w:rPr>
        <w:rFonts w:ascii="Wingdings" w:hAnsi="Wingdings"/>
      </w:rPr>
    </w:lvl>
    <w:lvl w:ilvl="8">
      <w:start w:val="1"/>
      <w:numFmt w:val="decimal"/>
      <w:isLgl w:val="false"/>
      <w:suff w:val="tab"/>
      <w:lvlText w:val="%9."/>
      <w:lvlJc w:val="left"/>
      <w:pPr>
        <w:pStyle w:val="1012"/>
        <w:ind w:left="284" w:hanging="284"/>
        <w:tabs>
          <w:tab w:val="num" w:pos="284" w:leader="none"/>
        </w:tabs>
      </w:pPr>
      <w:rPr>
        <w:rFonts w:hint="eastAsia"/>
      </w:rPr>
    </w:lvl>
  </w:abstractNum>
  <w:abstractNum w:abstractNumId="8">
    <w:multiLevelType w:val="hybridMultilevel"/>
    <w:lvl w:ilvl="0">
      <w:start w:val="1"/>
      <w:numFmt w:val="decimal"/>
      <w:isLgl w:val="false"/>
      <w:suff w:val="tab"/>
      <w:lvlText w:val="%1."/>
      <w:lvlJc w:val="left"/>
      <w:pPr>
        <w:pStyle w:val="1012"/>
        <w:tabs>
          <w:tab w:val="num" w:pos="312" w:leader="none"/>
        </w:tabs>
      </w:pPr>
    </w:lvl>
    <w:lvl w:ilvl="1">
      <w:start w:val="1"/>
      <w:numFmt w:val="bullet"/>
      <w:isLgl w:val="false"/>
      <w:suff w:val="tab"/>
      <w:lvlText w:val="o"/>
      <w:lvlJc w:val="left"/>
      <w:pPr>
        <w:pStyle w:val="1012"/>
        <w:ind w:left="1440" w:hanging="360"/>
      </w:pPr>
      <w:rPr>
        <w:rFonts w:ascii="Courier New" w:hAnsi="Courier New" w:eastAsia="Courier New" w:cs="Courier New"/>
      </w:rPr>
    </w:lvl>
    <w:lvl w:ilvl="2">
      <w:start w:val="1"/>
      <w:numFmt w:val="bullet"/>
      <w:isLgl w:val="false"/>
      <w:suff w:val="tab"/>
      <w:lvlText w:val="§"/>
      <w:lvlJc w:val="left"/>
      <w:pPr>
        <w:pStyle w:val="1012"/>
        <w:ind w:left="2160" w:hanging="360"/>
      </w:pPr>
      <w:rPr>
        <w:rFonts w:ascii="Wingdings" w:hAnsi="Wingdings" w:eastAsia="Wingdings" w:cs="Wingdings"/>
      </w:rPr>
    </w:lvl>
    <w:lvl w:ilvl="3">
      <w:start w:val="1"/>
      <w:numFmt w:val="bullet"/>
      <w:isLgl w:val="false"/>
      <w:suff w:val="tab"/>
      <w:lvlText w:val="·"/>
      <w:lvlJc w:val="left"/>
      <w:pPr>
        <w:pStyle w:val="1012"/>
        <w:ind w:left="2880" w:hanging="360"/>
      </w:pPr>
      <w:rPr>
        <w:rFonts w:ascii="Symbol" w:hAnsi="Symbol" w:eastAsia="Symbol" w:cs="Symbol"/>
      </w:rPr>
    </w:lvl>
    <w:lvl w:ilvl="4">
      <w:start w:val="1"/>
      <w:numFmt w:val="bullet"/>
      <w:isLgl w:val="false"/>
      <w:suff w:val="tab"/>
      <w:lvlText w:val="o"/>
      <w:lvlJc w:val="left"/>
      <w:pPr>
        <w:pStyle w:val="1012"/>
        <w:ind w:left="3600" w:hanging="360"/>
      </w:pPr>
      <w:rPr>
        <w:rFonts w:ascii="Courier New" w:hAnsi="Courier New" w:eastAsia="Courier New" w:cs="Courier New"/>
      </w:rPr>
    </w:lvl>
    <w:lvl w:ilvl="5">
      <w:start w:val="1"/>
      <w:numFmt w:val="bullet"/>
      <w:isLgl w:val="false"/>
      <w:suff w:val="tab"/>
      <w:lvlText w:val="§"/>
      <w:lvlJc w:val="left"/>
      <w:pPr>
        <w:pStyle w:val="1012"/>
        <w:ind w:left="4320" w:hanging="360"/>
      </w:pPr>
      <w:rPr>
        <w:rFonts w:ascii="Wingdings" w:hAnsi="Wingdings" w:eastAsia="Wingdings" w:cs="Wingdings"/>
      </w:rPr>
    </w:lvl>
    <w:lvl w:ilvl="6">
      <w:start w:val="1"/>
      <w:numFmt w:val="bullet"/>
      <w:isLgl w:val="false"/>
      <w:suff w:val="tab"/>
      <w:lvlText w:val="·"/>
      <w:lvlJc w:val="left"/>
      <w:pPr>
        <w:pStyle w:val="1012"/>
        <w:ind w:left="5040" w:hanging="360"/>
      </w:pPr>
      <w:rPr>
        <w:rFonts w:ascii="Symbol" w:hAnsi="Symbol" w:eastAsia="Symbol" w:cs="Symbol"/>
      </w:rPr>
    </w:lvl>
    <w:lvl w:ilvl="7">
      <w:start w:val="1"/>
      <w:numFmt w:val="bullet"/>
      <w:isLgl w:val="false"/>
      <w:suff w:val="tab"/>
      <w:lvlText w:val="o"/>
      <w:lvlJc w:val="left"/>
      <w:pPr>
        <w:pStyle w:val="1012"/>
        <w:ind w:left="5760" w:hanging="360"/>
      </w:pPr>
      <w:rPr>
        <w:rFonts w:ascii="Courier New" w:hAnsi="Courier New" w:eastAsia="Courier New" w:cs="Courier New"/>
      </w:rPr>
    </w:lvl>
    <w:lvl w:ilvl="8">
      <w:start w:val="1"/>
      <w:numFmt w:val="bullet"/>
      <w:isLgl w:val="false"/>
      <w:suff w:val="tab"/>
      <w:lvlText w:val="§"/>
      <w:lvlJc w:val="left"/>
      <w:pPr>
        <w:pStyle w:val="1012"/>
        <w:ind w:left="6480" w:hanging="360"/>
      </w:pPr>
      <w:rPr>
        <w:rFonts w:ascii="Wingdings" w:hAnsi="Wingdings" w:eastAsia="Wingdings" w:cs="Wingdings"/>
      </w:rPr>
    </w:lvl>
  </w:abstractNum>
  <w:abstractNum w:abstractNumId="9">
    <w:multiLevelType w:val="hybridMultilevel"/>
    <w:lvl w:ilvl="0">
      <w:start w:val="1"/>
      <w:numFmt w:val="decimal"/>
      <w:pStyle w:val="1373"/>
      <w:isLgl w:val="false"/>
      <w:suff w:val="tab"/>
      <w:lvlText w:val="%1."/>
      <w:lvlJc w:val="left"/>
      <w:pPr>
        <w:pStyle w:val="1012"/>
        <w:ind w:left="420" w:hanging="420"/>
      </w:pPr>
      <w:rPr>
        <w:rFonts w:hint="eastAsia"/>
      </w:rPr>
    </w:lvl>
    <w:lvl w:ilvl="1">
      <w:start w:val="1"/>
      <w:numFmt w:val="lowerLetter"/>
      <w:isLgl w:val="false"/>
      <w:suff w:val="tab"/>
      <w:lvlText w:val="%2)"/>
      <w:lvlJc w:val="left"/>
      <w:pPr>
        <w:pStyle w:val="1012"/>
        <w:ind w:left="840" w:hanging="420"/>
      </w:pPr>
    </w:lvl>
    <w:lvl w:ilvl="2">
      <w:start w:val="1"/>
      <w:numFmt w:val="lowerRoman"/>
      <w:isLgl w:val="false"/>
      <w:suff w:val="tab"/>
      <w:lvlText w:val="%3."/>
      <w:lvlJc w:val="right"/>
      <w:pPr>
        <w:pStyle w:val="1012"/>
        <w:ind w:left="1260" w:hanging="420"/>
      </w:pPr>
    </w:lvl>
    <w:lvl w:ilvl="3">
      <w:start w:val="1"/>
      <w:numFmt w:val="decimal"/>
      <w:isLgl w:val="false"/>
      <w:suff w:val="tab"/>
      <w:lvlText w:val="%4."/>
      <w:lvlJc w:val="left"/>
      <w:pPr>
        <w:pStyle w:val="1012"/>
        <w:ind w:left="1680" w:hanging="420"/>
      </w:pPr>
    </w:lvl>
    <w:lvl w:ilvl="4">
      <w:start w:val="1"/>
      <w:numFmt w:val="lowerLetter"/>
      <w:isLgl w:val="false"/>
      <w:suff w:val="tab"/>
      <w:lvlText w:val="%5)"/>
      <w:lvlJc w:val="left"/>
      <w:pPr>
        <w:pStyle w:val="1012"/>
        <w:ind w:left="2100" w:hanging="420"/>
      </w:pPr>
    </w:lvl>
    <w:lvl w:ilvl="5">
      <w:start w:val="1"/>
      <w:numFmt w:val="lowerRoman"/>
      <w:isLgl w:val="false"/>
      <w:suff w:val="tab"/>
      <w:lvlText w:val="%6."/>
      <w:lvlJc w:val="right"/>
      <w:pPr>
        <w:pStyle w:val="1012"/>
        <w:ind w:left="2520" w:hanging="420"/>
      </w:pPr>
    </w:lvl>
    <w:lvl w:ilvl="6">
      <w:start w:val="1"/>
      <w:numFmt w:val="decimal"/>
      <w:isLgl w:val="false"/>
      <w:suff w:val="tab"/>
      <w:lvlText w:val="%7."/>
      <w:lvlJc w:val="left"/>
      <w:pPr>
        <w:pStyle w:val="1012"/>
        <w:ind w:left="2940" w:hanging="420"/>
      </w:pPr>
    </w:lvl>
    <w:lvl w:ilvl="7">
      <w:start w:val="1"/>
      <w:numFmt w:val="lowerLetter"/>
      <w:isLgl w:val="false"/>
      <w:suff w:val="tab"/>
      <w:lvlText w:val="%8)"/>
      <w:lvlJc w:val="left"/>
      <w:pPr>
        <w:pStyle w:val="1012"/>
        <w:ind w:left="3360" w:hanging="420"/>
      </w:pPr>
    </w:lvl>
    <w:lvl w:ilvl="8">
      <w:start w:val="1"/>
      <w:numFmt w:val="lowerRoman"/>
      <w:isLgl w:val="false"/>
      <w:suff w:val="tab"/>
      <w:lvlText w:val="%9."/>
      <w:lvlJc w:val="right"/>
      <w:pPr>
        <w:pStyle w:val="1012"/>
        <w:ind w:left="3780" w:hanging="420"/>
      </w:pPr>
    </w:lvl>
  </w:abstractNum>
  <w:abstractNum w:abstractNumId="10">
    <w:multiLevelType w:val="hybridMultilevel"/>
    <w:lvl w:ilvl="0">
      <w:start w:val="2"/>
      <w:numFmt w:val="decimal"/>
      <w:isLgl w:val="false"/>
      <w:suff w:val="nothing"/>
      <w:lvlText w:val="%1．"/>
      <w:lvlJc w:val="left"/>
      <w:pPr>
        <w:pStyle w:val="1012"/>
      </w:pPr>
    </w:lvl>
    <w:lvl w:ilvl="1">
      <w:start w:val="1"/>
      <w:numFmt w:val="bullet"/>
      <w:isLgl w:val="false"/>
      <w:suff w:val="tab"/>
      <w:lvlText w:val="o"/>
      <w:lvlJc w:val="left"/>
      <w:pPr>
        <w:pStyle w:val="1012"/>
        <w:ind w:left="1440" w:hanging="360"/>
      </w:pPr>
      <w:rPr>
        <w:rFonts w:ascii="Courier New" w:hAnsi="Courier New" w:eastAsia="Courier New" w:cs="Courier New"/>
      </w:rPr>
    </w:lvl>
    <w:lvl w:ilvl="2">
      <w:start w:val="1"/>
      <w:numFmt w:val="bullet"/>
      <w:isLgl w:val="false"/>
      <w:suff w:val="tab"/>
      <w:lvlText w:val="§"/>
      <w:lvlJc w:val="left"/>
      <w:pPr>
        <w:pStyle w:val="1012"/>
        <w:ind w:left="2160" w:hanging="360"/>
      </w:pPr>
      <w:rPr>
        <w:rFonts w:ascii="Wingdings" w:hAnsi="Wingdings" w:eastAsia="Wingdings" w:cs="Wingdings"/>
      </w:rPr>
    </w:lvl>
    <w:lvl w:ilvl="3">
      <w:start w:val="1"/>
      <w:numFmt w:val="bullet"/>
      <w:isLgl w:val="false"/>
      <w:suff w:val="tab"/>
      <w:lvlText w:val="·"/>
      <w:lvlJc w:val="left"/>
      <w:pPr>
        <w:pStyle w:val="1012"/>
        <w:ind w:left="2880" w:hanging="360"/>
      </w:pPr>
      <w:rPr>
        <w:rFonts w:ascii="Symbol" w:hAnsi="Symbol" w:eastAsia="Symbol" w:cs="Symbol"/>
      </w:rPr>
    </w:lvl>
    <w:lvl w:ilvl="4">
      <w:start w:val="1"/>
      <w:numFmt w:val="bullet"/>
      <w:isLgl w:val="false"/>
      <w:suff w:val="tab"/>
      <w:lvlText w:val="o"/>
      <w:lvlJc w:val="left"/>
      <w:pPr>
        <w:pStyle w:val="1012"/>
        <w:ind w:left="3600" w:hanging="360"/>
      </w:pPr>
      <w:rPr>
        <w:rFonts w:ascii="Courier New" w:hAnsi="Courier New" w:eastAsia="Courier New" w:cs="Courier New"/>
      </w:rPr>
    </w:lvl>
    <w:lvl w:ilvl="5">
      <w:start w:val="1"/>
      <w:numFmt w:val="bullet"/>
      <w:isLgl w:val="false"/>
      <w:suff w:val="tab"/>
      <w:lvlText w:val="§"/>
      <w:lvlJc w:val="left"/>
      <w:pPr>
        <w:pStyle w:val="1012"/>
        <w:ind w:left="4320" w:hanging="360"/>
      </w:pPr>
      <w:rPr>
        <w:rFonts w:ascii="Wingdings" w:hAnsi="Wingdings" w:eastAsia="Wingdings" w:cs="Wingdings"/>
      </w:rPr>
    </w:lvl>
    <w:lvl w:ilvl="6">
      <w:start w:val="1"/>
      <w:numFmt w:val="bullet"/>
      <w:isLgl w:val="false"/>
      <w:suff w:val="tab"/>
      <w:lvlText w:val="·"/>
      <w:lvlJc w:val="left"/>
      <w:pPr>
        <w:pStyle w:val="1012"/>
        <w:ind w:left="5040" w:hanging="360"/>
      </w:pPr>
      <w:rPr>
        <w:rFonts w:ascii="Symbol" w:hAnsi="Symbol" w:eastAsia="Symbol" w:cs="Symbol"/>
      </w:rPr>
    </w:lvl>
    <w:lvl w:ilvl="7">
      <w:start w:val="1"/>
      <w:numFmt w:val="bullet"/>
      <w:isLgl w:val="false"/>
      <w:suff w:val="tab"/>
      <w:lvlText w:val="o"/>
      <w:lvlJc w:val="left"/>
      <w:pPr>
        <w:pStyle w:val="1012"/>
        <w:ind w:left="5760" w:hanging="360"/>
      </w:pPr>
      <w:rPr>
        <w:rFonts w:ascii="Courier New" w:hAnsi="Courier New" w:eastAsia="Courier New" w:cs="Courier New"/>
      </w:rPr>
    </w:lvl>
    <w:lvl w:ilvl="8">
      <w:start w:val="1"/>
      <w:numFmt w:val="bullet"/>
      <w:isLgl w:val="false"/>
      <w:suff w:val="tab"/>
      <w:lvlText w:val="§"/>
      <w:lvlJc w:val="left"/>
      <w:pPr>
        <w:pStyle w:val="1012"/>
        <w:ind w:left="6480" w:hanging="360"/>
      </w:pPr>
      <w:rPr>
        <w:rFonts w:ascii="Wingdings" w:hAnsi="Wingdings" w:eastAsia="Wingdings" w:cs="Wingdings"/>
      </w:rPr>
    </w:lvl>
  </w:abstractNum>
  <w:abstractNum w:abstractNumId="11">
    <w:multiLevelType w:val="hybridMultilevel"/>
    <w:lvl w:ilvl="0">
      <w:start w:val="44"/>
      <w:numFmt w:val="decimal"/>
      <w:isLgl w:val="false"/>
      <w:suff w:val="space"/>
      <w:lvlText w:val="%1."/>
      <w:lvlJc w:val="left"/>
      <w:pPr>
        <w:pStyle w:val="1012"/>
      </w:pPr>
    </w:lvl>
    <w:lvl w:ilvl="1">
      <w:start w:val="1"/>
      <w:numFmt w:val="bullet"/>
      <w:isLgl w:val="false"/>
      <w:suff w:val="tab"/>
      <w:lvlText w:val="o"/>
      <w:lvlJc w:val="left"/>
      <w:pPr>
        <w:pStyle w:val="1012"/>
        <w:ind w:left="1440" w:hanging="360"/>
      </w:pPr>
      <w:rPr>
        <w:rFonts w:ascii="Courier New" w:hAnsi="Courier New" w:eastAsia="Courier New" w:cs="Courier New"/>
      </w:rPr>
    </w:lvl>
    <w:lvl w:ilvl="2">
      <w:start w:val="1"/>
      <w:numFmt w:val="bullet"/>
      <w:isLgl w:val="false"/>
      <w:suff w:val="tab"/>
      <w:lvlText w:val="§"/>
      <w:lvlJc w:val="left"/>
      <w:pPr>
        <w:pStyle w:val="1012"/>
        <w:ind w:left="2160" w:hanging="360"/>
      </w:pPr>
      <w:rPr>
        <w:rFonts w:ascii="Wingdings" w:hAnsi="Wingdings" w:eastAsia="Wingdings" w:cs="Wingdings"/>
      </w:rPr>
    </w:lvl>
    <w:lvl w:ilvl="3">
      <w:start w:val="1"/>
      <w:numFmt w:val="bullet"/>
      <w:isLgl w:val="false"/>
      <w:suff w:val="tab"/>
      <w:lvlText w:val="·"/>
      <w:lvlJc w:val="left"/>
      <w:pPr>
        <w:pStyle w:val="1012"/>
        <w:ind w:left="2880" w:hanging="360"/>
      </w:pPr>
      <w:rPr>
        <w:rFonts w:ascii="Symbol" w:hAnsi="Symbol" w:eastAsia="Symbol" w:cs="Symbol"/>
      </w:rPr>
    </w:lvl>
    <w:lvl w:ilvl="4">
      <w:start w:val="1"/>
      <w:numFmt w:val="bullet"/>
      <w:isLgl w:val="false"/>
      <w:suff w:val="tab"/>
      <w:lvlText w:val="o"/>
      <w:lvlJc w:val="left"/>
      <w:pPr>
        <w:pStyle w:val="1012"/>
        <w:ind w:left="3600" w:hanging="360"/>
      </w:pPr>
      <w:rPr>
        <w:rFonts w:ascii="Courier New" w:hAnsi="Courier New" w:eastAsia="Courier New" w:cs="Courier New"/>
      </w:rPr>
    </w:lvl>
    <w:lvl w:ilvl="5">
      <w:start w:val="1"/>
      <w:numFmt w:val="bullet"/>
      <w:isLgl w:val="false"/>
      <w:suff w:val="tab"/>
      <w:lvlText w:val="§"/>
      <w:lvlJc w:val="left"/>
      <w:pPr>
        <w:pStyle w:val="1012"/>
        <w:ind w:left="4320" w:hanging="360"/>
      </w:pPr>
      <w:rPr>
        <w:rFonts w:ascii="Wingdings" w:hAnsi="Wingdings" w:eastAsia="Wingdings" w:cs="Wingdings"/>
      </w:rPr>
    </w:lvl>
    <w:lvl w:ilvl="6">
      <w:start w:val="1"/>
      <w:numFmt w:val="bullet"/>
      <w:isLgl w:val="false"/>
      <w:suff w:val="tab"/>
      <w:lvlText w:val="·"/>
      <w:lvlJc w:val="left"/>
      <w:pPr>
        <w:pStyle w:val="1012"/>
        <w:ind w:left="5040" w:hanging="360"/>
      </w:pPr>
      <w:rPr>
        <w:rFonts w:ascii="Symbol" w:hAnsi="Symbol" w:eastAsia="Symbol" w:cs="Symbol"/>
      </w:rPr>
    </w:lvl>
    <w:lvl w:ilvl="7">
      <w:start w:val="1"/>
      <w:numFmt w:val="bullet"/>
      <w:isLgl w:val="false"/>
      <w:suff w:val="tab"/>
      <w:lvlText w:val="o"/>
      <w:lvlJc w:val="left"/>
      <w:pPr>
        <w:pStyle w:val="1012"/>
        <w:ind w:left="5760" w:hanging="360"/>
      </w:pPr>
      <w:rPr>
        <w:rFonts w:ascii="Courier New" w:hAnsi="Courier New" w:eastAsia="Courier New" w:cs="Courier New"/>
      </w:rPr>
    </w:lvl>
    <w:lvl w:ilvl="8">
      <w:start w:val="1"/>
      <w:numFmt w:val="bullet"/>
      <w:isLgl w:val="false"/>
      <w:suff w:val="tab"/>
      <w:lvlText w:val="§"/>
      <w:lvlJc w:val="left"/>
      <w:pPr>
        <w:pStyle w:val="1012"/>
        <w:ind w:left="6480" w:hanging="360"/>
      </w:pPr>
      <w:rPr>
        <w:rFonts w:ascii="Wingdings" w:hAnsi="Wingdings" w:eastAsia="Wingdings" w:cs="Wingdings"/>
      </w:rPr>
    </w:lvl>
  </w:abstractNum>
  <w:abstractNum w:abstractNumId="12">
    <w:multiLevelType w:val="hybridMultilevel"/>
    <w:lvl w:ilvl="0">
      <w:start w:val="19"/>
      <w:numFmt w:val="decimal"/>
      <w:isLgl w:val="false"/>
      <w:suff w:val="space"/>
      <w:lvlText w:val="%1."/>
      <w:lvlJc w:val="left"/>
      <w:pPr>
        <w:pStyle w:val="1012"/>
      </w:pPr>
    </w:lvl>
    <w:lvl w:ilvl="1">
      <w:start w:val="1"/>
      <w:numFmt w:val="bullet"/>
      <w:isLgl w:val="false"/>
      <w:suff w:val="tab"/>
      <w:lvlText w:val="o"/>
      <w:lvlJc w:val="left"/>
      <w:pPr>
        <w:pStyle w:val="1012"/>
        <w:ind w:left="1440" w:hanging="360"/>
      </w:pPr>
      <w:rPr>
        <w:rFonts w:ascii="Courier New" w:hAnsi="Courier New" w:eastAsia="Courier New" w:cs="Courier New"/>
      </w:rPr>
    </w:lvl>
    <w:lvl w:ilvl="2">
      <w:start w:val="1"/>
      <w:numFmt w:val="bullet"/>
      <w:isLgl w:val="false"/>
      <w:suff w:val="tab"/>
      <w:lvlText w:val="§"/>
      <w:lvlJc w:val="left"/>
      <w:pPr>
        <w:pStyle w:val="1012"/>
        <w:ind w:left="2160" w:hanging="360"/>
      </w:pPr>
      <w:rPr>
        <w:rFonts w:ascii="Wingdings" w:hAnsi="Wingdings" w:eastAsia="Wingdings" w:cs="Wingdings"/>
      </w:rPr>
    </w:lvl>
    <w:lvl w:ilvl="3">
      <w:start w:val="1"/>
      <w:numFmt w:val="bullet"/>
      <w:isLgl w:val="false"/>
      <w:suff w:val="tab"/>
      <w:lvlText w:val="·"/>
      <w:lvlJc w:val="left"/>
      <w:pPr>
        <w:pStyle w:val="1012"/>
        <w:ind w:left="2880" w:hanging="360"/>
      </w:pPr>
      <w:rPr>
        <w:rFonts w:ascii="Symbol" w:hAnsi="Symbol" w:eastAsia="Symbol" w:cs="Symbol"/>
      </w:rPr>
    </w:lvl>
    <w:lvl w:ilvl="4">
      <w:start w:val="1"/>
      <w:numFmt w:val="bullet"/>
      <w:isLgl w:val="false"/>
      <w:suff w:val="tab"/>
      <w:lvlText w:val="o"/>
      <w:lvlJc w:val="left"/>
      <w:pPr>
        <w:pStyle w:val="1012"/>
        <w:ind w:left="3600" w:hanging="360"/>
      </w:pPr>
      <w:rPr>
        <w:rFonts w:ascii="Courier New" w:hAnsi="Courier New" w:eastAsia="Courier New" w:cs="Courier New"/>
      </w:rPr>
    </w:lvl>
    <w:lvl w:ilvl="5">
      <w:start w:val="1"/>
      <w:numFmt w:val="bullet"/>
      <w:isLgl w:val="false"/>
      <w:suff w:val="tab"/>
      <w:lvlText w:val="§"/>
      <w:lvlJc w:val="left"/>
      <w:pPr>
        <w:pStyle w:val="1012"/>
        <w:ind w:left="4320" w:hanging="360"/>
      </w:pPr>
      <w:rPr>
        <w:rFonts w:ascii="Wingdings" w:hAnsi="Wingdings" w:eastAsia="Wingdings" w:cs="Wingdings"/>
      </w:rPr>
    </w:lvl>
    <w:lvl w:ilvl="6">
      <w:start w:val="1"/>
      <w:numFmt w:val="bullet"/>
      <w:isLgl w:val="false"/>
      <w:suff w:val="tab"/>
      <w:lvlText w:val="·"/>
      <w:lvlJc w:val="left"/>
      <w:pPr>
        <w:pStyle w:val="1012"/>
        <w:ind w:left="5040" w:hanging="360"/>
      </w:pPr>
      <w:rPr>
        <w:rFonts w:ascii="Symbol" w:hAnsi="Symbol" w:eastAsia="Symbol" w:cs="Symbol"/>
      </w:rPr>
    </w:lvl>
    <w:lvl w:ilvl="7">
      <w:start w:val="1"/>
      <w:numFmt w:val="bullet"/>
      <w:isLgl w:val="false"/>
      <w:suff w:val="tab"/>
      <w:lvlText w:val="o"/>
      <w:lvlJc w:val="left"/>
      <w:pPr>
        <w:pStyle w:val="1012"/>
        <w:ind w:left="5760" w:hanging="360"/>
      </w:pPr>
      <w:rPr>
        <w:rFonts w:ascii="Courier New" w:hAnsi="Courier New" w:eastAsia="Courier New" w:cs="Courier New"/>
      </w:rPr>
    </w:lvl>
    <w:lvl w:ilvl="8">
      <w:start w:val="1"/>
      <w:numFmt w:val="bullet"/>
      <w:isLgl w:val="false"/>
      <w:suff w:val="tab"/>
      <w:lvlText w:val="§"/>
      <w:lvlJc w:val="left"/>
      <w:pPr>
        <w:pStyle w:val="1012"/>
        <w:ind w:left="6480" w:hanging="360"/>
      </w:pPr>
      <w:rPr>
        <w:rFonts w:ascii="Wingdings" w:hAnsi="Wingdings" w:eastAsia="Wingdings" w:cs="Wingdings"/>
      </w:rPr>
    </w:lvl>
  </w:abstractNum>
  <w:abstractNum w:abstractNumId="13">
    <w:multiLevelType w:val="hybridMultilevel"/>
    <w:lvl w:ilvl="0">
      <w:start w:val="1"/>
      <w:numFmt w:val="decimal"/>
      <w:isLgl w:val="false"/>
      <w:suff w:val="tab"/>
      <w:lvlText w:val="%1."/>
      <w:lvlJc w:val="left"/>
      <w:pPr>
        <w:pStyle w:val="1012"/>
        <w:ind w:left="425" w:hanging="425"/>
      </w:pPr>
    </w:lvl>
    <w:lvl w:ilvl="1">
      <w:start w:val="1"/>
      <w:numFmt w:val="decimal"/>
      <w:pStyle w:val="1374"/>
      <w:isLgl w:val="false"/>
      <w:suff w:val="tab"/>
      <w:lvlText w:val="%1.%2."/>
      <w:lvlJc w:val="left"/>
      <w:pPr>
        <w:pStyle w:val="1012"/>
        <w:ind w:left="709" w:hanging="567"/>
      </w:pPr>
    </w:lvl>
    <w:lvl w:ilvl="2">
      <w:start w:val="1"/>
      <w:numFmt w:val="decimal"/>
      <w:isLgl w:val="false"/>
      <w:suff w:val="tab"/>
      <w:lvlText w:val="%1.%2.%3."/>
      <w:lvlJc w:val="left"/>
      <w:pPr>
        <w:pStyle w:val="1012"/>
        <w:ind w:left="709" w:hanging="709"/>
      </w:pPr>
    </w:lvl>
    <w:lvl w:ilvl="3">
      <w:start w:val="1"/>
      <w:numFmt w:val="decimal"/>
      <w:isLgl w:val="false"/>
      <w:suff w:val="tab"/>
      <w:lvlText w:val="%1.%2.%3.%4."/>
      <w:lvlJc w:val="left"/>
      <w:pPr>
        <w:pStyle w:val="1012"/>
        <w:ind w:left="851" w:hanging="851"/>
      </w:pPr>
    </w:lvl>
    <w:lvl w:ilvl="4">
      <w:start w:val="1"/>
      <w:numFmt w:val="decimal"/>
      <w:isLgl w:val="false"/>
      <w:suff w:val="tab"/>
      <w:lvlText w:val="%1.%2.%3.%4.%5."/>
      <w:lvlJc w:val="left"/>
      <w:pPr>
        <w:pStyle w:val="1012"/>
        <w:ind w:left="992" w:hanging="992"/>
      </w:pPr>
    </w:lvl>
    <w:lvl w:ilvl="5">
      <w:start w:val="1"/>
      <w:numFmt w:val="decimal"/>
      <w:isLgl w:val="false"/>
      <w:suff w:val="tab"/>
      <w:lvlText w:val="%1.%2.%3.%4.%5.%6."/>
      <w:lvlJc w:val="left"/>
      <w:pPr>
        <w:pStyle w:val="1012"/>
        <w:ind w:left="1134" w:hanging="1134"/>
      </w:pPr>
    </w:lvl>
    <w:lvl w:ilvl="6">
      <w:start w:val="1"/>
      <w:numFmt w:val="decimal"/>
      <w:isLgl w:val="false"/>
      <w:suff w:val="tab"/>
      <w:lvlText w:val="%1.%2.%3.%4.%5.%6.%7."/>
      <w:lvlJc w:val="left"/>
      <w:pPr>
        <w:pStyle w:val="1012"/>
        <w:ind w:left="1276" w:hanging="1276"/>
      </w:pPr>
    </w:lvl>
    <w:lvl w:ilvl="7">
      <w:start w:val="1"/>
      <w:numFmt w:val="decimal"/>
      <w:isLgl w:val="false"/>
      <w:suff w:val="tab"/>
      <w:lvlText w:val="%1.%2.%3.%4.%5.%6.%7.%8."/>
      <w:lvlJc w:val="left"/>
      <w:pPr>
        <w:pStyle w:val="1012"/>
        <w:ind w:left="1418" w:hanging="1418"/>
      </w:pPr>
    </w:lvl>
    <w:lvl w:ilvl="8">
      <w:start w:val="1"/>
      <w:numFmt w:val="decimal"/>
      <w:isLgl w:val="false"/>
      <w:suff w:val="tab"/>
      <w:lvlText w:val="%1.%2.%3.%4.%5.%6.%7.%8.%9."/>
      <w:lvlJc w:val="left"/>
      <w:pPr>
        <w:pStyle w:val="1012"/>
        <w:ind w:left="1559" w:hanging="1559"/>
      </w:pPr>
    </w:lvl>
  </w:abstractNum>
  <w:num w:numId="1">
    <w:abstractNumId w:val="0"/>
  </w:num>
  <w:num w:numId="2">
    <w:abstractNumId w:val="1"/>
  </w:num>
  <w:num w:numId="3">
    <w:abstractNumId w:val="7"/>
  </w:num>
  <w:num w:numId="4">
    <w:abstractNumId w:val="9"/>
  </w:num>
  <w:num w:numId="5">
    <w:abstractNumId w:val="13"/>
  </w:num>
  <w:num w:numId="6">
    <w:abstractNumId w:val="12"/>
  </w:num>
  <w:num w:numId="7">
    <w:abstractNumId w:val="11"/>
  </w:num>
  <w:num w:numId="8">
    <w:abstractNumId w:val="8"/>
  </w:num>
  <w:num w:numId="9">
    <w:abstractNumId w:val="6"/>
  </w:num>
  <w:num w:numId="10">
    <w:abstractNumId w:val="2"/>
  </w:num>
  <w:num w:numId="11">
    <w:abstractNumId w:val="4"/>
  </w:num>
  <w:num w:numId="12">
    <w:abstractNumId w:val="3"/>
  </w:num>
  <w:num w:numId="13">
    <w:abstractNumId w:val="5"/>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33">
    <w:name w:val="Title"/>
    <w:basedOn w:val="1012"/>
    <w:next w:val="1012"/>
    <w:link w:val="1042"/>
    <w:uiPriority w:val="10"/>
    <w:qFormat/>
    <w:pPr>
      <w:contextualSpacing/>
      <w:spacing w:before="300" w:after="200"/>
    </w:pPr>
    <w:rPr>
      <w:sz w:val="48"/>
      <w:szCs w:val="48"/>
    </w:rPr>
  </w:style>
  <w:style w:type="paragraph" w:styleId="35">
    <w:name w:val="Subtitle"/>
    <w:basedOn w:val="1012"/>
    <w:next w:val="1012"/>
    <w:link w:val="1033"/>
    <w:uiPriority w:val="11"/>
    <w:qFormat/>
    <w:pPr>
      <w:spacing w:before="200" w:after="200"/>
    </w:pPr>
    <w:rPr>
      <w:sz w:val="24"/>
      <w:szCs w:val="24"/>
    </w:rPr>
  </w:style>
  <w:style w:type="paragraph" w:styleId="41">
    <w:name w:val="Header"/>
    <w:basedOn w:val="1012"/>
    <w:link w:val="1253"/>
    <w:uiPriority w:val="99"/>
    <w:unhideWhenUsed/>
    <w:pPr>
      <w:spacing w:after="0" w:line="240" w:lineRule="auto"/>
      <w:tabs>
        <w:tab w:val="center" w:pos="7143" w:leader="none"/>
        <w:tab w:val="right" w:pos="14287" w:leader="none"/>
      </w:tabs>
    </w:pPr>
  </w:style>
  <w:style w:type="paragraph" w:styleId="43">
    <w:name w:val="Footer"/>
    <w:basedOn w:val="1012"/>
    <w:link w:val="1069"/>
    <w:uiPriority w:val="99"/>
    <w:unhideWhenUsed/>
    <w:pPr>
      <w:spacing w:after="0" w:line="240" w:lineRule="auto"/>
      <w:tabs>
        <w:tab w:val="center" w:pos="7143" w:leader="none"/>
        <w:tab w:val="right" w:pos="14287" w:leader="none"/>
      </w:tabs>
    </w:pPr>
  </w:style>
  <w:style w:type="paragraph" w:styleId="45">
    <w:name w:val="Caption"/>
    <w:basedOn w:val="1012"/>
    <w:next w:val="1012"/>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1012"/>
    <w:link w:val="1035"/>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1012"/>
    <w:link w:val="1028"/>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1012"/>
    <w:next w:val="1012"/>
    <w:uiPriority w:val="39"/>
    <w:unhideWhenUsed/>
    <w:pPr>
      <w:ind w:left="0" w:right="0" w:firstLine="0"/>
      <w:spacing w:after="57"/>
    </w:pPr>
  </w:style>
  <w:style w:type="paragraph" w:styleId="181">
    <w:name w:val="toc 2"/>
    <w:basedOn w:val="1012"/>
    <w:next w:val="1012"/>
    <w:uiPriority w:val="39"/>
    <w:unhideWhenUsed/>
    <w:pPr>
      <w:ind w:left="283" w:right="0" w:firstLine="0"/>
      <w:spacing w:after="57"/>
    </w:pPr>
  </w:style>
  <w:style w:type="paragraph" w:styleId="182">
    <w:name w:val="toc 3"/>
    <w:basedOn w:val="1012"/>
    <w:next w:val="1012"/>
    <w:uiPriority w:val="39"/>
    <w:unhideWhenUsed/>
    <w:pPr>
      <w:ind w:left="567" w:right="0" w:firstLine="0"/>
      <w:spacing w:after="57"/>
    </w:pPr>
  </w:style>
  <w:style w:type="paragraph" w:styleId="183">
    <w:name w:val="toc 4"/>
    <w:basedOn w:val="1012"/>
    <w:next w:val="1012"/>
    <w:uiPriority w:val="39"/>
    <w:unhideWhenUsed/>
    <w:pPr>
      <w:ind w:left="850" w:right="0" w:firstLine="0"/>
      <w:spacing w:after="57"/>
    </w:pPr>
  </w:style>
  <w:style w:type="paragraph" w:styleId="184">
    <w:name w:val="toc 5"/>
    <w:basedOn w:val="1012"/>
    <w:next w:val="1012"/>
    <w:uiPriority w:val="39"/>
    <w:unhideWhenUsed/>
    <w:pPr>
      <w:ind w:left="1134" w:right="0" w:firstLine="0"/>
      <w:spacing w:after="57"/>
    </w:pPr>
  </w:style>
  <w:style w:type="paragraph" w:styleId="185">
    <w:name w:val="toc 6"/>
    <w:basedOn w:val="1012"/>
    <w:next w:val="1012"/>
    <w:uiPriority w:val="39"/>
    <w:unhideWhenUsed/>
    <w:pPr>
      <w:ind w:left="1417" w:right="0" w:firstLine="0"/>
      <w:spacing w:after="57"/>
    </w:pPr>
  </w:style>
  <w:style w:type="paragraph" w:styleId="186">
    <w:name w:val="toc 7"/>
    <w:basedOn w:val="1012"/>
    <w:next w:val="1012"/>
    <w:uiPriority w:val="39"/>
    <w:unhideWhenUsed/>
    <w:pPr>
      <w:ind w:left="1701" w:right="0" w:firstLine="0"/>
      <w:spacing w:after="57"/>
    </w:pPr>
  </w:style>
  <w:style w:type="paragraph" w:styleId="187">
    <w:name w:val="toc 8"/>
    <w:basedOn w:val="1012"/>
    <w:next w:val="1012"/>
    <w:uiPriority w:val="39"/>
    <w:unhideWhenUsed/>
    <w:pPr>
      <w:ind w:left="1984" w:right="0" w:firstLine="0"/>
      <w:spacing w:after="57"/>
    </w:pPr>
  </w:style>
  <w:style w:type="paragraph" w:styleId="188">
    <w:name w:val="toc 9"/>
    <w:basedOn w:val="1012"/>
    <w:next w:val="1012"/>
    <w:uiPriority w:val="39"/>
    <w:unhideWhenUsed/>
    <w:pPr>
      <w:ind w:left="2268" w:right="0" w:firstLine="0"/>
      <w:spacing w:after="57"/>
    </w:pPr>
  </w:style>
  <w:style w:type="paragraph" w:styleId="190">
    <w:name w:val="table of figures"/>
    <w:basedOn w:val="1012"/>
    <w:next w:val="1012"/>
    <w:uiPriority w:val="99"/>
    <w:unhideWhenUsed/>
    <w:pPr>
      <w:spacing w:after="0" w:afterAutospacing="0"/>
    </w:pPr>
  </w:style>
  <w:style w:type="paragraph" w:styleId="1012" w:default="1">
    <w:name w:val="Normal"/>
    <w:next w:val="1015"/>
    <w:link w:val="1012"/>
    <w:qFormat/>
    <w:pPr>
      <w:ind w:firstLine="200"/>
      <w:jc w:val="both"/>
      <w:spacing w:line="274" w:lineRule="auto"/>
      <w:widowControl w:val="off"/>
    </w:pPr>
    <w:rPr>
      <w:rFonts w:ascii="方正仿宋_GB2312" w:eastAsia="方正仿宋_GB2312"/>
      <w:sz w:val="24"/>
      <w:szCs w:val="24"/>
      <w:lang w:eastAsia="zh-CN"/>
    </w:rPr>
  </w:style>
  <w:style w:type="character" w:styleId="1013">
    <w:name w:val="默认段落字体"/>
    <w:next w:val="1013"/>
    <w:link w:val="1012"/>
    <w:uiPriority w:val="1"/>
    <w:unhideWhenUsed/>
    <w:qFormat/>
  </w:style>
  <w:style w:type="table" w:styleId="1014">
    <w:name w:val="普通表格"/>
    <w:next w:val="1014"/>
    <w:link w:val="1012"/>
    <w:uiPriority w:val="99"/>
    <w:unhideWhenUsed/>
    <w:qFormat/>
    <w:tblPr/>
  </w:style>
  <w:style w:type="paragraph" w:styleId="1015">
    <w:name w:val="文本块11"/>
    <w:basedOn w:val="1016"/>
    <w:next w:val="1015"/>
    <w:link w:val="1012"/>
    <w:qFormat/>
    <w:pPr>
      <w:ind w:left="256" w:right="6" w:firstLine="624"/>
    </w:pPr>
    <w:rPr>
      <w:rFonts w:ascii="Times New Roman" w:hAnsi="Times New Roman" w:eastAsia="方正仿宋_GB2312"/>
      <w:sz w:val="28"/>
      <w:szCs w:val="20"/>
    </w:rPr>
  </w:style>
  <w:style w:type="paragraph" w:styleId="1016">
    <w:name w:val="正文12"/>
    <w:next w:val="1015"/>
    <w:link w:val="1012"/>
    <w:qFormat/>
    <w:pPr>
      <w:ind w:firstLine="723"/>
      <w:jc w:val="both"/>
      <w:spacing w:line="360" w:lineRule="auto"/>
      <w:widowControl w:val="off"/>
    </w:pPr>
    <w:rPr>
      <w:sz w:val="24"/>
      <w:szCs w:val="24"/>
      <w:lang w:eastAsia="zh-CN"/>
    </w:rPr>
  </w:style>
  <w:style w:type="paragraph" w:styleId="1017">
    <w:name w:val="目录 7"/>
    <w:basedOn w:val="1012"/>
    <w:next w:val="1012"/>
    <w:link w:val="1012"/>
    <w:uiPriority w:val="39"/>
    <w:unhideWhenUsed/>
    <w:qFormat/>
    <w:pPr>
      <w:ind w:left="1701" w:right="0" w:firstLine="0"/>
      <w:spacing w:after="57"/>
    </w:pPr>
  </w:style>
  <w:style w:type="paragraph" w:styleId="1018">
    <w:name w:val="正文缩进"/>
    <w:basedOn w:val="1012"/>
    <w:next w:val="1012"/>
    <w:link w:val="1012"/>
    <w:uiPriority w:val="99"/>
    <w:qFormat/>
    <w:pPr>
      <w:ind w:firstLine="420"/>
    </w:pPr>
    <w:rPr>
      <w:rFonts w:ascii="Calibri" w:eastAsia="宋体"/>
      <w:szCs w:val="20"/>
    </w:rPr>
  </w:style>
  <w:style w:type="paragraph" w:styleId="1019">
    <w:name w:val="批注文字"/>
    <w:basedOn w:val="1012"/>
    <w:next w:val="1019"/>
    <w:link w:val="1012"/>
    <w:uiPriority w:val="99"/>
    <w:unhideWhenUsed/>
    <w:qFormat/>
    <w:pPr>
      <w:jc w:val="left"/>
    </w:pPr>
  </w:style>
  <w:style w:type="paragraph" w:styleId="1020">
    <w:name w:val="正文文本"/>
    <w:basedOn w:val="1012"/>
    <w:next w:val="1020"/>
    <w:link w:val="1012"/>
    <w:qFormat/>
    <w:pPr>
      <w:spacing w:after="120"/>
    </w:pPr>
    <w:rPr>
      <w:rFonts w:ascii="Calibri" w:hAnsi="Calibri" w:eastAsia="宋体"/>
    </w:rPr>
  </w:style>
  <w:style w:type="paragraph" w:styleId="1021">
    <w:name w:val="正文文本缩进"/>
    <w:basedOn w:val="1012"/>
    <w:next w:val="1021"/>
    <w:link w:val="1012"/>
    <w:qFormat/>
    <w:pPr>
      <w:ind w:left="420"/>
      <w:spacing w:after="120"/>
    </w:pPr>
    <w:rPr>
      <w:rFonts w:ascii="Times New Roman" w:hAnsi="Times New Roman" w:eastAsia="宋体" w:cs="Times New Roman"/>
    </w:rPr>
  </w:style>
  <w:style w:type="paragraph" w:styleId="1022">
    <w:name w:val="文本块"/>
    <w:basedOn w:val="1012"/>
    <w:next w:val="1022"/>
    <w:link w:val="1012"/>
    <w:uiPriority w:val="6"/>
    <w:qFormat/>
    <w:pPr>
      <w:ind w:left="256" w:right="6" w:firstLine="624"/>
    </w:pPr>
    <w:rPr>
      <w:rFonts w:eastAsia="仿宋"/>
      <w:sz w:val="28"/>
      <w:szCs w:val="20"/>
    </w:rPr>
  </w:style>
  <w:style w:type="paragraph" w:styleId="1023">
    <w:name w:val="目录 5"/>
    <w:basedOn w:val="1012"/>
    <w:next w:val="1012"/>
    <w:link w:val="1012"/>
    <w:uiPriority w:val="39"/>
    <w:unhideWhenUsed/>
    <w:qFormat/>
    <w:pPr>
      <w:ind w:left="1134" w:right="0" w:firstLine="0"/>
      <w:spacing w:after="57"/>
    </w:pPr>
  </w:style>
  <w:style w:type="paragraph" w:styleId="1024">
    <w:name w:val="目录 3"/>
    <w:basedOn w:val="1012"/>
    <w:next w:val="1012"/>
    <w:link w:val="1012"/>
    <w:uiPriority w:val="39"/>
    <w:unhideWhenUsed/>
    <w:qFormat/>
    <w:pPr>
      <w:ind w:left="567" w:right="0" w:firstLine="0"/>
      <w:spacing w:after="57"/>
    </w:pPr>
  </w:style>
  <w:style w:type="paragraph" w:styleId="1025">
    <w:name w:val="纯文本"/>
    <w:basedOn w:val="1012"/>
    <w:next w:val="1025"/>
    <w:link w:val="1012"/>
    <w:qFormat/>
    <w:rPr>
      <w:rFonts w:ascii="宋体" w:hAnsi="Courier New"/>
      <w:szCs w:val="21"/>
    </w:rPr>
  </w:style>
  <w:style w:type="paragraph" w:styleId="1026">
    <w:name w:val="目录 8"/>
    <w:basedOn w:val="1012"/>
    <w:next w:val="1012"/>
    <w:link w:val="1012"/>
    <w:uiPriority w:val="39"/>
    <w:unhideWhenUsed/>
    <w:qFormat/>
    <w:pPr>
      <w:ind w:left="1984" w:right="0" w:firstLine="0"/>
      <w:spacing w:after="57"/>
    </w:pPr>
  </w:style>
  <w:style w:type="paragraph" w:styleId="1027">
    <w:name w:val="尾注文本"/>
    <w:basedOn w:val="1012"/>
    <w:next w:val="1027"/>
    <w:link w:val="1028"/>
    <w:uiPriority w:val="99"/>
    <w:unhideWhenUsed/>
    <w:qFormat/>
    <w:pPr>
      <w:spacing w:after="0" w:line="240" w:lineRule="auto"/>
    </w:pPr>
    <w:rPr>
      <w:sz w:val="20"/>
    </w:rPr>
  </w:style>
  <w:style w:type="character" w:styleId="1028">
    <w:name w:val="Endnote Text Char"/>
    <w:next w:val="1028"/>
    <w:link w:val="1027"/>
    <w:uiPriority w:val="99"/>
    <w:qFormat/>
    <w:rPr>
      <w:sz w:val="20"/>
    </w:rPr>
  </w:style>
  <w:style w:type="paragraph" w:styleId="1029">
    <w:name w:val="寄信人地址"/>
    <w:basedOn w:val="1012"/>
    <w:next w:val="1029"/>
    <w:link w:val="1012"/>
    <w:qFormat/>
    <w:pPr>
      <w:ind w:firstLine="200"/>
    </w:pPr>
    <w:rPr>
      <w:rFonts w:ascii="Arial" w:hAnsi="Arial" w:eastAsia="方正仿宋_GB2312" w:cs="Arial"/>
    </w:rPr>
  </w:style>
  <w:style w:type="paragraph" w:styleId="1030">
    <w:name w:val="目录 1"/>
    <w:basedOn w:val="1012"/>
    <w:next w:val="1012"/>
    <w:link w:val="1012"/>
    <w:uiPriority w:val="39"/>
    <w:unhideWhenUsed/>
    <w:qFormat/>
    <w:pPr>
      <w:ind w:left="0" w:right="0" w:firstLine="0"/>
      <w:spacing w:after="57"/>
    </w:pPr>
  </w:style>
  <w:style w:type="paragraph" w:styleId="1031">
    <w:name w:val="目录 4"/>
    <w:basedOn w:val="1012"/>
    <w:next w:val="1012"/>
    <w:link w:val="1012"/>
    <w:uiPriority w:val="39"/>
    <w:unhideWhenUsed/>
    <w:qFormat/>
    <w:pPr>
      <w:ind w:left="850" w:right="0" w:firstLine="0"/>
      <w:spacing w:after="57"/>
    </w:pPr>
  </w:style>
  <w:style w:type="paragraph" w:styleId="1032">
    <w:name w:val="副标题"/>
    <w:basedOn w:val="1012"/>
    <w:next w:val="1012"/>
    <w:link w:val="1033"/>
    <w:uiPriority w:val="11"/>
    <w:qFormat/>
    <w:pPr>
      <w:spacing w:before="200" w:after="200"/>
    </w:pPr>
    <w:rPr>
      <w:sz w:val="24"/>
      <w:szCs w:val="24"/>
    </w:rPr>
  </w:style>
  <w:style w:type="character" w:styleId="1033">
    <w:name w:val="Subtitle Char"/>
    <w:next w:val="1033"/>
    <w:link w:val="1032"/>
    <w:uiPriority w:val="11"/>
    <w:qFormat/>
    <w:rPr>
      <w:sz w:val="24"/>
      <w:szCs w:val="24"/>
    </w:rPr>
  </w:style>
  <w:style w:type="paragraph" w:styleId="1034">
    <w:name w:val="脚注文本"/>
    <w:basedOn w:val="1012"/>
    <w:next w:val="1034"/>
    <w:link w:val="1035"/>
    <w:uiPriority w:val="99"/>
    <w:unhideWhenUsed/>
    <w:qFormat/>
    <w:pPr>
      <w:spacing w:after="40" w:line="240" w:lineRule="auto"/>
    </w:pPr>
    <w:rPr>
      <w:sz w:val="18"/>
    </w:rPr>
  </w:style>
  <w:style w:type="character" w:styleId="1035">
    <w:name w:val="Footnote Text Char"/>
    <w:next w:val="1035"/>
    <w:link w:val="1034"/>
    <w:uiPriority w:val="99"/>
    <w:qFormat/>
    <w:rPr>
      <w:sz w:val="18"/>
    </w:rPr>
  </w:style>
  <w:style w:type="paragraph" w:styleId="1036">
    <w:name w:val="目录 6"/>
    <w:basedOn w:val="1012"/>
    <w:next w:val="1012"/>
    <w:link w:val="1012"/>
    <w:uiPriority w:val="39"/>
    <w:unhideWhenUsed/>
    <w:qFormat/>
    <w:pPr>
      <w:ind w:left="1417" w:right="0" w:firstLine="0"/>
      <w:spacing w:after="57"/>
    </w:pPr>
  </w:style>
  <w:style w:type="paragraph" w:styleId="1037">
    <w:name w:val="图表目录"/>
    <w:basedOn w:val="1012"/>
    <w:next w:val="1012"/>
    <w:link w:val="1012"/>
    <w:uiPriority w:val="99"/>
    <w:unhideWhenUsed/>
    <w:qFormat/>
    <w:pPr>
      <w:spacing w:after="0" w:afterAutospacing="0"/>
    </w:pPr>
  </w:style>
  <w:style w:type="paragraph" w:styleId="1038">
    <w:name w:val="目录 2"/>
    <w:basedOn w:val="1012"/>
    <w:next w:val="1012"/>
    <w:link w:val="1012"/>
    <w:uiPriority w:val="39"/>
    <w:unhideWhenUsed/>
    <w:qFormat/>
    <w:pPr>
      <w:ind w:left="283" w:right="0" w:firstLine="0"/>
      <w:spacing w:after="57"/>
    </w:pPr>
  </w:style>
  <w:style w:type="paragraph" w:styleId="1039">
    <w:name w:val="目录 9"/>
    <w:basedOn w:val="1012"/>
    <w:next w:val="1012"/>
    <w:link w:val="1012"/>
    <w:uiPriority w:val="39"/>
    <w:unhideWhenUsed/>
    <w:qFormat/>
    <w:pPr>
      <w:ind w:left="2268" w:right="0" w:firstLine="0"/>
      <w:spacing w:after="57"/>
    </w:pPr>
  </w:style>
  <w:style w:type="paragraph" w:styleId="1040">
    <w:name w:val="普通(网站)"/>
    <w:basedOn w:val="1012"/>
    <w:next w:val="1040"/>
    <w:link w:val="1012"/>
    <w:qFormat/>
    <w:pPr>
      <w:ind w:left="0" w:right="0"/>
      <w:jc w:val="left"/>
      <w:spacing w:before="100" w:beforeAutospacing="1" w:after="100" w:afterAutospacing="1"/>
    </w:pPr>
    <w:rPr>
      <w:sz w:val="24"/>
      <w:lang w:val="en-US" w:eastAsia="zh-CN" w:bidi="ar"/>
    </w:rPr>
  </w:style>
  <w:style w:type="paragraph" w:styleId="1041">
    <w:name w:val="标题"/>
    <w:basedOn w:val="1012"/>
    <w:next w:val="1012"/>
    <w:link w:val="1042"/>
    <w:uiPriority w:val="10"/>
    <w:qFormat/>
    <w:pPr>
      <w:contextualSpacing/>
      <w:spacing w:before="300" w:after="200"/>
    </w:pPr>
    <w:rPr>
      <w:sz w:val="48"/>
      <w:szCs w:val="48"/>
    </w:rPr>
  </w:style>
  <w:style w:type="character" w:styleId="1042">
    <w:name w:val="Title Char"/>
    <w:next w:val="1042"/>
    <w:link w:val="1041"/>
    <w:uiPriority w:val="10"/>
    <w:qFormat/>
    <w:rPr>
      <w:sz w:val="48"/>
      <w:szCs w:val="48"/>
    </w:rPr>
  </w:style>
  <w:style w:type="paragraph" w:styleId="1043">
    <w:name w:val="正文首行缩进 2"/>
    <w:basedOn w:val="1021"/>
    <w:next w:val="1012"/>
    <w:link w:val="1012"/>
    <w:qFormat/>
    <w:pPr>
      <w:ind w:firstLine="420"/>
    </w:pPr>
    <w:rPr>
      <w:rFonts w:ascii="Times New Roman" w:hAnsi="Times New Roman" w:eastAsia="宋体" w:cs="Times New Roman"/>
    </w:rPr>
  </w:style>
  <w:style w:type="table" w:styleId="1044">
    <w:name w:val="网格型"/>
    <w:next w:val="1044"/>
    <w:link w:val="1012"/>
    <w:uiPriority w:val="59"/>
    <w:qFormat/>
    <w:pPr>
      <w:spacing w:after="0" w:line="240" w:lineRule="auto"/>
    </w:pPr>
    <w:tblPr/>
  </w:style>
  <w:style w:type="character" w:styleId="1045">
    <w:name w:val="尾注引用"/>
    <w:next w:val="1045"/>
    <w:link w:val="1012"/>
    <w:uiPriority w:val="99"/>
    <w:unhideWhenUsed/>
    <w:qFormat/>
    <w:rPr>
      <w:vertAlign w:val="superscript"/>
    </w:rPr>
  </w:style>
  <w:style w:type="character" w:styleId="1046">
    <w:name w:val="强调"/>
    <w:next w:val="1046"/>
    <w:link w:val="1012"/>
    <w:qFormat/>
    <w:rPr>
      <w:i/>
    </w:rPr>
  </w:style>
  <w:style w:type="character" w:styleId="1047">
    <w:name w:val="超链接"/>
    <w:next w:val="1047"/>
    <w:link w:val="1012"/>
    <w:uiPriority w:val="99"/>
    <w:unhideWhenUsed/>
    <w:qFormat/>
    <w:rPr>
      <w:color w:val="0000ff"/>
      <w:u w:val="single"/>
    </w:rPr>
  </w:style>
  <w:style w:type="character" w:styleId="1048">
    <w:name w:val="脚注引用"/>
    <w:next w:val="1048"/>
    <w:link w:val="1012"/>
    <w:uiPriority w:val="99"/>
    <w:unhideWhenUsed/>
    <w:qFormat/>
    <w:rPr>
      <w:vertAlign w:val="superscript"/>
    </w:rPr>
  </w:style>
  <w:style w:type="paragraph" w:styleId="1049">
    <w:name w:val="Heading 1"/>
    <w:basedOn w:val="1012"/>
    <w:next w:val="1012"/>
    <w:link w:val="1050"/>
    <w:uiPriority w:val="9"/>
    <w:qFormat/>
    <w:pPr>
      <w:keepLines/>
      <w:keepNext/>
      <w:spacing w:before="480" w:after="200"/>
      <w:outlineLvl w:val="0"/>
    </w:pPr>
    <w:rPr>
      <w:rFonts w:ascii="Arial" w:hAnsi="Arial" w:eastAsia="Arial" w:cs="Arial"/>
      <w:sz w:val="40"/>
      <w:szCs w:val="40"/>
    </w:rPr>
  </w:style>
  <w:style w:type="character" w:styleId="1050">
    <w:name w:val="Heading 1 Char"/>
    <w:next w:val="1050"/>
    <w:link w:val="1049"/>
    <w:uiPriority w:val="9"/>
    <w:qFormat/>
    <w:rPr>
      <w:rFonts w:ascii="Arial" w:hAnsi="Arial" w:eastAsia="Arial" w:cs="Arial"/>
      <w:sz w:val="40"/>
      <w:szCs w:val="40"/>
    </w:rPr>
  </w:style>
  <w:style w:type="paragraph" w:styleId="1051">
    <w:name w:val="Heading 2"/>
    <w:basedOn w:val="1012"/>
    <w:next w:val="1012"/>
    <w:link w:val="1052"/>
    <w:uiPriority w:val="9"/>
    <w:unhideWhenUsed/>
    <w:qFormat/>
    <w:pPr>
      <w:keepLines/>
      <w:keepNext/>
      <w:spacing w:before="360" w:after="200"/>
      <w:outlineLvl w:val="1"/>
    </w:pPr>
    <w:rPr>
      <w:rFonts w:ascii="Arial" w:hAnsi="Arial" w:eastAsia="Arial" w:cs="Arial"/>
      <w:sz w:val="34"/>
    </w:rPr>
  </w:style>
  <w:style w:type="character" w:styleId="1052">
    <w:name w:val="Heading 2 Char"/>
    <w:next w:val="1052"/>
    <w:link w:val="1051"/>
    <w:uiPriority w:val="9"/>
    <w:qFormat/>
    <w:rPr>
      <w:rFonts w:ascii="Arial" w:hAnsi="Arial" w:eastAsia="Arial" w:cs="Arial"/>
      <w:sz w:val="34"/>
    </w:rPr>
  </w:style>
  <w:style w:type="paragraph" w:styleId="1053">
    <w:name w:val="Heading 3"/>
    <w:basedOn w:val="1012"/>
    <w:next w:val="1012"/>
    <w:link w:val="1054"/>
    <w:uiPriority w:val="9"/>
    <w:unhideWhenUsed/>
    <w:qFormat/>
    <w:pPr>
      <w:keepLines/>
      <w:keepNext/>
      <w:spacing w:before="320" w:after="200"/>
      <w:outlineLvl w:val="2"/>
    </w:pPr>
    <w:rPr>
      <w:rFonts w:ascii="Arial" w:hAnsi="Arial" w:eastAsia="Arial" w:cs="Arial"/>
      <w:sz w:val="30"/>
      <w:szCs w:val="30"/>
    </w:rPr>
  </w:style>
  <w:style w:type="character" w:styleId="1054">
    <w:name w:val="Heading 3 Char"/>
    <w:next w:val="1054"/>
    <w:link w:val="1053"/>
    <w:uiPriority w:val="9"/>
    <w:qFormat/>
    <w:rPr>
      <w:rFonts w:ascii="Arial" w:hAnsi="Arial" w:eastAsia="Arial" w:cs="Arial"/>
      <w:sz w:val="30"/>
      <w:szCs w:val="30"/>
    </w:rPr>
  </w:style>
  <w:style w:type="paragraph" w:styleId="1055">
    <w:name w:val="Heading 4"/>
    <w:basedOn w:val="1012"/>
    <w:next w:val="1018"/>
    <w:link w:val="1056"/>
    <w:uiPriority w:val="9"/>
    <w:unhideWhenUsed/>
    <w:qFormat/>
    <w:pPr>
      <w:keepLines/>
      <w:keepNext/>
      <w:spacing w:before="320" w:after="200"/>
      <w:outlineLvl w:val="3"/>
    </w:pPr>
    <w:rPr>
      <w:rFonts w:ascii="Arial" w:hAnsi="Arial" w:eastAsia="Arial" w:cs="Arial"/>
      <w:b/>
      <w:bCs/>
      <w:sz w:val="26"/>
      <w:szCs w:val="26"/>
    </w:rPr>
  </w:style>
  <w:style w:type="character" w:styleId="1056">
    <w:name w:val="Heading 4 Char"/>
    <w:next w:val="1056"/>
    <w:link w:val="1055"/>
    <w:uiPriority w:val="9"/>
    <w:qFormat/>
    <w:rPr>
      <w:rFonts w:ascii="Arial" w:hAnsi="Arial" w:eastAsia="Arial" w:cs="Arial"/>
      <w:b/>
      <w:bCs/>
      <w:sz w:val="26"/>
      <w:szCs w:val="26"/>
    </w:rPr>
  </w:style>
  <w:style w:type="paragraph" w:styleId="1057">
    <w:name w:val="Heading 5"/>
    <w:basedOn w:val="1012"/>
    <w:next w:val="1012"/>
    <w:link w:val="1058"/>
    <w:uiPriority w:val="9"/>
    <w:unhideWhenUsed/>
    <w:qFormat/>
    <w:pPr>
      <w:keepLines/>
      <w:keepNext/>
      <w:spacing w:before="320" w:after="200"/>
      <w:outlineLvl w:val="4"/>
    </w:pPr>
    <w:rPr>
      <w:rFonts w:ascii="Arial" w:hAnsi="Arial" w:eastAsia="Arial" w:cs="Arial"/>
      <w:b/>
      <w:bCs/>
      <w:sz w:val="24"/>
      <w:szCs w:val="24"/>
    </w:rPr>
  </w:style>
  <w:style w:type="character" w:styleId="1058">
    <w:name w:val="Heading 5 Char"/>
    <w:next w:val="1058"/>
    <w:link w:val="1057"/>
    <w:uiPriority w:val="9"/>
    <w:qFormat/>
    <w:rPr>
      <w:rFonts w:ascii="Arial" w:hAnsi="Arial" w:eastAsia="Arial" w:cs="Arial"/>
      <w:b/>
      <w:bCs/>
      <w:sz w:val="24"/>
      <w:szCs w:val="24"/>
    </w:rPr>
  </w:style>
  <w:style w:type="paragraph" w:styleId="1059">
    <w:name w:val="Heading 6"/>
    <w:basedOn w:val="1012"/>
    <w:next w:val="1012"/>
    <w:link w:val="1060"/>
    <w:uiPriority w:val="9"/>
    <w:unhideWhenUsed/>
    <w:qFormat/>
    <w:pPr>
      <w:keepLines/>
      <w:keepNext/>
      <w:spacing w:before="320" w:after="200"/>
      <w:outlineLvl w:val="5"/>
    </w:pPr>
    <w:rPr>
      <w:rFonts w:ascii="Arial" w:hAnsi="Arial" w:eastAsia="Arial" w:cs="Arial"/>
      <w:b/>
      <w:bCs/>
      <w:sz w:val="22"/>
      <w:szCs w:val="22"/>
    </w:rPr>
  </w:style>
  <w:style w:type="character" w:styleId="1060">
    <w:name w:val="Heading 6 Char"/>
    <w:next w:val="1060"/>
    <w:link w:val="1059"/>
    <w:uiPriority w:val="9"/>
    <w:qFormat/>
    <w:rPr>
      <w:rFonts w:ascii="Arial" w:hAnsi="Arial" w:eastAsia="Arial" w:cs="Arial"/>
      <w:b/>
      <w:bCs/>
      <w:sz w:val="22"/>
      <w:szCs w:val="22"/>
    </w:rPr>
  </w:style>
  <w:style w:type="paragraph" w:styleId="1061">
    <w:name w:val="Heading 7"/>
    <w:basedOn w:val="1012"/>
    <w:next w:val="1012"/>
    <w:link w:val="1062"/>
    <w:uiPriority w:val="9"/>
    <w:unhideWhenUsed/>
    <w:qFormat/>
    <w:pPr>
      <w:keepLines/>
      <w:keepNext/>
      <w:spacing w:before="320" w:after="200"/>
      <w:outlineLvl w:val="6"/>
    </w:pPr>
    <w:rPr>
      <w:rFonts w:ascii="Arial" w:hAnsi="Arial" w:eastAsia="Arial" w:cs="Arial"/>
      <w:b/>
      <w:bCs/>
      <w:i/>
      <w:iCs/>
      <w:sz w:val="22"/>
      <w:szCs w:val="22"/>
    </w:rPr>
  </w:style>
  <w:style w:type="character" w:styleId="1062">
    <w:name w:val="Heading 7 Char"/>
    <w:next w:val="1062"/>
    <w:link w:val="1061"/>
    <w:uiPriority w:val="9"/>
    <w:qFormat/>
    <w:rPr>
      <w:rFonts w:ascii="Arial" w:hAnsi="Arial" w:eastAsia="Arial" w:cs="Arial"/>
      <w:b/>
      <w:bCs/>
      <w:i/>
      <w:iCs/>
      <w:sz w:val="22"/>
      <w:szCs w:val="22"/>
    </w:rPr>
  </w:style>
  <w:style w:type="paragraph" w:styleId="1063">
    <w:name w:val="Heading 8"/>
    <w:basedOn w:val="1012"/>
    <w:next w:val="1012"/>
    <w:link w:val="1064"/>
    <w:uiPriority w:val="9"/>
    <w:unhideWhenUsed/>
    <w:qFormat/>
    <w:pPr>
      <w:keepLines/>
      <w:keepNext/>
      <w:spacing w:before="320" w:after="200"/>
      <w:outlineLvl w:val="7"/>
    </w:pPr>
    <w:rPr>
      <w:rFonts w:ascii="Arial" w:hAnsi="Arial" w:eastAsia="Arial" w:cs="Arial"/>
      <w:i/>
      <w:iCs/>
      <w:sz w:val="22"/>
      <w:szCs w:val="22"/>
    </w:rPr>
  </w:style>
  <w:style w:type="character" w:styleId="1064">
    <w:name w:val="Heading 8 Char"/>
    <w:next w:val="1064"/>
    <w:link w:val="1063"/>
    <w:uiPriority w:val="9"/>
    <w:qFormat/>
    <w:rPr>
      <w:rFonts w:ascii="Arial" w:hAnsi="Arial" w:eastAsia="Arial" w:cs="Arial"/>
      <w:i/>
      <w:iCs/>
      <w:sz w:val="22"/>
      <w:szCs w:val="22"/>
    </w:rPr>
  </w:style>
  <w:style w:type="paragraph" w:styleId="1065">
    <w:name w:val="Heading 9"/>
    <w:basedOn w:val="1012"/>
    <w:next w:val="1012"/>
    <w:link w:val="1066"/>
    <w:uiPriority w:val="9"/>
    <w:unhideWhenUsed/>
    <w:qFormat/>
    <w:pPr>
      <w:keepLines/>
      <w:keepNext/>
      <w:spacing w:before="320" w:after="200"/>
      <w:outlineLvl w:val="8"/>
    </w:pPr>
    <w:rPr>
      <w:rFonts w:ascii="Arial" w:hAnsi="Arial" w:eastAsia="Arial" w:cs="Arial"/>
      <w:i/>
      <w:iCs/>
      <w:sz w:val="21"/>
      <w:szCs w:val="21"/>
    </w:rPr>
  </w:style>
  <w:style w:type="character" w:styleId="1066">
    <w:name w:val="Heading 9 Char"/>
    <w:next w:val="1066"/>
    <w:link w:val="1065"/>
    <w:uiPriority w:val="9"/>
    <w:qFormat/>
    <w:rPr>
      <w:rFonts w:ascii="Arial" w:hAnsi="Arial" w:eastAsia="Arial" w:cs="Arial"/>
      <w:i/>
      <w:iCs/>
      <w:sz w:val="21"/>
      <w:szCs w:val="21"/>
    </w:rPr>
  </w:style>
  <w:style w:type="paragraph" w:styleId="1067">
    <w:name w:val="Caption1"/>
    <w:basedOn w:val="1012"/>
    <w:next w:val="1012"/>
    <w:link w:val="1012"/>
    <w:uiPriority w:val="35"/>
    <w:unhideWhenUsed/>
    <w:qFormat/>
    <w:pPr>
      <w:spacing w:line="276" w:lineRule="auto"/>
    </w:pPr>
    <w:rPr>
      <w:b/>
      <w:bCs/>
      <w:color w:val="4f81bd"/>
      <w:sz w:val="18"/>
      <w:szCs w:val="18"/>
    </w:rPr>
  </w:style>
  <w:style w:type="paragraph" w:styleId="1068">
    <w:name w:val="Footer1"/>
    <w:basedOn w:val="1012"/>
    <w:next w:val="1068"/>
    <w:link w:val="1069"/>
    <w:uiPriority w:val="99"/>
    <w:unhideWhenUsed/>
    <w:qFormat/>
    <w:pPr>
      <w:spacing w:after="0" w:line="240" w:lineRule="auto"/>
      <w:tabs>
        <w:tab w:val="center" w:pos="7143" w:leader="none"/>
        <w:tab w:val="right" w:pos="14287" w:leader="none"/>
      </w:tabs>
    </w:pPr>
  </w:style>
  <w:style w:type="character" w:styleId="1069">
    <w:name w:val="Caption Char"/>
    <w:next w:val="1069"/>
    <w:link w:val="1068"/>
    <w:uiPriority w:val="99"/>
    <w:qFormat/>
  </w:style>
  <w:style w:type="paragraph" w:styleId="1070">
    <w:name w:val="Header1"/>
    <w:basedOn w:val="1012"/>
    <w:next w:val="1070"/>
    <w:link w:val="1012"/>
    <w:uiPriority w:val="99"/>
    <w:unhideWhenUsed/>
    <w:qFormat/>
    <w:pPr>
      <w:spacing w:after="0" w:line="240" w:lineRule="auto"/>
      <w:tabs>
        <w:tab w:val="center" w:pos="7143" w:leader="none"/>
        <w:tab w:val="right" w:pos="14287" w:leader="none"/>
      </w:tabs>
    </w:pPr>
  </w:style>
  <w:style w:type="paragraph" w:styleId="1071">
    <w:name w:val="正文缩进1"/>
    <w:basedOn w:val="1012"/>
    <w:next w:val="1012"/>
    <w:link w:val="1072"/>
    <w:uiPriority w:val="99"/>
    <w:qFormat/>
    <w:pPr>
      <w:ind w:firstLine="420"/>
    </w:pPr>
    <w:rPr>
      <w:rFonts w:ascii="Calibri" w:eastAsia="宋体"/>
      <w:szCs w:val="20"/>
    </w:rPr>
  </w:style>
  <w:style w:type="character" w:styleId="1072">
    <w:name w:val="正文缩进 Char"/>
    <w:next w:val="1072"/>
    <w:link w:val="1071"/>
    <w:uiPriority w:val="99"/>
    <w:qFormat/>
    <w:rPr>
      <w:rFonts w:ascii="Calibri" w:hAnsi="Calibri"/>
      <w:sz w:val="24"/>
    </w:rPr>
  </w:style>
  <w:style w:type="paragraph" w:styleId="1073">
    <w:name w:val="正文首行缩进 21"/>
    <w:basedOn w:val="1074"/>
    <w:next w:val="1086"/>
    <w:link w:val="1012"/>
    <w:uiPriority w:val="99"/>
    <w:unhideWhenUsed/>
    <w:qFormat/>
    <w:pPr>
      <w:ind w:firstLine="420"/>
    </w:pPr>
  </w:style>
  <w:style w:type="paragraph" w:styleId="1074">
    <w:name w:val="正文文本缩进1"/>
    <w:basedOn w:val="1075"/>
    <w:next w:val="1078"/>
    <w:link w:val="1077"/>
    <w:uiPriority w:val="99"/>
    <w:unhideWhenUsed/>
    <w:qFormat/>
    <w:pPr>
      <w:ind w:left="420"/>
      <w:spacing w:after="120"/>
    </w:pPr>
  </w:style>
  <w:style w:type="paragraph" w:styleId="1075">
    <w:name w:val="正文1111"/>
    <w:next w:val="1076"/>
    <w:link w:val="1012"/>
    <w:qFormat/>
    <w:pPr>
      <w:ind w:firstLine="200"/>
      <w:jc w:val="both"/>
      <w:spacing w:line="274" w:lineRule="auto"/>
      <w:widowControl w:val="off"/>
    </w:pPr>
    <w:rPr>
      <w:rFonts w:ascii="方正仿宋_GB2312" w:eastAsia="方正仿宋_GB2312"/>
      <w:sz w:val="24"/>
      <w:szCs w:val="24"/>
      <w:lang w:eastAsia="zh-CN"/>
    </w:rPr>
  </w:style>
  <w:style w:type="paragraph" w:styleId="1076">
    <w:name w:val="标题 211"/>
    <w:basedOn w:val="1012"/>
    <w:next w:val="1075"/>
    <w:link w:val="1012"/>
    <w:uiPriority w:val="9"/>
    <w:qFormat/>
    <w:pPr>
      <w:jc w:val="center"/>
      <w:keepLines/>
      <w:keepNext/>
      <w:spacing w:before="260" w:after="260" w:line="360" w:lineRule="auto"/>
      <w:tabs>
        <w:tab w:val="right" w:pos="8296" w:leader="dot"/>
      </w:tabs>
      <w:outlineLvl w:val="1"/>
    </w:pPr>
    <w:rPr>
      <w:rFonts w:ascii="Cambria" w:hAnsi="Cambria" w:eastAsia="宋体" w:cs="Times New Roman"/>
      <w:b/>
      <w:bCs/>
      <w:smallCaps/>
      <w:sz w:val="32"/>
      <w:szCs w:val="32"/>
    </w:rPr>
  </w:style>
  <w:style w:type="character" w:styleId="1077">
    <w:name w:val="正文文本缩进 Char"/>
    <w:next w:val="1077"/>
    <w:link w:val="1074"/>
    <w:uiPriority w:val="99"/>
    <w:semiHidden/>
    <w:qFormat/>
    <w:rPr>
      <w:rFonts w:ascii="方正仿宋_GB2312" w:eastAsia="方正仿宋_GB2312"/>
      <w:sz w:val="24"/>
      <w:szCs w:val="24"/>
    </w:rPr>
  </w:style>
  <w:style w:type="paragraph" w:styleId="1078">
    <w:name w:val="寄信人地址1"/>
    <w:basedOn w:val="1079"/>
    <w:next w:val="1078"/>
    <w:link w:val="1012"/>
    <w:qFormat/>
    <w:pPr>
      <w:ind w:firstLine="200"/>
    </w:pPr>
    <w:rPr>
      <w:rFonts w:ascii="Arial" w:hAnsi="Arial" w:eastAsia="方正仿宋_GB2312" w:cs="Arial"/>
    </w:rPr>
  </w:style>
  <w:style w:type="paragraph" w:styleId="1079">
    <w:name w:val="正文11"/>
    <w:next w:val="1081"/>
    <w:link w:val="1080"/>
    <w:qFormat/>
    <w:pPr>
      <w:jc w:val="both"/>
      <w:widowControl w:val="off"/>
    </w:pPr>
    <w:rPr>
      <w:sz w:val="21"/>
      <w:szCs w:val="24"/>
      <w:lang w:eastAsia="zh-CN"/>
    </w:rPr>
  </w:style>
  <w:style w:type="character" w:styleId="1080">
    <w:name w:val="NormalCharacter1"/>
    <w:next w:val="1080"/>
    <w:link w:val="1079"/>
    <w:semiHidden/>
    <w:qFormat/>
    <w:rPr>
      <w:rFonts w:ascii="Times New Roman" w:hAnsi="Times New Roman" w:eastAsia="宋体" w:cs="Times New Roman"/>
      <w:sz w:val="21"/>
      <w:szCs w:val="24"/>
      <w:lang w:val="en-US" w:eastAsia="zh-CN" w:bidi="ar-SA"/>
    </w:rPr>
  </w:style>
  <w:style w:type="paragraph" w:styleId="1081">
    <w:name w:val="文本块1"/>
    <w:basedOn w:val="1082"/>
    <w:next w:val="1083"/>
    <w:link w:val="1012"/>
    <w:uiPriority w:val="6"/>
    <w:qFormat/>
    <w:pPr>
      <w:ind w:left="256" w:right="6" w:firstLine="624"/>
    </w:pPr>
    <w:rPr>
      <w:rFonts w:ascii="Times New Roman" w:hAnsi="Times New Roman" w:eastAsia="仿宋" w:cs="Times New Roman"/>
      <w:sz w:val="28"/>
      <w:szCs w:val="20"/>
    </w:rPr>
  </w:style>
  <w:style w:type="paragraph" w:styleId="1082">
    <w:name w:val="正文111"/>
    <w:next w:val="1074"/>
    <w:link w:val="1012"/>
    <w:qFormat/>
    <w:pPr>
      <w:ind w:firstLine="723"/>
      <w:jc w:val="both"/>
      <w:spacing w:line="360" w:lineRule="auto"/>
      <w:widowControl w:val="off"/>
    </w:pPr>
    <w:rPr>
      <w:sz w:val="24"/>
      <w:szCs w:val="24"/>
      <w:lang w:eastAsia="zh-CN"/>
    </w:rPr>
  </w:style>
  <w:style w:type="paragraph" w:styleId="1083">
    <w:name w:val="标题 41"/>
    <w:basedOn w:val="1084"/>
    <w:next w:val="1016"/>
    <w:link w:val="1085"/>
    <w:uiPriority w:val="9"/>
    <w:qFormat/>
    <w:pPr>
      <w:ind w:left="864" w:hanging="864"/>
      <w:keepLines/>
      <w:keepNext/>
      <w:spacing w:before="280" w:after="290" w:line="376" w:lineRule="auto"/>
      <w:outlineLvl w:val="3"/>
    </w:pPr>
    <w:rPr>
      <w:rFonts w:ascii="Cambria" w:hAnsi="Cambria" w:eastAsia="宋体"/>
      <w:b/>
      <w:bCs/>
      <w:sz w:val="28"/>
      <w:szCs w:val="28"/>
    </w:rPr>
  </w:style>
  <w:style w:type="paragraph" w:styleId="1084">
    <w:name w:val="正文1"/>
    <w:basedOn w:val="1082"/>
    <w:next w:val="1084"/>
    <w:link w:val="1012"/>
    <w:qFormat/>
    <w:pPr>
      <w:contextualSpacing/>
      <w:ind w:firstLine="200"/>
      <w:spacing w:before="120" w:after="120" w:line="180" w:lineRule="auto"/>
    </w:pPr>
    <w:rPr>
      <w:rFonts w:ascii="Times New Roman" w:hAnsi="Times New Roman" w:eastAsia="方正仿宋_GBK" w:cs="Times New Roman"/>
      <w:sz w:val="21"/>
      <w:szCs w:val="21"/>
      <w:lang w:val="en-US" w:eastAsia="zh-CN" w:bidi="ar-SA"/>
    </w:rPr>
  </w:style>
  <w:style w:type="character" w:styleId="1085">
    <w:name w:val="标题 4 Char"/>
    <w:next w:val="1085"/>
    <w:link w:val="1083"/>
    <w:uiPriority w:val="9"/>
    <w:semiHidden/>
    <w:qFormat/>
    <w:rPr>
      <w:rFonts w:ascii="Cambria" w:hAnsi="Cambria" w:eastAsia="宋体" w:cs="Times New Roman"/>
      <w:b/>
      <w:bCs/>
      <w:sz w:val="28"/>
      <w:szCs w:val="28"/>
    </w:rPr>
  </w:style>
  <w:style w:type="paragraph" w:styleId="1086">
    <w:name w:val="正文首行缩进1"/>
    <w:basedOn w:val="1087"/>
    <w:next w:val="1073"/>
    <w:link w:val="1088"/>
    <w:unhideWhenUsed/>
    <w:qFormat/>
    <w:pPr>
      <w:ind w:firstLine="420"/>
      <w:spacing w:line="240" w:lineRule="auto"/>
    </w:pPr>
    <w:rPr>
      <w:rFonts w:ascii="Times New Roman" w:hAnsi="Times New Roman"/>
      <w:sz w:val="21"/>
      <w:szCs w:val="22"/>
    </w:rPr>
  </w:style>
  <w:style w:type="paragraph" w:styleId="1087">
    <w:name w:val="正文文本1"/>
    <w:basedOn w:val="1084"/>
    <w:next w:val="1012"/>
    <w:link w:val="1012"/>
    <w:qFormat/>
    <w:pPr>
      <w:spacing w:after="120"/>
    </w:pPr>
    <w:rPr>
      <w:lang w:eastAsia="en-US"/>
    </w:rPr>
  </w:style>
  <w:style w:type="character" w:styleId="1088">
    <w:name w:val="正文首行缩进 Char"/>
    <w:next w:val="1088"/>
    <w:link w:val="1086"/>
    <w:qFormat/>
    <w:rPr>
      <w:rFonts w:ascii="Times New Roman" w:hAnsi="Times New Roman" w:cs="Times New Roman"/>
      <w:sz w:val="21"/>
      <w:szCs w:val="22"/>
    </w:rPr>
  </w:style>
  <w:style w:type="paragraph" w:styleId="1089">
    <w:name w:val="正文文本111"/>
    <w:basedOn w:val="1012"/>
    <w:next w:val="1016"/>
    <w:link w:val="1012"/>
    <w:uiPriority w:val="99"/>
    <w:qFormat/>
    <w:pPr>
      <w:spacing w:after="120"/>
    </w:pPr>
    <w:rPr>
      <w:rFonts w:ascii="Calibri" w:eastAsia="宋体"/>
    </w:rPr>
  </w:style>
  <w:style w:type="paragraph" w:styleId="1090">
    <w:name w:val="标题 21"/>
    <w:basedOn w:val="1079"/>
    <w:next w:val="1016"/>
    <w:link w:val="1012"/>
    <w:qFormat/>
    <w:pPr>
      <w:numPr>
        <w:ilvl w:val="0"/>
        <w:numId w:val="1"/>
      </w:numPr>
      <w:keepLines/>
      <w:keepNext/>
      <w:spacing w:before="260" w:after="260" w:line="416" w:lineRule="auto"/>
      <w:tabs>
        <w:tab w:val="left" w:pos="720" w:leader="none"/>
      </w:tabs>
      <w:outlineLvl w:val="1"/>
    </w:pPr>
    <w:rPr>
      <w:rFonts w:ascii="Cambria" w:hAnsi="Cambria"/>
      <w:b/>
      <w:bCs/>
      <w:sz w:val="28"/>
      <w:szCs w:val="32"/>
    </w:rPr>
  </w:style>
  <w:style w:type="paragraph" w:styleId="1091">
    <w:name w:val="目录 11"/>
    <w:basedOn w:val="1079"/>
    <w:next w:val="1012"/>
    <w:link w:val="1012"/>
    <w:qFormat/>
    <w:pPr>
      <w:jc w:val="left"/>
      <w:spacing w:after="100" w:line="259" w:lineRule="auto"/>
      <w:widowControl/>
    </w:pPr>
    <w:rPr>
      <w:rFonts w:ascii="Calibri" w:hAnsi="Calibri" w:eastAsia="宋体"/>
      <w:sz w:val="22"/>
      <w:szCs w:val="22"/>
    </w:rPr>
  </w:style>
  <w:style w:type="paragraph" w:styleId="1092">
    <w:name w:val="无间隔11"/>
    <w:next w:val="1092"/>
    <w:link w:val="1012"/>
    <w:qFormat/>
    <w:rPr>
      <w:sz w:val="22"/>
      <w:szCs w:val="22"/>
    </w:rPr>
  </w:style>
  <w:style w:type="paragraph" w:styleId="1093">
    <w:name w:val="目录 111"/>
    <w:basedOn w:val="1082"/>
    <w:next w:val="1012"/>
    <w:link w:val="1012"/>
    <w:uiPriority w:val="39"/>
    <w:unhideWhenUsed/>
    <w:qFormat/>
    <w:pPr>
      <w:ind w:firstLine="0"/>
      <w:jc w:val="left"/>
      <w:spacing w:before="120" w:after="120" w:line="360" w:lineRule="auto"/>
      <w:tabs>
        <w:tab w:val="right" w:pos="8296" w:leader="dot"/>
      </w:tabs>
    </w:pPr>
    <w:rPr>
      <w:rFonts w:ascii="Calibri" w:hAnsi="Calibri" w:cs="Calibri"/>
      <w:b/>
      <w:bCs/>
      <w:caps/>
      <w:sz w:val="20"/>
      <w:szCs w:val="20"/>
    </w:rPr>
  </w:style>
  <w:style w:type="paragraph" w:styleId="1094">
    <w:name w:val="No Spacing"/>
    <w:next w:val="1094"/>
    <w:link w:val="1012"/>
    <w:uiPriority w:val="1"/>
    <w:qFormat/>
    <w:pPr>
      <w:spacing w:before="0" w:after="0" w:line="240" w:lineRule="auto"/>
    </w:pPr>
  </w:style>
  <w:style w:type="paragraph" w:styleId="1095">
    <w:name w:val="Quote"/>
    <w:basedOn w:val="1012"/>
    <w:next w:val="1012"/>
    <w:link w:val="1096"/>
    <w:uiPriority w:val="29"/>
    <w:qFormat/>
    <w:pPr>
      <w:ind w:left="720" w:right="720"/>
    </w:pPr>
    <w:rPr>
      <w:i/>
    </w:rPr>
  </w:style>
  <w:style w:type="character" w:styleId="1096">
    <w:name w:val="Quote Char"/>
    <w:next w:val="1096"/>
    <w:link w:val="1095"/>
    <w:uiPriority w:val="29"/>
    <w:qFormat/>
    <w:rPr>
      <w:i/>
    </w:rPr>
  </w:style>
  <w:style w:type="paragraph" w:styleId="1097">
    <w:name w:val="Intense Quote"/>
    <w:basedOn w:val="1012"/>
    <w:next w:val="1012"/>
    <w:link w:val="10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98">
    <w:name w:val="Intense Quote Char"/>
    <w:next w:val="1098"/>
    <w:link w:val="1097"/>
    <w:uiPriority w:val="30"/>
    <w:qFormat/>
    <w:rPr>
      <w:i/>
    </w:rPr>
  </w:style>
  <w:style w:type="character" w:styleId="1099">
    <w:name w:val="Footer Char"/>
    <w:next w:val="1099"/>
    <w:link w:val="1068"/>
    <w:uiPriority w:val="99"/>
    <w:qFormat/>
  </w:style>
  <w:style w:type="table" w:styleId="1100">
    <w:name w:val="Table Grid Light"/>
    <w:next w:val="1100"/>
    <w:link w:val="1012"/>
    <w:uiPriority w:val="59"/>
    <w:qFormat/>
    <w:pPr>
      <w:spacing w:after="0" w:line="240" w:lineRule="auto"/>
    </w:pPr>
    <w:tblPr/>
  </w:style>
  <w:style w:type="table" w:styleId="1101">
    <w:name w:val="Plain Table 1"/>
    <w:next w:val="1101"/>
    <w:link w:val="1012"/>
    <w:uiPriority w:val="59"/>
    <w:qFormat/>
    <w:pPr>
      <w:spacing w:after="0" w:line="240" w:lineRule="auto"/>
    </w:pPr>
    <w:tblPr/>
  </w:style>
  <w:style w:type="table" w:styleId="1102">
    <w:name w:val="Plain Table 2"/>
    <w:next w:val="1102"/>
    <w:link w:val="1012"/>
    <w:uiPriority w:val="59"/>
    <w:qFormat/>
    <w:pPr>
      <w:spacing w:after="0" w:line="240" w:lineRule="auto"/>
    </w:pPr>
    <w:tblPr/>
  </w:style>
  <w:style w:type="table" w:styleId="1103">
    <w:name w:val="Plain Table 3"/>
    <w:next w:val="1103"/>
    <w:link w:val="1012"/>
    <w:uiPriority w:val="99"/>
    <w:qFormat/>
    <w:pPr>
      <w:spacing w:after="0" w:line="240" w:lineRule="auto"/>
    </w:pPr>
    <w:tblPr/>
  </w:style>
  <w:style w:type="table" w:styleId="1104">
    <w:name w:val="Plain Table 4"/>
    <w:next w:val="1104"/>
    <w:link w:val="1012"/>
    <w:uiPriority w:val="99"/>
    <w:qFormat/>
    <w:pPr>
      <w:spacing w:after="0" w:line="240" w:lineRule="auto"/>
    </w:pPr>
    <w:tblPr/>
  </w:style>
  <w:style w:type="table" w:styleId="1105">
    <w:name w:val="Plain Table 5"/>
    <w:next w:val="1105"/>
    <w:link w:val="1012"/>
    <w:uiPriority w:val="99"/>
    <w:qFormat/>
    <w:pPr>
      <w:spacing w:after="0" w:line="240" w:lineRule="auto"/>
    </w:pPr>
    <w:tblPr/>
  </w:style>
  <w:style w:type="table" w:styleId="1106">
    <w:name w:val="Grid Table 1 Light"/>
    <w:next w:val="1106"/>
    <w:link w:val="1012"/>
    <w:uiPriority w:val="99"/>
    <w:qFormat/>
    <w:pPr>
      <w:spacing w:after="0" w:line="240" w:lineRule="auto"/>
    </w:pPr>
    <w:tblPr/>
  </w:style>
  <w:style w:type="table" w:styleId="1107">
    <w:name w:val="Grid Table 1 Light - Accent 1"/>
    <w:next w:val="1107"/>
    <w:link w:val="1012"/>
    <w:uiPriority w:val="99"/>
    <w:qFormat/>
    <w:pPr>
      <w:spacing w:after="0" w:line="240" w:lineRule="auto"/>
    </w:pPr>
    <w:tblPr/>
  </w:style>
  <w:style w:type="table" w:styleId="1108">
    <w:name w:val="Grid Table 1 Light - Accent 2"/>
    <w:next w:val="1108"/>
    <w:link w:val="1012"/>
    <w:uiPriority w:val="99"/>
    <w:qFormat/>
    <w:pPr>
      <w:spacing w:after="0" w:line="240" w:lineRule="auto"/>
    </w:pPr>
    <w:tblPr/>
  </w:style>
  <w:style w:type="table" w:styleId="1109">
    <w:name w:val="Grid Table 1 Light - Accent 3"/>
    <w:next w:val="1109"/>
    <w:link w:val="1012"/>
    <w:uiPriority w:val="99"/>
    <w:qFormat/>
    <w:pPr>
      <w:spacing w:after="0" w:line="240" w:lineRule="auto"/>
    </w:pPr>
    <w:tblPr/>
  </w:style>
  <w:style w:type="table" w:styleId="1110">
    <w:name w:val="Grid Table 1 Light - Accent 4"/>
    <w:next w:val="1110"/>
    <w:link w:val="1012"/>
    <w:uiPriority w:val="99"/>
    <w:qFormat/>
    <w:pPr>
      <w:spacing w:after="0" w:line="240" w:lineRule="auto"/>
    </w:pPr>
    <w:tblPr/>
  </w:style>
  <w:style w:type="table" w:styleId="1111">
    <w:name w:val="Grid Table 1 Light - Accent 5"/>
    <w:next w:val="1111"/>
    <w:link w:val="1012"/>
    <w:uiPriority w:val="99"/>
    <w:qFormat/>
    <w:pPr>
      <w:spacing w:after="0" w:line="240" w:lineRule="auto"/>
    </w:pPr>
    <w:tblPr/>
  </w:style>
  <w:style w:type="table" w:styleId="1112">
    <w:name w:val="Grid Table 1 Light - Accent 6"/>
    <w:next w:val="1112"/>
    <w:link w:val="1012"/>
    <w:uiPriority w:val="99"/>
    <w:qFormat/>
    <w:pPr>
      <w:spacing w:after="0" w:line="240" w:lineRule="auto"/>
    </w:pPr>
    <w:tblPr/>
  </w:style>
  <w:style w:type="table" w:styleId="1113">
    <w:name w:val="Grid Table 2"/>
    <w:next w:val="1113"/>
    <w:link w:val="1012"/>
    <w:uiPriority w:val="99"/>
    <w:qFormat/>
    <w:pPr>
      <w:spacing w:after="0" w:line="240" w:lineRule="auto"/>
    </w:pPr>
    <w:tblPr/>
  </w:style>
  <w:style w:type="table" w:styleId="1114">
    <w:name w:val="Grid Table 2 - Accent 1"/>
    <w:next w:val="1114"/>
    <w:link w:val="1012"/>
    <w:uiPriority w:val="99"/>
    <w:qFormat/>
    <w:pPr>
      <w:spacing w:after="0" w:line="240" w:lineRule="auto"/>
    </w:pPr>
    <w:tblPr/>
  </w:style>
  <w:style w:type="table" w:styleId="1115">
    <w:name w:val="Grid Table 2 - Accent 2"/>
    <w:next w:val="1115"/>
    <w:link w:val="1012"/>
    <w:uiPriority w:val="99"/>
    <w:qFormat/>
    <w:pPr>
      <w:spacing w:after="0" w:line="240" w:lineRule="auto"/>
    </w:pPr>
    <w:tblPr/>
  </w:style>
  <w:style w:type="table" w:styleId="1116">
    <w:name w:val="Grid Table 2 - Accent 3"/>
    <w:next w:val="1116"/>
    <w:link w:val="1012"/>
    <w:uiPriority w:val="99"/>
    <w:qFormat/>
    <w:pPr>
      <w:spacing w:after="0" w:line="240" w:lineRule="auto"/>
    </w:pPr>
    <w:tblPr/>
  </w:style>
  <w:style w:type="table" w:styleId="1117">
    <w:name w:val="Grid Table 2 - Accent 4"/>
    <w:next w:val="1117"/>
    <w:link w:val="1012"/>
    <w:uiPriority w:val="99"/>
    <w:qFormat/>
    <w:pPr>
      <w:spacing w:after="0" w:line="240" w:lineRule="auto"/>
    </w:pPr>
    <w:tblPr/>
  </w:style>
  <w:style w:type="table" w:styleId="1118">
    <w:name w:val="Grid Table 2 - Accent 5"/>
    <w:next w:val="1118"/>
    <w:link w:val="1012"/>
    <w:uiPriority w:val="99"/>
    <w:qFormat/>
    <w:pPr>
      <w:spacing w:after="0" w:line="240" w:lineRule="auto"/>
    </w:pPr>
    <w:tblPr/>
  </w:style>
  <w:style w:type="table" w:styleId="1119">
    <w:name w:val="Grid Table 2 - Accent 6"/>
    <w:next w:val="1119"/>
    <w:link w:val="1012"/>
    <w:uiPriority w:val="99"/>
    <w:qFormat/>
    <w:pPr>
      <w:spacing w:after="0" w:line="240" w:lineRule="auto"/>
    </w:pPr>
    <w:tblPr/>
  </w:style>
  <w:style w:type="table" w:styleId="1120">
    <w:name w:val="Grid Table 3"/>
    <w:next w:val="1120"/>
    <w:link w:val="1012"/>
    <w:uiPriority w:val="99"/>
    <w:qFormat/>
    <w:pPr>
      <w:spacing w:after="0" w:line="240" w:lineRule="auto"/>
    </w:pPr>
    <w:tblPr/>
  </w:style>
  <w:style w:type="table" w:styleId="1121">
    <w:name w:val="Grid Table 3 - Accent 1"/>
    <w:next w:val="1121"/>
    <w:link w:val="1012"/>
    <w:uiPriority w:val="99"/>
    <w:qFormat/>
    <w:pPr>
      <w:spacing w:after="0" w:line="240" w:lineRule="auto"/>
    </w:pPr>
    <w:tblPr/>
  </w:style>
  <w:style w:type="table" w:styleId="1122">
    <w:name w:val="Grid Table 3 - Accent 2"/>
    <w:next w:val="1122"/>
    <w:link w:val="1012"/>
    <w:uiPriority w:val="99"/>
    <w:qFormat/>
    <w:pPr>
      <w:spacing w:after="0" w:line="240" w:lineRule="auto"/>
    </w:pPr>
    <w:tblPr/>
  </w:style>
  <w:style w:type="table" w:styleId="1123">
    <w:name w:val="Grid Table 3 - Accent 3"/>
    <w:next w:val="1123"/>
    <w:link w:val="1012"/>
    <w:uiPriority w:val="99"/>
    <w:qFormat/>
    <w:pPr>
      <w:spacing w:after="0" w:line="240" w:lineRule="auto"/>
    </w:pPr>
    <w:tblPr/>
  </w:style>
  <w:style w:type="table" w:styleId="1124">
    <w:name w:val="Grid Table 3 - Accent 4"/>
    <w:next w:val="1124"/>
    <w:link w:val="1012"/>
    <w:uiPriority w:val="99"/>
    <w:qFormat/>
    <w:pPr>
      <w:spacing w:after="0" w:line="240" w:lineRule="auto"/>
    </w:pPr>
    <w:tblPr/>
  </w:style>
  <w:style w:type="table" w:styleId="1125">
    <w:name w:val="Grid Table 3 - Accent 5"/>
    <w:next w:val="1125"/>
    <w:link w:val="1012"/>
    <w:uiPriority w:val="99"/>
    <w:qFormat/>
    <w:pPr>
      <w:spacing w:after="0" w:line="240" w:lineRule="auto"/>
    </w:pPr>
    <w:tblPr/>
  </w:style>
  <w:style w:type="table" w:styleId="1126">
    <w:name w:val="Grid Table 3 - Accent 6"/>
    <w:next w:val="1126"/>
    <w:link w:val="1012"/>
    <w:uiPriority w:val="99"/>
    <w:qFormat/>
    <w:pPr>
      <w:spacing w:after="0" w:line="240" w:lineRule="auto"/>
    </w:pPr>
    <w:tblPr/>
  </w:style>
  <w:style w:type="table" w:styleId="1127">
    <w:name w:val="Grid Table 4"/>
    <w:next w:val="1127"/>
    <w:link w:val="1012"/>
    <w:uiPriority w:val="59"/>
    <w:qFormat/>
    <w:pPr>
      <w:spacing w:after="0" w:line="240" w:lineRule="auto"/>
    </w:pPr>
    <w:tblPr/>
  </w:style>
  <w:style w:type="table" w:styleId="1128">
    <w:name w:val="Grid Table 4 - Accent 1"/>
    <w:next w:val="1128"/>
    <w:link w:val="1012"/>
    <w:uiPriority w:val="59"/>
    <w:qFormat/>
    <w:pPr>
      <w:spacing w:after="0" w:line="240" w:lineRule="auto"/>
    </w:pPr>
    <w:tblPr/>
  </w:style>
  <w:style w:type="table" w:styleId="1129">
    <w:name w:val="Grid Table 4 - Accent 2"/>
    <w:next w:val="1129"/>
    <w:link w:val="1012"/>
    <w:uiPriority w:val="59"/>
    <w:qFormat/>
    <w:pPr>
      <w:spacing w:after="0" w:line="240" w:lineRule="auto"/>
    </w:pPr>
    <w:tblPr/>
  </w:style>
  <w:style w:type="table" w:styleId="1130">
    <w:name w:val="Grid Table 4 - Accent 3"/>
    <w:next w:val="1130"/>
    <w:link w:val="1012"/>
    <w:uiPriority w:val="59"/>
    <w:qFormat/>
    <w:pPr>
      <w:spacing w:after="0" w:line="240" w:lineRule="auto"/>
    </w:pPr>
    <w:tblPr/>
  </w:style>
  <w:style w:type="table" w:styleId="1131">
    <w:name w:val="Grid Table 4 - Accent 4"/>
    <w:next w:val="1131"/>
    <w:link w:val="1012"/>
    <w:uiPriority w:val="59"/>
    <w:qFormat/>
    <w:pPr>
      <w:spacing w:after="0" w:line="240" w:lineRule="auto"/>
    </w:pPr>
    <w:tblPr/>
  </w:style>
  <w:style w:type="table" w:styleId="1132">
    <w:name w:val="Grid Table 4 - Accent 5"/>
    <w:next w:val="1132"/>
    <w:link w:val="1012"/>
    <w:uiPriority w:val="59"/>
    <w:qFormat/>
    <w:pPr>
      <w:spacing w:after="0" w:line="240" w:lineRule="auto"/>
    </w:pPr>
    <w:tblPr/>
  </w:style>
  <w:style w:type="table" w:styleId="1133">
    <w:name w:val="Grid Table 4 - Accent 6"/>
    <w:next w:val="1133"/>
    <w:link w:val="1012"/>
    <w:uiPriority w:val="59"/>
    <w:qFormat/>
    <w:pPr>
      <w:spacing w:after="0" w:line="240" w:lineRule="auto"/>
    </w:pPr>
    <w:tblPr/>
  </w:style>
  <w:style w:type="table" w:styleId="1134">
    <w:name w:val="Grid Table 5 Dark"/>
    <w:next w:val="1134"/>
    <w:link w:val="1012"/>
    <w:uiPriority w:val="99"/>
    <w:qFormat/>
    <w:pPr>
      <w:spacing w:after="0" w:line="240" w:lineRule="auto"/>
    </w:pPr>
    <w:tblPr/>
  </w:style>
  <w:style w:type="table" w:styleId="1135">
    <w:name w:val="Grid Table 5 Dark- Accent 1"/>
    <w:next w:val="1135"/>
    <w:link w:val="1012"/>
    <w:uiPriority w:val="99"/>
    <w:qFormat/>
    <w:pPr>
      <w:spacing w:after="0" w:line="240" w:lineRule="auto"/>
    </w:pPr>
    <w:tblPr/>
  </w:style>
  <w:style w:type="table" w:styleId="1136">
    <w:name w:val="Grid Table 5 Dark - Accent 2"/>
    <w:next w:val="1136"/>
    <w:link w:val="1012"/>
    <w:uiPriority w:val="99"/>
    <w:qFormat/>
    <w:pPr>
      <w:spacing w:after="0" w:line="240" w:lineRule="auto"/>
    </w:pPr>
    <w:tblPr/>
  </w:style>
  <w:style w:type="table" w:styleId="1137">
    <w:name w:val="Grid Table 5 Dark - Accent 3"/>
    <w:next w:val="1137"/>
    <w:link w:val="1012"/>
    <w:uiPriority w:val="99"/>
    <w:qFormat/>
    <w:pPr>
      <w:spacing w:after="0" w:line="240" w:lineRule="auto"/>
    </w:pPr>
    <w:tblPr/>
  </w:style>
  <w:style w:type="table" w:styleId="1138">
    <w:name w:val="Grid Table 5 Dark- Accent 4"/>
    <w:next w:val="1138"/>
    <w:link w:val="1012"/>
    <w:uiPriority w:val="99"/>
    <w:qFormat/>
    <w:pPr>
      <w:spacing w:after="0" w:line="240" w:lineRule="auto"/>
    </w:pPr>
    <w:tblPr/>
  </w:style>
  <w:style w:type="table" w:styleId="1139">
    <w:name w:val="Grid Table 5 Dark - Accent 5"/>
    <w:next w:val="1139"/>
    <w:link w:val="1012"/>
    <w:uiPriority w:val="99"/>
    <w:qFormat/>
    <w:pPr>
      <w:spacing w:after="0" w:line="240" w:lineRule="auto"/>
    </w:pPr>
    <w:tblPr/>
  </w:style>
  <w:style w:type="table" w:styleId="1140">
    <w:name w:val="Grid Table 5 Dark - Accent 6"/>
    <w:next w:val="1140"/>
    <w:link w:val="1012"/>
    <w:uiPriority w:val="99"/>
    <w:qFormat/>
    <w:pPr>
      <w:spacing w:after="0" w:line="240" w:lineRule="auto"/>
    </w:pPr>
    <w:tblPr/>
  </w:style>
  <w:style w:type="table" w:styleId="1141">
    <w:name w:val="Grid Table 6 Colorful"/>
    <w:next w:val="1141"/>
    <w:link w:val="1012"/>
    <w:uiPriority w:val="99"/>
    <w:qFormat/>
    <w:pPr>
      <w:spacing w:after="0" w:line="240" w:lineRule="auto"/>
    </w:pPr>
    <w:tblPr/>
  </w:style>
  <w:style w:type="table" w:styleId="1142">
    <w:name w:val="Grid Table 6 Colorful - Accent 1"/>
    <w:next w:val="1142"/>
    <w:link w:val="1012"/>
    <w:uiPriority w:val="99"/>
    <w:qFormat/>
    <w:pPr>
      <w:spacing w:after="0" w:line="240" w:lineRule="auto"/>
    </w:pPr>
    <w:tblPr/>
  </w:style>
  <w:style w:type="table" w:styleId="1143">
    <w:name w:val="Grid Table 6 Colorful - Accent 2"/>
    <w:next w:val="1143"/>
    <w:link w:val="1012"/>
    <w:uiPriority w:val="99"/>
    <w:qFormat/>
    <w:pPr>
      <w:spacing w:after="0" w:line="240" w:lineRule="auto"/>
    </w:pPr>
    <w:tblPr/>
  </w:style>
  <w:style w:type="table" w:styleId="1144">
    <w:name w:val="Grid Table 6 Colorful - Accent 3"/>
    <w:next w:val="1144"/>
    <w:link w:val="1012"/>
    <w:uiPriority w:val="99"/>
    <w:qFormat/>
    <w:pPr>
      <w:spacing w:after="0" w:line="240" w:lineRule="auto"/>
    </w:pPr>
    <w:tblPr/>
  </w:style>
  <w:style w:type="table" w:styleId="1145">
    <w:name w:val="Grid Table 6 Colorful - Accent 4"/>
    <w:next w:val="1145"/>
    <w:link w:val="1012"/>
    <w:uiPriority w:val="99"/>
    <w:qFormat/>
    <w:pPr>
      <w:spacing w:after="0" w:line="240" w:lineRule="auto"/>
    </w:pPr>
    <w:tblPr/>
  </w:style>
  <w:style w:type="table" w:styleId="1146">
    <w:name w:val="Grid Table 6 Colorful - Accent 5"/>
    <w:next w:val="1146"/>
    <w:link w:val="1012"/>
    <w:uiPriority w:val="99"/>
    <w:qFormat/>
    <w:pPr>
      <w:spacing w:after="0" w:line="240" w:lineRule="auto"/>
    </w:pPr>
    <w:tblPr/>
  </w:style>
  <w:style w:type="table" w:styleId="1147">
    <w:name w:val="Grid Table 6 Colorful - Accent 6"/>
    <w:next w:val="1147"/>
    <w:link w:val="1012"/>
    <w:uiPriority w:val="99"/>
    <w:qFormat/>
    <w:pPr>
      <w:spacing w:after="0" w:line="240" w:lineRule="auto"/>
    </w:pPr>
    <w:tblPr/>
  </w:style>
  <w:style w:type="table" w:styleId="1148">
    <w:name w:val="Grid Table 7 Colorful"/>
    <w:next w:val="1148"/>
    <w:link w:val="1012"/>
    <w:uiPriority w:val="99"/>
    <w:qFormat/>
    <w:pPr>
      <w:spacing w:after="0" w:line="240" w:lineRule="auto"/>
    </w:pPr>
    <w:tblPr/>
  </w:style>
  <w:style w:type="table" w:styleId="1149">
    <w:name w:val="Grid Table 7 Colorful - Accent 1"/>
    <w:next w:val="1149"/>
    <w:link w:val="1012"/>
    <w:uiPriority w:val="99"/>
    <w:qFormat/>
    <w:pPr>
      <w:spacing w:after="0" w:line="240" w:lineRule="auto"/>
    </w:pPr>
    <w:tblPr/>
  </w:style>
  <w:style w:type="table" w:styleId="1150">
    <w:name w:val="Grid Table 7 Colorful - Accent 2"/>
    <w:next w:val="1150"/>
    <w:link w:val="1012"/>
    <w:uiPriority w:val="99"/>
    <w:qFormat/>
    <w:pPr>
      <w:spacing w:after="0" w:line="240" w:lineRule="auto"/>
    </w:pPr>
    <w:tblPr/>
  </w:style>
  <w:style w:type="table" w:styleId="1151">
    <w:name w:val="Grid Table 7 Colorful - Accent 3"/>
    <w:next w:val="1151"/>
    <w:link w:val="1012"/>
    <w:uiPriority w:val="99"/>
    <w:qFormat/>
    <w:pPr>
      <w:spacing w:after="0" w:line="240" w:lineRule="auto"/>
    </w:pPr>
    <w:tblPr/>
  </w:style>
  <w:style w:type="table" w:styleId="1152">
    <w:name w:val="Grid Table 7 Colorful - Accent 4"/>
    <w:next w:val="1152"/>
    <w:link w:val="1012"/>
    <w:uiPriority w:val="99"/>
    <w:qFormat/>
    <w:pPr>
      <w:spacing w:after="0" w:line="240" w:lineRule="auto"/>
    </w:pPr>
    <w:tblPr/>
  </w:style>
  <w:style w:type="table" w:styleId="1153">
    <w:name w:val="Grid Table 7 Colorful - Accent 5"/>
    <w:next w:val="1153"/>
    <w:link w:val="1012"/>
    <w:uiPriority w:val="99"/>
    <w:qFormat/>
    <w:pPr>
      <w:spacing w:after="0" w:line="240" w:lineRule="auto"/>
    </w:pPr>
    <w:tblPr/>
  </w:style>
  <w:style w:type="table" w:styleId="1154">
    <w:name w:val="Grid Table 7 Colorful - Accent 6"/>
    <w:next w:val="1154"/>
    <w:link w:val="1012"/>
    <w:uiPriority w:val="99"/>
    <w:qFormat/>
    <w:pPr>
      <w:spacing w:after="0" w:line="240" w:lineRule="auto"/>
    </w:pPr>
    <w:tblPr/>
  </w:style>
  <w:style w:type="table" w:styleId="1155">
    <w:name w:val="List Table 1 Light"/>
    <w:next w:val="1155"/>
    <w:link w:val="1012"/>
    <w:uiPriority w:val="99"/>
    <w:qFormat/>
    <w:pPr>
      <w:spacing w:after="0" w:line="240" w:lineRule="auto"/>
    </w:pPr>
    <w:tblPr/>
  </w:style>
  <w:style w:type="table" w:styleId="1156">
    <w:name w:val="List Table 1 Light - Accent 1"/>
    <w:next w:val="1156"/>
    <w:link w:val="1012"/>
    <w:uiPriority w:val="99"/>
    <w:qFormat/>
    <w:pPr>
      <w:spacing w:after="0" w:line="240" w:lineRule="auto"/>
    </w:pPr>
    <w:tblPr/>
  </w:style>
  <w:style w:type="table" w:styleId="1157">
    <w:name w:val="List Table 1 Light - Accent 2"/>
    <w:next w:val="1157"/>
    <w:link w:val="1012"/>
    <w:uiPriority w:val="99"/>
    <w:qFormat/>
    <w:pPr>
      <w:spacing w:after="0" w:line="240" w:lineRule="auto"/>
    </w:pPr>
    <w:tblPr/>
  </w:style>
  <w:style w:type="table" w:styleId="1158">
    <w:name w:val="List Table 1 Light - Accent 3"/>
    <w:next w:val="1158"/>
    <w:link w:val="1012"/>
    <w:uiPriority w:val="99"/>
    <w:qFormat/>
    <w:pPr>
      <w:spacing w:after="0" w:line="240" w:lineRule="auto"/>
    </w:pPr>
    <w:tblPr/>
  </w:style>
  <w:style w:type="table" w:styleId="1159">
    <w:name w:val="List Table 1 Light - Accent 4"/>
    <w:next w:val="1159"/>
    <w:link w:val="1012"/>
    <w:uiPriority w:val="99"/>
    <w:qFormat/>
    <w:pPr>
      <w:spacing w:after="0" w:line="240" w:lineRule="auto"/>
    </w:pPr>
    <w:tblPr/>
  </w:style>
  <w:style w:type="table" w:styleId="1160">
    <w:name w:val="List Table 1 Light - Accent 5"/>
    <w:next w:val="1160"/>
    <w:link w:val="1012"/>
    <w:uiPriority w:val="99"/>
    <w:qFormat/>
    <w:pPr>
      <w:spacing w:after="0" w:line="240" w:lineRule="auto"/>
    </w:pPr>
    <w:tblPr/>
  </w:style>
  <w:style w:type="table" w:styleId="1161">
    <w:name w:val="List Table 1 Light - Accent 6"/>
    <w:next w:val="1161"/>
    <w:link w:val="1012"/>
    <w:uiPriority w:val="99"/>
    <w:qFormat/>
    <w:pPr>
      <w:spacing w:after="0" w:line="240" w:lineRule="auto"/>
    </w:pPr>
    <w:tblPr/>
  </w:style>
  <w:style w:type="table" w:styleId="1162">
    <w:name w:val="List Table 2"/>
    <w:next w:val="1162"/>
    <w:link w:val="1012"/>
    <w:uiPriority w:val="99"/>
    <w:qFormat/>
    <w:pPr>
      <w:spacing w:after="0" w:line="240" w:lineRule="auto"/>
    </w:pPr>
    <w:tblPr/>
  </w:style>
  <w:style w:type="table" w:styleId="1163">
    <w:name w:val="List Table 2 - Accent 1"/>
    <w:next w:val="1163"/>
    <w:link w:val="1012"/>
    <w:uiPriority w:val="99"/>
    <w:qFormat/>
    <w:pPr>
      <w:spacing w:after="0" w:line="240" w:lineRule="auto"/>
    </w:pPr>
    <w:tblPr/>
  </w:style>
  <w:style w:type="table" w:styleId="1164">
    <w:name w:val="List Table 2 - Accent 2"/>
    <w:next w:val="1164"/>
    <w:link w:val="1012"/>
    <w:uiPriority w:val="99"/>
    <w:qFormat/>
    <w:pPr>
      <w:spacing w:after="0" w:line="240" w:lineRule="auto"/>
    </w:pPr>
    <w:tblPr/>
  </w:style>
  <w:style w:type="table" w:styleId="1165">
    <w:name w:val="List Table 2 - Accent 3"/>
    <w:next w:val="1165"/>
    <w:link w:val="1012"/>
    <w:uiPriority w:val="99"/>
    <w:qFormat/>
    <w:pPr>
      <w:spacing w:after="0" w:line="240" w:lineRule="auto"/>
    </w:pPr>
    <w:tblPr/>
  </w:style>
  <w:style w:type="table" w:styleId="1166">
    <w:name w:val="List Table 2 - Accent 4"/>
    <w:next w:val="1166"/>
    <w:link w:val="1012"/>
    <w:uiPriority w:val="99"/>
    <w:qFormat/>
    <w:pPr>
      <w:spacing w:after="0" w:line="240" w:lineRule="auto"/>
    </w:pPr>
    <w:tblPr/>
  </w:style>
  <w:style w:type="table" w:styleId="1167">
    <w:name w:val="List Table 2 - Accent 5"/>
    <w:next w:val="1167"/>
    <w:link w:val="1012"/>
    <w:uiPriority w:val="99"/>
    <w:qFormat/>
    <w:pPr>
      <w:spacing w:after="0" w:line="240" w:lineRule="auto"/>
    </w:pPr>
    <w:tblPr/>
  </w:style>
  <w:style w:type="table" w:styleId="1168">
    <w:name w:val="List Table 2 - Accent 6"/>
    <w:next w:val="1168"/>
    <w:link w:val="1012"/>
    <w:uiPriority w:val="99"/>
    <w:qFormat/>
    <w:pPr>
      <w:spacing w:after="0" w:line="240" w:lineRule="auto"/>
    </w:pPr>
    <w:tblPr/>
  </w:style>
  <w:style w:type="table" w:styleId="1169">
    <w:name w:val="List Table 3"/>
    <w:next w:val="1169"/>
    <w:link w:val="1012"/>
    <w:uiPriority w:val="99"/>
    <w:qFormat/>
    <w:pPr>
      <w:spacing w:after="0" w:line="240" w:lineRule="auto"/>
    </w:pPr>
    <w:tblPr/>
  </w:style>
  <w:style w:type="table" w:styleId="1170">
    <w:name w:val="List Table 3 - Accent 1"/>
    <w:next w:val="1170"/>
    <w:link w:val="1012"/>
    <w:uiPriority w:val="99"/>
    <w:qFormat/>
    <w:pPr>
      <w:spacing w:after="0" w:line="240" w:lineRule="auto"/>
    </w:pPr>
    <w:tblPr/>
  </w:style>
  <w:style w:type="table" w:styleId="1171">
    <w:name w:val="List Table 3 - Accent 2"/>
    <w:next w:val="1171"/>
    <w:link w:val="1012"/>
    <w:uiPriority w:val="99"/>
    <w:qFormat/>
    <w:pPr>
      <w:spacing w:after="0" w:line="240" w:lineRule="auto"/>
    </w:pPr>
    <w:tblPr/>
  </w:style>
  <w:style w:type="table" w:styleId="1172">
    <w:name w:val="List Table 3 - Accent 3"/>
    <w:next w:val="1172"/>
    <w:link w:val="1012"/>
    <w:uiPriority w:val="99"/>
    <w:qFormat/>
    <w:pPr>
      <w:spacing w:after="0" w:line="240" w:lineRule="auto"/>
    </w:pPr>
    <w:tblPr/>
  </w:style>
  <w:style w:type="table" w:styleId="1173">
    <w:name w:val="List Table 3 - Accent 4"/>
    <w:next w:val="1173"/>
    <w:link w:val="1012"/>
    <w:uiPriority w:val="99"/>
    <w:qFormat/>
    <w:pPr>
      <w:spacing w:after="0" w:line="240" w:lineRule="auto"/>
    </w:pPr>
    <w:tblPr/>
  </w:style>
  <w:style w:type="table" w:styleId="1174">
    <w:name w:val="List Table 3 - Accent 5"/>
    <w:next w:val="1174"/>
    <w:link w:val="1012"/>
    <w:uiPriority w:val="99"/>
    <w:qFormat/>
    <w:pPr>
      <w:spacing w:after="0" w:line="240" w:lineRule="auto"/>
    </w:pPr>
    <w:tblPr/>
  </w:style>
  <w:style w:type="table" w:styleId="1175">
    <w:name w:val="List Table 3 - Accent 6"/>
    <w:next w:val="1175"/>
    <w:link w:val="1012"/>
    <w:uiPriority w:val="99"/>
    <w:qFormat/>
    <w:pPr>
      <w:spacing w:after="0" w:line="240" w:lineRule="auto"/>
    </w:pPr>
    <w:tblPr/>
  </w:style>
  <w:style w:type="table" w:styleId="1176">
    <w:name w:val="List Table 4"/>
    <w:next w:val="1176"/>
    <w:link w:val="1012"/>
    <w:uiPriority w:val="99"/>
    <w:qFormat/>
    <w:pPr>
      <w:spacing w:after="0" w:line="240" w:lineRule="auto"/>
    </w:pPr>
    <w:tblPr/>
  </w:style>
  <w:style w:type="table" w:styleId="1177">
    <w:name w:val="List Table 4 - Accent 1"/>
    <w:next w:val="1177"/>
    <w:link w:val="1012"/>
    <w:uiPriority w:val="99"/>
    <w:qFormat/>
    <w:pPr>
      <w:spacing w:after="0" w:line="240" w:lineRule="auto"/>
    </w:pPr>
    <w:tblPr/>
  </w:style>
  <w:style w:type="table" w:styleId="1178">
    <w:name w:val="List Table 4 - Accent 2"/>
    <w:next w:val="1178"/>
    <w:link w:val="1012"/>
    <w:uiPriority w:val="99"/>
    <w:qFormat/>
    <w:pPr>
      <w:spacing w:after="0" w:line="240" w:lineRule="auto"/>
    </w:pPr>
    <w:tblPr/>
  </w:style>
  <w:style w:type="table" w:styleId="1179">
    <w:name w:val="List Table 4 - Accent 3"/>
    <w:next w:val="1179"/>
    <w:link w:val="1012"/>
    <w:uiPriority w:val="99"/>
    <w:qFormat/>
    <w:pPr>
      <w:spacing w:after="0" w:line="240" w:lineRule="auto"/>
    </w:pPr>
    <w:tblPr/>
  </w:style>
  <w:style w:type="table" w:styleId="1180">
    <w:name w:val="List Table 4 - Accent 4"/>
    <w:next w:val="1180"/>
    <w:link w:val="1012"/>
    <w:uiPriority w:val="99"/>
    <w:qFormat/>
    <w:pPr>
      <w:spacing w:after="0" w:line="240" w:lineRule="auto"/>
    </w:pPr>
    <w:tblPr/>
  </w:style>
  <w:style w:type="table" w:styleId="1181">
    <w:name w:val="List Table 4 - Accent 5"/>
    <w:next w:val="1181"/>
    <w:link w:val="1012"/>
    <w:uiPriority w:val="99"/>
    <w:qFormat/>
    <w:pPr>
      <w:spacing w:after="0" w:line="240" w:lineRule="auto"/>
    </w:pPr>
    <w:tblPr/>
  </w:style>
  <w:style w:type="table" w:styleId="1182">
    <w:name w:val="List Table 4 - Accent 6"/>
    <w:next w:val="1182"/>
    <w:link w:val="1012"/>
    <w:uiPriority w:val="99"/>
    <w:qFormat/>
    <w:pPr>
      <w:spacing w:after="0" w:line="240" w:lineRule="auto"/>
    </w:pPr>
    <w:tblPr/>
  </w:style>
  <w:style w:type="table" w:styleId="1183">
    <w:name w:val="List Table 5 Dark"/>
    <w:next w:val="1183"/>
    <w:link w:val="1012"/>
    <w:uiPriority w:val="99"/>
    <w:qFormat/>
    <w:pPr>
      <w:spacing w:after="0" w:line="240" w:lineRule="auto"/>
    </w:pPr>
    <w:tblPr/>
  </w:style>
  <w:style w:type="table" w:styleId="1184">
    <w:name w:val="List Table 5 Dark - Accent 1"/>
    <w:next w:val="1184"/>
    <w:link w:val="1012"/>
    <w:uiPriority w:val="99"/>
    <w:qFormat/>
    <w:pPr>
      <w:spacing w:after="0" w:line="240" w:lineRule="auto"/>
    </w:pPr>
    <w:tblPr/>
  </w:style>
  <w:style w:type="table" w:styleId="1185">
    <w:name w:val="List Table 5 Dark - Accent 2"/>
    <w:next w:val="1185"/>
    <w:link w:val="1012"/>
    <w:uiPriority w:val="99"/>
    <w:qFormat/>
    <w:pPr>
      <w:spacing w:after="0" w:line="240" w:lineRule="auto"/>
    </w:pPr>
    <w:tblPr/>
  </w:style>
  <w:style w:type="table" w:styleId="1186">
    <w:name w:val="List Table 5 Dark - Accent 3"/>
    <w:next w:val="1186"/>
    <w:link w:val="1012"/>
    <w:uiPriority w:val="99"/>
    <w:qFormat/>
    <w:pPr>
      <w:spacing w:after="0" w:line="240" w:lineRule="auto"/>
    </w:pPr>
    <w:tblPr/>
  </w:style>
  <w:style w:type="table" w:styleId="1187">
    <w:name w:val="List Table 5 Dark - Accent 4"/>
    <w:next w:val="1187"/>
    <w:link w:val="1012"/>
    <w:uiPriority w:val="99"/>
    <w:qFormat/>
    <w:pPr>
      <w:spacing w:after="0" w:line="240" w:lineRule="auto"/>
    </w:pPr>
    <w:tblPr/>
  </w:style>
  <w:style w:type="table" w:styleId="1188">
    <w:name w:val="List Table 5 Dark - Accent 5"/>
    <w:next w:val="1188"/>
    <w:link w:val="1012"/>
    <w:uiPriority w:val="99"/>
    <w:qFormat/>
    <w:pPr>
      <w:spacing w:after="0" w:line="240" w:lineRule="auto"/>
    </w:pPr>
    <w:tblPr/>
  </w:style>
  <w:style w:type="table" w:styleId="1189">
    <w:name w:val="List Table 5 Dark - Accent 6"/>
    <w:next w:val="1189"/>
    <w:link w:val="1012"/>
    <w:uiPriority w:val="99"/>
    <w:qFormat/>
    <w:pPr>
      <w:spacing w:after="0" w:line="240" w:lineRule="auto"/>
    </w:pPr>
    <w:tblPr/>
  </w:style>
  <w:style w:type="table" w:styleId="1190">
    <w:name w:val="List Table 6 Colorful"/>
    <w:next w:val="1190"/>
    <w:link w:val="1012"/>
    <w:uiPriority w:val="99"/>
    <w:qFormat/>
    <w:pPr>
      <w:spacing w:after="0" w:line="240" w:lineRule="auto"/>
    </w:pPr>
    <w:tblPr/>
  </w:style>
  <w:style w:type="table" w:styleId="1191">
    <w:name w:val="List Table 6 Colorful - Accent 1"/>
    <w:next w:val="1191"/>
    <w:link w:val="1012"/>
    <w:uiPriority w:val="99"/>
    <w:qFormat/>
    <w:pPr>
      <w:spacing w:after="0" w:line="240" w:lineRule="auto"/>
    </w:pPr>
    <w:tblPr/>
  </w:style>
  <w:style w:type="table" w:styleId="1192">
    <w:name w:val="List Table 6 Colorful - Accent 2"/>
    <w:next w:val="1192"/>
    <w:link w:val="1012"/>
    <w:uiPriority w:val="99"/>
    <w:qFormat/>
    <w:pPr>
      <w:spacing w:after="0" w:line="240" w:lineRule="auto"/>
    </w:pPr>
    <w:tblPr/>
  </w:style>
  <w:style w:type="table" w:styleId="1193">
    <w:name w:val="List Table 6 Colorful - Accent 3"/>
    <w:next w:val="1193"/>
    <w:link w:val="1012"/>
    <w:uiPriority w:val="99"/>
    <w:qFormat/>
    <w:pPr>
      <w:spacing w:after="0" w:line="240" w:lineRule="auto"/>
    </w:pPr>
    <w:tblPr/>
  </w:style>
  <w:style w:type="table" w:styleId="1194">
    <w:name w:val="List Table 6 Colorful - Accent 4"/>
    <w:next w:val="1194"/>
    <w:link w:val="1012"/>
    <w:uiPriority w:val="99"/>
    <w:qFormat/>
    <w:pPr>
      <w:spacing w:after="0" w:line="240" w:lineRule="auto"/>
    </w:pPr>
    <w:tblPr/>
  </w:style>
  <w:style w:type="table" w:styleId="1195">
    <w:name w:val="List Table 6 Colorful - Accent 5"/>
    <w:next w:val="1195"/>
    <w:link w:val="1012"/>
    <w:uiPriority w:val="99"/>
    <w:qFormat/>
    <w:pPr>
      <w:spacing w:after="0" w:line="240" w:lineRule="auto"/>
    </w:pPr>
    <w:tblPr/>
  </w:style>
  <w:style w:type="table" w:styleId="1196">
    <w:name w:val="List Table 6 Colorful - Accent 6"/>
    <w:next w:val="1196"/>
    <w:link w:val="1012"/>
    <w:uiPriority w:val="99"/>
    <w:qFormat/>
    <w:pPr>
      <w:spacing w:after="0" w:line="240" w:lineRule="auto"/>
    </w:pPr>
    <w:tblPr/>
  </w:style>
  <w:style w:type="table" w:styleId="1197">
    <w:name w:val="List Table 7 Colorful"/>
    <w:next w:val="1197"/>
    <w:link w:val="1012"/>
    <w:uiPriority w:val="99"/>
    <w:qFormat/>
    <w:pPr>
      <w:spacing w:after="0" w:line="240" w:lineRule="auto"/>
    </w:pPr>
    <w:tblPr/>
  </w:style>
  <w:style w:type="table" w:styleId="1198">
    <w:name w:val="List Table 7 Colorful - Accent 1"/>
    <w:next w:val="1198"/>
    <w:link w:val="1012"/>
    <w:uiPriority w:val="99"/>
    <w:qFormat/>
    <w:pPr>
      <w:spacing w:after="0" w:line="240" w:lineRule="auto"/>
    </w:pPr>
    <w:tblPr/>
  </w:style>
  <w:style w:type="table" w:styleId="1199">
    <w:name w:val="List Table 7 Colorful - Accent 2"/>
    <w:next w:val="1199"/>
    <w:link w:val="1012"/>
    <w:uiPriority w:val="99"/>
    <w:qFormat/>
    <w:pPr>
      <w:spacing w:after="0" w:line="240" w:lineRule="auto"/>
    </w:pPr>
    <w:tblPr/>
  </w:style>
  <w:style w:type="table" w:styleId="1200">
    <w:name w:val="List Table 7 Colorful - Accent 3"/>
    <w:next w:val="1200"/>
    <w:link w:val="1012"/>
    <w:uiPriority w:val="99"/>
    <w:qFormat/>
    <w:pPr>
      <w:spacing w:after="0" w:line="240" w:lineRule="auto"/>
    </w:pPr>
    <w:tblPr/>
  </w:style>
  <w:style w:type="table" w:styleId="1201">
    <w:name w:val="List Table 7 Colorful - Accent 4"/>
    <w:next w:val="1201"/>
    <w:link w:val="1012"/>
    <w:uiPriority w:val="99"/>
    <w:qFormat/>
    <w:pPr>
      <w:spacing w:after="0" w:line="240" w:lineRule="auto"/>
    </w:pPr>
    <w:tblPr/>
  </w:style>
  <w:style w:type="table" w:styleId="1202">
    <w:name w:val="List Table 7 Colorful - Accent 5"/>
    <w:next w:val="1202"/>
    <w:link w:val="1012"/>
    <w:uiPriority w:val="99"/>
    <w:qFormat/>
    <w:pPr>
      <w:spacing w:after="0" w:line="240" w:lineRule="auto"/>
    </w:pPr>
    <w:tblPr/>
  </w:style>
  <w:style w:type="table" w:styleId="1203">
    <w:name w:val="List Table 7 Colorful - Accent 6"/>
    <w:next w:val="1203"/>
    <w:link w:val="1012"/>
    <w:uiPriority w:val="99"/>
    <w:qFormat/>
    <w:pPr>
      <w:spacing w:after="0" w:line="240" w:lineRule="auto"/>
    </w:pPr>
    <w:tblPr/>
  </w:style>
  <w:style w:type="table" w:styleId="1204">
    <w:name w:val="Lined - Accent"/>
    <w:next w:val="1204"/>
    <w:link w:val="1012"/>
    <w:uiPriority w:val="99"/>
    <w:qFormat/>
    <w:pPr>
      <w:spacing w:after="0" w:line="240" w:lineRule="auto"/>
    </w:pPr>
    <w:rPr>
      <w:color w:val="404040"/>
    </w:rPr>
    <w:tblPr/>
  </w:style>
  <w:style w:type="table" w:styleId="1205">
    <w:name w:val="Lined - Accent 1"/>
    <w:next w:val="1205"/>
    <w:link w:val="1012"/>
    <w:uiPriority w:val="99"/>
    <w:qFormat/>
    <w:pPr>
      <w:spacing w:after="0" w:line="240" w:lineRule="auto"/>
    </w:pPr>
    <w:rPr>
      <w:color w:val="404040"/>
    </w:rPr>
    <w:tblPr/>
  </w:style>
  <w:style w:type="table" w:styleId="1206">
    <w:name w:val="Lined - Accent 2"/>
    <w:next w:val="1206"/>
    <w:link w:val="1012"/>
    <w:uiPriority w:val="99"/>
    <w:qFormat/>
    <w:pPr>
      <w:spacing w:after="0" w:line="240" w:lineRule="auto"/>
    </w:pPr>
    <w:rPr>
      <w:color w:val="404040"/>
    </w:rPr>
    <w:tblPr/>
  </w:style>
  <w:style w:type="table" w:styleId="1207">
    <w:name w:val="Lined - Accent 3"/>
    <w:next w:val="1207"/>
    <w:link w:val="1012"/>
    <w:uiPriority w:val="99"/>
    <w:qFormat/>
    <w:pPr>
      <w:spacing w:after="0" w:line="240" w:lineRule="auto"/>
    </w:pPr>
    <w:rPr>
      <w:color w:val="404040"/>
    </w:rPr>
    <w:tblPr/>
  </w:style>
  <w:style w:type="table" w:styleId="1208">
    <w:name w:val="Lined - Accent 4"/>
    <w:next w:val="1208"/>
    <w:link w:val="1012"/>
    <w:uiPriority w:val="99"/>
    <w:qFormat/>
    <w:pPr>
      <w:spacing w:after="0" w:line="240" w:lineRule="auto"/>
    </w:pPr>
    <w:rPr>
      <w:color w:val="404040"/>
    </w:rPr>
    <w:tblPr/>
  </w:style>
  <w:style w:type="table" w:styleId="1209">
    <w:name w:val="Lined - Accent 5"/>
    <w:next w:val="1209"/>
    <w:link w:val="1012"/>
    <w:uiPriority w:val="99"/>
    <w:qFormat/>
    <w:pPr>
      <w:spacing w:after="0" w:line="240" w:lineRule="auto"/>
    </w:pPr>
    <w:rPr>
      <w:color w:val="404040"/>
    </w:rPr>
    <w:tblPr/>
  </w:style>
  <w:style w:type="table" w:styleId="1210">
    <w:name w:val="Lined - Accent 6"/>
    <w:next w:val="1210"/>
    <w:link w:val="1012"/>
    <w:uiPriority w:val="99"/>
    <w:qFormat/>
    <w:pPr>
      <w:spacing w:after="0" w:line="240" w:lineRule="auto"/>
    </w:pPr>
    <w:rPr>
      <w:color w:val="404040"/>
    </w:rPr>
    <w:tblPr/>
  </w:style>
  <w:style w:type="table" w:styleId="1211">
    <w:name w:val="Bordered &amp; Lined - Accent"/>
    <w:next w:val="1211"/>
    <w:link w:val="1012"/>
    <w:uiPriority w:val="99"/>
    <w:qFormat/>
    <w:pPr>
      <w:spacing w:after="0" w:line="240" w:lineRule="auto"/>
    </w:pPr>
    <w:rPr>
      <w:color w:val="404040"/>
    </w:rPr>
    <w:tblPr/>
  </w:style>
  <w:style w:type="table" w:styleId="1212">
    <w:name w:val="Bordered &amp; Lined - Accent 1"/>
    <w:next w:val="1212"/>
    <w:link w:val="1012"/>
    <w:uiPriority w:val="99"/>
    <w:qFormat/>
    <w:pPr>
      <w:spacing w:after="0" w:line="240" w:lineRule="auto"/>
    </w:pPr>
    <w:rPr>
      <w:color w:val="404040"/>
    </w:rPr>
    <w:tblPr/>
  </w:style>
  <w:style w:type="table" w:styleId="1213">
    <w:name w:val="Bordered &amp; Lined - Accent 2"/>
    <w:next w:val="1213"/>
    <w:link w:val="1012"/>
    <w:uiPriority w:val="99"/>
    <w:qFormat/>
    <w:pPr>
      <w:spacing w:after="0" w:line="240" w:lineRule="auto"/>
    </w:pPr>
    <w:rPr>
      <w:color w:val="404040"/>
    </w:rPr>
    <w:tblPr/>
  </w:style>
  <w:style w:type="table" w:styleId="1214">
    <w:name w:val="Bordered &amp; Lined - Accent 3"/>
    <w:next w:val="1214"/>
    <w:link w:val="1012"/>
    <w:uiPriority w:val="99"/>
    <w:qFormat/>
    <w:pPr>
      <w:spacing w:after="0" w:line="240" w:lineRule="auto"/>
    </w:pPr>
    <w:rPr>
      <w:color w:val="404040"/>
    </w:rPr>
    <w:tblPr/>
  </w:style>
  <w:style w:type="table" w:styleId="1215">
    <w:name w:val="Bordered &amp; Lined - Accent 4"/>
    <w:next w:val="1215"/>
    <w:link w:val="1012"/>
    <w:uiPriority w:val="99"/>
    <w:qFormat/>
    <w:pPr>
      <w:spacing w:after="0" w:line="240" w:lineRule="auto"/>
    </w:pPr>
    <w:rPr>
      <w:color w:val="404040"/>
    </w:rPr>
    <w:tblPr/>
  </w:style>
  <w:style w:type="table" w:styleId="1216">
    <w:name w:val="Bordered &amp; Lined - Accent 5"/>
    <w:next w:val="1216"/>
    <w:link w:val="1012"/>
    <w:uiPriority w:val="99"/>
    <w:qFormat/>
    <w:pPr>
      <w:spacing w:after="0" w:line="240" w:lineRule="auto"/>
    </w:pPr>
    <w:rPr>
      <w:color w:val="404040"/>
    </w:rPr>
    <w:tblPr/>
  </w:style>
  <w:style w:type="table" w:styleId="1217">
    <w:name w:val="Bordered &amp; Lined - Accent 6"/>
    <w:next w:val="1217"/>
    <w:link w:val="1012"/>
    <w:uiPriority w:val="99"/>
    <w:qFormat/>
    <w:pPr>
      <w:spacing w:after="0" w:line="240" w:lineRule="auto"/>
    </w:pPr>
    <w:rPr>
      <w:color w:val="404040"/>
    </w:rPr>
    <w:tblPr/>
  </w:style>
  <w:style w:type="table" w:styleId="1218">
    <w:name w:val="Bordered"/>
    <w:next w:val="1218"/>
    <w:link w:val="1012"/>
    <w:uiPriority w:val="99"/>
    <w:qFormat/>
    <w:pPr>
      <w:spacing w:after="0" w:line="240" w:lineRule="auto"/>
    </w:pPr>
    <w:tblPr/>
  </w:style>
  <w:style w:type="table" w:styleId="1219">
    <w:name w:val="Bordered - Accent 1"/>
    <w:next w:val="1219"/>
    <w:link w:val="1012"/>
    <w:uiPriority w:val="99"/>
    <w:qFormat/>
    <w:pPr>
      <w:spacing w:after="0" w:line="240" w:lineRule="auto"/>
    </w:pPr>
    <w:tblPr/>
  </w:style>
  <w:style w:type="table" w:styleId="1220">
    <w:name w:val="Bordered - Accent 2"/>
    <w:next w:val="1220"/>
    <w:link w:val="1012"/>
    <w:uiPriority w:val="99"/>
    <w:qFormat/>
    <w:pPr>
      <w:spacing w:after="0" w:line="240" w:lineRule="auto"/>
    </w:pPr>
    <w:tblPr/>
  </w:style>
  <w:style w:type="table" w:styleId="1221">
    <w:name w:val="Bordered - Accent 3"/>
    <w:next w:val="1221"/>
    <w:link w:val="1012"/>
    <w:uiPriority w:val="99"/>
    <w:qFormat/>
    <w:pPr>
      <w:spacing w:after="0" w:line="240" w:lineRule="auto"/>
    </w:pPr>
    <w:tblPr/>
  </w:style>
  <w:style w:type="table" w:styleId="1222">
    <w:name w:val="Bordered - Accent 4"/>
    <w:next w:val="1222"/>
    <w:link w:val="1012"/>
    <w:uiPriority w:val="99"/>
    <w:qFormat/>
    <w:pPr>
      <w:spacing w:after="0" w:line="240" w:lineRule="auto"/>
    </w:pPr>
    <w:tblPr/>
  </w:style>
  <w:style w:type="table" w:styleId="1223">
    <w:name w:val="Bordered - Accent 5"/>
    <w:next w:val="1223"/>
    <w:link w:val="1012"/>
    <w:uiPriority w:val="99"/>
    <w:qFormat/>
    <w:pPr>
      <w:spacing w:after="0" w:line="240" w:lineRule="auto"/>
    </w:pPr>
    <w:tblPr/>
  </w:style>
  <w:style w:type="table" w:styleId="1224">
    <w:name w:val="Bordered - Accent 6"/>
    <w:next w:val="1224"/>
    <w:link w:val="1012"/>
    <w:uiPriority w:val="99"/>
    <w:qFormat/>
    <w:pPr>
      <w:spacing w:after="0" w:line="240" w:lineRule="auto"/>
    </w:pPr>
    <w:tblPr/>
  </w:style>
  <w:style w:type="paragraph" w:styleId="1225">
    <w:name w:val="TOC Heading"/>
    <w:next w:val="1225"/>
    <w:link w:val="1012"/>
    <w:uiPriority w:val="39"/>
    <w:unhideWhenUsed/>
    <w:qFormat/>
  </w:style>
  <w:style w:type="paragraph" w:styleId="1226">
    <w:name w:val="标题 11"/>
    <w:basedOn w:val="1012"/>
    <w:next w:val="1012"/>
    <w:link w:val="1227"/>
    <w:uiPriority w:val="9"/>
    <w:qFormat/>
    <w:pPr>
      <w:jc w:val="center"/>
      <w:keepLines/>
      <w:keepNext/>
      <w:spacing w:before="340" w:after="330" w:line="578" w:lineRule="auto"/>
      <w:outlineLvl w:val="0"/>
    </w:pPr>
    <w:rPr>
      <w:rFonts w:ascii="Calibri" w:eastAsia="宋体"/>
      <w:b/>
      <w:bCs/>
      <w:sz w:val="44"/>
      <w:szCs w:val="44"/>
    </w:rPr>
  </w:style>
  <w:style w:type="character" w:styleId="1227">
    <w:name w:val="标题 1 Char"/>
    <w:next w:val="1227"/>
    <w:link w:val="1226"/>
    <w:uiPriority w:val="9"/>
    <w:qFormat/>
    <w:rPr>
      <w:rFonts w:ascii="Calibri" w:hAnsi="Calibri" w:cs="Times New Roman"/>
      <w:b/>
      <w:bCs/>
      <w:sz w:val="44"/>
      <w:szCs w:val="44"/>
    </w:rPr>
  </w:style>
  <w:style w:type="paragraph" w:styleId="1228">
    <w:name w:val="标题 212"/>
    <w:basedOn w:val="1012"/>
    <w:next w:val="1012"/>
    <w:link w:val="1229"/>
    <w:uiPriority w:val="9"/>
    <w:qFormat/>
    <w:pPr>
      <w:jc w:val="center"/>
      <w:keepLines/>
      <w:keepNext/>
      <w:spacing w:before="260" w:after="260" w:line="360" w:lineRule="auto"/>
      <w:tabs>
        <w:tab w:val="right" w:pos="8296" w:leader="dot"/>
      </w:tabs>
      <w:outlineLvl w:val="1"/>
    </w:pPr>
    <w:rPr>
      <w:rFonts w:ascii="Cambria" w:hAnsi="Cambria" w:eastAsia="宋体" w:cs="Times New Roman"/>
      <w:b/>
      <w:bCs/>
      <w:smallCaps/>
      <w:sz w:val="32"/>
      <w:szCs w:val="32"/>
    </w:rPr>
  </w:style>
  <w:style w:type="character" w:styleId="1229">
    <w:name w:val="标题 2 Char"/>
    <w:next w:val="1229"/>
    <w:link w:val="1228"/>
    <w:uiPriority w:val="9"/>
    <w:qFormat/>
    <w:rPr>
      <w:rFonts w:ascii="Cambria" w:hAnsi="Cambria" w:eastAsia="宋体" w:cs="Times New Roman"/>
      <w:b/>
      <w:bCs/>
      <w:sz w:val="32"/>
      <w:szCs w:val="32"/>
    </w:rPr>
  </w:style>
  <w:style w:type="paragraph" w:styleId="1230">
    <w:name w:val="标题 31"/>
    <w:basedOn w:val="1012"/>
    <w:next w:val="1012"/>
    <w:link w:val="1231"/>
    <w:uiPriority w:val="9"/>
    <w:qFormat/>
    <w:pPr>
      <w:ind w:left="720" w:hanging="720"/>
      <w:keepLines/>
      <w:keepNext/>
      <w:spacing w:before="260" w:after="260" w:line="416" w:lineRule="auto"/>
      <w:outlineLvl w:val="2"/>
    </w:pPr>
    <w:rPr>
      <w:rFonts w:ascii="Calibri" w:eastAsia="宋体"/>
      <w:b/>
      <w:bCs/>
      <w:sz w:val="32"/>
      <w:szCs w:val="32"/>
    </w:rPr>
  </w:style>
  <w:style w:type="character" w:styleId="1231">
    <w:name w:val="标题 3 Char"/>
    <w:next w:val="1231"/>
    <w:link w:val="1230"/>
    <w:uiPriority w:val="9"/>
    <w:semiHidden/>
    <w:qFormat/>
    <w:rPr>
      <w:rFonts w:ascii="Calibri" w:hAnsi="Calibri" w:eastAsia="宋体" w:cs="Times New Roman"/>
      <w:b/>
      <w:bCs/>
      <w:sz w:val="32"/>
      <w:szCs w:val="32"/>
    </w:rPr>
  </w:style>
  <w:style w:type="paragraph" w:styleId="1232">
    <w:name w:val="标题 51"/>
    <w:basedOn w:val="1012"/>
    <w:next w:val="1012"/>
    <w:link w:val="1233"/>
    <w:uiPriority w:val="9"/>
    <w:qFormat/>
    <w:pPr>
      <w:keepLines/>
      <w:keepNext/>
      <w:spacing w:line="377" w:lineRule="auto"/>
      <w:outlineLvl w:val="4"/>
    </w:pPr>
    <w:rPr>
      <w:rFonts w:ascii="Calibri"/>
      <w:b/>
      <w:bCs/>
      <w:szCs w:val="28"/>
    </w:rPr>
  </w:style>
  <w:style w:type="character" w:styleId="1233">
    <w:name w:val="标题 5 Char"/>
    <w:next w:val="1233"/>
    <w:link w:val="1232"/>
    <w:uiPriority w:val="9"/>
    <w:qFormat/>
    <w:rPr>
      <w:rFonts w:ascii="Calibri" w:hAnsi="Calibri" w:eastAsia="方正仿宋_GB2312"/>
      <w:b/>
      <w:bCs/>
      <w:sz w:val="24"/>
      <w:szCs w:val="28"/>
    </w:rPr>
  </w:style>
  <w:style w:type="paragraph" w:styleId="1234">
    <w:name w:val="标题 61"/>
    <w:basedOn w:val="1012"/>
    <w:next w:val="1012"/>
    <w:link w:val="1235"/>
    <w:uiPriority w:val="9"/>
    <w:qFormat/>
    <w:pPr>
      <w:ind w:left="1152" w:hanging="1152"/>
      <w:keepLines/>
      <w:keepNext/>
      <w:spacing w:before="240" w:after="64" w:line="320" w:lineRule="auto"/>
      <w:outlineLvl w:val="5"/>
    </w:pPr>
    <w:rPr>
      <w:rFonts w:ascii="Cambria" w:hAnsi="Cambria" w:eastAsia="宋体"/>
      <w:b/>
      <w:bCs/>
    </w:rPr>
  </w:style>
  <w:style w:type="character" w:styleId="1235">
    <w:name w:val="标题 6 Char"/>
    <w:next w:val="1235"/>
    <w:link w:val="1234"/>
    <w:uiPriority w:val="9"/>
    <w:semiHidden/>
    <w:qFormat/>
    <w:rPr>
      <w:rFonts w:ascii="Cambria" w:hAnsi="Cambria" w:eastAsia="宋体" w:cs="Times New Roman"/>
      <w:b/>
      <w:bCs/>
      <w:sz w:val="24"/>
      <w:szCs w:val="24"/>
    </w:rPr>
  </w:style>
  <w:style w:type="paragraph" w:styleId="1236">
    <w:name w:val="标题 71"/>
    <w:basedOn w:val="1012"/>
    <w:next w:val="1012"/>
    <w:link w:val="1237"/>
    <w:uiPriority w:val="9"/>
    <w:qFormat/>
    <w:pPr>
      <w:ind w:left="1296" w:hanging="1296"/>
      <w:keepLines/>
      <w:keepNext/>
      <w:spacing w:before="240" w:after="64" w:line="320" w:lineRule="auto"/>
      <w:outlineLvl w:val="6"/>
    </w:pPr>
    <w:rPr>
      <w:rFonts w:ascii="Calibri" w:eastAsia="宋体"/>
      <w:b/>
      <w:bCs/>
    </w:rPr>
  </w:style>
  <w:style w:type="character" w:styleId="1237">
    <w:name w:val="标题 7 Char"/>
    <w:next w:val="1237"/>
    <w:link w:val="1236"/>
    <w:uiPriority w:val="9"/>
    <w:semiHidden/>
    <w:qFormat/>
    <w:rPr>
      <w:rFonts w:ascii="Calibri" w:hAnsi="Calibri" w:eastAsia="宋体" w:cs="Times New Roman"/>
      <w:b/>
      <w:bCs/>
      <w:sz w:val="24"/>
      <w:szCs w:val="24"/>
    </w:rPr>
  </w:style>
  <w:style w:type="paragraph" w:styleId="1238">
    <w:name w:val="标题 81"/>
    <w:basedOn w:val="1012"/>
    <w:next w:val="1012"/>
    <w:link w:val="1239"/>
    <w:uiPriority w:val="9"/>
    <w:qFormat/>
    <w:pPr>
      <w:ind w:left="1440" w:hanging="1440"/>
      <w:keepLines/>
      <w:keepNext/>
      <w:spacing w:before="240" w:after="64" w:line="320" w:lineRule="auto"/>
      <w:outlineLvl w:val="7"/>
    </w:pPr>
    <w:rPr>
      <w:rFonts w:ascii="Cambria" w:hAnsi="Cambria" w:eastAsia="宋体"/>
    </w:rPr>
  </w:style>
  <w:style w:type="character" w:styleId="1239">
    <w:name w:val="标题 8 Char"/>
    <w:next w:val="1239"/>
    <w:link w:val="1238"/>
    <w:uiPriority w:val="9"/>
    <w:semiHidden/>
    <w:qFormat/>
    <w:rPr>
      <w:rFonts w:ascii="Cambria" w:hAnsi="Cambria" w:eastAsia="宋体" w:cs="Times New Roman"/>
      <w:sz w:val="24"/>
      <w:szCs w:val="24"/>
    </w:rPr>
  </w:style>
  <w:style w:type="paragraph" w:styleId="1240">
    <w:name w:val="标题 91"/>
    <w:basedOn w:val="1012"/>
    <w:next w:val="1012"/>
    <w:link w:val="1241"/>
    <w:uiPriority w:val="9"/>
    <w:qFormat/>
    <w:pPr>
      <w:ind w:left="1584" w:hanging="1584"/>
      <w:keepLines/>
      <w:keepNext/>
      <w:spacing w:before="240" w:after="64" w:line="320" w:lineRule="auto"/>
      <w:outlineLvl w:val="8"/>
    </w:pPr>
    <w:rPr>
      <w:rFonts w:ascii="Cambria" w:hAnsi="Cambria" w:eastAsia="宋体"/>
      <w:sz w:val="21"/>
      <w:szCs w:val="21"/>
    </w:rPr>
  </w:style>
  <w:style w:type="character" w:styleId="1241">
    <w:name w:val="标题 9 Char"/>
    <w:next w:val="1241"/>
    <w:link w:val="1240"/>
    <w:uiPriority w:val="9"/>
    <w:semiHidden/>
    <w:qFormat/>
    <w:rPr>
      <w:rFonts w:ascii="Cambria" w:hAnsi="Cambria" w:eastAsia="宋体" w:cs="Times New Roman"/>
      <w:sz w:val="21"/>
      <w:szCs w:val="21"/>
    </w:rPr>
  </w:style>
  <w:style w:type="character" w:styleId="1242">
    <w:name w:val="默认段落字体11"/>
    <w:next w:val="1242"/>
    <w:link w:val="1012"/>
    <w:uiPriority w:val="1"/>
    <w:unhideWhenUsed/>
    <w:qFormat/>
  </w:style>
  <w:style w:type="table" w:styleId="1243">
    <w:name w:val="普通表格1"/>
    <w:next w:val="1243"/>
    <w:link w:val="1012"/>
    <w:uiPriority w:val="99"/>
    <w:unhideWhenUsed/>
    <w:qFormat/>
    <w:pPr>
      <w:ind w:left="0" w:right="0"/>
      <w:keepLines w:val="0"/>
      <w:keepNext w:val="0"/>
      <w:spacing w:before="0" w:beforeAutospacing="0" w:after="0" w:afterAutospacing="0"/>
      <w:widowControl/>
      <w:suppressLineNumbers w:val="0"/>
    </w:pPr>
    <w:rPr>
      <w:rFonts w:ascii="Calibri" w:hAnsi="Calibri" w:cs="Times New Roman"/>
      <w:sz w:val="20"/>
      <w:szCs w:val="20"/>
    </w:rPr>
    <w:tblPr/>
  </w:style>
  <w:style w:type="character" w:styleId="1244">
    <w:name w:val="Plain Text Char1"/>
    <w:next w:val="1244"/>
    <w:link w:val="1012"/>
    <w:uiPriority w:val="99"/>
    <w:semiHidden/>
    <w:qFormat/>
    <w:rPr>
      <w:rFonts w:ascii="宋体" w:hAnsi="Courier New" w:cs="Courier New"/>
      <w:sz w:val="21"/>
      <w:szCs w:val="21"/>
    </w:rPr>
  </w:style>
  <w:style w:type="character" w:styleId="1245">
    <w:name w:val="font101"/>
    <w:next w:val="1245"/>
    <w:link w:val="1012"/>
    <w:uiPriority w:val="99"/>
    <w:qFormat/>
    <w:rPr>
      <w:rFonts w:ascii="宋体" w:hAnsi="宋体" w:eastAsia="宋体" w:cs="宋体"/>
      <w:color w:val="000000"/>
      <w:sz w:val="20"/>
      <w:szCs w:val="20"/>
      <w:u w:val="none"/>
    </w:rPr>
  </w:style>
  <w:style w:type="character" w:styleId="1246">
    <w:name w:val="font31"/>
    <w:basedOn w:val="1013"/>
    <w:next w:val="1246"/>
    <w:link w:val="1012"/>
    <w:qFormat/>
    <w:rPr>
      <w:rFonts w:hint="eastAsia" w:ascii="宋体" w:hAnsi="宋体" w:eastAsia="宋体" w:cs="宋体"/>
      <w:color w:val="000000"/>
      <w:sz w:val="21"/>
      <w:szCs w:val="21"/>
      <w:u w:val="none"/>
    </w:rPr>
  </w:style>
  <w:style w:type="character" w:styleId="1247">
    <w:name w:val="apple-converted-space"/>
    <w:next w:val="1247"/>
    <w:link w:val="1012"/>
    <w:uiPriority w:val="99"/>
    <w:qFormat/>
    <w:rPr>
      <w:rFonts w:cs="Times New Roman"/>
    </w:rPr>
  </w:style>
  <w:style w:type="character" w:styleId="1248">
    <w:name w:val="正文文本 Char"/>
    <w:next w:val="1248"/>
    <w:link w:val="1249"/>
    <w:uiPriority w:val="99"/>
    <w:qFormat/>
    <w:rPr>
      <w:rFonts w:ascii="Calibri" w:hAnsi="Calibri" w:cs="Times New Roman"/>
      <w:sz w:val="24"/>
      <w:szCs w:val="24"/>
    </w:rPr>
  </w:style>
  <w:style w:type="paragraph" w:styleId="1249">
    <w:name w:val="正文文本12"/>
    <w:basedOn w:val="1012"/>
    <w:next w:val="1012"/>
    <w:link w:val="1248"/>
    <w:uiPriority w:val="99"/>
    <w:qFormat/>
    <w:pPr>
      <w:spacing w:after="120"/>
    </w:pPr>
    <w:rPr>
      <w:rFonts w:ascii="Calibri" w:eastAsia="宋体"/>
    </w:rPr>
  </w:style>
  <w:style w:type="character" w:styleId="1250">
    <w:name w:val="已访问的超链接1"/>
    <w:next w:val="1250"/>
    <w:link w:val="1012"/>
    <w:qFormat/>
    <w:rPr>
      <w:rFonts w:hint="eastAsia" w:ascii="宋体" w:hAnsi="宋体" w:eastAsia="宋体" w:cs="宋体"/>
      <w:color w:val="333333"/>
      <w:sz w:val="18"/>
      <w:szCs w:val="18"/>
      <w:u w:val="none"/>
    </w:rPr>
  </w:style>
  <w:style w:type="character" w:styleId="1251">
    <w:name w:val="+正文 Char Char"/>
    <w:next w:val="1251"/>
    <w:link w:val="1252"/>
    <w:qFormat/>
    <w:rPr>
      <w:sz w:val="24"/>
      <w:szCs w:val="28"/>
    </w:rPr>
  </w:style>
  <w:style w:type="paragraph" w:styleId="1252">
    <w:name w:val="+正文 Char"/>
    <w:basedOn w:val="1012"/>
    <w:next w:val="1252"/>
    <w:link w:val="1251"/>
    <w:qFormat/>
    <w:pPr>
      <w:spacing w:line="360" w:lineRule="auto"/>
    </w:pPr>
    <w:rPr>
      <w:rFonts w:ascii="Calibri" w:eastAsia="宋体"/>
      <w:szCs w:val="28"/>
    </w:rPr>
  </w:style>
  <w:style w:type="character" w:styleId="1253">
    <w:name w:val="Header Char"/>
    <w:next w:val="1253"/>
    <w:link w:val="1012"/>
    <w:uiPriority w:val="99"/>
    <w:qFormat/>
    <w:rPr>
      <w:rFonts w:ascii="Calibri" w:hAnsi="Calibri"/>
      <w:sz w:val="18"/>
    </w:rPr>
  </w:style>
  <w:style w:type="character" w:styleId="1254">
    <w:name w:val="页码1"/>
    <w:next w:val="1254"/>
    <w:link w:val="1012"/>
    <w:uiPriority w:val="99"/>
    <w:qFormat/>
    <w:rPr>
      <w:rFonts w:cs="Times New Roman"/>
    </w:rPr>
  </w:style>
  <w:style w:type="character" w:styleId="1255">
    <w:name w:val="明显强调"/>
    <w:next w:val="1255"/>
    <w:link w:val="1012"/>
    <w:uiPriority w:val="21"/>
    <w:qFormat/>
    <w:rPr>
      <w:b/>
      <w:bCs/>
      <w:i/>
      <w:iCs/>
      <w:color w:val="4f81bd"/>
    </w:rPr>
  </w:style>
  <w:style w:type="character" w:styleId="1256">
    <w:name w:val="列出段落 Char"/>
    <w:next w:val="1256"/>
    <w:link w:val="1257"/>
    <w:qFormat/>
    <w:rPr>
      <w:sz w:val="21"/>
      <w:szCs w:val="24"/>
    </w:rPr>
  </w:style>
  <w:style w:type="paragraph" w:styleId="1257">
    <w:name w:val="列出段落"/>
    <w:basedOn w:val="1012"/>
    <w:next w:val="1257"/>
    <w:link w:val="1256"/>
    <w:qFormat/>
    <w:pPr>
      <w:ind w:firstLine="420"/>
    </w:pPr>
    <w:rPr>
      <w:rFonts w:ascii="Calibri" w:eastAsia="宋体"/>
      <w:sz w:val="21"/>
    </w:rPr>
  </w:style>
  <w:style w:type="character" w:styleId="1258">
    <w:name w:val="Plain Text Char"/>
    <w:next w:val="1258"/>
    <w:link w:val="1012"/>
    <w:uiPriority w:val="99"/>
    <w:qFormat/>
    <w:rPr>
      <w:rFonts w:ascii="宋体" w:hAnsi="Courier New"/>
      <w:sz w:val="21"/>
    </w:rPr>
  </w:style>
  <w:style w:type="character" w:styleId="1259">
    <w:name w:val="超链接1"/>
    <w:next w:val="1259"/>
    <w:link w:val="1012"/>
    <w:uiPriority w:val="99"/>
    <w:qFormat/>
    <w:rPr>
      <w:rFonts w:cs="Times New Roman"/>
      <w:color w:val="0000ff"/>
      <w:u w:val="single"/>
    </w:rPr>
  </w:style>
  <w:style w:type="character" w:styleId="1260">
    <w:name w:val="font91"/>
    <w:next w:val="1260"/>
    <w:link w:val="1012"/>
    <w:uiPriority w:val="99"/>
    <w:qFormat/>
    <w:rPr>
      <w:rFonts w:ascii="方正仿宋_GB2312" w:eastAsia="方正仿宋_GB2312" w:cs="方正仿宋_GB2312"/>
      <w:color w:val="ff0000"/>
      <w:sz w:val="24"/>
      <w:szCs w:val="24"/>
      <w:u w:val="none"/>
    </w:rPr>
  </w:style>
  <w:style w:type="character" w:styleId="1261">
    <w:name w:val="font51"/>
    <w:basedOn w:val="1242"/>
    <w:next w:val="1261"/>
    <w:link w:val="1012"/>
    <w:qFormat/>
    <w:rPr>
      <w:rFonts w:hint="eastAsia" w:ascii="微软雅黑" w:hAnsi="微软雅黑" w:eastAsia="微软雅黑" w:cs="微软雅黑"/>
      <w:color w:val="000000"/>
      <w:sz w:val="20"/>
      <w:szCs w:val="20"/>
      <w:u w:val="none"/>
    </w:rPr>
  </w:style>
  <w:style w:type="character" w:styleId="1262">
    <w:name w:val="强调1"/>
    <w:basedOn w:val="1242"/>
    <w:next w:val="1262"/>
    <w:link w:val="1012"/>
    <w:uiPriority w:val="20"/>
    <w:qFormat/>
    <w:rPr>
      <w:i/>
    </w:rPr>
  </w:style>
  <w:style w:type="character" w:styleId="1263">
    <w:name w:val="NormalCharacter1"/>
    <w:next w:val="1263"/>
    <w:link w:val="1012"/>
    <w:qFormat/>
    <w:rPr>
      <w:rFonts w:ascii="方正仿宋_GB2312" w:eastAsia="方正仿宋_GB2312"/>
      <w:sz w:val="24"/>
      <w:szCs w:val="24"/>
      <w:lang w:val="en-US" w:eastAsia="zh-CN" w:bidi="ar-SA"/>
    </w:rPr>
  </w:style>
  <w:style w:type="character" w:styleId="1264">
    <w:name w:val="日期 Char"/>
    <w:next w:val="1264"/>
    <w:link w:val="1265"/>
    <w:uiPriority w:val="99"/>
    <w:semiHidden/>
    <w:qFormat/>
    <w:rPr>
      <w:rFonts w:ascii="Calibri" w:hAnsi="Calibri" w:cs="Times New Roman"/>
      <w:sz w:val="24"/>
      <w:szCs w:val="24"/>
    </w:rPr>
  </w:style>
  <w:style w:type="paragraph" w:styleId="1265">
    <w:name w:val="日期1"/>
    <w:basedOn w:val="1012"/>
    <w:next w:val="1012"/>
    <w:link w:val="1264"/>
    <w:uiPriority w:val="99"/>
    <w:qFormat/>
    <w:rPr>
      <w:rFonts w:ascii="Calibri" w:eastAsia="宋体"/>
    </w:rPr>
  </w:style>
  <w:style w:type="character" w:styleId="1266">
    <w:name w:val="font21"/>
    <w:basedOn w:val="1242"/>
    <w:next w:val="1266"/>
    <w:link w:val="1012"/>
    <w:uiPriority w:val="99"/>
    <w:qFormat/>
    <w:rPr>
      <w:rFonts w:ascii="方正仿宋_GB2312" w:eastAsia="方正仿宋_GB2312" w:cs="方正仿宋_GB2312"/>
      <w:b/>
      <w:color w:val="000000"/>
      <w:sz w:val="24"/>
      <w:szCs w:val="24"/>
      <w:u w:val="none"/>
    </w:rPr>
  </w:style>
  <w:style w:type="character" w:styleId="1267">
    <w:name w:val="font01"/>
    <w:basedOn w:val="1242"/>
    <w:next w:val="1267"/>
    <w:link w:val="1012"/>
    <w:uiPriority w:val="99"/>
    <w:qFormat/>
    <w:rPr>
      <w:rFonts w:ascii="方正仿宋_GB2312" w:eastAsia="方正仿宋_GB2312" w:cs="方正仿宋_GB2312"/>
      <w:color w:val="000000"/>
      <w:sz w:val="24"/>
      <w:szCs w:val="24"/>
      <w:u w:val="none"/>
    </w:rPr>
  </w:style>
  <w:style w:type="character" w:styleId="1268">
    <w:name w:val="font41"/>
    <w:basedOn w:val="1013"/>
    <w:next w:val="1268"/>
    <w:link w:val="1012"/>
    <w:qFormat/>
    <w:rPr>
      <w:rFonts w:ascii="Calibri" w:hAnsi="Calibri" w:cs="Calibri"/>
      <w:color w:val="000000"/>
      <w:sz w:val="24"/>
      <w:szCs w:val="24"/>
      <w:u w:val="none"/>
    </w:rPr>
  </w:style>
  <w:style w:type="character" w:styleId="1269">
    <w:name w:val="批注主题 Char"/>
    <w:next w:val="1269"/>
    <w:link w:val="1270"/>
    <w:uiPriority w:val="99"/>
    <w:qFormat/>
    <w:rPr>
      <w:rFonts w:ascii="Calibri" w:hAnsi="Calibri" w:cs="Times New Roman"/>
      <w:b/>
      <w:bCs/>
      <w:sz w:val="24"/>
      <w:szCs w:val="24"/>
    </w:rPr>
  </w:style>
  <w:style w:type="paragraph" w:styleId="1270">
    <w:name w:val="批注主题1"/>
    <w:basedOn w:val="1271"/>
    <w:next w:val="1271"/>
    <w:link w:val="1269"/>
    <w:uiPriority w:val="99"/>
    <w:qFormat/>
    <w:rPr>
      <w:b/>
      <w:bCs/>
    </w:rPr>
  </w:style>
  <w:style w:type="paragraph" w:styleId="1271">
    <w:name w:val="批注文字1"/>
    <w:basedOn w:val="1012"/>
    <w:next w:val="1271"/>
    <w:link w:val="1272"/>
    <w:uiPriority w:val="99"/>
    <w:qFormat/>
    <w:pPr>
      <w:jc w:val="left"/>
    </w:pPr>
    <w:rPr>
      <w:rFonts w:ascii="Calibri" w:eastAsia="宋体"/>
    </w:rPr>
  </w:style>
  <w:style w:type="character" w:styleId="1272">
    <w:name w:val="批注文字 Char"/>
    <w:next w:val="1272"/>
    <w:link w:val="1271"/>
    <w:uiPriority w:val="99"/>
    <w:qFormat/>
    <w:rPr>
      <w:rFonts w:ascii="Calibri" w:hAnsi="Calibri" w:cs="Times New Roman"/>
      <w:sz w:val="24"/>
      <w:szCs w:val="24"/>
    </w:rPr>
  </w:style>
  <w:style w:type="character" w:styleId="1273">
    <w:name w:val="font71"/>
    <w:basedOn w:val="1242"/>
    <w:next w:val="1273"/>
    <w:link w:val="1012"/>
    <w:uiPriority w:val="99"/>
    <w:qFormat/>
    <w:rPr>
      <w:rFonts w:ascii="方正仿宋_GB2312" w:eastAsia="方正仿宋_GB2312" w:cs="方正仿宋_GB2312"/>
      <w:color w:val="000000"/>
      <w:sz w:val="24"/>
      <w:szCs w:val="24"/>
      <w:u w:val="none"/>
    </w:rPr>
  </w:style>
  <w:style w:type="character" w:styleId="1274">
    <w:name w:val="font61"/>
    <w:basedOn w:val="1242"/>
    <w:next w:val="1274"/>
    <w:link w:val="1012"/>
    <w:qFormat/>
    <w:rPr>
      <w:rFonts w:ascii="Segoe UI Symbol" w:hAnsi="Segoe UI Symbol" w:eastAsia="Segoe UI Symbol" w:cs="Segoe UI Symbol"/>
      <w:color w:val="000000"/>
      <w:sz w:val="24"/>
      <w:szCs w:val="24"/>
      <w:u w:val="none"/>
    </w:rPr>
  </w:style>
  <w:style w:type="character" w:styleId="1275">
    <w:name w:val="批注引用1"/>
    <w:next w:val="1275"/>
    <w:link w:val="1012"/>
    <w:uiPriority w:val="99"/>
    <w:qFormat/>
    <w:rPr>
      <w:rFonts w:cs="Times New Roman"/>
      <w:sz w:val="21"/>
      <w:szCs w:val="21"/>
    </w:rPr>
  </w:style>
  <w:style w:type="character" w:styleId="1276">
    <w:name w:val="*正文 Char"/>
    <w:next w:val="1276"/>
    <w:link w:val="1012"/>
    <w:qFormat/>
    <w:rPr>
      <w:rFonts w:ascii="宋体" w:hAnsi="宋体" w:cs="黑体"/>
      <w:color w:val="000000"/>
      <w:sz w:val="24"/>
      <w:szCs w:val="24"/>
    </w:rPr>
  </w:style>
  <w:style w:type="character" w:styleId="1277">
    <w:name w:val="font131"/>
    <w:next w:val="1277"/>
    <w:link w:val="1012"/>
    <w:uiPriority w:val="99"/>
    <w:qFormat/>
    <w:rPr>
      <w:rFonts w:ascii="Tahoma" w:hAnsi="Tahoma" w:cs="Tahoma"/>
      <w:color w:val="333333"/>
      <w:sz w:val="20"/>
      <w:szCs w:val="20"/>
      <w:u w:val="none"/>
    </w:rPr>
  </w:style>
  <w:style w:type="character" w:styleId="1278">
    <w:name w:val="*正文 Char Char"/>
    <w:next w:val="1278"/>
    <w:link w:val="1279"/>
    <w:qFormat/>
    <w:rPr>
      <w:rFonts w:ascii="宋体" w:hAnsi="宋体"/>
      <w:sz w:val="24"/>
      <w:szCs w:val="24"/>
      <w:lang w:eastAsia="en-US" w:bidi="en-US"/>
    </w:rPr>
  </w:style>
  <w:style w:type="paragraph" w:styleId="1279">
    <w:name w:val="*正文"/>
    <w:basedOn w:val="1012"/>
    <w:next w:val="1279"/>
    <w:link w:val="1278"/>
    <w:qFormat/>
    <w:pPr>
      <w:ind w:firstLine="480"/>
      <w:jc w:val="left"/>
      <w:spacing w:after="50" w:line="360" w:lineRule="auto"/>
      <w:widowControl/>
    </w:pPr>
    <w:rPr>
      <w:rFonts w:ascii="宋体" w:hAnsi="宋体" w:eastAsia="宋体"/>
      <w:lang w:eastAsia="en-US" w:bidi="en-US"/>
    </w:rPr>
  </w:style>
  <w:style w:type="character" w:styleId="1280">
    <w:name w:val="标题 Char"/>
    <w:next w:val="1280"/>
    <w:link w:val="1281"/>
    <w:uiPriority w:val="10"/>
    <w:qFormat/>
    <w:rPr>
      <w:rFonts w:ascii="Cambria" w:hAnsi="Cambria" w:eastAsia="方正仿宋_GB2312"/>
      <w:b/>
      <w:bCs/>
      <w:sz w:val="36"/>
      <w:szCs w:val="32"/>
    </w:rPr>
  </w:style>
  <w:style w:type="paragraph" w:styleId="1281">
    <w:name w:val="标题1"/>
    <w:basedOn w:val="1012"/>
    <w:next w:val="1012"/>
    <w:link w:val="1280"/>
    <w:uiPriority w:val="10"/>
    <w:qFormat/>
    <w:pPr>
      <w:jc w:val="center"/>
      <w:spacing w:before="300" w:after="300"/>
      <w:outlineLvl w:val="0"/>
    </w:pPr>
    <w:rPr>
      <w:rFonts w:ascii="Cambria" w:hAnsi="Cambria"/>
      <w:b/>
      <w:bCs/>
      <w:sz w:val="36"/>
      <w:szCs w:val="32"/>
    </w:rPr>
  </w:style>
  <w:style w:type="character" w:styleId="1282">
    <w:name w:val="页脚 Char"/>
    <w:next w:val="1282"/>
    <w:link w:val="1283"/>
    <w:uiPriority w:val="99"/>
    <w:qFormat/>
    <w:rPr>
      <w:rFonts w:ascii="Calibri" w:hAnsi="Calibri" w:cs="Times New Roman"/>
      <w:sz w:val="18"/>
      <w:szCs w:val="18"/>
    </w:rPr>
  </w:style>
  <w:style w:type="paragraph" w:styleId="1283">
    <w:name w:val="页脚1"/>
    <w:basedOn w:val="1012"/>
    <w:next w:val="1283"/>
    <w:link w:val="1282"/>
    <w:uiPriority w:val="99"/>
    <w:qFormat/>
    <w:pPr>
      <w:jc w:val="left"/>
      <w:tabs>
        <w:tab w:val="center" w:pos="4153" w:leader="none"/>
        <w:tab w:val="right" w:pos="8306" w:leader="none"/>
      </w:tabs>
    </w:pPr>
    <w:rPr>
      <w:rFonts w:ascii="Calibri" w:eastAsia="宋体"/>
      <w:sz w:val="18"/>
      <w:szCs w:val="18"/>
    </w:rPr>
  </w:style>
  <w:style w:type="character" w:styleId="1284">
    <w:name w:val="文档结构图 Char"/>
    <w:next w:val="1284"/>
    <w:link w:val="1285"/>
    <w:uiPriority w:val="99"/>
    <w:semiHidden/>
    <w:qFormat/>
    <w:rPr>
      <w:rFonts w:ascii="宋体" w:hAnsi="Calibri"/>
      <w:sz w:val="18"/>
      <w:szCs w:val="18"/>
    </w:rPr>
  </w:style>
  <w:style w:type="paragraph" w:styleId="1285">
    <w:name w:val="文档结构图1"/>
    <w:basedOn w:val="1012"/>
    <w:next w:val="1285"/>
    <w:link w:val="1284"/>
    <w:uiPriority w:val="99"/>
    <w:unhideWhenUsed/>
    <w:qFormat/>
    <w:rPr>
      <w:rFonts w:ascii="宋体" w:eastAsia="宋体"/>
      <w:sz w:val="18"/>
      <w:szCs w:val="18"/>
    </w:rPr>
  </w:style>
  <w:style w:type="character" w:styleId="1286">
    <w:name w:val="页眉 Char"/>
    <w:next w:val="1286"/>
    <w:link w:val="1287"/>
    <w:uiPriority w:val="99"/>
    <w:qFormat/>
    <w:rPr>
      <w:rFonts w:ascii="Calibri" w:hAnsi="Calibri" w:cs="Times New Roman"/>
      <w:sz w:val="18"/>
      <w:szCs w:val="18"/>
    </w:rPr>
  </w:style>
  <w:style w:type="paragraph" w:styleId="1287">
    <w:name w:val="页眉1"/>
    <w:basedOn w:val="1012"/>
    <w:next w:val="1287"/>
    <w:link w:val="1286"/>
    <w:uiPriority w:val="99"/>
    <w:qFormat/>
    <w:pPr>
      <w:jc w:val="center"/>
      <w:tabs>
        <w:tab w:val="center" w:pos="4153" w:leader="none"/>
        <w:tab w:val="right" w:pos="8306" w:leader="none"/>
      </w:tabs>
      <w:pBdr>
        <w:bottom w:val="single" w:color="000000" w:sz="6" w:space="1"/>
      </w:pBdr>
    </w:pPr>
    <w:rPr>
      <w:rFonts w:ascii="Calibri" w:eastAsia="宋体"/>
      <w:sz w:val="18"/>
      <w:szCs w:val="18"/>
    </w:rPr>
  </w:style>
  <w:style w:type="character" w:styleId="1288">
    <w:name w:val="默认段落字体1"/>
    <w:next w:val="1288"/>
    <w:link w:val="1012"/>
    <w:qFormat/>
  </w:style>
  <w:style w:type="character" w:styleId="1289">
    <w:name w:val="font141"/>
    <w:next w:val="1289"/>
    <w:link w:val="1012"/>
    <w:uiPriority w:val="99"/>
    <w:qFormat/>
    <w:rPr>
      <w:rFonts w:ascii="Tahoma" w:hAnsi="Tahoma" w:cs="Tahoma"/>
      <w:color w:val="000000"/>
      <w:sz w:val="20"/>
      <w:szCs w:val="20"/>
      <w:u w:val="none"/>
    </w:rPr>
  </w:style>
  <w:style w:type="character" w:styleId="1290">
    <w:name w:val="样式 宋体 五号 首行缩进:  0.95 厘米 Char"/>
    <w:next w:val="1290"/>
    <w:link w:val="1291"/>
    <w:qFormat/>
    <w:rPr>
      <w:rFonts w:ascii="宋体" w:hAnsi="宋体" w:cs="宋体"/>
      <w:sz w:val="24"/>
      <w:szCs w:val="24"/>
    </w:rPr>
  </w:style>
  <w:style w:type="paragraph" w:styleId="1291">
    <w:name w:val="样式 宋体 五号 首行缩进:  0.95 厘米"/>
    <w:basedOn w:val="1012"/>
    <w:next w:val="1291"/>
    <w:link w:val="1290"/>
    <w:qFormat/>
    <w:pPr>
      <w:ind w:firstLine="540"/>
      <w:spacing w:line="360" w:lineRule="auto"/>
      <w:tabs>
        <w:tab w:val="left" w:pos="4860" w:leader="none"/>
      </w:tabs>
    </w:pPr>
    <w:rPr>
      <w:rFonts w:ascii="宋体" w:hAnsi="宋体" w:eastAsia="宋体"/>
    </w:rPr>
  </w:style>
  <w:style w:type="character" w:styleId="1292">
    <w:name w:val="批注框文本 Char"/>
    <w:next w:val="1292"/>
    <w:link w:val="1293"/>
    <w:uiPriority w:val="99"/>
    <w:qFormat/>
    <w:rPr>
      <w:rFonts w:ascii="Calibri" w:hAnsi="Calibri" w:cs="Times New Roman"/>
      <w:sz w:val="18"/>
      <w:szCs w:val="18"/>
    </w:rPr>
  </w:style>
  <w:style w:type="paragraph" w:styleId="1293">
    <w:name w:val="批注框文本1"/>
    <w:basedOn w:val="1012"/>
    <w:next w:val="1293"/>
    <w:link w:val="1292"/>
    <w:uiPriority w:val="99"/>
    <w:qFormat/>
    <w:rPr>
      <w:rFonts w:ascii="Calibri" w:eastAsia="宋体"/>
      <w:sz w:val="18"/>
      <w:szCs w:val="18"/>
    </w:rPr>
  </w:style>
  <w:style w:type="character" w:styleId="1294">
    <w:name w:val="font81"/>
    <w:basedOn w:val="1013"/>
    <w:next w:val="1294"/>
    <w:link w:val="1012"/>
    <w:uiPriority w:val="99"/>
    <w:qFormat/>
    <w:rPr>
      <w:rFonts w:ascii="方正仿宋_GB2312" w:eastAsia="方正仿宋_GB2312" w:cs="方正仿宋_GB2312"/>
      <w:b/>
      <w:color w:val="000000"/>
      <w:sz w:val="24"/>
      <w:szCs w:val="24"/>
      <w:u w:val="none"/>
    </w:rPr>
  </w:style>
  <w:style w:type="character" w:styleId="1295">
    <w:name w:val="正文文本缩进 2 Char"/>
    <w:next w:val="1295"/>
    <w:link w:val="1296"/>
    <w:uiPriority w:val="99"/>
    <w:semiHidden/>
    <w:qFormat/>
    <w:rPr>
      <w:rFonts w:ascii="Calibri" w:hAnsi="Calibri" w:cs="Times New Roman"/>
      <w:sz w:val="24"/>
      <w:szCs w:val="24"/>
    </w:rPr>
  </w:style>
  <w:style w:type="paragraph" w:styleId="1296">
    <w:name w:val="正文文本缩进 21"/>
    <w:basedOn w:val="1012"/>
    <w:next w:val="1296"/>
    <w:link w:val="1295"/>
    <w:uiPriority w:val="99"/>
    <w:qFormat/>
    <w:pPr>
      <w:ind w:firstLine="475"/>
      <w:spacing w:line="10" w:lineRule="atLeast"/>
    </w:pPr>
    <w:rPr>
      <w:rFonts w:ascii="Calibri" w:eastAsia="宋体"/>
    </w:rPr>
  </w:style>
  <w:style w:type="character" w:styleId="1297">
    <w:name w:val="font111"/>
    <w:next w:val="1297"/>
    <w:link w:val="1012"/>
    <w:uiPriority w:val="99"/>
    <w:qFormat/>
    <w:rPr>
      <w:rFonts w:ascii="Verdana" w:hAnsi="Verdana" w:cs="Verdana"/>
      <w:color w:val="333333"/>
      <w:sz w:val="20"/>
      <w:szCs w:val="20"/>
      <w:u w:val="none"/>
    </w:rPr>
  </w:style>
  <w:style w:type="character" w:styleId="1298">
    <w:name w:val="bsharetext"/>
    <w:basedOn w:val="1242"/>
    <w:next w:val="1298"/>
    <w:link w:val="1012"/>
    <w:qFormat/>
  </w:style>
  <w:style w:type="character" w:styleId="1299">
    <w:name w:val="纯文本 Char"/>
    <w:next w:val="1299"/>
    <w:link w:val="1300"/>
    <w:uiPriority w:val="99"/>
    <w:qFormat/>
    <w:rPr>
      <w:rFonts w:ascii="宋体" w:hAnsi="Courier New" w:cs="Courier New"/>
      <w:sz w:val="21"/>
      <w:szCs w:val="21"/>
    </w:rPr>
  </w:style>
  <w:style w:type="paragraph" w:styleId="1300">
    <w:name w:val="纯文本11"/>
    <w:basedOn w:val="1012"/>
    <w:next w:val="1300"/>
    <w:link w:val="1299"/>
    <w:uiPriority w:val="99"/>
    <w:qFormat/>
    <w:pPr>
      <w:ind w:firstLine="200"/>
      <w:spacing w:line="360" w:lineRule="auto"/>
    </w:pPr>
    <w:rPr>
      <w:rFonts w:ascii="宋体" w:hAnsi="Courier New" w:eastAsia="宋体"/>
      <w:sz w:val="21"/>
      <w:szCs w:val="21"/>
    </w:rPr>
  </w:style>
  <w:style w:type="character" w:styleId="1301">
    <w:name w:val="副标题 Char"/>
    <w:next w:val="1301"/>
    <w:link w:val="1302"/>
    <w:uiPriority w:val="11"/>
    <w:qFormat/>
    <w:rPr>
      <w:rFonts w:ascii="Cambria" w:hAnsi="Cambria" w:eastAsia="方正仿宋_GB2312" w:cs="Times New Roman"/>
      <w:b/>
      <w:bCs/>
      <w:sz w:val="32"/>
      <w:szCs w:val="32"/>
    </w:rPr>
  </w:style>
  <w:style w:type="paragraph" w:styleId="1302">
    <w:name w:val="副标题1"/>
    <w:basedOn w:val="1012"/>
    <w:next w:val="1012"/>
    <w:link w:val="1301"/>
    <w:uiPriority w:val="11"/>
    <w:qFormat/>
    <w:pPr>
      <w:ind w:left="100" w:right="100"/>
      <w:jc w:val="center"/>
      <w:spacing w:before="240" w:after="120" w:line="312" w:lineRule="auto"/>
      <w:outlineLvl w:val="1"/>
    </w:pPr>
    <w:rPr>
      <w:rFonts w:ascii="Cambria" w:hAnsi="Cambria"/>
      <w:b/>
      <w:bCs/>
      <w:sz w:val="32"/>
      <w:szCs w:val="32"/>
    </w:rPr>
  </w:style>
  <w:style w:type="character" w:styleId="1303">
    <w:name w:val="font11"/>
    <w:basedOn w:val="1242"/>
    <w:next w:val="1303"/>
    <w:link w:val="1012"/>
    <w:uiPriority w:val="99"/>
    <w:qFormat/>
    <w:rPr>
      <w:rFonts w:ascii="Times New Roman" w:hAnsi="Times New Roman" w:cs="Times New Roman"/>
      <w:color w:val="000000"/>
      <w:sz w:val="24"/>
      <w:szCs w:val="24"/>
      <w:u w:val="none"/>
    </w:rPr>
  </w:style>
  <w:style w:type="character" w:styleId="1304">
    <w:name w:val="最终正文格式 Char"/>
    <w:next w:val="1304"/>
    <w:link w:val="1305"/>
    <w:qFormat/>
    <w:rPr>
      <w:rFonts w:ascii="Arial" w:hAnsi="Arial" w:cs="Arial"/>
    </w:rPr>
  </w:style>
  <w:style w:type="paragraph" w:styleId="1305">
    <w:name w:val="最终正文格式"/>
    <w:basedOn w:val="1249"/>
    <w:next w:val="1305"/>
    <w:link w:val="1304"/>
    <w:qFormat/>
    <w:pPr>
      <w:ind w:left="315" w:firstLine="0"/>
      <w:spacing w:line="240" w:lineRule="auto"/>
      <w:widowControl/>
    </w:pPr>
    <w:rPr>
      <w:rFonts w:ascii="Arial" w:hAnsi="Arial"/>
      <w:sz w:val="20"/>
      <w:szCs w:val="20"/>
    </w:rPr>
  </w:style>
  <w:style w:type="paragraph" w:styleId="1306">
    <w:name w:val="xl260"/>
    <w:basedOn w:val="1012"/>
    <w:next w:val="1306"/>
    <w:link w:val="101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07">
    <w:name w:val="xl306"/>
    <w:basedOn w:val="1012"/>
    <w:next w:val="1307"/>
    <w:link w:val="1012"/>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08">
    <w:name w:val="xl304"/>
    <w:basedOn w:val="1012"/>
    <w:next w:val="1308"/>
    <w:link w:val="1012"/>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09">
    <w:name w:val="索引 21"/>
    <w:basedOn w:val="1012"/>
    <w:next w:val="1012"/>
    <w:link w:val="1012"/>
    <w:qFormat/>
    <w:pPr>
      <w:ind w:left="200"/>
    </w:pPr>
  </w:style>
  <w:style w:type="paragraph" w:styleId="1310">
    <w:name w:val="列出段落4"/>
    <w:basedOn w:val="1012"/>
    <w:next w:val="1310"/>
    <w:link w:val="1012"/>
    <w:qFormat/>
    <w:pPr>
      <w:ind w:firstLine="420"/>
    </w:pPr>
    <w:rPr>
      <w:rFonts w:ascii="Calibri" w:hAnsi="Calibri" w:eastAsia="宋体" w:cs="Times New Roman"/>
      <w:sz w:val="20"/>
    </w:rPr>
  </w:style>
  <w:style w:type="paragraph" w:styleId="1311">
    <w:name w:val="xl286"/>
    <w:basedOn w:val="1012"/>
    <w:next w:val="1311"/>
    <w:link w:val="101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12">
    <w:name w:val="xl315"/>
    <w:basedOn w:val="1012"/>
    <w:next w:val="1312"/>
    <w:link w:val="1012"/>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13">
    <w:name w:val="xl252"/>
    <w:basedOn w:val="1012"/>
    <w:next w:val="1313"/>
    <w:link w:val="101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14">
    <w:name w:val="xl269"/>
    <w:basedOn w:val="1012"/>
    <w:next w:val="1314"/>
    <w:link w:val="101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rPr>
  </w:style>
  <w:style w:type="paragraph" w:styleId="1315">
    <w:name w:val="cucd-0"/>
    <w:next w:val="1315"/>
    <w:link w:val="1012"/>
    <w:qFormat/>
    <w:pPr>
      <w:ind w:firstLine="480"/>
      <w:spacing w:line="360" w:lineRule="auto"/>
    </w:pPr>
    <w:rPr>
      <w:rFonts w:ascii="宋体"/>
      <w:sz w:val="24"/>
      <w:szCs w:val="24"/>
      <w:lang w:eastAsia="zh-CN"/>
    </w:rPr>
  </w:style>
  <w:style w:type="paragraph" w:styleId="1316">
    <w:name w:val="xl322"/>
    <w:basedOn w:val="1012"/>
    <w:next w:val="1316"/>
    <w:link w:val="1012"/>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17">
    <w:name w:val="xl314"/>
    <w:basedOn w:val="1012"/>
    <w:next w:val="1317"/>
    <w:link w:val="1012"/>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18">
    <w:name w:val="xl316"/>
    <w:basedOn w:val="1012"/>
    <w:next w:val="1318"/>
    <w:link w:val="1012"/>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rPr>
  </w:style>
  <w:style w:type="paragraph" w:styleId="1319">
    <w:name w:val="xl279"/>
    <w:basedOn w:val="1012"/>
    <w:next w:val="1319"/>
    <w:link w:val="101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20">
    <w:name w:val="xl282"/>
    <w:basedOn w:val="1012"/>
    <w:next w:val="1320"/>
    <w:link w:val="101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21">
    <w:name w:val="索引 41"/>
    <w:basedOn w:val="1012"/>
    <w:next w:val="1012"/>
    <w:link w:val="1012"/>
    <w:uiPriority w:val="99"/>
    <w:unhideWhenUsed/>
    <w:qFormat/>
    <w:pPr>
      <w:numPr>
        <w:ilvl w:val="0"/>
        <w:numId w:val="2"/>
      </w:numPr>
    </w:pPr>
  </w:style>
  <w:style w:type="paragraph" w:styleId="1322">
    <w:name w:val="目录 21"/>
    <w:basedOn w:val="1012"/>
    <w:next w:val="1012"/>
    <w:link w:val="1012"/>
    <w:uiPriority w:val="39"/>
    <w:unhideWhenUsed/>
    <w:qFormat/>
    <w:pPr>
      <w:ind w:firstLine="425"/>
      <w:jc w:val="left"/>
      <w:spacing w:line="360" w:lineRule="auto"/>
      <w:tabs>
        <w:tab w:val="right" w:pos="8296" w:leader="dot"/>
      </w:tabs>
    </w:pPr>
    <w:rPr>
      <w:rFonts w:ascii="Calibri" w:hAnsi="Calibri" w:cs="Calibri"/>
      <w:smallCaps/>
      <w:sz w:val="20"/>
      <w:szCs w:val="20"/>
    </w:rPr>
  </w:style>
  <w:style w:type="paragraph" w:styleId="1323">
    <w:name w:val="xl312"/>
    <w:basedOn w:val="1012"/>
    <w:next w:val="1323"/>
    <w:link w:val="1012"/>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324">
    <w:name w:val="TOC 标题"/>
    <w:basedOn w:val="1226"/>
    <w:next w:val="1012"/>
    <w:link w:val="1012"/>
    <w:uiPriority w:val="39"/>
    <w:qFormat/>
    <w:pPr>
      <w:jc w:val="left"/>
      <w:spacing w:before="480" w:after="0" w:line="276" w:lineRule="auto"/>
      <w:widowControl/>
      <w:outlineLvl w:val="9"/>
    </w:pPr>
    <w:rPr>
      <w:rFonts w:ascii="Cambria" w:hAnsi="Cambria" w:eastAsia="宋体" w:cs="Times New Roman"/>
      <w:color w:val="365f91"/>
      <w:sz w:val="28"/>
      <w:szCs w:val="28"/>
      <w:lang w:val="en-US" w:eastAsia="zh-CN"/>
    </w:rPr>
  </w:style>
  <w:style w:type="paragraph" w:styleId="1325">
    <w:name w:val="正文文本 21"/>
    <w:basedOn w:val="1012"/>
    <w:next w:val="1325"/>
    <w:link w:val="1012"/>
    <w:uiPriority w:val="99"/>
    <w:qFormat/>
    <w:pPr>
      <w:spacing w:after="120" w:line="480" w:lineRule="auto"/>
    </w:pPr>
    <w:rPr>
      <w:rFonts w:ascii="Calibri" w:hAnsi="Calibri" w:eastAsia="宋体" w:cs="Times New Roman"/>
      <w:sz w:val="24"/>
      <w:szCs w:val="22"/>
    </w:rPr>
  </w:style>
  <w:style w:type="paragraph" w:styleId="1326">
    <w:name w:val="标书正文格式"/>
    <w:next w:val="1326"/>
    <w:link w:val="1012"/>
    <w:qFormat/>
    <w:pPr>
      <w:ind w:firstLine="200"/>
      <w:spacing w:line="360" w:lineRule="auto"/>
    </w:pPr>
    <w:rPr>
      <w:rFonts w:eastAsia="方正楷体_GB2312"/>
      <w:sz w:val="24"/>
      <w:szCs w:val="24"/>
      <w:lang w:eastAsia="zh-CN"/>
    </w:rPr>
  </w:style>
  <w:style w:type="paragraph" w:styleId="1327">
    <w:name w:val="Normal New New New"/>
    <w:next w:val="1327"/>
    <w:link w:val="1012"/>
    <w:qFormat/>
    <w:pPr>
      <w:jc w:val="both"/>
      <w:widowControl w:val="off"/>
    </w:pPr>
    <w:rPr>
      <w:sz w:val="21"/>
      <w:lang w:eastAsia="zh-CN"/>
    </w:rPr>
  </w:style>
  <w:style w:type="paragraph" w:styleId="1328">
    <w:name w:val="xl283"/>
    <w:basedOn w:val="1012"/>
    <w:next w:val="1328"/>
    <w:link w:val="101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29">
    <w:name w:val="目录 61"/>
    <w:basedOn w:val="1012"/>
    <w:next w:val="1012"/>
    <w:link w:val="1012"/>
    <w:uiPriority w:val="39"/>
    <w:unhideWhenUsed/>
    <w:qFormat/>
    <w:pPr>
      <w:ind w:left="1050"/>
      <w:jc w:val="left"/>
    </w:pPr>
    <w:rPr>
      <w:rFonts w:ascii="Calibri" w:hAnsi="Calibri" w:cs="Calibri"/>
      <w:sz w:val="18"/>
      <w:szCs w:val="18"/>
    </w:rPr>
  </w:style>
  <w:style w:type="paragraph" w:styleId="1330">
    <w:name w:val="xl308"/>
    <w:basedOn w:val="1012"/>
    <w:next w:val="1330"/>
    <w:link w:val="1012"/>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31">
    <w:name w:val="xl310"/>
    <w:basedOn w:val="1012"/>
    <w:next w:val="1331"/>
    <w:link w:val="1012"/>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32">
    <w:name w:val="目录 51"/>
    <w:basedOn w:val="1012"/>
    <w:next w:val="1012"/>
    <w:link w:val="1012"/>
    <w:uiPriority w:val="39"/>
    <w:unhideWhenUsed/>
    <w:qFormat/>
    <w:pPr>
      <w:ind w:left="840"/>
      <w:jc w:val="left"/>
    </w:pPr>
    <w:rPr>
      <w:rFonts w:ascii="Calibri" w:hAnsi="Calibri" w:cs="Calibri"/>
      <w:sz w:val="18"/>
      <w:szCs w:val="18"/>
    </w:rPr>
  </w:style>
  <w:style w:type="paragraph" w:styleId="1333">
    <w:name w:val="Default"/>
    <w:next w:val="1333"/>
    <w:link w:val="1012"/>
    <w:qFormat/>
    <w:pPr>
      <w:widowControl w:val="off"/>
    </w:pPr>
    <w:rPr>
      <w:rFonts w:ascii="宋体" w:cs="宋体"/>
      <w:color w:val="000000"/>
      <w:sz w:val="24"/>
      <w:szCs w:val="24"/>
      <w:lang w:eastAsia="zh-CN"/>
    </w:rPr>
  </w:style>
  <w:style w:type="paragraph" w:styleId="1334">
    <w:name w:val="xl277"/>
    <w:basedOn w:val="1012"/>
    <w:next w:val="1334"/>
    <w:link w:val="101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35">
    <w:name w:val="样式 首行缩进:  0 字符"/>
    <w:basedOn w:val="1012"/>
    <w:next w:val="1335"/>
    <w:link w:val="1012"/>
    <w:uiPriority w:val="99"/>
    <w:qFormat/>
    <w:pPr>
      <w:jc w:val="left"/>
      <w:spacing w:line="360" w:lineRule="auto"/>
    </w:pPr>
    <w:rPr>
      <w:rFonts w:ascii="Arial" w:hAnsi="Arial" w:eastAsia="宋体" w:cs="宋体"/>
      <w:szCs w:val="20"/>
    </w:rPr>
  </w:style>
  <w:style w:type="paragraph" w:styleId="1336">
    <w:name w:val="索引 51"/>
    <w:basedOn w:val="1012"/>
    <w:next w:val="1012"/>
    <w:link w:val="1012"/>
    <w:uiPriority w:val="99"/>
    <w:unhideWhenUsed/>
    <w:qFormat/>
    <w:pPr>
      <w:ind w:left="800"/>
    </w:pPr>
  </w:style>
  <w:style w:type="paragraph" w:styleId="1337">
    <w:name w:val="普通(网站)1"/>
    <w:basedOn w:val="1012"/>
    <w:next w:val="1337"/>
    <w:link w:val="1012"/>
    <w:uiPriority w:val="99"/>
    <w:qFormat/>
    <w:pPr>
      <w:jc w:val="left"/>
      <w:spacing w:before="100" w:beforeAutospacing="1" w:after="100" w:afterAutospacing="1"/>
      <w:widowControl/>
    </w:pPr>
    <w:rPr>
      <w:rFonts w:ascii="宋体" w:hAnsi="宋体" w:cs="宋体"/>
      <w:sz w:val="24"/>
    </w:rPr>
  </w:style>
  <w:style w:type="paragraph" w:styleId="1338">
    <w:name w:val="列出段落2"/>
    <w:basedOn w:val="1012"/>
    <w:next w:val="1338"/>
    <w:link w:val="1012"/>
    <w:uiPriority w:val="34"/>
    <w:qFormat/>
    <w:pPr>
      <w:ind w:firstLine="420"/>
      <w:spacing w:line="360" w:lineRule="auto"/>
    </w:pPr>
    <w:rPr>
      <w:rFonts w:ascii="Calibri" w:eastAsia="宋体" w:cs="黑体"/>
      <w:szCs w:val="22"/>
    </w:rPr>
  </w:style>
  <w:style w:type="paragraph" w:styleId="1339">
    <w:name w:val="xl257"/>
    <w:basedOn w:val="1012"/>
    <w:next w:val="1339"/>
    <w:link w:val="101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340">
    <w:name w:val="Third Level Item Step"/>
    <w:next w:val="1340"/>
    <w:link w:val="1012"/>
    <w:qFormat/>
    <w:pPr>
      <w:numPr>
        <w:ilvl w:val="2"/>
        <w:numId w:val="3"/>
      </w:numPr>
      <w:ind w:left="2976" w:hanging="425"/>
      <w:spacing w:before="80" w:after="80" w:line="240" w:lineRule="atLeast"/>
      <w:tabs>
        <w:tab w:val="left" w:pos="2976" w:leader="none"/>
      </w:tabs>
    </w:pPr>
    <w:rPr>
      <w:rFonts w:cs="Arial"/>
      <w:sz w:val="21"/>
      <w:szCs w:val="21"/>
      <w:lang w:eastAsia="zh-CN"/>
    </w:rPr>
  </w:style>
  <w:style w:type="paragraph" w:styleId="1341">
    <w:name w:val="xl287"/>
    <w:basedOn w:val="1012"/>
    <w:next w:val="1341"/>
    <w:link w:val="101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42">
    <w:name w:val="xl299"/>
    <w:basedOn w:val="1012"/>
    <w:next w:val="1342"/>
    <w:link w:val="1012"/>
    <w:qFormat/>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43">
    <w:name w:val="xl305"/>
    <w:basedOn w:val="1012"/>
    <w:next w:val="1343"/>
    <w:link w:val="1012"/>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66CC" w:sz="8" w:space="0"/>
      </w:pBdr>
    </w:pPr>
    <w:rPr>
      <w:rFonts w:ascii="宋体" w:hAnsi="宋体" w:eastAsia="宋体" w:cs="宋体"/>
      <w:sz w:val="18"/>
      <w:szCs w:val="18"/>
    </w:rPr>
  </w:style>
  <w:style w:type="paragraph" w:styleId="1344">
    <w:name w:val="xl254"/>
    <w:basedOn w:val="1012"/>
    <w:next w:val="1344"/>
    <w:link w:val="101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45">
    <w:name w:val="目录 91"/>
    <w:basedOn w:val="1012"/>
    <w:next w:val="1012"/>
    <w:link w:val="1012"/>
    <w:uiPriority w:val="39"/>
    <w:unhideWhenUsed/>
    <w:qFormat/>
    <w:pPr>
      <w:ind w:left="1680"/>
      <w:jc w:val="left"/>
    </w:pPr>
    <w:rPr>
      <w:rFonts w:ascii="Calibri" w:hAnsi="Calibri" w:cs="Calibri"/>
      <w:sz w:val="18"/>
      <w:szCs w:val="18"/>
    </w:rPr>
  </w:style>
  <w:style w:type="paragraph" w:styleId="1346">
    <w:name w:val="xl293"/>
    <w:basedOn w:val="1012"/>
    <w:next w:val="1346"/>
    <w:link w:val="1012"/>
    <w:qFormat/>
    <w:pPr>
      <w:ind w:firstLine="0"/>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47">
    <w:name w:val="xl281"/>
    <w:basedOn w:val="1012"/>
    <w:next w:val="1347"/>
    <w:link w:val="101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48">
    <w:name w:val="纯文本1"/>
    <w:basedOn w:val="1012"/>
    <w:next w:val="1348"/>
    <w:link w:val="1012"/>
    <w:qFormat/>
    <w:rPr>
      <w:rFonts w:ascii="宋体" w:hAnsi="宋体" w:eastAsia="方正楷体_GB2312"/>
      <w:sz w:val="26"/>
    </w:rPr>
  </w:style>
  <w:style w:type="paragraph" w:styleId="1349">
    <w:name w:val="Table Paragraph"/>
    <w:basedOn w:val="1012"/>
    <w:next w:val="1349"/>
    <w:link w:val="1012"/>
    <w:uiPriority w:val="1"/>
    <w:qFormat/>
    <w:pPr>
      <w:jc w:val="left"/>
    </w:pPr>
    <w:rPr>
      <w:rFonts w:eastAsia="宋体"/>
      <w:sz w:val="24"/>
    </w:rPr>
  </w:style>
  <w:style w:type="paragraph" w:styleId="1350">
    <w:name w:val="索引 31"/>
    <w:basedOn w:val="1012"/>
    <w:next w:val="1012"/>
    <w:link w:val="1012"/>
    <w:qFormat/>
    <w:pPr>
      <w:ind w:left="400"/>
    </w:pPr>
  </w:style>
  <w:style w:type="paragraph" w:styleId="1351">
    <w:name w:val="xl266"/>
    <w:basedOn w:val="1012"/>
    <w:next w:val="1351"/>
    <w:link w:val="101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rPr>
  </w:style>
  <w:style w:type="paragraph" w:styleId="1352">
    <w:name w:val="xl319"/>
    <w:basedOn w:val="1012"/>
    <w:next w:val="1352"/>
    <w:link w:val="101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ff0000"/>
      <w:sz w:val="18"/>
      <w:szCs w:val="18"/>
    </w:rPr>
  </w:style>
  <w:style w:type="paragraph" w:styleId="1353">
    <w:name w:val="HTML 预设格式1"/>
    <w:basedOn w:val="1012"/>
    <w:next w:val="1353"/>
    <w:link w:val="1012"/>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rPr>
  </w:style>
  <w:style w:type="paragraph" w:styleId="1354">
    <w:name w:val="xl255"/>
    <w:basedOn w:val="1012"/>
    <w:next w:val="1354"/>
    <w:link w:val="101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55">
    <w:name w:val="cucd-4"/>
    <w:next w:val="1315"/>
    <w:link w:val="1012"/>
    <w:qFormat/>
    <w:pPr>
      <w:ind w:left="851" w:hanging="851"/>
      <w:spacing w:line="360" w:lineRule="auto"/>
      <w:tabs>
        <w:tab w:val="left" w:pos="851" w:leader="none"/>
      </w:tabs>
      <w:outlineLvl w:val="3"/>
    </w:pPr>
    <w:rPr>
      <w:rFonts w:cs="Calibri"/>
      <w:b/>
      <w:sz w:val="24"/>
      <w:szCs w:val="24"/>
      <w:lang w:eastAsia="zh-CN"/>
    </w:rPr>
  </w:style>
  <w:style w:type="paragraph" w:styleId="1356">
    <w:name w:val="标准"/>
    <w:basedOn w:val="1012"/>
    <w:next w:val="1356"/>
    <w:link w:val="1012"/>
    <w:qFormat/>
    <w:pPr>
      <w:ind w:firstLine="200"/>
      <w:spacing w:line="360" w:lineRule="auto"/>
    </w:pPr>
    <w:rPr>
      <w:rFonts w:cs="宋体"/>
      <w:sz w:val="20"/>
      <w:szCs w:val="20"/>
    </w:rPr>
  </w:style>
  <w:style w:type="paragraph" w:styleId="1357">
    <w:name w:val="目录 41"/>
    <w:basedOn w:val="1012"/>
    <w:next w:val="1012"/>
    <w:link w:val="1012"/>
    <w:uiPriority w:val="39"/>
    <w:unhideWhenUsed/>
    <w:qFormat/>
    <w:pPr>
      <w:ind w:left="630"/>
      <w:jc w:val="left"/>
    </w:pPr>
    <w:rPr>
      <w:rFonts w:ascii="Calibri" w:hAnsi="Calibri" w:cs="Calibri"/>
      <w:sz w:val="18"/>
      <w:szCs w:val="18"/>
    </w:rPr>
  </w:style>
  <w:style w:type="paragraph" w:styleId="1358">
    <w:name w:val="xl258"/>
    <w:basedOn w:val="1012"/>
    <w:next w:val="1358"/>
    <w:link w:val="101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359">
    <w:name w:val="xl302"/>
    <w:basedOn w:val="1012"/>
    <w:next w:val="1359"/>
    <w:link w:val="1012"/>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60">
    <w:name w:val="彩色列表 - 着色 11"/>
    <w:basedOn w:val="1012"/>
    <w:next w:val="1360"/>
    <w:link w:val="1012"/>
    <w:uiPriority w:val="99"/>
    <w:qFormat/>
    <w:pPr>
      <w:ind w:firstLine="420"/>
    </w:pPr>
    <w:rPr>
      <w:sz w:val="20"/>
    </w:rPr>
  </w:style>
  <w:style w:type="paragraph" w:styleId="1361">
    <w:name w:val="xl253"/>
    <w:basedOn w:val="1012"/>
    <w:next w:val="1361"/>
    <w:link w:val="101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62">
    <w:name w:val="xl263"/>
    <w:basedOn w:val="1012"/>
    <w:next w:val="1362"/>
    <w:link w:val="101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63">
    <w:name w:val="目录 31"/>
    <w:basedOn w:val="1012"/>
    <w:next w:val="1012"/>
    <w:link w:val="1012"/>
    <w:uiPriority w:val="39"/>
    <w:unhideWhenUsed/>
    <w:qFormat/>
    <w:pPr>
      <w:ind w:left="420"/>
      <w:jc w:val="left"/>
    </w:pPr>
    <w:rPr>
      <w:rFonts w:ascii="Calibri" w:hAnsi="Calibri" w:cs="Calibri"/>
      <w:i/>
      <w:iCs/>
      <w:sz w:val="20"/>
      <w:szCs w:val="20"/>
    </w:rPr>
  </w:style>
  <w:style w:type="paragraph" w:styleId="1364">
    <w:name w:val="HTML 预设格式2"/>
    <w:basedOn w:val="1012"/>
    <w:next w:val="1364"/>
    <w:link w:val="1012"/>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1365">
    <w:name w:val="Fourth Level Item Step"/>
    <w:next w:val="1365"/>
    <w:link w:val="1012"/>
    <w:qFormat/>
    <w:pPr>
      <w:numPr>
        <w:ilvl w:val="3"/>
        <w:numId w:val="3"/>
      </w:numPr>
      <w:ind w:left="3401" w:hanging="425"/>
      <w:spacing w:before="80" w:after="80" w:line="240" w:lineRule="atLeast"/>
      <w:tabs>
        <w:tab w:val="left" w:pos="3401" w:leader="none"/>
      </w:tabs>
    </w:pPr>
    <w:rPr>
      <w:rFonts w:cs="Arial"/>
      <w:sz w:val="21"/>
      <w:szCs w:val="21"/>
      <w:lang w:eastAsia="zh-CN"/>
    </w:rPr>
  </w:style>
  <w:style w:type="paragraph" w:styleId="1366">
    <w:name w:val="Sub Item Step"/>
    <w:next w:val="1366"/>
    <w:link w:val="1012"/>
    <w:qFormat/>
    <w:pPr>
      <w:numPr>
        <w:ilvl w:val="1"/>
        <w:numId w:val="3"/>
      </w:numPr>
      <w:ind w:left="2551" w:hanging="425"/>
      <w:spacing w:before="80" w:after="80" w:line="240" w:lineRule="atLeast"/>
      <w:tabs>
        <w:tab w:val="left" w:pos="2551" w:leader="none"/>
      </w:tabs>
    </w:pPr>
    <w:rPr>
      <w:rFonts w:cs="Arial"/>
      <w:sz w:val="21"/>
      <w:szCs w:val="21"/>
      <w:lang w:eastAsia="zh-CN"/>
    </w:rPr>
  </w:style>
  <w:style w:type="paragraph" w:styleId="1367">
    <w:name w:val="正文文本11"/>
    <w:basedOn w:val="1012"/>
    <w:next w:val="1367"/>
    <w:link w:val="1012"/>
    <w:uiPriority w:val="99"/>
    <w:qFormat/>
    <w:pPr>
      <w:spacing w:after="120"/>
    </w:pPr>
    <w:rPr>
      <w:rFonts w:ascii="Calibri" w:eastAsia="宋体"/>
    </w:rPr>
  </w:style>
  <w:style w:type="paragraph" w:styleId="1368">
    <w:name w:val="目录 71"/>
    <w:basedOn w:val="1012"/>
    <w:next w:val="1012"/>
    <w:link w:val="1012"/>
    <w:uiPriority w:val="39"/>
    <w:unhideWhenUsed/>
    <w:qFormat/>
    <w:pPr>
      <w:ind w:left="1260"/>
      <w:jc w:val="left"/>
    </w:pPr>
    <w:rPr>
      <w:rFonts w:ascii="Calibri" w:hAnsi="Calibri" w:cs="Calibri"/>
      <w:sz w:val="18"/>
      <w:szCs w:val="18"/>
    </w:rPr>
  </w:style>
  <w:style w:type="paragraph" w:styleId="1369">
    <w:name w:val="xl309"/>
    <w:basedOn w:val="1012"/>
    <w:next w:val="1369"/>
    <w:link w:val="1012"/>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70">
    <w:name w:val="脚注文本1"/>
    <w:basedOn w:val="1012"/>
    <w:next w:val="1336"/>
    <w:link w:val="1012"/>
    <w:uiPriority w:val="99"/>
    <w:unhideWhenUsed/>
    <w:qFormat/>
    <w:rPr>
      <w:rFonts w:ascii="Times New Roman" w:hAnsi="Times New Roman" w:eastAsia="宋体" w:cs="Times New Roman"/>
      <w:b/>
      <w:bCs/>
      <w:sz w:val="24"/>
      <w:szCs w:val="24"/>
    </w:rPr>
  </w:style>
  <w:style w:type="paragraph" w:styleId="1371">
    <w:name w:val="xl296"/>
    <w:basedOn w:val="1012"/>
    <w:next w:val="1371"/>
    <w:link w:val="1012"/>
    <w:qFormat/>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72">
    <w:name w:val="目录 81"/>
    <w:basedOn w:val="1012"/>
    <w:next w:val="1012"/>
    <w:link w:val="1012"/>
    <w:uiPriority w:val="39"/>
    <w:unhideWhenUsed/>
    <w:qFormat/>
    <w:pPr>
      <w:ind w:left="1470"/>
      <w:jc w:val="left"/>
    </w:pPr>
    <w:rPr>
      <w:rFonts w:ascii="Calibri" w:hAnsi="Calibri" w:cs="Calibri"/>
      <w:sz w:val="18"/>
      <w:szCs w:val="18"/>
    </w:rPr>
  </w:style>
  <w:style w:type="paragraph" w:styleId="1373">
    <w:name w:val="cucd-2"/>
    <w:next w:val="1374"/>
    <w:link w:val="1012"/>
    <w:qFormat/>
    <w:pPr>
      <w:numPr>
        <w:ilvl w:val="0"/>
        <w:numId w:val="4"/>
      </w:numPr>
      <w:ind w:left="420" w:hanging="420"/>
      <w:spacing w:line="360" w:lineRule="auto"/>
      <w:outlineLvl w:val="1"/>
    </w:pPr>
    <w:rPr>
      <w:rFonts w:eastAsia="黑体"/>
      <w:b/>
      <w:sz w:val="30"/>
      <w:szCs w:val="24"/>
      <w:lang w:eastAsia="zh-CN"/>
    </w:rPr>
  </w:style>
  <w:style w:type="paragraph" w:styleId="1374">
    <w:name w:val="cucd-3"/>
    <w:next w:val="1012"/>
    <w:link w:val="1012"/>
    <w:qFormat/>
    <w:pPr>
      <w:numPr>
        <w:ilvl w:val="1"/>
        <w:numId w:val="5"/>
      </w:numPr>
      <w:ind w:left="709" w:hanging="567"/>
      <w:spacing w:line="360" w:lineRule="auto"/>
      <w:outlineLvl w:val="2"/>
    </w:pPr>
    <w:rPr>
      <w:b/>
      <w:sz w:val="24"/>
      <w:lang w:eastAsia="zh-CN"/>
    </w:rPr>
  </w:style>
  <w:style w:type="paragraph" w:styleId="1375">
    <w:name w:val="xl295"/>
    <w:basedOn w:val="1012"/>
    <w:next w:val="1375"/>
    <w:link w:val="101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8"/>
      <w:szCs w:val="28"/>
    </w:rPr>
  </w:style>
  <w:style w:type="paragraph" w:styleId="1376">
    <w:name w:val="xl292"/>
    <w:basedOn w:val="1012"/>
    <w:next w:val="1376"/>
    <w:link w:val="1012"/>
    <w:qFormat/>
    <w:pPr>
      <w:ind w:firstLine="0"/>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77">
    <w:name w:val="xl284"/>
    <w:basedOn w:val="1012"/>
    <w:next w:val="1377"/>
    <w:link w:val="101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78">
    <w:name w:val="xl276"/>
    <w:basedOn w:val="1012"/>
    <w:next w:val="1378"/>
    <w:link w:val="101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79">
    <w:name w:val="xl270"/>
    <w:basedOn w:val="1012"/>
    <w:next w:val="1379"/>
    <w:link w:val="101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80">
    <w:name w:val="xl294"/>
    <w:basedOn w:val="1012"/>
    <w:next w:val="1380"/>
    <w:link w:val="101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8"/>
      <w:szCs w:val="28"/>
    </w:rPr>
  </w:style>
  <w:style w:type="paragraph" w:styleId="1381">
    <w:name w:val="xl251"/>
    <w:basedOn w:val="1012"/>
    <w:next w:val="1381"/>
    <w:link w:val="101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382">
    <w:name w:val="无间隔"/>
    <w:next w:val="1382"/>
    <w:link w:val="1012"/>
    <w:uiPriority w:val="1"/>
    <w:qFormat/>
    <w:rPr>
      <w:sz w:val="24"/>
      <w:szCs w:val="24"/>
      <w:lang w:eastAsia="zh-CN"/>
    </w:rPr>
  </w:style>
  <w:style w:type="paragraph" w:styleId="1383">
    <w:name w:val="BodyText1I21"/>
    <w:basedOn w:val="1384"/>
    <w:next w:val="1012"/>
    <w:link w:val="1012"/>
    <w:qFormat/>
    <w:pPr>
      <w:ind w:left="420" w:firstLine="420"/>
      <w:jc w:val="both"/>
      <w:spacing w:after="120" w:line="274" w:lineRule="auto"/>
    </w:pPr>
  </w:style>
  <w:style w:type="paragraph" w:styleId="1384">
    <w:name w:val="BodyTextIndent1"/>
    <w:basedOn w:val="1012"/>
    <w:next w:val="1384"/>
    <w:link w:val="1012"/>
    <w:qFormat/>
    <w:pPr>
      <w:ind w:left="420" w:firstLine="200"/>
      <w:jc w:val="both"/>
      <w:spacing w:after="120" w:line="274" w:lineRule="auto"/>
    </w:pPr>
  </w:style>
  <w:style w:type="paragraph" w:styleId="1385">
    <w:name w:val="Table Text"/>
    <w:next w:val="1385"/>
    <w:link w:val="1012"/>
    <w:qFormat/>
    <w:pPr>
      <w:tabs>
        <w:tab w:val="decimal" w:pos="0" w:leader="none"/>
      </w:tabs>
    </w:pPr>
    <w:rPr>
      <w:rFonts w:ascii="Arial" w:hAnsi="Arial"/>
      <w:sz w:val="21"/>
      <w:szCs w:val="21"/>
      <w:lang w:eastAsia="zh-CN"/>
    </w:rPr>
  </w:style>
  <w:style w:type="paragraph" w:styleId="1386">
    <w:name w:val="列出段落1"/>
    <w:basedOn w:val="1012"/>
    <w:next w:val="1386"/>
    <w:link w:val="1012"/>
    <w:uiPriority w:val="99"/>
    <w:qFormat/>
    <w:pPr>
      <w:ind w:firstLine="420"/>
    </w:pPr>
    <w:rPr>
      <w:szCs w:val="22"/>
    </w:rPr>
  </w:style>
  <w:style w:type="paragraph" w:styleId="1387">
    <w:name w:val="xl325"/>
    <w:basedOn w:val="1012"/>
    <w:next w:val="1387"/>
    <w:link w:val="1012"/>
    <w:qFormat/>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88">
    <w:name w:val="正文文档"/>
    <w:basedOn w:val="1012"/>
    <w:next w:val="1388"/>
    <w:link w:val="1012"/>
    <w:qFormat/>
    <w:pPr>
      <w:ind w:firstLine="485"/>
      <w:spacing w:line="360" w:lineRule="auto"/>
    </w:pPr>
    <w:rPr>
      <w:rFonts w:ascii="宋体" w:hAnsi="宋体"/>
      <w:sz w:val="24"/>
    </w:rPr>
  </w:style>
  <w:style w:type="paragraph" w:styleId="1389">
    <w:name w:val="正文 New New New New"/>
    <w:next w:val="1389"/>
    <w:link w:val="1012"/>
    <w:uiPriority w:val="99"/>
    <w:qFormat/>
    <w:pPr>
      <w:jc w:val="both"/>
      <w:widowControl w:val="off"/>
    </w:pPr>
    <w:rPr>
      <w:sz w:val="20"/>
      <w:szCs w:val="20"/>
      <w:lang w:eastAsia="zh-CN"/>
    </w:rPr>
  </w:style>
  <w:style w:type="paragraph" w:styleId="1390">
    <w:name w:val="xl307"/>
    <w:basedOn w:val="1012"/>
    <w:next w:val="1390"/>
    <w:link w:val="1012"/>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91">
    <w:name w:val="xl289"/>
    <w:basedOn w:val="1012"/>
    <w:next w:val="1391"/>
    <w:link w:val="101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92">
    <w:name w:val="xl285"/>
    <w:basedOn w:val="1012"/>
    <w:next w:val="1392"/>
    <w:link w:val="101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93">
    <w:name w:val="xl262"/>
    <w:basedOn w:val="1012"/>
    <w:next w:val="1393"/>
    <w:link w:val="101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94">
    <w:name w:val="xl280"/>
    <w:basedOn w:val="1012"/>
    <w:next w:val="1394"/>
    <w:link w:val="101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95">
    <w:name w:val="xl271"/>
    <w:basedOn w:val="1012"/>
    <w:next w:val="1395"/>
    <w:link w:val="101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96">
    <w:name w:val="xl298"/>
    <w:basedOn w:val="1012"/>
    <w:next w:val="1396"/>
    <w:link w:val="1012"/>
    <w:qFormat/>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97">
    <w:name w:val="_Style 357"/>
    <w:basedOn w:val="1074"/>
    <w:next w:val="1073"/>
    <w:link w:val="1012"/>
    <w:qFormat/>
    <w:pPr>
      <w:ind w:firstLine="420"/>
    </w:pPr>
  </w:style>
  <w:style w:type="paragraph" w:styleId="1398">
    <w:name w:val="xl268"/>
    <w:basedOn w:val="1012"/>
    <w:next w:val="1398"/>
    <w:link w:val="101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rPr>
  </w:style>
  <w:style w:type="paragraph" w:styleId="1399">
    <w:name w:val="xl273"/>
    <w:basedOn w:val="1012"/>
    <w:next w:val="1399"/>
    <w:link w:val="101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rPr>
  </w:style>
  <w:style w:type="paragraph" w:styleId="1400">
    <w:name w:val="List Paragraph"/>
    <w:basedOn w:val="1012"/>
    <w:next w:val="1400"/>
    <w:link w:val="1012"/>
    <w:qFormat/>
    <w:pPr>
      <w:ind w:firstLine="420"/>
    </w:pPr>
    <w:rPr>
      <w:rFonts w:ascii="Calibri" w:hAnsi="Calibri"/>
      <w:szCs w:val="22"/>
    </w:rPr>
  </w:style>
  <w:style w:type="paragraph" w:styleId="1401">
    <w:name w:val="xl320"/>
    <w:basedOn w:val="1012"/>
    <w:next w:val="1401"/>
    <w:link w:val="1012"/>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402">
    <w:name w:val="xl317"/>
    <w:basedOn w:val="1012"/>
    <w:next w:val="1402"/>
    <w:link w:val="1012"/>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403">
    <w:name w:val="xl300"/>
    <w:basedOn w:val="1012"/>
    <w:next w:val="1403"/>
    <w:link w:val="1012"/>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04">
    <w:name w:val="xl290"/>
    <w:basedOn w:val="1012"/>
    <w:next w:val="1404"/>
    <w:link w:val="101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05">
    <w:name w:val="BodyText1"/>
    <w:basedOn w:val="1012"/>
    <w:next w:val="1012"/>
    <w:link w:val="1012"/>
    <w:qFormat/>
    <w:pPr>
      <w:ind w:firstLine="200"/>
      <w:jc w:val="both"/>
      <w:spacing w:after="120" w:line="274" w:lineRule="auto"/>
    </w:pPr>
    <w:rPr>
      <w:rFonts w:ascii="Calibri" w:hAnsi="Calibri" w:eastAsia="宋体"/>
      <w:sz w:val="24"/>
      <w:szCs w:val="24"/>
      <w:lang w:val="en-US" w:eastAsia="zh-CN" w:bidi="ar-SA"/>
    </w:rPr>
  </w:style>
  <w:style w:type="paragraph" w:styleId="1406">
    <w:name w:val="font6"/>
    <w:basedOn w:val="1012"/>
    <w:next w:val="1406"/>
    <w:link w:val="1012"/>
    <w:qFormat/>
    <w:pPr>
      <w:ind w:firstLine="0"/>
      <w:jc w:val="left"/>
      <w:spacing w:before="100" w:beforeAutospacing="1" w:after="100" w:afterAutospacing="1" w:line="240" w:lineRule="auto"/>
      <w:widowControl/>
    </w:pPr>
    <w:rPr>
      <w:rFonts w:ascii="宋体" w:hAnsi="宋体" w:eastAsia="宋体" w:cs="宋体"/>
      <w:sz w:val="18"/>
      <w:szCs w:val="18"/>
    </w:rPr>
  </w:style>
  <w:style w:type="paragraph" w:styleId="1407">
    <w:name w:val="标题 2u"/>
    <w:basedOn w:val="1230"/>
    <w:next w:val="1012"/>
    <w:link w:val="1012"/>
    <w:qFormat/>
    <w:pPr>
      <w:ind w:left="0" w:firstLine="0"/>
      <w:jc w:val="both"/>
      <w:spacing w:line="360" w:lineRule="auto"/>
    </w:pPr>
    <w:rPr>
      <w:szCs w:val="32"/>
    </w:rPr>
  </w:style>
  <w:style w:type="paragraph" w:styleId="1408">
    <w:name w:val="正文_0"/>
    <w:basedOn w:val="1012"/>
    <w:next w:val="1408"/>
    <w:link w:val="1012"/>
    <w:qFormat/>
    <w:rPr>
      <w:rFonts w:ascii="Times New Roman" w:hAnsi="Times New Roman" w:eastAsia="宋体" w:cs="Times New Roman"/>
      <w:szCs w:val="21"/>
    </w:rPr>
  </w:style>
  <w:style w:type="paragraph" w:styleId="1409">
    <w:name w:val="xl272"/>
    <w:basedOn w:val="1012"/>
    <w:next w:val="1409"/>
    <w:link w:val="101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rPr>
  </w:style>
  <w:style w:type="paragraph" w:styleId="1410">
    <w:name w:val="xl324"/>
    <w:basedOn w:val="1012"/>
    <w:next w:val="1410"/>
    <w:link w:val="1012"/>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411">
    <w:name w:val="xl313"/>
    <w:basedOn w:val="1012"/>
    <w:next w:val="1411"/>
    <w:link w:val="1012"/>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12">
    <w:name w:val="xl261"/>
    <w:basedOn w:val="1012"/>
    <w:next w:val="1412"/>
    <w:link w:val="101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13">
    <w:name w:val="List Paragraph_0"/>
    <w:basedOn w:val="1084"/>
    <w:next w:val="1413"/>
    <w:link w:val="1012"/>
    <w:uiPriority w:val="99"/>
    <w:qFormat/>
    <w:pPr>
      <w:ind w:left="720"/>
    </w:pPr>
  </w:style>
  <w:style w:type="paragraph" w:styleId="1414">
    <w:name w:val="xl318"/>
    <w:basedOn w:val="1012"/>
    <w:next w:val="1414"/>
    <w:link w:val="101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rPr>
  </w:style>
  <w:style w:type="paragraph" w:styleId="1415">
    <w:name w:val="xl303"/>
    <w:basedOn w:val="1012"/>
    <w:next w:val="1415"/>
    <w:link w:val="1012"/>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rPr>
  </w:style>
  <w:style w:type="paragraph" w:styleId="1416">
    <w:name w:val="xl321"/>
    <w:basedOn w:val="1012"/>
    <w:next w:val="1416"/>
    <w:link w:val="101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417">
    <w:name w:val="首行缩进"/>
    <w:basedOn w:val="1084"/>
    <w:next w:val="1417"/>
    <w:link w:val="1012"/>
    <w:qFormat/>
    <w:pPr>
      <w:ind w:left="0" w:firstLine="200"/>
      <w:jc w:val="both"/>
      <w:widowControl w:val="off"/>
    </w:pPr>
    <w:rPr>
      <w:rFonts w:ascii="Times New Roman" w:cs="Times New Roman"/>
      <w:sz w:val="20"/>
    </w:rPr>
  </w:style>
  <w:style w:type="paragraph" w:styleId="1418">
    <w:name w:val="xl291"/>
    <w:basedOn w:val="1012"/>
    <w:next w:val="1418"/>
    <w:link w:val="101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419">
    <w:name w:val="xl275"/>
    <w:basedOn w:val="1012"/>
    <w:next w:val="1419"/>
    <w:link w:val="101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20">
    <w:name w:val="xl259"/>
    <w:basedOn w:val="1012"/>
    <w:next w:val="1420"/>
    <w:link w:val="101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21">
    <w:name w:val="xl288"/>
    <w:basedOn w:val="1012"/>
    <w:next w:val="1421"/>
    <w:link w:val="101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422">
    <w:name w:val="xl274"/>
    <w:basedOn w:val="1012"/>
    <w:next w:val="1422"/>
    <w:link w:val="101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423">
    <w:name w:val="xl297"/>
    <w:basedOn w:val="1012"/>
    <w:next w:val="1423"/>
    <w:link w:val="1012"/>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18"/>
      <w:szCs w:val="18"/>
    </w:rPr>
  </w:style>
  <w:style w:type="paragraph" w:styleId="1424">
    <w:name w:val="样式 样式 左侧:  2 字符 + 左侧:  0.85 厘米 首行缩进:  2 字符1"/>
    <w:basedOn w:val="1012"/>
    <w:next w:val="1424"/>
    <w:link w:val="1012"/>
    <w:qFormat/>
    <w:pPr>
      <w:ind w:left="482" w:firstLine="200"/>
    </w:pPr>
    <w:rPr>
      <w:rFonts w:cs="宋体"/>
      <w:sz w:val="20"/>
      <w:szCs w:val="20"/>
    </w:rPr>
  </w:style>
  <w:style w:type="paragraph" w:styleId="1425">
    <w:name w:val="xl301"/>
    <w:basedOn w:val="1012"/>
    <w:next w:val="1425"/>
    <w:link w:val="1012"/>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26">
    <w:name w:val="xl264"/>
    <w:basedOn w:val="1012"/>
    <w:next w:val="1426"/>
    <w:link w:val="101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427">
    <w:name w:val="font5"/>
    <w:basedOn w:val="1012"/>
    <w:next w:val="1427"/>
    <w:link w:val="1012"/>
    <w:qFormat/>
    <w:pPr>
      <w:ind w:firstLine="0"/>
      <w:jc w:val="left"/>
      <w:spacing w:before="100" w:beforeAutospacing="1" w:after="100" w:afterAutospacing="1" w:line="240" w:lineRule="auto"/>
      <w:widowControl/>
    </w:pPr>
    <w:rPr>
      <w:rFonts w:ascii="宋体" w:hAnsi="宋体" w:eastAsia="宋体" w:cs="宋体"/>
      <w:sz w:val="18"/>
      <w:szCs w:val="18"/>
    </w:rPr>
  </w:style>
  <w:style w:type="paragraph" w:styleId="1428">
    <w:name w:val="xl265"/>
    <w:basedOn w:val="1012"/>
    <w:next w:val="1428"/>
    <w:link w:val="101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429">
    <w:name w:val="xl323"/>
    <w:basedOn w:val="1012"/>
    <w:next w:val="1429"/>
    <w:link w:val="1012"/>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30">
    <w:name w:val="xl311"/>
    <w:basedOn w:val="1012"/>
    <w:next w:val="1430"/>
    <w:link w:val="1012"/>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431">
    <w:name w:val="xl267"/>
    <w:basedOn w:val="1012"/>
    <w:next w:val="1431"/>
    <w:link w:val="101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432">
    <w:name w:val="p0"/>
    <w:basedOn w:val="1012"/>
    <w:next w:val="1432"/>
    <w:link w:val="1012"/>
    <w:uiPriority w:val="99"/>
    <w:qFormat/>
    <w:pPr>
      <w:widowControl/>
    </w:pPr>
    <w:rPr>
      <w:rFonts w:ascii="Calibri" w:hAnsi="Calibri" w:cs="Calibri"/>
      <w:szCs w:val="21"/>
    </w:rPr>
  </w:style>
  <w:style w:type="paragraph" w:styleId="1433">
    <w:name w:val="xl278"/>
    <w:basedOn w:val="1012"/>
    <w:next w:val="1433"/>
    <w:link w:val="101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34">
    <w:name w:val="xl256"/>
    <w:basedOn w:val="1012"/>
    <w:next w:val="1434"/>
    <w:link w:val="101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35">
    <w:name w:val="Item Step"/>
    <w:next w:val="1435"/>
    <w:link w:val="1012"/>
    <w:qFormat/>
    <w:pPr>
      <w:numPr>
        <w:ilvl w:val="0"/>
        <w:numId w:val="3"/>
      </w:numPr>
      <w:ind w:left="2126" w:hanging="425"/>
      <w:spacing w:before="80" w:after="80" w:line="240" w:lineRule="atLeast"/>
      <w:tabs>
        <w:tab w:val="left" w:pos="2126" w:leader="none"/>
      </w:tabs>
    </w:pPr>
    <w:rPr>
      <w:rFonts w:cs="Arial"/>
      <w:sz w:val="21"/>
      <w:szCs w:val="21"/>
      <w:lang w:eastAsia="zh-CN"/>
    </w:rPr>
  </w:style>
  <w:style w:type="paragraph" w:styleId="1436">
    <w:name w:val="Normal New"/>
    <w:next w:val="1436"/>
    <w:link w:val="1012"/>
    <w:qFormat/>
    <w:pPr>
      <w:jc w:val="both"/>
      <w:widowControl w:val="off"/>
    </w:pPr>
    <w:rPr>
      <w:sz w:val="21"/>
      <w:lang w:eastAsia="zh-CN"/>
    </w:rPr>
  </w:style>
  <w:style w:type="table" w:styleId="1437">
    <w:name w:val="网格型1"/>
    <w:basedOn w:val="1243"/>
    <w:next w:val="1437"/>
    <w:link w:val="1012"/>
    <w:uiPriority w:val="59"/>
    <w:qFormat/>
    <w:pPr>
      <w:jc w:val="both"/>
      <w:widowControl w:val="off"/>
    </w:pPr>
    <w:tblPr/>
  </w:style>
  <w:style w:type="paragraph" w:styleId="1438">
    <w:name w:val="正文112"/>
    <w:next w:val="1367"/>
    <w:link w:val="1012"/>
    <w:qFormat/>
    <w:pPr>
      <w:ind w:firstLine="200"/>
      <w:jc w:val="both"/>
      <w:spacing w:line="274" w:lineRule="auto"/>
      <w:widowControl w:val="off"/>
    </w:pPr>
    <w:rPr>
      <w:rFonts w:ascii="方正仿宋_GB2312" w:eastAsia="方正仿宋_GB2312"/>
      <w:sz w:val="24"/>
      <w:szCs w:val="24"/>
      <w:lang w:eastAsia="zh-CN"/>
    </w:rPr>
  </w:style>
  <w:style w:type="paragraph" w:styleId="1439">
    <w:name w:val="目录 12"/>
    <w:basedOn w:val="1012"/>
    <w:next w:val="1012"/>
    <w:link w:val="1012"/>
    <w:qFormat/>
    <w:pPr>
      <w:ind w:firstLine="0"/>
      <w:jc w:val="left"/>
      <w:spacing w:before="120" w:after="120" w:line="360" w:lineRule="auto"/>
      <w:tabs>
        <w:tab w:val="right" w:pos="8296" w:leader="dot"/>
      </w:tabs>
    </w:pPr>
    <w:rPr>
      <w:rFonts w:ascii="Calibri" w:hAnsi="Calibri" w:eastAsia="宋体" w:cs="Calibri"/>
      <w:b/>
      <w:bCs/>
      <w:caps/>
      <w:sz w:val="20"/>
      <w:szCs w:val="20"/>
    </w:rPr>
  </w:style>
  <w:style w:type="paragraph" w:styleId="1440">
    <w:name w:val="AONormal"/>
    <w:next w:val="1440"/>
    <w:link w:val="1012"/>
    <w:qFormat/>
    <w:pPr>
      <w:ind w:firstLine="440"/>
      <w:spacing w:line="400" w:lineRule="exact"/>
    </w:pPr>
    <w:rPr>
      <w:rFonts w:ascii="华文楷体" w:hAnsi="华文楷体" w:eastAsia="华文楷体" w:cs="华文楷体"/>
      <w:sz w:val="22"/>
      <w:szCs w:val="21"/>
      <w:lang w:eastAsia="zh-CN"/>
    </w:rPr>
  </w:style>
  <w:style w:type="paragraph" w:styleId="1441">
    <w:name w:val="普通正文"/>
    <w:basedOn w:val="1012"/>
    <w:next w:val="1441"/>
    <w:link w:val="1012"/>
    <w:qFormat/>
    <w:pPr>
      <w:ind w:firstLine="480"/>
      <w:jc w:val="left"/>
      <w:spacing w:before="120" w:after="120" w:line="360" w:lineRule="auto"/>
    </w:pPr>
    <w:rPr>
      <w:rFonts w:ascii="Arial" w:hAnsi="Arial"/>
      <w:sz w:val="24"/>
      <w:szCs w:val="24"/>
    </w:rPr>
  </w:style>
  <w:style w:type="paragraph" w:styleId="1442">
    <w:name w:val="※正文"/>
    <w:basedOn w:val="1012"/>
    <w:next w:val="1012"/>
    <w:link w:val="1012"/>
    <w:qFormat/>
    <w:pPr>
      <w:ind w:left="1131"/>
      <w:spacing w:line="400" w:lineRule="exact"/>
      <w:widowControl/>
    </w:pPr>
    <w:rPr>
      <w:rFonts w:ascii="Calibri Light" w:hAnsi="Calibri Light" w:eastAsia="华文仿宋"/>
      <w:sz w:val="28"/>
      <w:szCs w:val="28"/>
    </w:rPr>
  </w:style>
  <w:style w:type="table" w:styleId="1443">
    <w:name w:val="Table"/>
    <w:next w:val="1443"/>
    <w:link w:val="1012"/>
    <w:unhideWhenUsed/>
    <w:qFormat/>
    <w:tblPr/>
  </w:style>
  <w:style w:type="paragraph" w:styleId="1444">
    <w:name w:val="目录 1111"/>
    <w:basedOn w:val="1012"/>
    <w:next w:val="1012"/>
    <w:link w:val="1012"/>
    <w:uiPriority w:val="39"/>
    <w:unhideWhenUsed/>
    <w:qFormat/>
    <w:pPr>
      <w:jc w:val="left"/>
      <w:spacing w:after="100" w:line="259" w:lineRule="auto"/>
      <w:widowControl/>
    </w:pPr>
    <w:rPr>
      <w:rFonts w:ascii="Calibri" w:hAnsi="Calibri" w:eastAsia="宋体"/>
      <w:sz w:val="22"/>
      <w:szCs w:val="22"/>
    </w:rPr>
  </w:style>
  <w:style w:type="paragraph" w:styleId="1445">
    <w:name w:val="寄信人地址11"/>
    <w:basedOn w:val="1446"/>
    <w:next w:val="1445"/>
    <w:link w:val="1012"/>
    <w:qFormat/>
    <w:rPr>
      <w:rFonts w:ascii="Arial" w:hAnsi="Arial"/>
    </w:rPr>
  </w:style>
  <w:style w:type="paragraph" w:styleId="1446">
    <w:name w:val="正文1121"/>
    <w:next w:val="1015"/>
    <w:link w:val="1012"/>
    <w:qFormat/>
    <w:pPr>
      <w:jc w:val="both"/>
      <w:widowControl w:val="off"/>
    </w:pPr>
    <w:rPr>
      <w:sz w:val="21"/>
      <w:szCs w:val="24"/>
      <w:lang w:eastAsia="zh-CN"/>
    </w:rPr>
  </w:style>
  <w:style w:type="paragraph" w:styleId="1447">
    <w:name w:val="表格并列项"/>
    <w:basedOn w:val="1012"/>
    <w:next w:val="1447"/>
    <w:link w:val="1012"/>
    <w:qFormat/>
    <w:pPr>
      <w:contextualSpacing/>
      <w:spacing w:before="40" w:after="40" w:line="288" w:lineRule="auto"/>
    </w:pPr>
    <w:rPr>
      <w:rFonts w:eastAsia="方正兰亭黑简体" w:cs="Cambria"/>
      <w:szCs w:val="20"/>
    </w:rPr>
  </w:style>
  <w:style w:type="paragraph" w:styleId="1448">
    <w:name w:val="列出段落11"/>
    <w:next w:val="1448"/>
    <w:link w:val="1012"/>
    <w:uiPriority w:val="34"/>
    <w:qFormat/>
    <w:pPr>
      <w:ind w:firstLine="420"/>
      <w:jc w:val="both"/>
      <w:widowControl w:val="off"/>
    </w:pPr>
    <w:rPr>
      <w:rFonts w:ascii="宋体" w:hAnsi="宋体"/>
      <w:sz w:val="24"/>
      <w:szCs w:val="24"/>
      <w:lang w:eastAsia="zh-CN"/>
    </w:rPr>
  </w:style>
  <w:style w:type="paragraph" w:styleId="1449">
    <w:name w:val="dingdocnormal"/>
    <w:next w:val="1449"/>
    <w:link w:val="1012"/>
    <w:qFormat/>
    <w:rPr>
      <w:rFonts w:ascii="Arial" w:hAnsi="Arial" w:eastAsia="Arial" w:cs="Arial"/>
      <w:sz w:val="24"/>
      <w:lang w:eastAsia="zh-CN"/>
    </w:rPr>
  </w:style>
  <w:style w:type="character" w:styleId="1450">
    <w:name w:val="font112"/>
    <w:basedOn w:val="1013"/>
    <w:next w:val="1450"/>
    <w:link w:val="1012"/>
    <w:qFormat/>
    <w:rPr>
      <w:rFonts w:ascii="Arial" w:hAnsi="Arial" w:cs="Arial"/>
      <w:color w:val="000000"/>
      <w:sz w:val="22"/>
      <w:szCs w:val="22"/>
      <w:u w:val="none"/>
    </w:rPr>
  </w:style>
  <w:style w:type="table" w:styleId="1451">
    <w:name w:val="Table Normal_0"/>
    <w:next w:val="1451"/>
    <w:link w:val="1012"/>
    <w:unhideWhenUsed/>
    <w:qFormat/>
    <w:tblPr/>
  </w:style>
  <w:style w:type="character" w:styleId="40637" w:default="1">
    <w:name w:val="Default Paragraph Font"/>
    <w:uiPriority w:val="1"/>
    <w:semiHidden/>
    <w:unhideWhenUsed/>
  </w:style>
  <w:style w:type="numbering" w:styleId="40638" w:default="1">
    <w:name w:val="No List"/>
    <w:uiPriority w:val="99"/>
    <w:semiHidden/>
    <w:unhideWhenUsed/>
  </w:style>
  <w:style w:type="table" w:styleId="4063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footer" Target="footer1.xml" /><Relationship Id="rId19" Type="http://schemas.openxmlformats.org/officeDocument/2006/relationships/footer" Target="footer2.xml" /><Relationship Id="rId20" Type="http://schemas.openxmlformats.org/officeDocument/2006/relationships/footer" Target="footer3.xml" /><Relationship Id="rId21" Type="http://schemas.openxmlformats.org/officeDocument/2006/relationships/footer" Target="footer4.xml" /><Relationship Id="rId22" Type="http://schemas.openxmlformats.org/officeDocument/2006/relationships/footer" Target="footer5.xml" /><Relationship Id="rId23" Type="http://schemas.openxmlformats.org/officeDocument/2006/relationships/footer" Target="footer6.xml" /><Relationship Id="rId24" Type="http://schemas.openxmlformats.org/officeDocument/2006/relationships/footer" Target="footer7.xml" /><Relationship Id="rId25" Type="http://schemas.openxmlformats.org/officeDocument/2006/relationships/footer" Target="footer8.xml" /><Relationship Id="rId26"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dc:title>
  <dc:creator>Admi</dc:creator>
  <cp:lastModifiedBy>史青春</cp:lastModifiedBy>
  <cp:revision>2</cp:revision>
  <dcterms:created xsi:type="dcterms:W3CDTF">2021-07-06T09:45:00Z</dcterms:created>
  <dcterms:modified xsi:type="dcterms:W3CDTF">2026-08-14T06:47:58Z</dcterms:modified>
</cp:coreProperties>
</file>