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pStyle w:val="766"/>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color w:val="000000" w:themeColor="text1"/>
          <w:sz w:val="44"/>
          <w:szCs w:val="44"/>
          <w14:textFill>
            <w14:solidFill>
              <w14:schemeClr w14:val="tx1"/>
            </w14:solidFill>
          </w14:textFill>
        </w:rPr>
      </w:pPr>
      <w:r>
        <w:rPr>
          <w:rFonts w:cs="宋体" w:asciiTheme="minorEastAsia" w:hAnsiTheme="minorEastAsia" w:eastAsiaTheme="minorEastAsia"/>
          <w:b/>
          <w:color w:val="000000" w:themeColor="text1"/>
          <w:sz w:val="44"/>
          <w:szCs w:val="44"/>
          <w14:textFill>
            <w14:solidFill>
              <w14:schemeClr w14:val="tx1"/>
            </w14:solidFill>
          </w14:textFill>
        </w:rPr>
      </w:r>
      <w:r/>
    </w:p>
    <w:p>
      <w:pPr>
        <w:jc w:val="center"/>
        <w:spacing w:line="360" w:lineRule="auto"/>
        <w:rPr>
          <w:rFonts w:cs="宋体" w:asciiTheme="minorEastAsia" w:hAnsiTheme="minorEastAsia" w:eastAsiaTheme="minorEastAsia"/>
          <w:b/>
          <w:color w:val="000000" w:themeColor="text1"/>
          <w:sz w:val="72"/>
          <w:szCs w:val="72"/>
          <w14:textFill>
            <w14:solidFill>
              <w14:schemeClr w14:val="tx1"/>
            </w14:solidFill>
          </w14:textFill>
        </w:rPr>
      </w:pPr>
      <w:r>
        <w:rPr>
          <w:rFonts w:hint="eastAsia" w:cs="宋体" w:asciiTheme="minorEastAsia" w:hAnsiTheme="minorEastAsia" w:eastAsiaTheme="minorEastAsia"/>
          <w:b/>
          <w:color w:val="000000" w:themeColor="text1"/>
          <w:sz w:val="72"/>
          <w:szCs w:val="72"/>
          <w14:textFill>
            <w14:solidFill>
              <w14:schemeClr w14:val="tx1"/>
            </w14:solidFill>
          </w14:textFill>
        </w:rPr>
        <w:t xml:space="preserve">南通市海门区政府采购</w:t>
      </w:r>
      <w:r/>
    </w:p>
    <w:p>
      <w:pPr>
        <w:jc w:val="center"/>
        <w:spacing w:line="360" w:lineRule="auto"/>
        <w:rPr>
          <w:rFonts w:cs="宋体" w:asciiTheme="minorEastAsia" w:hAnsiTheme="minorEastAsia" w:eastAsiaTheme="minorEastAsia"/>
          <w:b/>
          <w:color w:val="000000" w:themeColor="text1"/>
          <w:sz w:val="72"/>
          <w:szCs w:val="72"/>
          <w14:textFill>
            <w14:solidFill>
              <w14:schemeClr w14:val="tx1"/>
            </w14:solidFill>
          </w14:textFill>
        </w:rPr>
      </w:pPr>
      <w:r>
        <w:rPr>
          <w:rFonts w:hint="eastAsia" w:cs="宋体" w:asciiTheme="minorEastAsia" w:hAnsiTheme="minorEastAsia" w:eastAsiaTheme="minorEastAsia"/>
          <w:b/>
          <w:color w:val="000000" w:themeColor="text1"/>
          <w:sz w:val="72"/>
          <w:szCs w:val="72"/>
          <w14:textFill>
            <w14:solidFill>
              <w14:schemeClr w14:val="tx1"/>
            </w14:solidFill>
          </w14:textFill>
        </w:rPr>
        <w:t xml:space="preserve">招标文件</w:t>
      </w:r>
      <w:r/>
    </w:p>
    <w:p>
      <w:pPr>
        <w:jc w:val="cente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pStyle w:val="766"/>
        <w:spacing w:line="360" w:lineRule="auto"/>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left="1919" w:hanging="1600"/>
        <w:jc w:val="left"/>
        <w:spacing w:line="360" w:lineRule="auto"/>
        <w:rPr>
          <w:rFonts w:cs="宋体" w:asciiTheme="minorEastAsia" w:hAnsiTheme="minorEastAsia" w:eastAsiaTheme="minorEastAsia"/>
          <w:color w:val="000000" w:themeColor="text1"/>
          <w:sz w:val="28"/>
          <w:szCs w:val="28"/>
          <w:u w:val="single"/>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项目名称</w:t>
      </w:r>
      <w:r>
        <w:rPr>
          <w:rFonts w:hint="eastAsia" w:cs="宋体" w:asciiTheme="minorEastAsia" w:hAnsiTheme="minorEastAsia" w:eastAsiaTheme="minorEastAsia"/>
          <w:b/>
          <w:color w:val="000000" w:themeColor="text1"/>
          <w:sz w:val="28"/>
          <w:szCs w:val="28"/>
          <w14:textFill>
            <w14:solidFill>
              <w14:schemeClr w14:val="tx1"/>
            </w14:solidFill>
          </w14:textFill>
        </w:rPr>
        <w:t xml:space="preserve">：</w:t>
      </w:r>
      <w:r>
        <w:rPr>
          <w:rFonts w:hint="eastAsia" w:cs="宋体" w:asciiTheme="minorEastAsia" w:hAnsiTheme="minorEastAsia" w:eastAsiaTheme="minorEastAsia"/>
          <w:bCs/>
          <w:color w:val="000000" w:themeColor="text1"/>
          <w:sz w:val="28"/>
          <w:szCs w:val="28"/>
          <w:u w:val="single"/>
          <w14:textFill>
            <w14:solidFill>
              <w14:schemeClr w14:val="tx1"/>
            </w14:solidFill>
          </w14:textFill>
        </w:rPr>
        <w:t xml:space="preserve">南通市海门区包场镇人民政府采购2026年污水处理设施运维服务项目</w:t>
      </w:r>
      <w:r/>
    </w:p>
    <w:p>
      <w:pPr>
        <w:ind w:firstLine="320"/>
        <w:spacing w:line="360" w:lineRule="auto"/>
        <w:shd w:val="clear" w:color="auto" w:fill="ffffff"/>
        <w:rPr>
          <w:rFonts w:hint="eastAsia" w:cs="宋体" w:asciiTheme="minorEastAsia" w:hAnsiTheme="minorEastAsia" w:eastAsiaTheme="minorEastAsia"/>
          <w:bCs/>
          <w:color w:val="000000" w:themeColor="text1"/>
          <w:sz w:val="28"/>
          <w:szCs w:val="28"/>
          <w:u w:val="singl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项目编号：</w:t>
      </w:r>
      <w:r>
        <w:rPr>
          <w:rFonts w:hint="eastAsia" w:cs="宋体" w:asciiTheme="minorEastAsia" w:hAnsiTheme="minorEastAsia" w:eastAsiaTheme="minorEastAsia"/>
          <w:bCs/>
          <w:color w:val="000000" w:themeColor="text1"/>
          <w:sz w:val="28"/>
          <w:szCs w:val="28"/>
          <w:u w:val="single"/>
          <w14:textFill>
            <w14:solidFill>
              <w14:schemeClr w14:val="tx1"/>
            </w14:solidFill>
          </w14:textFill>
        </w:rPr>
        <w:t xml:space="preserve"> JSZC-320614-JDGS-G2026-0052</w:t>
      </w:r>
      <w:r>
        <w:rPr>
          <w:rFonts w:hint="eastAsia" w:cs="宋体" w:asciiTheme="minorEastAsia" w:hAnsiTheme="minorEastAsia" w:eastAsiaTheme="minorEastAsia"/>
          <w:bCs/>
          <w:color w:val="000000" w:themeColor="text1"/>
          <w:sz w:val="28"/>
          <w:szCs w:val="28"/>
          <w:u w:val="single"/>
          <w:lang w:val="en-US" w:eastAsia="zh-CN"/>
          <w14:textFill>
            <w14:solidFill>
              <w14:schemeClr w14:val="tx1"/>
            </w14:solidFill>
          </w14:textFill>
        </w:rPr>
        <w:t xml:space="preserve"> </w:t>
      </w:r>
      <w:r/>
    </w:p>
    <w:p>
      <w:pPr>
        <w:ind w:firstLine="320"/>
        <w:jc w:val="left"/>
        <w:spacing w:line="360" w:lineRule="auto"/>
        <w:rPr>
          <w:rFonts w:cs="宋体" w:asciiTheme="minorEastAsia" w:hAnsiTheme="minorEastAsia" w:eastAsiaTheme="minorEastAsia"/>
          <w:color w:val="000000" w:themeColor="text1"/>
          <w:sz w:val="28"/>
          <w:szCs w:val="28"/>
          <w:u w:val="single"/>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采　购人：</w:t>
      </w:r>
      <w:r>
        <w:rPr>
          <w:rFonts w:hint="eastAsia" w:cs="宋体" w:asciiTheme="minorEastAsia" w:hAnsiTheme="minorEastAsia" w:eastAsiaTheme="minorEastAsia"/>
          <w:bCs/>
          <w:color w:val="000000" w:themeColor="text1"/>
          <w:sz w:val="28"/>
          <w:szCs w:val="28"/>
          <w:u w:val="single"/>
          <w14:textFill>
            <w14:solidFill>
              <w14:schemeClr w14:val="tx1"/>
            </w14:solidFill>
          </w14:textFill>
        </w:rPr>
        <w:t xml:space="preserve">南通市海门区包场镇人民政府</w:t>
      </w:r>
      <w:r/>
    </w:p>
    <w:p>
      <w:pPr>
        <w:ind w:firstLine="320"/>
        <w:jc w:val="left"/>
        <w:spacing w:line="360" w:lineRule="auto"/>
        <w:rPr>
          <w:rFonts w:cs="宋体" w:asciiTheme="minorEastAsia" w:hAnsiTheme="minorEastAsia" w:eastAsiaTheme="minorEastAsia"/>
          <w:color w:val="000000" w:themeColor="text1"/>
          <w:sz w:val="28"/>
          <w:szCs w:val="28"/>
          <w:u w:val="single"/>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代理机构：</w:t>
      </w:r>
      <w:r>
        <w:rPr>
          <w:rFonts w:hint="eastAsia" w:cs="宋体" w:asciiTheme="minorEastAsia" w:hAnsiTheme="minorEastAsia" w:eastAsiaTheme="minorEastAsia"/>
          <w:color w:val="000000" w:themeColor="text1"/>
          <w:sz w:val="28"/>
          <w:szCs w:val="28"/>
          <w:u w:val="single"/>
          <w14:textFill>
            <w14:solidFill>
              <w14:schemeClr w14:val="tx1"/>
            </w14:solidFill>
          </w14:textFill>
        </w:rPr>
        <w:t xml:space="preserve">江苏建达全过程工程咨询有限公司</w:t>
      </w:r>
      <w:r/>
    </w:p>
    <w:p>
      <w:pPr>
        <w:jc w:val="cente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pStyle w:val="766"/>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二○二六年</w:t>
      </w:r>
      <w:r>
        <w:rPr>
          <w:rFonts w:hint="eastAsia" w:cs="宋体" w:asciiTheme="minorEastAsia" w:hAnsiTheme="minorEastAsia" w:eastAsiaTheme="minorEastAsia"/>
          <w:b/>
          <w:bCs/>
          <w:color w:val="000000" w:themeColor="text1"/>
          <w:sz w:val="28"/>
          <w:szCs w:val="28"/>
          <w:lang w:val="en-US" w:eastAsia="zh-CN"/>
          <w14:textFill>
            <w14:solidFill>
              <w14:schemeClr w14:val="tx1"/>
            </w14:solidFill>
          </w14:textFill>
        </w:rPr>
        <w:t xml:space="preserve">九</w:t>
      </w: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月</w:t>
      </w:r>
      <w:r/>
    </w:p>
    <w:p>
      <w:pPr>
        <w:spacing w:line="360" w:lineRule="auto"/>
        <w:rPr>
          <w:rFonts w:cs="宋体" w:asciiTheme="minorEastAsia" w:hAnsiTheme="minorEastAsia" w:eastAsiaTheme="minorEastAsia"/>
          <w:b/>
          <w:bCs/>
          <w:color w:val="000000" w:themeColor="text1"/>
          <w:sz w:val="30"/>
          <w:szCs w:val="30"/>
          <w14:textFill>
            <w14:solidFill>
              <w14:schemeClr w14:val="tx1"/>
            </w14:solidFill>
          </w14:textFill>
        </w:rPr>
      </w:pPr>
      <w:r/>
      <w:bookmarkStart w:id="0" w:name="_Toc20144954"/>
      <w:r/>
      <w:bookmarkStart w:id="1" w:name="_Toc20564500"/>
      <w:r/>
      <w:bookmarkStart w:id="2" w:name="_Toc20571334"/>
      <w:r/>
      <w:bookmarkStart w:id="3" w:name="_Toc5578647"/>
      <w:r/>
      <w:bookmarkStart w:id="4" w:name="_Toc20564588"/>
      <w:r/>
      <w:bookmarkStart w:id="5" w:name="_Toc5575584"/>
      <w:r/>
      <w:bookmarkStart w:id="6" w:name="OLE_LINK2"/>
      <w:r/>
      <w:bookmarkStart w:id="7" w:name="OLE_LINK1"/>
      <w:r/>
      <w:r/>
    </w:p>
    <w:p>
      <w:pPr>
        <w:jc w:val="center"/>
        <w:spacing w:line="360" w:lineRule="auto"/>
        <w:rPr>
          <w:rFonts w:cs="宋体" w:asciiTheme="minorEastAsia" w:hAnsiTheme="minorEastAsia" w:eastAsiaTheme="minorEastAsia"/>
          <w:b/>
          <w:bCs/>
          <w:color w:val="000000" w:themeColor="text1"/>
          <w:sz w:val="30"/>
          <w:szCs w:val="30"/>
          <w14:textFill>
            <w14:solidFill>
              <w14:schemeClr w14:val="tx1"/>
            </w14:solidFill>
          </w14:textFill>
        </w:rPr>
      </w:pPr>
      <w:r>
        <w:rPr>
          <w:rFonts w:hint="eastAsia" w:cs="宋体" w:asciiTheme="minorEastAsia" w:hAnsiTheme="minorEastAsia" w:eastAsiaTheme="minorEastAsia"/>
          <w:b/>
          <w:bCs/>
          <w:color w:val="000000" w:themeColor="text1"/>
          <w:sz w:val="30"/>
          <w:szCs w:val="30"/>
          <w14:textFill>
            <w14:solidFill>
              <w14:schemeClr w14:val="tx1"/>
            </w14:solidFill>
          </w14:textFill>
        </w:rPr>
        <w:t xml:space="preserve">第一部分 招标公告</w:t>
      </w:r>
      <w:bookmarkEnd w:id="0"/>
      <w:r/>
      <w:bookmarkEnd w:id="1"/>
      <w:r/>
      <w:bookmarkEnd w:id="2"/>
      <w:r/>
      <w:bookmarkEnd w:id="3"/>
      <w:r/>
      <w:bookmarkEnd w:id="4"/>
      <w:r/>
      <w:bookmarkEnd w:id="5"/>
      <w:r/>
      <w:r/>
    </w:p>
    <w:p>
      <w:pPr>
        <w:ind w:firstLine="560"/>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项目概况</w:t>
      </w:r>
      <w:r/>
    </w:p>
    <w:p>
      <w:pPr>
        <w:ind w:firstLine="561"/>
        <w:spacing w:line="360" w:lineRule="auto"/>
        <w:rPr>
          <w:rFonts w:cs="宋体" w:asciiTheme="minorEastAsia" w:hAnsiTheme="minorEastAsia" w:eastAsiaTheme="minorEastAsia"/>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南通市海门区包场镇人民政府采购2026年污水处理设施运维服务项目</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JSZC-320614-JDGS-G2026-0052）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的</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潜在供应商应在江苏政府采购网获取招标文件</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，并于</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2026年0</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9</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月</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30</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日</w:t>
      </w:r>
      <w:r>
        <w:rPr>
          <w:rFonts w:hint="eastAsia" w:cs="宋体" w:asciiTheme="minorEastAsia" w:hAnsiTheme="minorEastAsia" w:eastAsiaTheme="minorEastAsia"/>
          <w:bCs/>
          <w:color w:val="000000" w:themeColor="text1"/>
          <w:sz w:val="24"/>
          <w:szCs w:val="24"/>
          <w:highlight w:val="none"/>
          <w:u w:val="single"/>
          <w14:textFill>
            <w14:solidFill>
              <w14:schemeClr w14:val="tx1"/>
            </w14:solidFill>
          </w14:textFill>
        </w:rPr>
        <w:t xml:space="preserve">09点00分</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（北京时间）前提交投标文件</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p>
    <w:p>
      <w:pP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一、项目基本情况</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1.项目编号：JSZC-320614-JDGS-G2026-0052</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2.项目名称：南通市海门区包场镇人民政府采购2026年污水处理设施运维服务项目 </w:t>
      </w:r>
      <w:r/>
    </w:p>
    <w:p>
      <w:pPr>
        <w:pStyle w:val="958"/>
        <w:ind w:left="0" w:firstLine="56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3.预算金额</w:t>
      </w:r>
      <w:bookmarkStart w:id="8" w:name="_Hlk211600898"/>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color w:val="000000" w:themeColor="text1"/>
          <w:sz w:val="24"/>
          <w:szCs w:val="24"/>
          <w:lang w:val="en-US" w:eastAsia="zh-CN"/>
          <w14:textFill>
            <w14:solidFill>
              <w14:schemeClr w14:val="tx1"/>
            </w14:solidFill>
          </w14:textFill>
        </w:rPr>
        <w:t xml:space="preserve">125</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万元</w:t>
      </w:r>
      <w:bookmarkEnd w:id="8"/>
      <w:r>
        <w:rPr>
          <w:rFonts w:hint="eastAsia" w:cs="宋体" w:asciiTheme="minorEastAsia" w:hAnsiTheme="minorEastAsia" w:eastAsiaTheme="minorEastAsia"/>
          <w:b/>
          <w:color w:val="000000" w:themeColor="text1"/>
          <w:sz w:val="24"/>
          <w:szCs w:val="24"/>
          <w14:textFill>
            <w14:solidFill>
              <w14:schemeClr w14:val="tx1"/>
            </w14:solidFill>
          </w14:textFill>
        </w:rPr>
        <w:t xml:space="preserve"> </w:t>
      </w:r>
      <w:r/>
    </w:p>
    <w:p>
      <w:pPr>
        <w:pStyle w:val="750"/>
        <w:ind w:firstLine="560"/>
        <w:jc w:val="both"/>
        <w:spacing w:before="0" w:beforeAutospacing="0" w:after="0" w:afterAutospacing="0" w:line="360" w:lineRule="auto"/>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 xml:space="preserve">4.</w:t>
      </w:r>
      <w:bookmarkStart w:id="9" w:name="_Hlk218763675"/>
      <w:r>
        <w:rPr>
          <w:rFonts w:hint="eastAsia" w:asciiTheme="minorEastAsia" w:hAnsiTheme="minorEastAsia" w:eastAsiaTheme="minorEastAsia"/>
          <w:b/>
          <w:color w:val="000000" w:themeColor="text1"/>
          <w14:textFill>
            <w14:solidFill>
              <w14:schemeClr w14:val="tx1"/>
            </w14:solidFill>
          </w14:textFill>
        </w:rPr>
        <w:t xml:space="preserve">最高限价</w:t>
      </w:r>
      <w:bookmarkEnd w:id="9"/>
      <w:r>
        <w:rPr>
          <w:rFonts w:hint="eastAsia" w:asciiTheme="minorEastAsia" w:hAnsiTheme="minorEastAsia" w:eastAsiaTheme="minorEastAsia"/>
          <w:b/>
          <w:color w:val="000000" w:themeColor="text1"/>
          <w14:textFill>
            <w14:solidFill>
              <w14:schemeClr w14:val="tx1"/>
            </w14:solidFill>
          </w14:textFill>
        </w:rPr>
        <w:t xml:space="preserve">：</w:t>
      </w:r>
      <w:r>
        <w:rPr>
          <w:rFonts w:hint="eastAsia" w:asciiTheme="minorEastAsia" w:hAnsiTheme="minorEastAsia" w:eastAsiaTheme="minorEastAsia"/>
          <w:b/>
          <w:color w:val="000000" w:themeColor="text1"/>
          <w:lang w:val="en-US" w:eastAsia="zh-CN"/>
          <w14:textFill>
            <w14:solidFill>
              <w14:schemeClr w14:val="tx1"/>
            </w14:solidFill>
          </w14:textFill>
        </w:rPr>
        <w:t xml:space="preserve">125</w:t>
      </w:r>
      <w:r>
        <w:rPr>
          <w:rFonts w:hint="eastAsia" w:asciiTheme="minorEastAsia" w:hAnsiTheme="minorEastAsia" w:eastAsiaTheme="minorEastAsia"/>
          <w:b/>
          <w:color w:val="000000" w:themeColor="text1"/>
          <w14:textFill>
            <w14:solidFill>
              <w14:schemeClr w14:val="tx1"/>
            </w14:solidFill>
          </w14:textFill>
        </w:rPr>
        <w:t xml:space="preserve">万元，投标报价高于最高限价的报价文件视为无效报价文件</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5.采购需求：详见项目需求</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6.合同履行期限：详见项目需求</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7.本项目（是/否）接受联合体：否。</w:t>
      </w:r>
      <w:bookmarkStart w:id="10" w:name="_Toc35393630"/>
      <w:r/>
      <w:bookmarkStart w:id="11" w:name="_Toc28359090"/>
      <w:r/>
      <w:bookmarkStart w:id="12" w:name="_Toc28359013"/>
      <w:r/>
      <w:bookmarkStart w:id="13" w:name="_Toc35393799"/>
      <w:r/>
      <w:r/>
    </w:p>
    <w:p>
      <w:pP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二、申请人的资格要求：</w:t>
      </w:r>
      <w:bookmarkEnd w:id="10"/>
      <w:r/>
      <w:bookmarkEnd w:id="11"/>
      <w:r/>
      <w:bookmarkEnd w:id="12"/>
      <w:r/>
      <w:bookmarkEnd w:id="13"/>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（一）满足《中华人民共和国政府采购法》第二十二条规定：</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1.投标人符合《政府采购法》第二十二条规定条件的声明函；</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2.法定代表人身份证明书；</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asciiTheme="minorEastAsia" w:hAnsiTheme="minorEastAsia" w:eastAsiaTheme="minorEastAsia"/>
        </w:rPr>
        <w:t xml:space="preserve"> </w:t>
      </w:r>
      <w:r>
        <w:rPr>
          <w:rFonts w:cs="宋体" w:asciiTheme="minorEastAsia" w:hAnsiTheme="minorEastAsia" w:eastAsiaTheme="minorEastAsia"/>
          <w:color w:val="000000" w:themeColor="text1"/>
          <w:sz w:val="24"/>
          <w:szCs w:val="24"/>
          <w14:textFill>
            <w14:solidFill>
              <w14:schemeClr w14:val="tx1"/>
            </w14:solidFill>
          </w14:textFill>
        </w:rPr>
        <w:t xml:space="preserve">法定代表人授权委托书原件，投标代表本人身份证复印件</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4.诚信承诺函；</w:t>
      </w:r>
      <w:bookmarkStart w:id="14" w:name="_Toc28359014"/>
      <w:r/>
      <w:bookmarkStart w:id="15" w:name="_Toc28359091"/>
      <w:r/>
      <w:bookmarkStart w:id="16" w:name="_Toc35393800"/>
      <w:r/>
      <w:bookmarkStart w:id="17" w:name="_Toc35393631"/>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5.在“信用中国”网站（www.creditchina.gov.cn）查询，无被列入失信被执行人、重大税收违法案件当事人名单、政府采购严重失信行为记录名单；</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6.投标人认为其它需要提交的资格审查证明材料。</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（二）落实政府采购政策需满足的资格要求：</w:t>
      </w:r>
      <w:bookmarkStart w:id="18" w:name="_Hlk199263065"/>
      <w:r>
        <w:rPr>
          <w:rFonts w:hint="eastAsia" w:cs="宋体" w:asciiTheme="minorEastAsia" w:hAnsiTheme="minorEastAsia" w:eastAsiaTheme="minorEastAsia"/>
          <w:color w:val="000000" w:themeColor="text1"/>
          <w:sz w:val="24"/>
          <w:szCs w:val="24"/>
          <w14:textFill>
            <w14:solidFill>
              <w14:schemeClr w14:val="tx1"/>
            </w14:solidFill>
          </w14:textFill>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bookmarkEnd w:id="18"/>
      <w:r/>
      <w:r/>
    </w:p>
    <w:p>
      <w:pPr>
        <w:ind w:firstLine="56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（三）本项目的特定资格要求：</w:t>
      </w:r>
      <w:bookmarkStart w:id="19" w:name="_Hlk209810672"/>
      <w:r>
        <w:rPr>
          <w:rFonts w:hint="eastAsia" w:cs="宋体" w:asciiTheme="minorEastAsia" w:hAnsiTheme="minorEastAsia" w:eastAsiaTheme="minorEastAsia"/>
          <w:sz w:val="24"/>
          <w:szCs w:val="24"/>
        </w:rPr>
        <w:t xml:space="preserve">无。 </w:t>
      </w:r>
      <w:bookmarkEnd w:id="19"/>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三、获取采购文件</w:t>
      </w:r>
      <w:bookmarkEnd w:id="14"/>
      <w:r/>
      <w:bookmarkEnd w:id="15"/>
      <w:r/>
      <w:bookmarkEnd w:id="16"/>
      <w:r/>
      <w:bookmarkEnd w:id="17"/>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20" w:name="_Toc35393801"/>
      <w:r/>
      <w:bookmarkStart w:id="21" w:name="_Toc28359092"/>
      <w:r/>
      <w:bookmarkStart w:id="22" w:name="_Toc28359015"/>
      <w:r/>
      <w:bookmarkStart w:id="23" w:name="_Toc35393632"/>
      <w:r>
        <w:rPr>
          <w:rFonts w:hint="eastAsia" w:cs="宋体" w:asciiTheme="minorEastAsia" w:hAnsiTheme="minorEastAsia" w:eastAsiaTheme="minorEastAsia"/>
          <w:color w:val="000000" w:themeColor="text1"/>
          <w:sz w:val="24"/>
          <w:szCs w:val="24"/>
          <w14:textFill>
            <w14:solidFill>
              <w14:schemeClr w14:val="tx1"/>
            </w14:solidFill>
          </w14:textFill>
        </w:rPr>
        <w:t xml:space="preserve">时间：</w:t>
      </w:r>
      <w:r>
        <w:rPr>
          <w:rFonts w:hint="eastAsia" w:cs="宋体" w:asciiTheme="minorEastAsia" w:hAnsiTheme="minorEastAsia" w:eastAsiaTheme="minorEastAsia"/>
          <w:sz w:val="24"/>
          <w:szCs w:val="24"/>
        </w:rPr>
        <w:t xml:space="preserve">2026年0</w:t>
      </w:r>
      <w:r>
        <w:rPr>
          <w:rFonts w:hint="eastAsia" w:cs="宋体" w:asciiTheme="minorEastAsia" w:hAnsiTheme="minorEastAsia" w:eastAsiaTheme="minorEastAsia"/>
          <w:sz w:val="24"/>
          <w:szCs w:val="24"/>
          <w:lang w:val="en-US" w:eastAsia="zh-CN"/>
        </w:rPr>
        <w:t xml:space="preserve">9</w:t>
      </w:r>
      <w:r>
        <w:rPr>
          <w:rFonts w:hint="eastAsia" w:cs="宋体" w:asciiTheme="minorEastAsia" w:hAnsiTheme="minorEastAsia" w:eastAsiaTheme="minorEastAsia"/>
          <w:sz w:val="24"/>
          <w:szCs w:val="24"/>
        </w:rPr>
        <w:t xml:space="preserve">月</w:t>
      </w:r>
      <w:r>
        <w:rPr>
          <w:rFonts w:hint="eastAsia" w:cs="宋体" w:asciiTheme="minorEastAsia" w:hAnsiTheme="minorEastAsia" w:eastAsiaTheme="minorEastAsia"/>
          <w:sz w:val="24"/>
          <w:szCs w:val="24"/>
          <w:lang w:val="en-US" w:eastAsia="zh-CN"/>
        </w:rPr>
        <w:t xml:space="preserve">10</w:t>
      </w:r>
      <w:r>
        <w:rPr>
          <w:rFonts w:hint="eastAsia" w:cs="宋体" w:asciiTheme="minorEastAsia" w:hAnsiTheme="minorEastAsia" w:eastAsiaTheme="minorEastAsia"/>
          <w:sz w:val="24"/>
          <w:szCs w:val="24"/>
        </w:rPr>
        <w:t xml:space="preserve"> 日00点00分至</w:t>
      </w:r>
      <w:r>
        <w:rPr>
          <w:rFonts w:cs="宋体" w:asciiTheme="minorEastAsia" w:hAnsiTheme="minorEastAsia" w:eastAsiaTheme="minorEastAsia"/>
          <w:sz w:val="24"/>
          <w:szCs w:val="24"/>
        </w:rPr>
        <w:t xml:space="preserve">2026年0</w:t>
      </w:r>
      <w:r>
        <w:rPr>
          <w:rFonts w:hint="eastAsia" w:cs="宋体" w:asciiTheme="minorEastAsia" w:hAnsiTheme="minorEastAsia" w:eastAsiaTheme="minorEastAsia"/>
          <w:sz w:val="24"/>
          <w:szCs w:val="24"/>
          <w:lang w:val="en-US" w:eastAsia="zh-CN"/>
        </w:rPr>
        <w:t xml:space="preserve">9</w:t>
      </w:r>
      <w:r>
        <w:rPr>
          <w:rFonts w:cs="宋体" w:asciiTheme="minorEastAsia" w:hAnsiTheme="minorEastAsia" w:eastAsiaTheme="minorEastAsia"/>
          <w:sz w:val="24"/>
          <w:szCs w:val="24"/>
        </w:rPr>
        <w:t xml:space="preserve">月</w:t>
      </w:r>
      <w:r>
        <w:rPr>
          <w:rFonts w:hint="eastAsia" w:cs="宋体" w:asciiTheme="minorEastAsia" w:hAnsiTheme="minorEastAsia" w:eastAsiaTheme="minorEastAsia"/>
          <w:sz w:val="24"/>
          <w:szCs w:val="24"/>
          <w:lang w:val="en-US" w:eastAsia="zh-CN"/>
        </w:rPr>
        <w:t xml:space="preserve">16</w:t>
      </w:r>
      <w:r>
        <w:rPr>
          <w:rFonts w:hint="eastAsia" w:cs="宋体" w:asciiTheme="minorEastAsia" w:hAnsiTheme="minorEastAsia" w:eastAsiaTheme="minorEastAsia"/>
          <w:sz w:val="24"/>
          <w:szCs w:val="24"/>
        </w:rPr>
        <w:t xml:space="preserve"> </w:t>
      </w:r>
      <w:r>
        <w:rPr>
          <w:rFonts w:cs="宋体" w:asciiTheme="minorEastAsia" w:hAnsiTheme="minorEastAsia" w:eastAsiaTheme="minorEastAsia"/>
          <w:sz w:val="24"/>
          <w:szCs w:val="24"/>
        </w:rPr>
        <w:t xml:space="preserve">日</w:t>
      </w:r>
      <w:r>
        <w:rPr>
          <w:rFonts w:hint="eastAsia" w:cs="宋体" w:asciiTheme="minorEastAsia" w:hAnsiTheme="minorEastAsia" w:eastAsiaTheme="minorEastAsia"/>
          <w:sz w:val="24"/>
          <w:szCs w:val="24"/>
          <w:lang w:val="en-US" w:eastAsia="zh-CN"/>
        </w:rPr>
        <w:t xml:space="preserve">23</w:t>
      </w:r>
      <w:r>
        <w:rPr>
          <w:rFonts w:cs="宋体" w:asciiTheme="minorEastAsia" w:hAnsiTheme="minorEastAsia" w:eastAsiaTheme="minorEastAsia"/>
          <w:sz w:val="24"/>
          <w:szCs w:val="24"/>
        </w:rPr>
        <w:t xml:space="preserve">点</w:t>
      </w:r>
      <w:r>
        <w:rPr>
          <w:rFonts w:hint="eastAsia" w:cs="宋体" w:asciiTheme="minorEastAsia" w:hAnsiTheme="minorEastAsia" w:eastAsiaTheme="minorEastAsia"/>
          <w:sz w:val="24"/>
          <w:szCs w:val="24"/>
          <w:lang w:val="en-US" w:eastAsia="zh-CN"/>
        </w:rPr>
        <w:t xml:space="preserve">59</w:t>
      </w:r>
      <w:r>
        <w:rPr>
          <w:rFonts w:cs="宋体" w:asciiTheme="minorEastAsia" w:hAnsiTheme="minorEastAsia" w:eastAsiaTheme="minorEastAsia"/>
          <w:sz w:val="24"/>
          <w:szCs w:val="24"/>
        </w:rPr>
        <w:t xml:space="preserve">分</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（北京时间，法定节假日除外）</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地点：江苏政府采购网</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获取方式：在“江苏政府采购网”自行免费下载招标文件</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售价：0.00元</w:t>
      </w:r>
      <w:bookmarkEnd w:id="20"/>
      <w:bookmarkEnd w:id="21"/>
      <w:bookmarkEnd w:id="22"/>
      <w:bookmarkEnd w:id="23"/>
      <w:r/>
    </w:p>
    <w:p>
      <w:pP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bookmarkStart w:id="24" w:name="_Toc35393804"/>
      <w:r/>
      <w:bookmarkStart w:id="25" w:name="_Toc35393635"/>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四、提交投标文件截止时间、开标时间和地点</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时间：2026年 </w:t>
      </w: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09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月 </w:t>
      </w: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30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日09点00分（北京时间）</w:t>
      </w:r>
      <w:r/>
    </w:p>
    <w:p>
      <w:pPr>
        <w:ind w:firstLine="480"/>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地点：“苏采云”政府采购交易系统网上开标大厅            </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                                                                                                                                                                                                   </w:t>
      </w:r>
      <w:r/>
    </w:p>
    <w:p>
      <w:pP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五、公告期限</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自本公告发布之日起5个工作日。</w:t>
      </w:r>
      <w:r/>
    </w:p>
    <w:p>
      <w:pP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六、其他补充事宜</w:t>
      </w:r>
      <w:bookmarkEnd w:id="24"/>
      <w:r/>
      <w:bookmarkEnd w:id="25"/>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26" w:name="_Toc35393636"/>
      <w:r/>
      <w:bookmarkStart w:id="27" w:name="_Toc28359095"/>
      <w:r/>
      <w:bookmarkStart w:id="28" w:name="_Toc35393805"/>
      <w:r/>
      <w:bookmarkStart w:id="29" w:name="_Toc28359018"/>
      <w:r>
        <w:rPr>
          <w:rFonts w:hint="eastAsia" w:cs="宋体" w:asciiTheme="minorEastAsia" w:hAnsiTheme="minorEastAsia" w:eastAsiaTheme="minorEastAsia"/>
          <w:color w:val="000000" w:themeColor="text1"/>
          <w:sz w:val="24"/>
          <w:szCs w:val="24"/>
          <w14:textFill>
            <w14:solidFill>
              <w14:schemeClr w14:val="tx1"/>
            </w14:solidFill>
          </w14:textFill>
        </w:rPr>
        <w:t xml:space="preserve">1、项目采购方式：公开招标</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2、项目采购类型：服务</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3、项目所属行业：其他未列明行业</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4、投标保证金：免收</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5、潜在供应商访问电子招标响应交易平台的网络地址和方法：</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6、“CA数字证书”的获取：</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7、采购文件（后缀名为“.kedt”）、供应商操作手册及政府采购客户端工具可通过“苏采云”系统--已报名项目--报名详情页面内相应链接进行下载。</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8、招标代理机构（采购代理机构）将数据电文形式的采购文件加载至“苏采云”系统，供潜在供应商下载或者查阅。</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9、请潜在投标单位提前安装相应的控件（详见《江苏省政府采购管理交易系统（苏采云）供应商操作手册》）并使用谷歌浏览器登录“苏采云”系统参与不见面开评标。</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10、项目开标活动模式：不见面远程开标模式，投标人在各自地点通过不见面交易系统参加开标会。</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注：各供应商请关注开标大厅交流区，在开标结束后，请勿离开开标大厅。</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11、响应文件的解密：开标当天各供应商及时登录不见面开标大厅，响应文件递交截止时间后，采购人将在系统内公布投标</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12、项目演示、样品、答辩等（如有请描述）：无。</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13、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14、有关本次采购的事项若存在变动或修改，敬请及时关注“江苏政府采购网”发布的信息更正公告。</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七、对本次招标提出询问，请按以下方式联系。</w:t>
      </w:r>
      <w:bookmarkEnd w:id="26"/>
      <w:r/>
      <w:bookmarkEnd w:id="27"/>
      <w:r/>
      <w:bookmarkEnd w:id="28"/>
      <w:r/>
      <w:bookmarkEnd w:id="29"/>
      <w:r/>
      <w:bookmarkStart w:id="30" w:name="_Toc28359096"/>
      <w:r/>
      <w:bookmarkStart w:id="31" w:name="_Toc28359019"/>
      <w:r/>
      <w:bookmarkStart w:id="32" w:name="_Toc35393637"/>
      <w:r/>
      <w:bookmarkStart w:id="33" w:name="_Toc35393806"/>
      <w:r/>
      <w:r/>
    </w:p>
    <w:p>
      <w:pPr>
        <w:ind w:firstLine="84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1.采购人信息</w:t>
      </w:r>
      <w:bookmarkEnd w:id="30"/>
      <w:r/>
      <w:bookmarkEnd w:id="31"/>
      <w:r/>
      <w:bookmarkEnd w:id="32"/>
      <w:r/>
      <w:bookmarkEnd w:id="33"/>
      <w:r/>
      <w:r/>
    </w:p>
    <w:p>
      <w:pPr>
        <w:ind w:left="1129" w:hanging="350"/>
        <w:jc w:val="left"/>
        <w:spacing w:line="360" w:lineRule="auto"/>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名    称：</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南通市海门区包场镇人民政府</w:t>
      </w:r>
      <w:r/>
    </w:p>
    <w:p>
      <w:pPr>
        <w:ind w:left="1129" w:hanging="350"/>
        <w:jc w:val="left"/>
        <w:spacing w:line="360" w:lineRule="auto"/>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地    址：</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南通市海门区海门港新区发展大道88号</w:t>
      </w:r>
      <w:r/>
    </w:p>
    <w:p>
      <w:pPr>
        <w:ind w:firstLine="720"/>
        <w:jc w:val="left"/>
        <w:spacing w:line="360" w:lineRule="auto"/>
        <w:shd w:val="solid" w:color="ffffff" w:fill="auto"/>
        <w:widowControl/>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联系方式：</w:t>
      </w:r>
      <w:bookmarkStart w:id="34" w:name="_Toc28359097"/>
      <w:r/>
      <w:bookmarkStart w:id="35" w:name="_Toc28359020"/>
      <w:r/>
      <w:bookmarkStart w:id="36" w:name="_Toc35393638"/>
      <w:r/>
      <w:bookmarkStart w:id="37" w:name="_Toc35393807"/>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施先生    15051291595</w:t>
      </w:r>
      <w:r/>
    </w:p>
    <w:p>
      <w:pPr>
        <w:ind w:firstLine="840"/>
        <w:jc w:val="left"/>
        <w:spacing w:line="360" w:lineRule="auto"/>
        <w:shd w:val="solid" w:color="ffffff" w:fill="auto"/>
        <w:widowControl/>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r>
      <w:r/>
    </w:p>
    <w:p>
      <w:pPr>
        <w:ind w:firstLine="840"/>
        <w:jc w:val="left"/>
        <w:spacing w:line="360" w:lineRule="auto"/>
        <w:shd w:val="solid" w:color="ffffff" w:fill="auto"/>
        <w:widowControl/>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2.采购代理机构信息</w:t>
      </w:r>
      <w:bookmarkEnd w:id="6"/>
      <w:r/>
      <w:bookmarkEnd w:id="7"/>
      <w:r/>
      <w:bookmarkEnd w:id="34"/>
      <w:r/>
      <w:bookmarkEnd w:id="35"/>
      <w:r/>
      <w:bookmarkEnd w:id="36"/>
      <w:r/>
      <w:bookmarkEnd w:id="37"/>
      <w:r/>
      <w:r/>
    </w:p>
    <w:p>
      <w:pPr>
        <w:ind w:firstLine="84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名    称：</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江苏建达全过程工程咨询有限公司</w:t>
      </w:r>
      <w:r/>
    </w:p>
    <w:p>
      <w:pPr>
        <w:ind w:firstLine="840"/>
        <w:spacing w:line="360" w:lineRule="auto"/>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地　　址：</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南通市海门区光华大厦A座1008室</w:t>
      </w:r>
      <w:r/>
    </w:p>
    <w:p>
      <w:pPr>
        <w:ind w:firstLine="840"/>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联系方式：</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陈女士　　18362162108</w:t>
      </w:r>
      <w:r/>
    </w:p>
    <w:p>
      <w:pPr>
        <w:ind w:firstLine="840"/>
        <w:spacing w:line="360" w:lineRule="auto"/>
        <w:rPr>
          <w:rFonts w:cs="宋体" w:asciiTheme="minorEastAsia" w:hAnsiTheme="minorEastAsia" w:eastAsiaTheme="minorEastAsia"/>
          <w:b/>
          <w:bCs/>
          <w:color w:val="000000" w:themeColor="text1"/>
          <w:sz w:val="30"/>
          <w:szCs w:val="30"/>
          <w:lang w:val="zh-CN"/>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3.技术、软件支持电话：0519-86722801；0519-86722806；0513-59001950。</w:t>
      </w:r>
      <w:r/>
    </w:p>
    <w:p>
      <w:pPr>
        <w:jc w:val="center"/>
        <w:spacing w:line="360" w:lineRule="auto"/>
        <w:rPr>
          <w:rFonts w:cs="宋体" w:asciiTheme="minorEastAsia" w:hAnsiTheme="minorEastAsia" w:eastAsiaTheme="minorEastAsia"/>
          <w:b/>
          <w:bCs/>
          <w:color w:val="000000" w:themeColor="text1"/>
          <w:sz w:val="30"/>
          <w:szCs w:val="30"/>
          <w14:textFill>
            <w14:solidFill>
              <w14:schemeClr w14:val="tx1"/>
            </w14:solidFill>
          </w14:textFill>
        </w:rPr>
      </w:pPr>
      <w:r>
        <w:rPr>
          <w:rFonts w:hint="eastAsia" w:cs="宋体" w:asciiTheme="minorEastAsia" w:hAnsiTheme="minorEastAsia" w:eastAsiaTheme="minorEastAsia"/>
          <w:b/>
          <w:bCs/>
          <w:color w:val="000000" w:themeColor="text1"/>
          <w:sz w:val="30"/>
          <w:szCs w:val="30"/>
          <w:lang w:val="zh-CN"/>
          <w14:textFill>
            <w14:solidFill>
              <w14:schemeClr w14:val="tx1"/>
            </w14:solidFill>
          </w14:textFill>
        </w:rPr>
        <w:t xml:space="preserve">第二部分 </w:t>
      </w:r>
      <w:r>
        <w:rPr>
          <w:rFonts w:hint="eastAsia" w:cs="宋体" w:asciiTheme="minorEastAsia" w:hAnsiTheme="minorEastAsia" w:eastAsiaTheme="minorEastAsia"/>
          <w:b/>
          <w:bCs/>
          <w:color w:val="000000" w:themeColor="text1"/>
          <w:sz w:val="30"/>
          <w:szCs w:val="30"/>
          <w14:textFill>
            <w14:solidFill>
              <w14:schemeClr w14:val="tx1"/>
            </w14:solidFill>
          </w14:textFill>
        </w:rPr>
        <w:t xml:space="preserve">投标人</w:t>
      </w:r>
      <w:r>
        <w:rPr>
          <w:rFonts w:hint="eastAsia" w:cs="宋体" w:asciiTheme="minorEastAsia" w:hAnsiTheme="minorEastAsia" w:eastAsiaTheme="minorEastAsia"/>
          <w:b/>
          <w:bCs/>
          <w:color w:val="000000" w:themeColor="text1"/>
          <w:sz w:val="30"/>
          <w:szCs w:val="30"/>
          <w:lang w:val="zh-CN"/>
          <w14:textFill>
            <w14:solidFill>
              <w14:schemeClr w14:val="tx1"/>
            </w14:solidFill>
          </w14:textFill>
        </w:rPr>
        <w:t xml:space="preserve">须知</w:t>
      </w:r>
      <w:r/>
    </w:p>
    <w:p>
      <w:pPr>
        <w:contextualSpacing/>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cs="宋体" w:asciiTheme="minorEastAsia" w:hAnsiTheme="minorEastAsia" w:eastAsiaTheme="minorEastAsia"/>
          <w:b/>
          <w:bCs/>
          <w:color w:val="000000" w:themeColor="text1"/>
          <w:sz w:val="24"/>
          <w:szCs w:val="24"/>
          <w14:textFill>
            <w14:solidFill>
              <w14:schemeClr w14:val="tx1"/>
            </w14:solidFill>
          </w14:textFill>
        </w:rPr>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（一）总则</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1.采购方式</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1.1 本次招标采取公开招标方式，本招标文件仅适用于招标公告中所述项目。</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2.合格的投标人</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2.1满足招标公告中投标人的资格要求的规定。</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2.2 满足本文件实质性条款的规定。</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3.适用法律</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3.1 本次招标及由此产生的合同受中华人民共和国有关的法律法规制约和保护。</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4.投标费用</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4.1 投标人应自行承担所有与参加投标有关的费用，无论投标过程中的做法和结果如何，采购代理在任何情况下均无义务和责任承担这些费用。</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4.2 本次招标采购代理和采购人不收取标书工本费与中标服务费。</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5.招标文件的约束力</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5.1 投标人一旦参加本项目采购活动，即被认为接受了本招标文件的规定和约束。</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6.招标文件的解释</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6.1招标文件需求部分（投标人资格要求、项目需求、商务技术评分标准）由采购人解释，其它部分由采购代理解释。</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（二）招标文件</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1.招标文件构成</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1.1 招标文件由以下部分组成：</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（1）招标</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公告</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（2）投标人须知</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（3）项目需求</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（4）评审方法和评审标准</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（5）投标文件组成</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（6）附件</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请仔细检查招标文件是否齐全，如有缺漏请立即与采购人或采购代理联系解决。</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2.招标文件的澄清</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2.1 任何要求对招标文件进行澄清的投标人，应在投标截止期十日前按招标公告中的通讯地址，以书面形式通知采购人或政府采购代理机构。采购人有权对发出的招标文件进行必要的澄清或修改。</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2.2采购人视情组织答疑会</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3.招标文件的修改</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3.1 在投标文件提交截止时间前，采购代理可以对招标文件进行修改。</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3.2 采购代理有权按照法定的要求推迟投标文件提交截止日期和投标日期。</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3.3 招标文件的修改将在江苏政府采购网公布，补充文件将作为招标文件的组成部分，并对投标人具有约束力。</w:t>
      </w:r>
      <w:r/>
    </w:p>
    <w:p>
      <w:pPr>
        <w:ind w:firstLine="480"/>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（三）投标文件的编制</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1.投标文件的语言及度量衡单位</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1.1投标人提交的投标文件以及投标人与采购人或采购代理机构就有关投标的所有来往通知、函件和文件均应使用</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简体中文</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1.2 除技术性能另有规定外，投标文件所使用的度量衡单位，均须采用国家法定计量单位。</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2.投标文件构成</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2.1 投标人编写的投标文件应包括资格审查证明材料文件、商务技术标文件、价格标文件。投标人按“第七部分 投标文件组成”要求编写投标文件。</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3.投标有效期</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3.1投标有效期为采购中心规定的开标之日后</w:t>
      </w:r>
      <w:r>
        <w:rPr>
          <w:rFonts w:hint="eastAsia" w:cs="宋体" w:asciiTheme="minorEastAsia" w:hAnsiTheme="minorEastAsia" w:eastAsiaTheme="minorEastAsia"/>
          <w:b/>
          <w:bCs/>
          <w:color w:val="000000" w:themeColor="text1"/>
          <w:sz w:val="24"/>
          <w:szCs w:val="24"/>
          <w:u w:val="single"/>
          <w14:textFill>
            <w14:solidFill>
              <w14:schemeClr w14:val="tx1"/>
            </w14:solidFill>
          </w14:textFill>
        </w:rPr>
        <w:t xml:space="preserve">六十（60）天</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。投标有效期比规定短的将被视为未实质性响应招标文件而予以拒绝。</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 投标有效期的延长</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5.电子投标文件其他要求</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5.1电子招标投标交易平台（即“苏采云”系统）相关要求是本采购文件的组成部分。</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5.2投标人应对CA证书妥善保管，如被他人盗用投标，因此带来的结果均由投标人自行承担。</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5.3投标人应当对采购文件提出的实质性要求和条件作出实质性响应，并在电子投标系统逐条应答。</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5.4投标人应对要求提供的资格证明文件（如资质证书、资格证书）、技术资料（如白皮书、彩页、手册、检测报告等）扫描上传至投标系统。 </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5.5招标文件对证明文件无明确形式要求的，证明文件可以以文字资料、图纸和数据等形式提交。</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投标人应当在采购文件要求提交投标文件的截止时间前，将投标文件提交至“苏采云”系统，逾期提交的投标文件，“苏采云”系统将自动拒收。各投标人应在规定时间内凭CA证书进行网上解密。</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（四）投标文件的提交</w:t>
      </w:r>
      <w:r/>
    </w:p>
    <w:p>
      <w:pPr>
        <w:ind w:firstLine="480"/>
        <w:keepNext/>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outlineLvl w:val="3"/>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1.投标文件的提交</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1.1线上提交与接收地点：投标人应当通过“苏采云”系统提交数据电文形式的投标文件（即电子投标），“苏采云”系统自动接收。</w:t>
      </w:r>
      <w:r/>
    </w:p>
    <w:p>
      <w:pPr>
        <w:ind w:firstLine="480"/>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2.投标文件截止日期</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2.1 投标人上传电子投标文件的时间不得迟于招标公告中规定的投标文件提交截止时间。</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2.2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采购代理</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可以按照规定，通过修改投标文件延长投标文件提交截止日期，在此情况下，投标人的所有权利和义务以及投标人受制的截止日期均应以延长后新的截止日期为准。</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3.投标文件的密封（加密）要求：</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3.2投标人须通过“苏采云”系统提供的政府采购客户端工具（使用“CA数字证书”）加盖电子签章。</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说明：投标人应在用CA数字证书以及自备的能够登录“苏采云”系统的电脑，在达到开标时间后，使用CA数字证书解密各自投标文件。</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3.3投标人未按规定加密的投标文件，“苏采云”系统应当拒收并提示。</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4.投标文件的拒收</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4.1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采购代理</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拒绝接收在其规定的投标文件提交截止时间后上传的任何投标文件。</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5.投标文件的撤回和修改</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5.1 投标文件的撤回</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5.1.1 电子投标文件的撤回</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投标人可在投标文件提交截止时间前，撤回其电子投标文件，具体操作方法见CA办理指南及“苏采云”操作手册。</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5.1.2 投标人撤回电子投标文件，则认为其不再参与</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本项目投标活动</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5.2 投标文件的修改</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投标人可在投标文件提交截止时间前，对其电子投标文件进行修改。</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5.3 在投标文件提交截止时间之后，投标人不得对其电子投标文件作任何修改。</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5.4 在投标截止时间至招标文件中规定的投标有效期满之间的这段时间内，投标人不得撤回其投标。</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（五）开标与评标</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1.开标</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1.1</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采购代理</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将在招标公告中规定的时间和地点组织公开开标。</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开标当天各投标人及时登录不见面开标大厅，投标文件递交截止时间后，采购人将在系统内公布投标投标人名单，然后通过开标会议区发出投标文件解密的指令，</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投标投标人在开标室按规定时间自行实施远程解密，投标投标人解密限定在开标后30分钟之内完成。</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1.2 </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开标仪</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式由采购代理机构组织，在不见面交易系统中进行开标，并公布各投标人的《开标一览表》。</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2.评标委员会</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2.1开标后，采购人或采购代理机构将立即组织评标委员会（以下简称评委会）进行评标。</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2.2评委会由采购人代表和有关技术、经济等方面的专家组成，且人员构成符合政府采购有关规定。</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2.3评委会独立工作，负责评审所有投标文件并确定中标候选人。</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3.评审过程的保密与公正</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3.1</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公开开标后，直至向中标的投标人授予合同时止，凡是与审查、澄清、评价和比较投标的有关资料以及授标建议等，采购人、评委、采购代理机构均不得向投标人或与评标无关的其他人员透露。</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3.2在评审过程中，投标人不得以任何行为影响评审过程，否则其投标文件将被作为无效投标文件。</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3.3在评标期间，采购代理机构将设专门人员与投标人联系。</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3.4采购人或采购代理机构和评标委员会不向未中标的投标人解释未中标原因，也不公布评标过程中的相关细节。</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3.5采用综合评分法的项目，公布评标结果时一并公布所有投标人的评审得分及排序情况。</w:t>
      </w:r>
      <w:r/>
    </w:p>
    <w:p>
      <w:pPr>
        <w:ind w:firstLine="480"/>
        <w:spacing w:line="360" w:lineRule="auto"/>
        <w:tabs>
          <w:tab w:val="left" w:pos="900" w:leader="none"/>
        </w:tabs>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4、投标文件的澄清</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4.1评标期间，评委会对投标文件中含义不明确、同类问题表述不一致或者有明显文字和计算错误的内容 ，有权要求投标人作出必要的澄清、说明或者补正。</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4.2接到评委会澄清要求的投标人应派人按评委规定的时间内做出澄清，澄清的内容作为投标文件的补充部分，但实质性的内容不得做任何更改。</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4.3 接到评委会澄清、说明和补正要求的投标人如未按规定做出澄清、说明和补正，其风险由投标人自行承担。</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5.对投标文件的初审</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5.1投标文件初审分为资格性审查和符合性审查。</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5.1.1资格性检查：依据法律法规和招标文件的规定，由采购人对投标文件中的资格审查证明材料进行审查，资格审查的结论，采购人以书面形式向评委会进行反馈。</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采购人在进行资格性审查的同时，评标委员会从“信用中国”网站查询供应商的信用记录，以确定供应商是否具备资格。</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5.1.3未通过资格审查或符合性审查的投标人，采购代理告知未通过资格审查或符合性审查的原因，评审结束后，采购代理将不再告知未通过资格审查或符合性审查的原因。</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评委决定投标文件的响应性只根据投标文件本身的内容，而不寻求外部的证据。</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5.4评委会将对确定为实质性响应的投标进行进一步审核，看其是否有计算上或累加上的算术错误，修正错误的原则如下：</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（1）投标文件中开标一览表内容与投标文件中相应内容不一致的，以开标一览表为准。</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（2）大写金额和小写金额不一致的，以大写金额为准。</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（4）总价金额与按单价汇总金额不一致的，以单价金额计算结果为准。</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同时出现两种以上错误的，按照前款规定的顺序修正。</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5.5评委会将按上述修正错误的方法调整投标文件中的报价，现场告知投标人，调整后的价格应对投标人具有约束力。如果投标人不接受修正后的价格，则其投标将被拒绝。</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5.6评委会将允许修正投标文件中不构成重大偏离的、微小的、非正规的、不一致的或不规则的地方，但这些修改不能影响任何投标人相应的名次排列。</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5.8</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投标人在开、评标全过程中应保持通讯畅通，并安排专人与采购人或采购代理机构及评标委员会联系。</w:t>
      </w:r>
      <w:r/>
    </w:p>
    <w:p>
      <w:pPr>
        <w:ind w:firstLine="480"/>
        <w:spacing w:line="360" w:lineRule="auto"/>
        <w:tabs>
          <w:tab w:val="left" w:pos="6555" w:leader="none"/>
          <w:tab w:val="right" w:pos="8306" w:leader="none"/>
        </w:tabs>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无效投标条款和废标条款</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6.1无效投标条款</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6.1.1 投标人在规定的时间内未成功解密电子投标文件的。</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6.1.2 投标人未按照招标文件要求上传电子投标文件的。</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6.1.3同一投标人提交两个（含两个）以上不同的投标报价的。</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6.1.4投标人不具备招标文件中规定资格要求的。</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6.1.5投标人的报价超过了采购预算或最高限价的。</w:t>
      </w:r>
      <w:r/>
    </w:p>
    <w:p>
      <w:pPr>
        <w:ind w:firstLine="480"/>
        <w:spacing w:line="360" w:lineRule="auto"/>
        <w:rPr>
          <w:rFonts w:cs="宋体" w:asciiTheme="minorEastAsia" w:hAnsiTheme="minorEastAsia" w:eastAsiaTheme="minorEastAsia"/>
          <w:bCs/>
          <w:i/>
          <w:color w:val="000000" w:themeColor="text1"/>
          <w:sz w:val="24"/>
          <w:szCs w:val="24"/>
          <w:u w:val="single"/>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6.1.6未通过符合性检查的。</w:t>
      </w:r>
      <w:r/>
    </w:p>
    <w:p>
      <w:pPr>
        <w:ind w:firstLine="480"/>
        <w:spacing w:line="360" w:lineRule="auto"/>
        <w:rPr>
          <w:rFonts w:cs="宋体" w:asciiTheme="minorEastAsia" w:hAnsiTheme="minorEastAsia" w:eastAsiaTheme="minorEastAsia"/>
          <w:bCs/>
          <w:i/>
          <w:color w:val="000000" w:themeColor="text1"/>
          <w:sz w:val="24"/>
          <w:szCs w:val="24"/>
          <w:u w:val="single"/>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6.1.7不符合招标文件中规定的其他实质性要求和条件的。</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6.1.9 投标文件含有采购人不能接受的附加条件的。</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6.1.10评审中出现下列情形之一的，评审委员会应当启动异常低价投标（响应）审查程序：</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t xml:space="preserve">6.1.10</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t xml:space="preserve">6.1.10.</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t xml:space="preserve">6.1.10.</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3投标（响应）报价低于采购项目最高限价45%的，即投标（响应）报价&lt;采购项目最高限价×45%；</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t xml:space="preserve">6.1.10.</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评审委员会启动异常低价投标（响应）审查后，属于前述第</w:t>
      </w:r>
      <w:r>
        <w:rPr>
          <w:rFonts w:cs="宋体" w:asciiTheme="minorEastAsia" w:hAnsiTheme="minorEastAsia" w:eastAsiaTheme="minorEastAsia"/>
          <w:b/>
          <w:color w:val="000000" w:themeColor="text1"/>
          <w:sz w:val="24"/>
          <w:szCs w:val="24"/>
          <w14:textFill>
            <w14:solidFill>
              <w14:schemeClr w14:val="tx1"/>
            </w14:solidFill>
          </w14:textFill>
        </w:rPr>
        <w:t xml:space="preserve">6.1.10.1</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项至第</w:t>
      </w:r>
      <w:r>
        <w:rPr>
          <w:rFonts w:cs="宋体" w:asciiTheme="minorEastAsia" w:hAnsiTheme="minorEastAsia" w:eastAsiaTheme="minorEastAsia"/>
          <w:b/>
          <w:color w:val="000000" w:themeColor="text1"/>
          <w:sz w:val="24"/>
          <w:szCs w:val="24"/>
          <w14:textFill>
            <w14:solidFill>
              <w14:schemeClr w14:val="tx1"/>
            </w14:solidFill>
          </w14:textFill>
        </w:rPr>
        <w:t xml:space="preserve">6.1.10.</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6.1.13投标文件未按照招标文件要求加盖电子签章。</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6.1.14不同的投标人投标文件制作机器码、文件创建标识码一致的。</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6.1.15投标人的商务、技术部分得分相差悬殊，评标委员会认为得分畸低者没有实质性响应的。</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6.1.16其他法律、法规及本招标文件规定的属无效投标的情形。</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6.2 废标条款：</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6.2.1符合专业条件的供应商或者对招标文件作实质响应的供应商不足三家的。</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6.2.2出现影响采购公正的违法、违规行为的。</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6.2.3因重大变故，采购任务取消的。</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6.2.4评标委员会认定招标文件存在歧义、重大缺陷导致评审工作无法进行。</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6.2.5 因系统故障原因造成开标不成功的。</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6.3 投标截止时间结束后参加投标的供应商不足三家的处理：</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6.3.1如出现投标截止时间结束后参加投标的供应商或者在评标期间对招标文件做出实质响应的供应商不足三家情况，按政府采购相关规定执行。</w:t>
      </w:r>
      <w:r/>
    </w:p>
    <w:p>
      <w:pPr>
        <w:ind w:firstLine="480"/>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7.投标文件线上格式要求</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7.1投标人应当通过“苏采云”系统提交数据电文形式的投标文件（即电子投标）。</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7.2 通过“苏采云”系统提交政府采购客户端工具导出加密的投标文件（后缀名为zip）。</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投标文件不得超过150M！</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7.3 本项目采用线上投标，即投标人投标文件从政府采购客户端工具制作通过“苏采云”系统提交，</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未提供线上投标文件的，投标无效。</w:t>
      </w:r>
      <w:r/>
    </w:p>
    <w:p>
      <w:pPr>
        <w:ind w:firstLine="480"/>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（六）定标</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bookmarkStart w:id="38" w:name="_Toc16938554"/>
      <w:r/>
      <w:bookmarkStart w:id="39" w:name="_Toc20823310"/>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1.确定</w:t>
      </w:r>
      <w:bookmarkEnd w:id="38"/>
      <w:r/>
      <w:bookmarkEnd w:id="39"/>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中标单位</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1.1中标候选人的选取原则和数量见招标文件第四部分规定。 </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1.2采购人应根据评标委员会推荐的中标候选供应商确定中标供应商。</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1.3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采购人或采购代理机构将在“江苏政府采购网”发布中标公告，公告期限为1个工作日。</w:t>
      </w:r>
      <w:r/>
    </w:p>
    <w:p>
      <w:pPr>
        <w:ind w:firstLine="480"/>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1.4若有充分证据证明，成交投标人出现下列情况之一的，一经查实，将被取消成交资格：</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1.4.1提供虚假材料谋取中标的。</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1.4.2向采购人或采购代理机构行贿或者评审专家提供其他不正当利益的。</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1.4.3恶意竞争，投标总报价明显低于其自身合理成本且又无法提供证明的。</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1.4.4属于本文件规定的无效条件，但在评标过程中又未被评委会发现的。</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1.4.5与采购人或者其他供应商恶意串通的。</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1.4.6采取不正当手段诋毁、排挤其他供应商的。</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1.5有下列情形之一的，视为投标人串通投标，投标无效：</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1.5.1不同投标人的投标文件由同一单位或者个人编制；</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1.5.2不同投标人委托同一单位或者个人办理投标事宜；</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1.5.3不同投标人的投标文件载明的项目管理成员或者联系人员为同一人；</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1.5.4不同投标人的投标文件异常一致或者投标报价呈规律性差异；</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1.5.5不同投标人的投标文件相互混装；</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2.质疑处理</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2.1 提出质疑的投标人应当是参与所质疑项目采购活动的投标人。潜在投标人依法获取其可质疑的招标文件的，可以对招标文件提出质疑。</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2.2投标人认为招标文件、采购过程和采购结果使自己的权益受到损害的，可以在知道或应知其权益受到损害之日起七个工作日内，以书面形式向</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采购代理</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或采购人提出质疑。上述应知其权益受到损害之日，是指：</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2.2.1对可以质疑的招标文件提出质疑的，为收到招标文件之日或者招标文件公告期限届满之日；</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2.2.2对采购过程提出质疑的，为各采购程序环节结束之日；</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2.2.3对中标结果提出质疑的，为中标结果公告期限届满之日。</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投标人应当在法定质疑期内一次性提出针对同一采购程序环节的质疑。</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2.4对采购方式、招标文件中项目需求、投标人资格条件、评审方法和评审标准、资格审查结果等应当由采购人答复的质疑，请向采购人提出，由采购人负责答复。投标人对其他事项的质疑，请向</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采购代理</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提出，由</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采购代理</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负责答复。</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2.5 以下情形的质疑不予受理</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2.5.1 内容不符合《政府采购质疑和投诉办法》第十二条规定的质疑。</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2.5.2 超出政府采购法定期限的质疑。</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2.5.3 未参加投标活动的供应商或在投标活动中自身权益未受到损害的供应商所提出的质疑。</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2.5.4供应商组成联合体参加投标，联合体中任何一方或多方未按要求签字、盖章、加盖公章的质疑。</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3．中标通知书</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3.l 中标结果确定后，采购人或采购代理机构将向中标供应商发出中标通知书。</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（七）授予合同</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1.签订合同</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1.l中标人应当在中标通知书发出之日起三十日内，按照招标文件确定的事项与采购人签订政府采购合同。</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1.2招标文件、中标人的投标文件及招标过程中有关澄清、承诺文件均应作为合同附件。</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2.货物和服务的追加、减少和添购。</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 政府采购履约保证资金、合同信用融资扶持政策</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3.1中标投标人如需获得履约保证金支持，可在南通市政府采购网直接线上办理线上履约保证保险申请，详情请见南通市政府采购网首页 “易企服”综合服务平台-金融产品全周期-履约保证保险专栏。</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3.2根据</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480"/>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（八）电子招标投标交易平台</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电子招标投标交易平台（即“苏采云”系统，网址：</w:t>
      </w:r>
      <w:r>
        <w:fldChar w:fldCharType="begin"/>
      </w:r>
      <w:r>
        <w:instrText xml:space="preserve"> HYPERLINK "http://jszfcg.jsczt.cn/）相关要求是本采购文件的组成部分。" \o "http://jszfcg.jsczt.cn/）相关要求是本采购文件的组成部分。" </w:instrText>
      </w:r>
      <w:r>
        <w:fldChar w:fldCharType="separate"/>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http://jszfcg.jsczt.cn/）相关要求是本采购文件的组成部分。</w:t>
      </w:r>
      <w:r>
        <w:rPr>
          <w:rFonts w:hint="eastAsia" w:cs="宋体" w:asciiTheme="minorEastAsia" w:hAnsiTheme="minorEastAsia" w:eastAsiaTheme="minorEastAsia"/>
          <w:bCs/>
          <w:color w:val="000000" w:themeColor="text1"/>
          <w:sz w:val="24"/>
          <w:szCs w:val="24"/>
          <w14:textFill>
            <w14:solidFill>
              <w14:schemeClr w14:val="tx1"/>
            </w14:solidFill>
          </w14:textFill>
        </w:rPr>
        <w:fldChar w:fldCharType="end"/>
      </w:r>
      <w:r/>
    </w:p>
    <w:p>
      <w:pPr>
        <w:ind w:firstLine="48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（九）其他说明：</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1.无论投标结果如何，投标人自行承担与投标相应有关的全部费用。</w:t>
      </w:r>
      <w:r/>
    </w:p>
    <w:p>
      <w:pPr>
        <w:ind w:firstLine="480"/>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2.本项目招标代理服务费应包含（分摊）在投标报价中，但不单独列出。中标人在领取中标通知书前向招标代理人支付，招标代理服务费按原国家计委《招标代理服务收费管理暂行办法》（[2002]1980号文收费标准的50%计取，当实际计算的招标代理费小于3000元时，以3000元结算。</w:t>
      </w:r>
      <w:r/>
    </w:p>
    <w:p>
      <w:pPr>
        <w:spacing w:line="360" w:lineRule="auto"/>
        <w:rPr>
          <w:rFonts w:cs="宋体" w:asciiTheme="minorEastAsia" w:hAnsiTheme="minorEastAsia" w:eastAsiaTheme="minorEastAsia"/>
          <w:b/>
          <w:bCs/>
          <w:color w:val="000000" w:themeColor="text1"/>
          <w:sz w:val="30"/>
          <w:szCs w:val="30"/>
          <w14:textFill>
            <w14:solidFill>
              <w14:schemeClr w14:val="tx1"/>
            </w14:solidFill>
          </w14:textFill>
        </w:rPr>
      </w:pPr>
      <w:r>
        <w:rPr>
          <w:rFonts w:hint="eastAsia" w:cs="宋体" w:asciiTheme="minorEastAsia" w:hAnsiTheme="minorEastAsia" w:eastAsiaTheme="minorEastAsia"/>
          <w:b/>
          <w:bCs/>
          <w:color w:val="000000" w:themeColor="text1"/>
          <w:sz w:val="30"/>
          <w:szCs w:val="30"/>
          <w14:textFill>
            <w14:solidFill>
              <w14:schemeClr w14:val="tx1"/>
            </w14:solidFill>
          </w14:textFill>
        </w:rPr>
        <w:br w:type="page" w:clear="all"/>
      </w:r>
      <w:r/>
    </w:p>
    <w:p>
      <w:pPr>
        <w:jc w:val="center"/>
        <w:spacing w:line="360" w:lineRule="auto"/>
        <w:rPr>
          <w:rFonts w:cs="宋体" w:asciiTheme="minorEastAsia" w:hAnsiTheme="minorEastAsia" w:eastAsiaTheme="minorEastAsia"/>
          <w:b/>
          <w:bCs/>
          <w:color w:val="000000" w:themeColor="text1"/>
          <w:sz w:val="30"/>
          <w:szCs w:val="30"/>
          <w14:textFill>
            <w14:solidFill>
              <w14:schemeClr w14:val="tx1"/>
            </w14:solidFill>
          </w14:textFill>
        </w:rPr>
      </w:pPr>
      <w:r>
        <w:rPr>
          <w:rFonts w:hint="eastAsia" w:cs="宋体" w:asciiTheme="minorEastAsia" w:hAnsiTheme="minorEastAsia" w:eastAsiaTheme="minorEastAsia"/>
          <w:b/>
          <w:bCs/>
          <w:color w:val="000000" w:themeColor="text1"/>
          <w:sz w:val="30"/>
          <w:szCs w:val="30"/>
          <w14:textFill>
            <w14:solidFill>
              <w14:schemeClr w14:val="tx1"/>
            </w14:solidFill>
          </w14:textFill>
        </w:rPr>
        <w:t xml:space="preserve">第三部分 </w:t>
      </w:r>
      <w:bookmarkStart w:id="40" w:name="_Hlk199259614"/>
      <w:r>
        <w:rPr>
          <w:rFonts w:hint="eastAsia" w:cs="宋体" w:asciiTheme="minorEastAsia" w:hAnsiTheme="minorEastAsia" w:eastAsiaTheme="minorEastAsia"/>
          <w:b/>
          <w:bCs/>
          <w:color w:val="000000" w:themeColor="text1"/>
          <w:sz w:val="30"/>
          <w:szCs w:val="30"/>
          <w14:textFill>
            <w14:solidFill>
              <w14:schemeClr w14:val="tx1"/>
            </w14:solidFill>
          </w14:textFill>
        </w:rPr>
        <w:t xml:space="preserve">采购项目需求</w:t>
      </w:r>
      <w:bookmarkEnd w:id="40"/>
      <w:r/>
    </w:p>
    <w:p>
      <w:pPr>
        <w:jc w:val="center"/>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第一章采购项目内容与技术要求</w:t>
      </w:r>
      <w:r/>
    </w:p>
    <w:p>
      <w:pPr>
        <w:ind w:firstLine="241"/>
        <w:spacing w:line="480" w:lineRule="exact"/>
        <w:rPr>
          <w:rFonts w:cs="仿宋" w:asciiTheme="minorEastAsia" w:hAnsiTheme="minorEastAsia" w:eastAsiaTheme="minorEastAsia"/>
          <w:b/>
          <w:sz w:val="24"/>
          <w:szCs w:val="24"/>
        </w:rPr>
      </w:pPr>
      <w:r/>
      <w:bookmarkStart w:id="41" w:name="_Toc131845532"/>
      <w:r/>
      <w:bookmarkStart w:id="42" w:name="_Toc101245454"/>
      <w:r>
        <w:rPr>
          <w:rFonts w:hint="eastAsia" w:cs="仿宋" w:asciiTheme="minorEastAsia" w:hAnsiTheme="minorEastAsia" w:eastAsiaTheme="minorEastAsia"/>
          <w:b/>
          <w:sz w:val="24"/>
          <w:szCs w:val="24"/>
        </w:rPr>
        <w:t xml:space="preserve">一、招标内容概况：</w:t>
      </w:r>
      <w:r/>
    </w:p>
    <w:p>
      <w:pPr>
        <w:ind w:firstLine="480"/>
        <w:spacing w:line="480" w:lineRule="exact"/>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1、项目名称：南通市海门区包场镇人民政府采购2026年污水处理设施运维服务项目</w:t>
      </w:r>
      <w:r/>
    </w:p>
    <w:p>
      <w:pPr>
        <w:ind w:firstLine="480"/>
        <w:spacing w:line="480" w:lineRule="exact"/>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2、项目地点：南通市海门区包场镇区域范围</w:t>
      </w:r>
      <w:r/>
    </w:p>
    <w:p>
      <w:pPr>
        <w:ind w:firstLine="480"/>
        <w:spacing w:line="480" w:lineRule="exact"/>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3、服务项目内容及规模：对海门区包场镇区域内各村的污水处理设施及范围内的管道，进行日常运营管理、维护；</w:t>
      </w:r>
      <w:r/>
    </w:p>
    <w:p>
      <w:pPr>
        <w:contextualSpacing/>
        <w:ind w:firstLine="480"/>
        <w:spacing w:line="480" w:lineRule="exact"/>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t xml:space="preserve">4、承包方式：维护服务外包</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w:t>
      </w:r>
      <w:r/>
    </w:p>
    <w:p>
      <w:pPr>
        <w:contextualSpacing/>
        <w:ind w:firstLine="480"/>
        <w:spacing w:line="480" w:lineRule="exact"/>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t xml:space="preserve">5、质量标准：满足合同规定要求</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w:t>
      </w:r>
      <w:r/>
    </w:p>
    <w:p>
      <w:pPr>
        <w:contextualSpacing/>
        <w:ind w:firstLine="480"/>
        <w:spacing w:line="480" w:lineRule="exact"/>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t xml:space="preserve">6、维护服务期限：合同签订之日起满1年。如在合同履行期间，根据上级部门要求，运维主体发生改变，如由区级部门统一负责运维工作的，则采购人可终止本合同。</w:t>
      </w:r>
      <w:r/>
    </w:p>
    <w:p>
      <w:pPr>
        <w:contextualSpacing/>
        <w:ind w:firstLine="480"/>
        <w:spacing w:line="480" w:lineRule="exact"/>
        <w:rPr>
          <w:rFonts w:asciiTheme="minorEastAsia" w:hAnsiTheme="minorEastAsia" w:eastAsiaTheme="minorEastAsia"/>
          <w:b w:val="0"/>
          <w:bCs/>
          <w:sz w:val="24"/>
          <w:szCs w:val="24"/>
        </w:rPr>
        <w:outlineLvl w:val="0"/>
      </w:pPr>
      <w:r>
        <w:rPr>
          <w:rFonts w:hint="eastAsia" w:asciiTheme="minorEastAsia" w:hAnsiTheme="minorEastAsia" w:eastAsiaTheme="minorEastAsia"/>
          <w:b w:val="0"/>
          <w:bCs/>
          <w:sz w:val="24"/>
          <w:szCs w:val="24"/>
        </w:rPr>
        <w:t xml:space="preserve">具体设备明细如下：</w:t>
      </w:r>
      <w:r/>
    </w:p>
    <w:tbl>
      <w:tblPr>
        <w:tblStyle w:val="72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25"/>
        <w:gridCol w:w="3163"/>
        <w:gridCol w:w="1665"/>
        <w:gridCol w:w="2003"/>
        <w:gridCol w:w="2090"/>
      </w:tblGrid>
      <w:tr>
        <w:trPr>
          <w:trHeight w:val="505"/>
        </w:trPr>
        <w:tc>
          <w:tcPr>
            <w:tcBorders>
              <w:top w:val="single" w:color="auto" w:sz="4" w:space="0"/>
              <w:left w:val="single" w:color="auto" w:sz="4" w:space="0"/>
              <w:bottom w:val="single" w:color="auto" w:sz="4" w:space="0"/>
              <w:right w:val="single" w:color="auto" w:sz="4" w:space="0"/>
            </w:tcBorders>
            <w:tcW w:w="423" w:type="pct"/>
            <w:vAlign w:val="center"/>
            <w:textDirection w:val="lrTb"/>
            <w:noWrap/>
          </w:tcPr>
          <w:p>
            <w:pPr>
              <w:contextualSpacing/>
              <w:spacing w:line="480" w:lineRule="exact"/>
              <w:rPr>
                <w:rFonts w:asciiTheme="minorEastAsia" w:hAnsiTheme="minorEastAsia" w:eastAsiaTheme="minorEastAsia"/>
                <w:b w:val="0"/>
                <w:bCs/>
                <w:sz w:val="24"/>
                <w:szCs w:val="24"/>
              </w:rPr>
              <w:outlineLvl w:val="0"/>
            </w:pPr>
            <w:r/>
            <w:bookmarkStart w:id="43" w:name="OLE_LINK13"/>
            <w:r/>
            <w:bookmarkStart w:id="44" w:name="OLE_LINK12"/>
            <w:r>
              <w:rPr>
                <w:rFonts w:hint="eastAsia" w:asciiTheme="minorEastAsia" w:hAnsiTheme="minorEastAsia" w:eastAsiaTheme="minorEastAsia"/>
                <w:b w:val="0"/>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tcPr>
          <w:p>
            <w:pPr>
              <w:contextualSpacing/>
              <w:ind w:firstLine="1200"/>
              <w:spacing w:line="480" w:lineRule="exact"/>
              <w:rPr>
                <w:rFonts w:asciiTheme="minorEastAsia" w:hAnsiTheme="minorEastAsia" w:eastAsiaTheme="minorEastAsia"/>
                <w:b w:val="0"/>
                <w:bCs/>
                <w:sz w:val="24"/>
                <w:szCs w:val="24"/>
              </w:rPr>
              <w:outlineLvl w:val="0"/>
            </w:pPr>
            <w:r>
              <w:rPr>
                <w:rFonts w:hint="eastAsia" w:asciiTheme="minorEastAsia" w:hAnsiTheme="minorEastAsia" w:eastAsiaTheme="minorEastAsia"/>
                <w:b w:val="0"/>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854" w:type="pct"/>
            <w:vAlign w:val="center"/>
            <w:textDirection w:val="lrTb"/>
            <w:noWrap/>
          </w:tcPr>
          <w:p>
            <w:pPr>
              <w:contextualSpacing/>
              <w:ind w:firstLine="480"/>
              <w:spacing w:line="480" w:lineRule="exact"/>
              <w:rPr>
                <w:rFonts w:asciiTheme="minorEastAsia" w:hAnsiTheme="minorEastAsia" w:eastAsiaTheme="minorEastAsia"/>
                <w:b w:val="0"/>
                <w:bCs/>
                <w:sz w:val="24"/>
                <w:szCs w:val="24"/>
              </w:rPr>
              <w:outlineLvl w:val="0"/>
            </w:pPr>
            <w:r>
              <w:rPr>
                <w:rFonts w:hint="eastAsia" w:asciiTheme="minorEastAsia" w:hAnsiTheme="minorEastAsia" w:eastAsiaTheme="minorEastAsia"/>
                <w:b w:val="0"/>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1027" w:type="pct"/>
            <w:vAlign w:val="center"/>
            <w:textDirection w:val="lrTb"/>
            <w:noWrap/>
          </w:tcPr>
          <w:p>
            <w:pPr>
              <w:contextualSpacing/>
              <w:ind w:firstLine="480"/>
              <w:spacing w:line="480" w:lineRule="exact"/>
              <w:rPr>
                <w:rFonts w:asciiTheme="minorEastAsia" w:hAnsiTheme="minorEastAsia" w:eastAsiaTheme="minorEastAsia"/>
                <w:b w:val="0"/>
                <w:bCs/>
                <w:sz w:val="24"/>
                <w:szCs w:val="24"/>
              </w:rPr>
              <w:outlineLvl w:val="0"/>
            </w:pPr>
            <w:r>
              <w:rPr>
                <w:rFonts w:hint="eastAsia" w:asciiTheme="minorEastAsia" w:hAnsiTheme="minorEastAsia" w:eastAsiaTheme="minorEastAsia"/>
                <w:b w:val="0"/>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tcPr>
          <w:p>
            <w:pPr>
              <w:contextualSpacing/>
              <w:ind w:firstLine="480"/>
              <w:spacing w:line="480" w:lineRule="exact"/>
              <w:rPr>
                <w:rFonts w:asciiTheme="minorEastAsia" w:hAnsiTheme="minorEastAsia" w:eastAsiaTheme="minorEastAsia"/>
                <w:b w:val="0"/>
                <w:bCs/>
                <w:sz w:val="24"/>
                <w:szCs w:val="24"/>
              </w:rPr>
              <w:outlineLvl w:val="0"/>
            </w:pPr>
            <w:r>
              <w:rPr>
                <w:rFonts w:hint="eastAsia" w:asciiTheme="minorEastAsia" w:hAnsiTheme="minorEastAsia" w:eastAsiaTheme="minorEastAsia"/>
                <w:b w:val="0"/>
                <w:bCs/>
                <w:sz w:val="24"/>
                <w:szCs w:val="24"/>
              </w:rPr>
              <w:t xml:space="preserve">备注</w:t>
            </w:r>
            <w:r/>
          </w:p>
        </w:tc>
      </w:tr>
      <w:tr>
        <w:trPr>
          <w:trHeight w:val="483"/>
        </w:trPr>
        <w:tc>
          <w:tcPr>
            <w:tcBorders>
              <w:top w:val="single" w:color="auto" w:sz="4" w:space="0"/>
              <w:left w:val="single" w:color="auto" w:sz="4" w:space="0"/>
              <w:bottom w:val="single" w:color="auto" w:sz="4" w:space="0"/>
              <w:right w:val="single" w:color="auto" w:sz="4" w:space="0"/>
            </w:tcBorders>
            <w:tcW w:w="423" w:type="pct"/>
            <w:vAlign w:val="center"/>
            <w:textDirection w:val="lrTb"/>
            <w:noWrap/>
          </w:tcPr>
          <w:p>
            <w:pPr>
              <w:contextualSpacing/>
              <w:ind w:firstLine="240"/>
              <w:spacing w:line="480" w:lineRule="exact"/>
              <w:rPr>
                <w:rFonts w:asciiTheme="minorEastAsia" w:hAnsiTheme="minorEastAsia" w:eastAsiaTheme="minorEastAsia"/>
                <w:b w:val="0"/>
                <w:bCs/>
                <w:sz w:val="24"/>
                <w:szCs w:val="24"/>
              </w:rPr>
              <w:outlineLvl w:val="0"/>
            </w:pPr>
            <w:r>
              <w:rPr>
                <w:rFonts w:hint="eastAsia" w:asciiTheme="minorEastAsia" w:hAnsiTheme="minorEastAsia" w:eastAsiaTheme="minorEastAsia"/>
                <w:b w:val="0"/>
                <w:bCs/>
                <w:sz w:val="24"/>
                <w:szCs w:val="24"/>
              </w:rPr>
              <w:t xml:space="preserve">1</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tcPr>
          <w:p>
            <w:pPr>
              <w:contextualSpacing/>
              <w:ind w:firstLine="480"/>
              <w:spacing w:line="480" w:lineRule="exact"/>
              <w:rPr>
                <w:rFonts w:asciiTheme="minorEastAsia" w:hAnsiTheme="minorEastAsia" w:eastAsiaTheme="minorEastAsia"/>
                <w:b w:val="0"/>
                <w:bCs/>
                <w:sz w:val="24"/>
                <w:szCs w:val="24"/>
              </w:rPr>
              <w:outlineLvl w:val="0"/>
            </w:pPr>
            <w:r>
              <w:rPr>
                <w:rFonts w:hint="eastAsia" w:asciiTheme="minorEastAsia" w:hAnsiTheme="minorEastAsia" w:eastAsiaTheme="minorEastAsia"/>
                <w:b w:val="0"/>
                <w:bCs/>
                <w:sz w:val="24"/>
                <w:szCs w:val="24"/>
              </w:rPr>
              <w:t xml:space="preserve">小型农村污水处理设施</w:t>
            </w:r>
            <w:r/>
          </w:p>
        </w:tc>
        <w:tc>
          <w:tcPr>
            <w:tcBorders>
              <w:top w:val="single" w:color="auto" w:sz="4" w:space="0"/>
              <w:left w:val="single" w:color="auto" w:sz="4" w:space="0"/>
              <w:bottom w:val="single" w:color="auto" w:sz="4" w:space="0"/>
              <w:right w:val="single" w:color="auto" w:sz="4" w:space="0"/>
            </w:tcBorders>
            <w:tcW w:w="854" w:type="pct"/>
            <w:vAlign w:val="center"/>
            <w:textDirection w:val="lrTb"/>
            <w:noWrap/>
          </w:tcPr>
          <w:p>
            <w:pPr>
              <w:contextualSpacing/>
              <w:ind w:firstLine="480"/>
              <w:spacing w:line="480" w:lineRule="exact"/>
              <w:rPr>
                <w:rFonts w:asciiTheme="minorEastAsia" w:hAnsiTheme="minorEastAsia" w:eastAsiaTheme="minorEastAsia"/>
                <w:b w:val="0"/>
                <w:bCs/>
                <w:sz w:val="24"/>
                <w:szCs w:val="24"/>
              </w:rPr>
              <w:outlineLvl w:val="0"/>
            </w:pPr>
            <w:r>
              <w:rPr>
                <w:rFonts w:hint="eastAsia" w:asciiTheme="minorEastAsia" w:hAnsiTheme="minorEastAsia" w:eastAsiaTheme="minorEastAsia"/>
                <w:b w:val="0"/>
                <w:bCs/>
                <w:sz w:val="24"/>
                <w:szCs w:val="24"/>
              </w:rPr>
              <w:t xml:space="preserve">台</w:t>
            </w:r>
            <w:r/>
          </w:p>
        </w:tc>
        <w:tc>
          <w:tcPr>
            <w:tcBorders>
              <w:top w:val="single" w:color="auto" w:sz="4" w:space="0"/>
              <w:left w:val="single" w:color="auto" w:sz="4" w:space="0"/>
              <w:bottom w:val="single" w:color="auto" w:sz="4" w:space="0"/>
              <w:right w:val="single" w:color="auto" w:sz="4" w:space="0"/>
            </w:tcBorders>
            <w:tcW w:w="1027" w:type="pct"/>
            <w:vAlign w:val="center"/>
            <w:textDirection w:val="lrTb"/>
            <w:noWrap/>
          </w:tcPr>
          <w:p>
            <w:pPr>
              <w:contextualSpacing/>
              <w:ind w:firstLine="480"/>
              <w:spacing w:line="480" w:lineRule="exact"/>
              <w:rPr>
                <w:rFonts w:hint="eastAsia" w:asciiTheme="minorEastAsia" w:hAnsiTheme="minorEastAsia" w:eastAsiaTheme="minorEastAsia"/>
                <w:b w:val="0"/>
                <w:bCs/>
                <w:sz w:val="24"/>
                <w:szCs w:val="24"/>
                <w:lang w:eastAsia="zh-CN"/>
              </w:rPr>
              <w:outlineLvl w:val="0"/>
            </w:pPr>
            <w:r>
              <w:rPr>
                <w:rFonts w:hint="eastAsia" w:asciiTheme="minorEastAsia" w:hAnsiTheme="minorEastAsia" w:eastAsiaTheme="minorEastAsia"/>
                <w:b w:val="0"/>
                <w:bCs/>
                <w:sz w:val="24"/>
                <w:szCs w:val="24"/>
              </w:rPr>
              <w:t xml:space="preserve">34</w:t>
            </w:r>
            <w:r>
              <w:rPr>
                <w:rFonts w:hint="eastAsia" w:asciiTheme="minorEastAsia" w:hAnsiTheme="minorEastAsia" w:eastAsiaTheme="minorEastAsia"/>
                <w:b w:val="0"/>
                <w:bCs/>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072" w:type="pct"/>
            <w:vAlign w:val="center"/>
            <w:vMerge w:val="restart"/>
            <w:textDirection w:val="lrTb"/>
            <w:noWrap/>
          </w:tcPr>
          <w:p>
            <w:pPr>
              <w:contextualSpacing/>
              <w:spacing w:line="480" w:lineRule="exact"/>
              <w:rPr>
                <w:rFonts w:asciiTheme="minorEastAsia" w:hAnsiTheme="minorEastAsia" w:eastAsiaTheme="minorEastAsia"/>
                <w:b w:val="0"/>
                <w:bCs/>
                <w:sz w:val="24"/>
                <w:szCs w:val="24"/>
              </w:rPr>
              <w:outlineLvl w:val="0"/>
            </w:pPr>
            <w:r>
              <w:rPr>
                <w:rFonts w:asciiTheme="minorEastAsia" w:hAnsiTheme="minorEastAsia" w:eastAsiaTheme="minorEastAsia"/>
                <w:b w:val="0"/>
                <w:bCs/>
                <w:sz w:val="24"/>
                <w:szCs w:val="24"/>
              </w:rPr>
            </w:r>
            <w:r/>
          </w:p>
        </w:tc>
      </w:tr>
      <w:tr>
        <w:trPr>
          <w:trHeight w:val="370"/>
        </w:trPr>
        <w:tc>
          <w:tcPr>
            <w:tcBorders>
              <w:top w:val="single" w:color="auto" w:sz="4" w:space="0"/>
              <w:left w:val="single" w:color="auto" w:sz="4" w:space="0"/>
              <w:bottom w:val="single" w:color="auto" w:sz="4" w:space="0"/>
              <w:right w:val="single" w:color="auto" w:sz="4" w:space="0"/>
            </w:tcBorders>
            <w:tcW w:w="423" w:type="pct"/>
            <w:vAlign w:val="center"/>
            <w:textDirection w:val="lrTb"/>
            <w:noWrap/>
          </w:tcPr>
          <w:p>
            <w:pPr>
              <w:contextualSpacing/>
              <w:ind w:firstLine="240"/>
              <w:spacing w:line="480" w:lineRule="exact"/>
              <w:rPr>
                <w:rFonts w:asciiTheme="minorEastAsia" w:hAnsiTheme="minorEastAsia" w:eastAsiaTheme="minorEastAsia"/>
                <w:b w:val="0"/>
                <w:bCs/>
                <w:sz w:val="24"/>
                <w:szCs w:val="24"/>
              </w:rPr>
              <w:outlineLvl w:val="0"/>
            </w:pPr>
            <w:r>
              <w:rPr>
                <w:rFonts w:hint="eastAsia" w:asciiTheme="minorEastAsia" w:hAnsiTheme="minorEastAsia" w:eastAsiaTheme="minorEastAsia"/>
                <w:b w:val="0"/>
                <w:bCs/>
                <w:sz w:val="24"/>
                <w:szCs w:val="24"/>
              </w:rPr>
              <w:t xml:space="preserve">2</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tcPr>
          <w:p>
            <w:pPr>
              <w:contextualSpacing/>
              <w:ind w:firstLine="480"/>
              <w:spacing w:line="480" w:lineRule="exact"/>
              <w:rPr>
                <w:rFonts w:asciiTheme="minorEastAsia" w:hAnsiTheme="minorEastAsia" w:eastAsiaTheme="minorEastAsia"/>
                <w:b w:val="0"/>
                <w:bCs/>
                <w:sz w:val="24"/>
                <w:szCs w:val="24"/>
              </w:rPr>
              <w:outlineLvl w:val="0"/>
            </w:pPr>
            <w:r>
              <w:rPr>
                <w:rFonts w:hint="eastAsia" w:asciiTheme="minorEastAsia" w:hAnsiTheme="minorEastAsia" w:eastAsiaTheme="minorEastAsia"/>
                <w:b w:val="0"/>
                <w:bCs/>
                <w:sz w:val="24"/>
                <w:szCs w:val="24"/>
              </w:rPr>
              <w:t xml:space="preserve">无动力设施</w:t>
            </w:r>
            <w:r/>
          </w:p>
        </w:tc>
        <w:tc>
          <w:tcPr>
            <w:tcBorders>
              <w:top w:val="single" w:color="auto" w:sz="4" w:space="0"/>
              <w:left w:val="single" w:color="auto" w:sz="4" w:space="0"/>
              <w:bottom w:val="single" w:color="auto" w:sz="4" w:space="0"/>
              <w:right w:val="single" w:color="auto" w:sz="4" w:space="0"/>
            </w:tcBorders>
            <w:tcW w:w="854" w:type="pct"/>
            <w:vAlign w:val="center"/>
            <w:textDirection w:val="lrTb"/>
            <w:noWrap/>
          </w:tcPr>
          <w:p>
            <w:pPr>
              <w:contextualSpacing/>
              <w:ind w:firstLine="480"/>
              <w:spacing w:line="480" w:lineRule="exact"/>
              <w:rPr>
                <w:rFonts w:asciiTheme="minorEastAsia" w:hAnsiTheme="minorEastAsia" w:eastAsiaTheme="minorEastAsia"/>
                <w:b w:val="0"/>
                <w:bCs/>
                <w:sz w:val="24"/>
                <w:szCs w:val="24"/>
              </w:rPr>
              <w:outlineLvl w:val="0"/>
            </w:pPr>
            <w:r>
              <w:rPr>
                <w:rFonts w:hint="eastAsia" w:asciiTheme="minorEastAsia" w:hAnsiTheme="minorEastAsia" w:eastAsiaTheme="minorEastAsia"/>
                <w:b w:val="0"/>
                <w:bCs/>
                <w:sz w:val="24"/>
                <w:szCs w:val="24"/>
              </w:rPr>
              <w:t xml:space="preserve">套</w:t>
            </w:r>
            <w:r/>
          </w:p>
        </w:tc>
        <w:tc>
          <w:tcPr>
            <w:tcBorders>
              <w:top w:val="single" w:color="auto" w:sz="4" w:space="0"/>
              <w:left w:val="single" w:color="auto" w:sz="4" w:space="0"/>
              <w:bottom w:val="single" w:color="auto" w:sz="4" w:space="0"/>
              <w:right w:val="single" w:color="auto" w:sz="4" w:space="0"/>
            </w:tcBorders>
            <w:tcW w:w="1027" w:type="pct"/>
            <w:vAlign w:val="center"/>
            <w:textDirection w:val="lrTb"/>
            <w:noWrap/>
          </w:tcPr>
          <w:p>
            <w:pPr>
              <w:contextualSpacing/>
              <w:ind w:firstLine="480"/>
              <w:spacing w:line="480" w:lineRule="exact"/>
              <w:rPr>
                <w:rFonts w:hint="default" w:asciiTheme="minorEastAsia" w:hAnsiTheme="minorEastAsia" w:eastAsiaTheme="minorEastAsia"/>
                <w:b w:val="0"/>
                <w:bCs/>
                <w:sz w:val="24"/>
                <w:szCs w:val="24"/>
                <w:lang w:val="en-US" w:eastAsia="zh-CN"/>
              </w:rPr>
              <w:outlineLvl w:val="0"/>
            </w:pPr>
            <w:r>
              <w:rPr>
                <w:rFonts w:hint="eastAsia" w:asciiTheme="minorEastAsia" w:hAnsiTheme="minorEastAsia" w:eastAsiaTheme="minorEastAsia"/>
                <w:b w:val="0"/>
                <w:bCs/>
                <w:sz w:val="24"/>
                <w:szCs w:val="24"/>
              </w:rPr>
              <w:t xml:space="preserve">14</w:t>
            </w:r>
            <w:r>
              <w:rPr>
                <w:rFonts w:hint="eastAsia" w:asciiTheme="minorEastAsia" w:hAnsiTheme="minorEastAsia" w:eastAsiaTheme="minorEastAsia"/>
                <w:b w:val="0"/>
                <w:bCs/>
                <w:sz w:val="24"/>
                <w:szCs w:val="24"/>
                <w:lang w:val="en-US" w:eastAsia="zh-CN"/>
              </w:rPr>
              <w:t xml:space="preserve">73</w:t>
            </w:r>
            <w:r/>
          </w:p>
        </w:tc>
        <w:tc>
          <w:tcPr>
            <w:tcBorders>
              <w:top w:val="single" w:color="auto" w:sz="4" w:space="0"/>
              <w:left w:val="single" w:color="auto" w:sz="4" w:space="0"/>
              <w:bottom w:val="single" w:color="auto" w:sz="4" w:space="0"/>
              <w:right w:val="single" w:color="auto" w:sz="4" w:space="0"/>
            </w:tcBorders>
            <w:tcW w:w="1072" w:type="pct"/>
            <w:vAlign w:val="center"/>
            <w:vMerge w:val="continue"/>
            <w:textDirection w:val="lrTb"/>
            <w:noWrap/>
          </w:tcPr>
          <w:p>
            <w:pPr>
              <w:contextualSpacing/>
              <w:ind w:firstLine="480"/>
              <w:spacing w:line="480" w:lineRule="exact"/>
              <w:rPr>
                <w:rFonts w:asciiTheme="minorEastAsia" w:hAnsiTheme="minorEastAsia" w:eastAsiaTheme="minorEastAsia"/>
                <w:b w:val="0"/>
                <w:bCs/>
                <w:sz w:val="24"/>
                <w:szCs w:val="24"/>
              </w:rPr>
              <w:outlineLvl w:val="0"/>
            </w:pPr>
            <w:r>
              <w:rPr>
                <w:rFonts w:asciiTheme="minorEastAsia" w:hAnsiTheme="minorEastAsia" w:eastAsiaTheme="minorEastAsia"/>
                <w:b w:val="0"/>
                <w:bCs/>
                <w:sz w:val="24"/>
                <w:szCs w:val="24"/>
              </w:rPr>
            </w:r>
            <w:r/>
          </w:p>
        </w:tc>
      </w:tr>
      <w:tr>
        <w:trPr>
          <w:trHeight w:val="370"/>
        </w:trPr>
        <w:tc>
          <w:tcPr>
            <w:tcBorders>
              <w:top w:val="single" w:color="auto" w:sz="4" w:space="0"/>
              <w:left w:val="single" w:color="auto" w:sz="4" w:space="0"/>
              <w:bottom w:val="single" w:color="auto" w:sz="4" w:space="0"/>
              <w:right w:val="single" w:color="auto" w:sz="4" w:space="0"/>
            </w:tcBorders>
            <w:tcW w:w="423" w:type="pct"/>
            <w:vAlign w:val="center"/>
            <w:textDirection w:val="lrTb"/>
            <w:noWrap/>
          </w:tcPr>
          <w:p>
            <w:pPr>
              <w:contextualSpacing/>
              <w:ind w:firstLine="240"/>
              <w:spacing w:line="480" w:lineRule="exact"/>
              <w:rPr>
                <w:rFonts w:hint="eastAsia" w:asciiTheme="minorEastAsia" w:hAnsiTheme="minorEastAsia" w:eastAsiaTheme="minorEastAsia"/>
                <w:b w:val="0"/>
                <w:bCs/>
                <w:sz w:val="24"/>
                <w:szCs w:val="24"/>
                <w:lang w:val="en-US" w:eastAsia="zh-CN"/>
              </w:rPr>
              <w:outlineLvl w:val="0"/>
            </w:pPr>
            <w:r>
              <w:rPr>
                <w:rFonts w:hint="eastAsia" w:asciiTheme="minorEastAsia" w:hAnsiTheme="minorEastAsia" w:eastAsiaTheme="minorEastAsia"/>
                <w:b w:val="0"/>
                <w:bCs/>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tcPr>
          <w:p>
            <w:pPr>
              <w:contextualSpacing/>
              <w:ind w:firstLine="480"/>
              <w:spacing w:line="480" w:lineRule="exact"/>
              <w:rPr>
                <w:rFonts w:hint="eastAsia" w:asciiTheme="minorEastAsia" w:hAnsiTheme="minorEastAsia" w:eastAsiaTheme="minorEastAsia"/>
                <w:b w:val="0"/>
                <w:bCs/>
                <w:sz w:val="24"/>
                <w:szCs w:val="24"/>
                <w:lang w:val="en-US" w:eastAsia="zh-CN"/>
              </w:rPr>
              <w:outlineLvl w:val="0"/>
            </w:pPr>
            <w:r>
              <w:rPr>
                <w:rFonts w:hint="eastAsia" w:asciiTheme="minorEastAsia" w:hAnsiTheme="minorEastAsia" w:eastAsiaTheme="minorEastAsia"/>
                <w:b w:val="0"/>
                <w:bCs/>
                <w:sz w:val="24"/>
                <w:szCs w:val="24"/>
                <w:lang w:val="en-US" w:eastAsia="zh-CN"/>
              </w:rPr>
              <w:t xml:space="preserve">提升泵站</w:t>
            </w:r>
            <w:r/>
          </w:p>
        </w:tc>
        <w:tc>
          <w:tcPr>
            <w:tcBorders>
              <w:top w:val="single" w:color="auto" w:sz="4" w:space="0"/>
              <w:left w:val="single" w:color="auto" w:sz="4" w:space="0"/>
              <w:bottom w:val="single" w:color="auto" w:sz="4" w:space="0"/>
              <w:right w:val="single" w:color="auto" w:sz="4" w:space="0"/>
            </w:tcBorders>
            <w:tcW w:w="854" w:type="pct"/>
            <w:vAlign w:val="center"/>
            <w:textDirection w:val="lrTb"/>
            <w:noWrap/>
          </w:tcPr>
          <w:p>
            <w:pPr>
              <w:contextualSpacing/>
              <w:ind w:firstLine="480"/>
              <w:spacing w:line="480" w:lineRule="exact"/>
              <w:rPr>
                <w:rFonts w:hint="eastAsia" w:asciiTheme="minorEastAsia" w:hAnsiTheme="minorEastAsia" w:eastAsiaTheme="minorEastAsia"/>
                <w:b w:val="0"/>
                <w:bCs/>
                <w:sz w:val="24"/>
                <w:szCs w:val="24"/>
                <w:lang w:val="en-US" w:eastAsia="zh-CN"/>
              </w:rPr>
              <w:outlineLvl w:val="0"/>
            </w:pPr>
            <w:r>
              <w:rPr>
                <w:rFonts w:hint="eastAsia" w:asciiTheme="minorEastAsia" w:hAnsiTheme="minorEastAsia" w:eastAsiaTheme="minorEastAsia"/>
                <w:b w:val="0"/>
                <w:bCs/>
                <w:sz w:val="24"/>
                <w:szCs w:val="24"/>
                <w:lang w:val="en-US" w:eastAsia="zh-CN"/>
              </w:rPr>
              <w:t xml:space="preserve">套</w:t>
            </w:r>
            <w:r/>
          </w:p>
        </w:tc>
        <w:tc>
          <w:tcPr>
            <w:tcBorders>
              <w:top w:val="single" w:color="auto" w:sz="4" w:space="0"/>
              <w:left w:val="single" w:color="auto" w:sz="4" w:space="0"/>
              <w:bottom w:val="single" w:color="auto" w:sz="4" w:space="0"/>
              <w:right w:val="single" w:color="auto" w:sz="4" w:space="0"/>
            </w:tcBorders>
            <w:tcW w:w="1027" w:type="pct"/>
            <w:vAlign w:val="center"/>
            <w:textDirection w:val="lrTb"/>
            <w:noWrap/>
          </w:tcPr>
          <w:p>
            <w:pPr>
              <w:contextualSpacing/>
              <w:ind w:firstLine="480"/>
              <w:spacing w:line="480" w:lineRule="exact"/>
              <w:rPr>
                <w:rFonts w:hint="eastAsia" w:asciiTheme="minorEastAsia" w:hAnsiTheme="minorEastAsia" w:eastAsiaTheme="minorEastAsia"/>
                <w:b w:val="0"/>
                <w:bCs/>
                <w:sz w:val="24"/>
                <w:szCs w:val="24"/>
                <w:lang w:val="en-US" w:eastAsia="zh-CN"/>
              </w:rPr>
              <w:outlineLvl w:val="0"/>
            </w:pPr>
            <w:r>
              <w:rPr>
                <w:rFonts w:hint="eastAsia" w:asciiTheme="minorEastAsia" w:hAnsiTheme="minorEastAsia" w:eastAsiaTheme="minorEastAsia"/>
                <w:b w:val="0"/>
                <w:bCs/>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tcPr>
          <w:p>
            <w:pPr>
              <w:contextualSpacing/>
              <w:ind w:firstLine="480"/>
              <w:spacing w:line="480" w:lineRule="exact"/>
              <w:rPr>
                <w:rFonts w:asciiTheme="minorEastAsia" w:hAnsiTheme="minorEastAsia" w:eastAsiaTheme="minorEastAsia"/>
                <w:b w:val="0"/>
                <w:bCs/>
                <w:sz w:val="24"/>
                <w:szCs w:val="24"/>
              </w:rPr>
              <w:outlineLvl w:val="0"/>
            </w:pPr>
            <w:r>
              <w:rPr>
                <w:rFonts w:asciiTheme="minorEastAsia" w:hAnsiTheme="minorEastAsia" w:eastAsiaTheme="minorEastAsia"/>
                <w:b w:val="0"/>
                <w:bCs/>
                <w:sz w:val="24"/>
                <w:szCs w:val="24"/>
              </w:rPr>
            </w:r>
            <w:r/>
          </w:p>
        </w:tc>
      </w:tr>
    </w:tbl>
    <w:p>
      <w:pPr>
        <w:contextualSpacing/>
        <w:ind w:firstLine="480"/>
        <w:spacing w:line="480" w:lineRule="exact"/>
        <w:rPr>
          <w:rFonts w:asciiTheme="minorEastAsia" w:hAnsiTheme="minorEastAsia" w:eastAsiaTheme="minorEastAsia"/>
          <w:b w:val="0"/>
          <w:bCs/>
          <w:sz w:val="24"/>
          <w:szCs w:val="24"/>
        </w:rPr>
        <w:outlineLvl w:val="0"/>
      </w:pPr>
      <w:r>
        <w:rPr>
          <w:rFonts w:hint="eastAsia" w:asciiTheme="minorEastAsia" w:hAnsiTheme="minorEastAsia" w:eastAsiaTheme="minorEastAsia"/>
          <w:b w:val="0"/>
          <w:bCs/>
          <w:sz w:val="24"/>
          <w:szCs w:val="24"/>
        </w:rPr>
        <w:t xml:space="preserve">注</w:t>
      </w:r>
      <w:r>
        <w:rPr>
          <w:rFonts w:asciiTheme="minorEastAsia" w:hAnsiTheme="minorEastAsia" w:eastAsiaTheme="minorEastAsia"/>
          <w:b w:val="0"/>
          <w:bCs/>
          <w:sz w:val="24"/>
          <w:szCs w:val="24"/>
        </w:rPr>
        <w:t xml:space="preserve">：202</w:t>
      </w:r>
      <w:r>
        <w:rPr>
          <w:rFonts w:hint="eastAsia" w:asciiTheme="minorEastAsia" w:hAnsiTheme="minorEastAsia" w:eastAsiaTheme="minorEastAsia"/>
          <w:b w:val="0"/>
          <w:bCs/>
          <w:sz w:val="24"/>
          <w:szCs w:val="24"/>
          <w:lang w:val="en-US" w:eastAsia="zh-CN"/>
        </w:rPr>
        <w:t xml:space="preserve">6</w:t>
      </w:r>
      <w:r>
        <w:rPr>
          <w:rFonts w:hint="eastAsia" w:asciiTheme="minorEastAsia" w:hAnsiTheme="minorEastAsia" w:eastAsiaTheme="minorEastAsia"/>
          <w:b w:val="0"/>
          <w:bCs/>
          <w:sz w:val="24"/>
          <w:szCs w:val="24"/>
        </w:rPr>
        <w:t xml:space="preserve">年以前已建成累计34</w:t>
      </w:r>
      <w:r>
        <w:rPr>
          <w:rFonts w:hint="eastAsia" w:asciiTheme="minorEastAsia" w:hAnsiTheme="minorEastAsia" w:eastAsiaTheme="minorEastAsia"/>
          <w:b w:val="0"/>
          <w:bCs/>
          <w:sz w:val="24"/>
          <w:szCs w:val="24"/>
          <w:lang w:val="en-US" w:eastAsia="zh-CN"/>
        </w:rPr>
        <w:t xml:space="preserve">2</w:t>
      </w:r>
      <w:r>
        <w:rPr>
          <w:rFonts w:hint="eastAsia" w:asciiTheme="minorEastAsia" w:hAnsiTheme="minorEastAsia" w:eastAsiaTheme="minorEastAsia"/>
          <w:b w:val="0"/>
          <w:bCs/>
          <w:sz w:val="24"/>
          <w:szCs w:val="24"/>
        </w:rPr>
        <w:t xml:space="preserve">台小型农村污水处理设施</w:t>
      </w:r>
      <w:r>
        <w:rPr>
          <w:rFonts w:hint="eastAsia" w:asciiTheme="minorEastAsia" w:hAnsiTheme="minorEastAsia" w:eastAsiaTheme="minorEastAsia"/>
          <w:b w:val="0"/>
          <w:bCs/>
          <w:sz w:val="24"/>
          <w:szCs w:val="24"/>
          <w:lang w:eastAsia="zh-CN"/>
        </w:rPr>
        <w:t xml:space="preserve">、</w:t>
      </w:r>
      <w:r>
        <w:rPr>
          <w:rFonts w:hint="eastAsia" w:asciiTheme="minorEastAsia" w:hAnsiTheme="minorEastAsia" w:eastAsiaTheme="minorEastAsia"/>
          <w:b w:val="0"/>
          <w:bCs/>
          <w:sz w:val="24"/>
          <w:szCs w:val="24"/>
          <w:lang w:val="en-US" w:eastAsia="zh-CN"/>
        </w:rPr>
        <w:t xml:space="preserve">4套提升泵站</w:t>
      </w:r>
      <w:r>
        <w:rPr>
          <w:rFonts w:hint="eastAsia" w:asciiTheme="minorEastAsia" w:hAnsiTheme="minorEastAsia" w:eastAsiaTheme="minorEastAsia"/>
          <w:b w:val="0"/>
          <w:bCs/>
          <w:sz w:val="24"/>
          <w:szCs w:val="24"/>
        </w:rPr>
        <w:t xml:space="preserve">以及14</w:t>
      </w:r>
      <w:r>
        <w:rPr>
          <w:rFonts w:hint="eastAsia" w:asciiTheme="minorEastAsia" w:hAnsiTheme="minorEastAsia" w:eastAsiaTheme="minorEastAsia"/>
          <w:b w:val="0"/>
          <w:bCs/>
          <w:sz w:val="24"/>
          <w:szCs w:val="24"/>
          <w:lang w:val="en-US" w:eastAsia="zh-CN"/>
        </w:rPr>
        <w:t xml:space="preserve">73</w:t>
      </w:r>
      <w:r>
        <w:rPr>
          <w:rFonts w:hint="eastAsia" w:asciiTheme="minorEastAsia" w:hAnsiTheme="minorEastAsia" w:eastAsiaTheme="minorEastAsia"/>
          <w:b w:val="0"/>
          <w:bCs/>
          <w:sz w:val="24"/>
          <w:szCs w:val="24"/>
        </w:rPr>
        <w:t xml:space="preserve">套无动力设施进行日常运营管理、维护及保养，对所属设施的配套管网进行</w:t>
      </w:r>
      <w:r>
        <w:rPr>
          <w:rFonts w:hint="eastAsia" w:asciiTheme="minorEastAsia" w:hAnsiTheme="minorEastAsia" w:eastAsiaTheme="minorEastAsia"/>
          <w:b w:val="0"/>
          <w:bCs/>
          <w:sz w:val="24"/>
          <w:szCs w:val="24"/>
          <w:lang w:val="en-US" w:eastAsia="zh-CN"/>
        </w:rPr>
        <w:t xml:space="preserve">全线</w:t>
      </w:r>
      <w:r>
        <w:rPr>
          <w:rFonts w:hint="eastAsia" w:asciiTheme="minorEastAsia" w:hAnsiTheme="minorEastAsia" w:eastAsiaTheme="minorEastAsia"/>
          <w:b w:val="0"/>
          <w:bCs/>
          <w:sz w:val="24"/>
          <w:szCs w:val="24"/>
        </w:rPr>
        <w:t xml:space="preserve">疏通</w:t>
      </w:r>
      <w:bookmarkEnd w:id="43"/>
      <w:r/>
      <w:bookmarkEnd w:id="44"/>
      <w:r>
        <w:rPr>
          <w:rFonts w:hint="eastAsia" w:asciiTheme="minorEastAsia" w:hAnsiTheme="minorEastAsia" w:eastAsiaTheme="minorEastAsia"/>
          <w:b w:val="0"/>
          <w:bCs/>
          <w:sz w:val="24"/>
          <w:szCs w:val="24"/>
          <w:lang w:eastAsia="zh-CN"/>
        </w:rPr>
        <w:t xml:space="preserve">、</w:t>
      </w:r>
      <w:r>
        <w:rPr>
          <w:rFonts w:hint="eastAsia" w:asciiTheme="minorEastAsia" w:hAnsiTheme="minorEastAsia" w:eastAsiaTheme="minorEastAsia"/>
          <w:b w:val="0"/>
          <w:bCs/>
          <w:sz w:val="24"/>
          <w:szCs w:val="24"/>
          <w:lang w:val="en-US" w:eastAsia="zh-CN"/>
        </w:rPr>
        <w:t xml:space="preserve">运行管理</w:t>
      </w:r>
      <w:r>
        <w:rPr>
          <w:rFonts w:hint="eastAsia" w:asciiTheme="minorEastAsia" w:hAnsiTheme="minorEastAsia" w:eastAsiaTheme="minorEastAsia"/>
          <w:b w:val="0"/>
          <w:bCs/>
          <w:sz w:val="24"/>
          <w:szCs w:val="24"/>
        </w:rPr>
        <w:t xml:space="preserve">。</w:t>
      </w:r>
      <w:r/>
    </w:p>
    <w:p>
      <w:pPr>
        <w:contextualSpacing/>
        <w:ind w:firstLine="240"/>
        <w:spacing w:line="480" w:lineRule="exact"/>
        <w:rPr>
          <w:rFonts w:cs="仿宋" w:asciiTheme="minorEastAsia" w:hAnsiTheme="minorEastAsia" w:eastAsiaTheme="minorEastAsia"/>
          <w:b w:val="0"/>
          <w:bCs/>
          <w:sz w:val="24"/>
          <w:szCs w:val="24"/>
        </w:rPr>
      </w:pPr>
      <w:r>
        <w:rPr>
          <w:rFonts w:hint="eastAsia" w:cs="仿宋" w:asciiTheme="minorEastAsia" w:hAnsiTheme="minorEastAsia" w:eastAsiaTheme="minorEastAsia"/>
          <w:b w:val="0"/>
          <w:bCs/>
          <w:sz w:val="24"/>
          <w:szCs w:val="24"/>
        </w:rPr>
        <w:t xml:space="preserve">二、明确事项：</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中标供应商中标后需对污水设施所在村庄的每个污水设施运行点进行一一核对，在确认所有设施正常运行后，完成交接工作；若有设施未正常运行，由采购人负责在双方协商的规定时间内将设施维修调整至正常使用后，交付中标供应商开展运行维护管理工作，并按时间扣除维修期内的运行维护养护费用。</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在整个委托运营期限内，供应商应始终谨慎运营和维护所有的项目设施，使其处于良好的运营状态，因供应商在污水处理设施管理中运行不当，未及时发现存在问题等管理失职，所产生的一切经济损失由供应商负责。</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因片区地理环境复杂，各投标单位在投标前需自行到现场对处理设施、管网、接入户数等相关要求认真勘察现场。若不现场勘察的投标供应商，须对文件中无法完全写明确的内容、偏差及损失自行承担相应责任。</w:t>
      </w:r>
      <w:r/>
    </w:p>
    <w:p>
      <w:pPr>
        <w:ind w:firstLine="560"/>
        <w:spacing w:line="480" w:lineRule="exact"/>
        <w:rPr>
          <w:rFonts w:cs="仿宋" w:asciiTheme="minorEastAsia" w:hAnsiTheme="minorEastAsia" w:eastAsiaTheme="minorEastAsia"/>
          <w:b w:val="0"/>
          <w:bCs/>
          <w:sz w:val="24"/>
          <w:szCs w:val="24"/>
        </w:rPr>
      </w:pPr>
      <w:r>
        <w:rPr>
          <w:rFonts w:hint="eastAsia" w:cs="仿宋" w:asciiTheme="minorEastAsia" w:hAnsiTheme="minorEastAsia" w:eastAsiaTheme="minorEastAsia"/>
          <w:b w:val="0"/>
          <w:bCs/>
          <w:sz w:val="24"/>
          <w:szCs w:val="24"/>
        </w:rPr>
        <w:t xml:space="preserve">4、供应商报价包括服务期内完成该项目工作所需的所有费用，包括人工费（包括人员工资、保险等）、</w:t>
      </w:r>
      <w:r>
        <w:rPr>
          <w:rFonts w:hint="eastAsia" w:cs="仿宋" w:asciiTheme="minorEastAsia" w:hAnsiTheme="minorEastAsia" w:eastAsiaTheme="minorEastAsia"/>
          <w:b w:val="0"/>
          <w:bCs/>
          <w:sz w:val="24"/>
          <w:szCs w:val="24"/>
          <w:highlight w:val="none"/>
        </w:rPr>
        <w:t xml:space="preserve">水费、药剂费、处理设施范围内绿化、围栏、公示牌、环境</w:t>
      </w:r>
      <w:r>
        <w:rPr>
          <w:rFonts w:hint="eastAsia" w:cs="仿宋" w:asciiTheme="minorEastAsia" w:hAnsiTheme="minorEastAsia" w:eastAsiaTheme="minorEastAsia"/>
          <w:b w:val="0"/>
          <w:bCs/>
          <w:sz w:val="24"/>
          <w:szCs w:val="24"/>
        </w:rPr>
        <w:t xml:space="preserve">卫生、管道、窨井及井盖标识等、工具、车辆、机械设备、设备零件费、设施污泥规范处置费及设施运行的相关维护、维修费用（包括电控元器件、水泵、风机、填料等设备维修及更换），如遇不可抗力因素除外。</w:t>
      </w:r>
      <w:r/>
    </w:p>
    <w:p>
      <w:pPr>
        <w:contextualSpacing/>
        <w:spacing w:line="480" w:lineRule="exact"/>
        <w:rPr>
          <w:rFonts w:cs="仿宋" w:asciiTheme="minorEastAsia" w:hAnsiTheme="minorEastAsia" w:eastAsiaTheme="minorEastAsia"/>
          <w:b w:val="0"/>
          <w:bCs/>
          <w:sz w:val="24"/>
          <w:szCs w:val="24"/>
        </w:rPr>
      </w:pPr>
      <w:r>
        <w:rPr>
          <w:rFonts w:hint="eastAsia" w:cs="仿宋" w:asciiTheme="minorEastAsia" w:hAnsiTheme="minorEastAsia" w:eastAsiaTheme="minorEastAsia"/>
          <w:b w:val="0"/>
          <w:bCs/>
          <w:sz w:val="24"/>
          <w:szCs w:val="24"/>
        </w:rPr>
        <w:t xml:space="preserve">三、维护事项：</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污水处理设施运营期间的药剂投放、菌群补充更换及污泥清理处置由中标人负责。运营期出水水质满足江苏省《农村生活污水处理设施水污染物排放标准》DB32/ 3462-2020 相关规定。</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污水处理设施管理办法</w:t>
      </w:r>
      <w:r/>
    </w:p>
    <w:p>
      <w:pPr>
        <w:contextualSpacing/>
        <w:ind w:firstLine="24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（一）目的和范围</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1、实施目的：为规范农村污水处理设施运行管理工作、明确管理职责和管理标准，实现设施正常运行，提高设施运行效率，特制定本办法。</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2、适用范围：经验收合格移交运行管理的农村污水处理设施及配套管网。</w:t>
      </w:r>
      <w:r/>
    </w:p>
    <w:p>
      <w:pPr>
        <w:contextualSpacing/>
        <w:ind w:firstLine="24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（二）污水处理设施范围内的管网设施</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1.管道通畅，无淤积、破损、堵塞。</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2.管道回填面无下陷、开裂、接口无脱落，管道无破损。</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3.检查井井盖、井圈、井口无破损、倾斜、沉降、塌陷。</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4.井盖能正常打开。</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5.井内壁防渗层无破损、渗漏。</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6.井内无杂物堆积、堵塞，流槽无淤积。</w:t>
      </w:r>
      <w:r/>
    </w:p>
    <w:p>
      <w:pPr>
        <w:contextualSpacing/>
        <w:ind w:firstLine="24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（三）污水处理设施</w:t>
      </w:r>
      <w:r/>
    </w:p>
    <w:p>
      <w:pPr>
        <w:contextualSpacing/>
        <w:ind w:firstLine="480"/>
        <w:spacing w:line="480" w:lineRule="exact"/>
        <w:rPr>
          <w:rFonts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1）设施出水水质需达到一级B标准。</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2）格栅完好、齐全，过水通畅。</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3）各池体无垃圾、无堵塞，水位正常，填料完好，挂膜良好。</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4）出水井出水正常，排水通畅。</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5）如有流量计的确保运行和数据显示正常。</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6）水泵、液位计运行正常，接口无脱落，管道无破损。</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7）风机或气泵曝气系统运行正常，曝气均匀，运行参数符合要求。</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8）污泥、污水回流系统运行正常，运行参数符合要求。</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9）废弃物妥善处置。</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10）护栏、围挡和爬梯等完整牢固，无破损。</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11）设备房结构稳定，上锁，无破损，房内设施布置规范、整洁。</w:t>
      </w:r>
      <w:r/>
    </w:p>
    <w:p>
      <w:pPr>
        <w:contextualSpacing/>
        <w:ind w:firstLine="475"/>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12）大标识牌内容完整、表述正确，安装牢固。</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13）工艺流程小标牌数量齐全、内容明晰、安装牢固。</w:t>
      </w:r>
      <w:r/>
    </w:p>
    <w:p>
      <w:pPr>
        <w:contextualSpacing/>
        <w:ind w:firstLine="560"/>
        <w:spacing w:line="480" w:lineRule="exact"/>
        <w:rPr>
          <w:rFonts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14）现场整洁、美观，与村庄环境协调。</w:t>
      </w:r>
      <w:r/>
    </w:p>
    <w:p>
      <w:pPr>
        <w:contextualSpacing/>
        <w:ind w:firstLine="240"/>
        <w:spacing w:line="480" w:lineRule="exact"/>
        <w:rPr>
          <w:rFonts w:cs="仿宋" w:asciiTheme="minorEastAsia" w:hAnsiTheme="minorEastAsia" w:eastAsiaTheme="minorEastAsia"/>
          <w:b w:val="0"/>
          <w:bCs/>
          <w:sz w:val="24"/>
          <w:szCs w:val="24"/>
        </w:rPr>
      </w:pPr>
      <w:r>
        <w:rPr>
          <w:rFonts w:hint="eastAsia" w:cs="仿宋" w:asciiTheme="minorEastAsia" w:hAnsiTheme="minorEastAsia" w:eastAsiaTheme="minorEastAsia"/>
          <w:b w:val="0"/>
          <w:bCs/>
          <w:sz w:val="24"/>
          <w:szCs w:val="24"/>
        </w:rPr>
        <w:t xml:space="preserve">四、责任分工</w:t>
      </w:r>
      <w:r/>
    </w:p>
    <w:p>
      <w:pPr>
        <w:contextualSpacing/>
        <w:ind w:firstLine="560"/>
        <w:spacing w:line="480" w:lineRule="exact"/>
        <w:rPr>
          <w:rFonts w:cs="仿宋" w:asciiTheme="minorEastAsia" w:hAnsiTheme="minorEastAsia" w:eastAsiaTheme="minorEastAsia"/>
          <w:b w:val="0"/>
          <w:bCs/>
          <w:sz w:val="24"/>
          <w:szCs w:val="24"/>
        </w:rPr>
      </w:pPr>
      <w:r>
        <w:rPr>
          <w:rFonts w:hint="eastAsia" w:cs="仿宋" w:asciiTheme="minorEastAsia" w:hAnsiTheme="minorEastAsia" w:eastAsiaTheme="minorEastAsia"/>
          <w:b w:val="0"/>
          <w:bCs/>
          <w:sz w:val="24"/>
          <w:szCs w:val="24"/>
        </w:rPr>
        <w:t xml:space="preserve">1、南通市海门区包场镇人民政府为农村污水处理设施运行管理的监督部门，负责对设施运行管理情况进行监督、检查。</w:t>
      </w:r>
      <w:r/>
    </w:p>
    <w:p>
      <w:pPr>
        <w:contextualSpacing/>
        <w:ind w:firstLine="560"/>
        <w:spacing w:line="480" w:lineRule="exact"/>
        <w:rPr>
          <w:rFonts w:cs="仿宋" w:asciiTheme="minorEastAsia" w:hAnsiTheme="minorEastAsia" w:eastAsiaTheme="minorEastAsia"/>
          <w:b w:val="0"/>
          <w:bCs/>
          <w:sz w:val="24"/>
          <w:szCs w:val="24"/>
        </w:rPr>
      </w:pPr>
      <w:r>
        <w:rPr>
          <w:rFonts w:hint="eastAsia" w:cs="仿宋" w:asciiTheme="minorEastAsia" w:hAnsiTheme="minorEastAsia" w:eastAsiaTheme="minorEastAsia"/>
          <w:b w:val="0"/>
          <w:bCs/>
          <w:sz w:val="24"/>
          <w:szCs w:val="24"/>
        </w:rPr>
        <w:t xml:space="preserve">2、设施运行管理单位，具体负责设施的日常运行、巡查养护、维修管理等工作。</w:t>
      </w:r>
      <w:r/>
    </w:p>
    <w:p>
      <w:pPr>
        <w:contextualSpacing/>
        <w:ind w:firstLine="240"/>
        <w:spacing w:line="480" w:lineRule="exact"/>
        <w:rPr>
          <w:rFonts w:cs="仿宋" w:asciiTheme="minorEastAsia" w:hAnsiTheme="minorEastAsia" w:eastAsiaTheme="minorEastAsia"/>
          <w:b w:val="0"/>
          <w:bCs/>
          <w:sz w:val="24"/>
          <w:szCs w:val="24"/>
        </w:rPr>
      </w:pPr>
      <w:r>
        <w:rPr>
          <w:rFonts w:hint="eastAsia" w:cs="仿宋" w:asciiTheme="minorEastAsia" w:hAnsiTheme="minorEastAsia" w:eastAsiaTheme="minorEastAsia"/>
          <w:b w:val="0"/>
          <w:bCs/>
          <w:sz w:val="24"/>
          <w:szCs w:val="24"/>
        </w:rPr>
        <w:t xml:space="preserve">五、运行管理标准</w:t>
      </w:r>
      <w:r/>
    </w:p>
    <w:p>
      <w:pPr>
        <w:contextualSpacing/>
        <w:ind w:firstLine="560"/>
        <w:spacing w:line="480" w:lineRule="exact"/>
        <w:rPr>
          <w:rFonts w:cs="仿宋" w:asciiTheme="minorEastAsia" w:hAnsiTheme="minorEastAsia" w:eastAsiaTheme="minorEastAsia"/>
          <w:b w:val="0"/>
          <w:bCs/>
          <w:sz w:val="24"/>
          <w:szCs w:val="24"/>
        </w:rPr>
      </w:pPr>
      <w:r>
        <w:rPr>
          <w:rFonts w:hint="eastAsia" w:cs="仿宋" w:asciiTheme="minorEastAsia" w:hAnsiTheme="minorEastAsia" w:eastAsiaTheme="minorEastAsia"/>
          <w:b w:val="0"/>
          <w:bCs/>
          <w:sz w:val="24"/>
          <w:szCs w:val="24"/>
        </w:rPr>
        <w:t xml:space="preserve">1、台账管理</w:t>
      </w:r>
      <w:r/>
    </w:p>
    <w:p>
      <w:pPr>
        <w:contextualSpacing/>
        <w:ind w:firstLine="560"/>
        <w:spacing w:line="480" w:lineRule="exact"/>
        <w:rPr>
          <w:rFonts w:cs="仿宋" w:asciiTheme="minorEastAsia" w:hAnsiTheme="minorEastAsia" w:eastAsiaTheme="minorEastAsia"/>
          <w:b w:val="0"/>
          <w:bCs/>
          <w:sz w:val="24"/>
          <w:szCs w:val="24"/>
        </w:rPr>
      </w:pPr>
      <w:r>
        <w:rPr>
          <w:rFonts w:hint="eastAsia" w:cs="仿宋" w:asciiTheme="minorEastAsia" w:hAnsiTheme="minorEastAsia" w:eastAsiaTheme="minorEastAsia"/>
          <w:b w:val="0"/>
          <w:bCs/>
          <w:sz w:val="24"/>
          <w:szCs w:val="24"/>
        </w:rPr>
        <w:t xml:space="preserve">设施日常巡检、养护、水质检测应做好台账记录，</w:t>
      </w:r>
      <w:r>
        <w:rPr>
          <w:rFonts w:cs="仿宋" w:asciiTheme="minorEastAsia" w:hAnsiTheme="minorEastAsia" w:eastAsiaTheme="minorEastAsia"/>
          <w:b w:val="0"/>
          <w:bCs/>
          <w:sz w:val="24"/>
          <w:szCs w:val="24"/>
        </w:rPr>
        <w:t xml:space="preserve">5T及以上形成一站一档，每周至少记录一次；5T以下（包含无动力）做好巡查日志记录</w:t>
      </w:r>
      <w:bookmarkStart w:id="45" w:name="OLE_LINK6"/>
      <w:r/>
      <w:bookmarkStart w:id="46" w:name="OLE_LINK11"/>
      <w:r>
        <w:rPr>
          <w:rFonts w:cs="仿宋" w:asciiTheme="minorEastAsia" w:hAnsiTheme="minorEastAsia" w:eastAsiaTheme="minorEastAsia"/>
          <w:b w:val="0"/>
          <w:bCs/>
          <w:sz w:val="24"/>
          <w:szCs w:val="24"/>
        </w:rPr>
        <w:t xml:space="preserve">，并每月做好数据整理。</w:t>
      </w:r>
      <w:bookmarkEnd w:id="45"/>
      <w:r/>
      <w:bookmarkEnd w:id="46"/>
      <w:r/>
      <w:r/>
    </w:p>
    <w:p>
      <w:pPr>
        <w:contextualSpacing/>
        <w:ind w:firstLine="560"/>
        <w:spacing w:line="480" w:lineRule="exact"/>
        <w:rPr>
          <w:rFonts w:cs="仿宋" w:asciiTheme="minorEastAsia" w:hAnsiTheme="minorEastAsia" w:eastAsiaTheme="minorEastAsia"/>
          <w:b w:val="0"/>
          <w:bCs/>
          <w:sz w:val="24"/>
          <w:szCs w:val="24"/>
        </w:rPr>
      </w:pPr>
      <w:r>
        <w:rPr>
          <w:rFonts w:hint="eastAsia" w:cs="仿宋" w:asciiTheme="minorEastAsia" w:hAnsiTheme="minorEastAsia" w:eastAsiaTheme="minorEastAsia"/>
          <w:b w:val="0"/>
          <w:bCs/>
          <w:sz w:val="24"/>
          <w:szCs w:val="24"/>
        </w:rPr>
        <w:t xml:space="preserve">2、日常管理</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（1）环境卫生：包括设施范围内垃圾、杂草清理、池体漂浮物清理、围栏修补等。</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（2）收集系统：包括提升泵井、隔油池、化粪池、窨井、污水管网等污水收集和预处理设施，应定期巡查，菌群的补充更换及时清理垃圾及沉积物等，确保收集系统无堵塞、无漫溢、无渗漏</w:t>
      </w:r>
      <w:r>
        <w:rPr>
          <w:rFonts w:hint="eastAsia" w:cs="仿宋" w:asciiTheme="minorEastAsia" w:hAnsiTheme="minorEastAsia" w:eastAsiaTheme="minorEastAsia"/>
          <w:sz w:val="24"/>
          <w:szCs w:val="24"/>
          <w:lang w:eastAsia="zh-CN"/>
        </w:rPr>
        <w:t xml:space="preserve">，</w:t>
      </w:r>
      <w:r>
        <w:rPr>
          <w:rFonts w:hint="eastAsia" w:ascii="宋体" w:hAnsi="宋体" w:cs="宋体"/>
          <w:sz w:val="24"/>
          <w:szCs w:val="24"/>
        </w:rPr>
        <w:t xml:space="preserve">隔油池定期清掏</w:t>
      </w:r>
      <w:r>
        <w:rPr>
          <w:rFonts w:hint="eastAsia" w:ascii="宋体" w:hAnsi="宋体" w:cs="宋体"/>
          <w:sz w:val="24"/>
          <w:szCs w:val="24"/>
          <w:lang w:eastAsia="zh-CN"/>
        </w:rPr>
        <w:t xml:space="preserve">，</w:t>
      </w:r>
      <w:r>
        <w:rPr>
          <w:rFonts w:hint="eastAsia" w:ascii="宋体" w:hAnsi="宋体" w:cs="宋体"/>
          <w:sz w:val="24"/>
          <w:szCs w:val="24"/>
        </w:rPr>
        <w:t xml:space="preserve">防止管道堵塞及反臭。</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（3）处理系统：包括格栅、调节池、生化（处理）池等，定期开展巡查，检查池体完好情况、生化系统功况、植物生长情况，井盖字样缺失的及时喷涂，确保设施各处理单元效能正常发挥作用。</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（4）设备管理养护：包括水泵、风机、电控设备、流量计等设备，应定期检查、维修</w:t>
      </w:r>
      <w:r>
        <w:rPr>
          <w:rFonts w:hint="eastAsia" w:cs="仿宋" w:asciiTheme="minorEastAsia" w:hAnsiTheme="minorEastAsia" w:eastAsiaTheme="minorEastAsia"/>
          <w:sz w:val="24"/>
          <w:szCs w:val="24"/>
          <w:lang w:val="en-US" w:eastAsia="zh-CN"/>
        </w:rPr>
        <w:t xml:space="preserve">更换</w:t>
      </w:r>
      <w:r>
        <w:rPr>
          <w:rFonts w:hint="eastAsia" w:cs="仿宋" w:asciiTheme="minorEastAsia" w:hAnsiTheme="minorEastAsia" w:eastAsiaTheme="minorEastAsia"/>
          <w:sz w:val="24"/>
          <w:szCs w:val="24"/>
        </w:rPr>
        <w:t xml:space="preserve">养护，确保正常运行。</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（5）标识管理：实行公示牌制度，应按照要求标识设施信息、警示等。</w:t>
      </w:r>
      <w:r/>
    </w:p>
    <w:p>
      <w:pPr>
        <w:contextualSpacing/>
        <w:ind w:firstLine="560"/>
        <w:spacing w:line="480" w:lineRule="exact"/>
        <w:rPr>
          <w:rFonts w:cs="仿宋" w:asciiTheme="minorEastAsia" w:hAnsiTheme="minorEastAsia" w:eastAsiaTheme="minorEastAsia"/>
          <w:b w:val="0"/>
          <w:bCs/>
          <w:sz w:val="24"/>
          <w:szCs w:val="24"/>
          <w:highlight w:val="none"/>
        </w:rPr>
      </w:pPr>
      <w:r>
        <w:rPr>
          <w:rFonts w:hint="eastAsia" w:cs="仿宋" w:asciiTheme="minorEastAsia" w:hAnsiTheme="minorEastAsia" w:eastAsiaTheme="minorEastAsia"/>
          <w:b w:val="0"/>
          <w:bCs/>
          <w:sz w:val="24"/>
          <w:szCs w:val="24"/>
        </w:rPr>
        <w:t xml:space="preserve">（6）出水标准：定期开展水质自检和抽检，出水水质满足江苏省《农村生活污水处理设施水污染物排放标准》DB32/ 3462-2020 相关规定，20吨及以上设施站点每季度检测水质并出具CMA资质认证（含八项指标）水质检测报告，20T以下设施站点每年抽检比例不小于20%（无动力除外）并出具</w:t>
      </w:r>
      <w:r>
        <w:rPr>
          <w:rFonts w:cs="仿宋" w:asciiTheme="minorEastAsia" w:hAnsiTheme="minorEastAsia" w:eastAsiaTheme="minorEastAsia"/>
          <w:b w:val="0"/>
          <w:bCs/>
          <w:sz w:val="24"/>
          <w:szCs w:val="24"/>
        </w:rPr>
        <w:t xml:space="preserve">CMA资质认证（含八项指标）水质检测报告</w:t>
      </w:r>
      <w:r>
        <w:rPr>
          <w:rFonts w:hint="eastAsia" w:cs="仿宋" w:asciiTheme="minorEastAsia" w:hAnsiTheme="minorEastAsia" w:eastAsiaTheme="minorEastAsia"/>
          <w:b w:val="0"/>
          <w:bCs/>
          <w:sz w:val="24"/>
          <w:szCs w:val="24"/>
        </w:rPr>
        <w:t xml:space="preserve">。</w:t>
      </w:r>
      <w:bookmarkStart w:id="47" w:name="OLE_LINK14"/>
      <w:r/>
      <w:bookmarkStart w:id="48" w:name="OLE_LINK15"/>
      <w:r>
        <w:rPr>
          <w:rFonts w:hint="eastAsia" w:cs="仿宋" w:asciiTheme="minorEastAsia" w:hAnsiTheme="minorEastAsia" w:eastAsiaTheme="minorEastAsia"/>
          <w:b w:val="0"/>
          <w:bCs/>
          <w:sz w:val="24"/>
          <w:szCs w:val="24"/>
          <w:highlight w:val="none"/>
        </w:rPr>
        <w:t xml:space="preserve">如上级部门要求出具更多水质报告，需无条件配合，</w:t>
      </w:r>
      <w:r>
        <w:rPr>
          <w:rFonts w:hint="eastAsia" w:cs="宋体" w:asciiTheme="minorEastAsia" w:hAnsiTheme="minorEastAsia" w:eastAsiaTheme="minorEastAsia"/>
          <w:b w:val="0"/>
          <w:bCs/>
          <w:sz w:val="24"/>
          <w:szCs w:val="22"/>
          <w:highlight w:val="none"/>
        </w:rPr>
        <w:t xml:space="preserve">如第三方水质检测不合格，导致业主考核扣分的，业主有权终止项目运行。</w:t>
      </w:r>
      <w:bookmarkEnd w:id="47"/>
      <w:bookmarkEnd w:id="48"/>
      <w:r/>
    </w:p>
    <w:p>
      <w:pPr>
        <w:contextualSpacing/>
        <w:ind w:firstLine="560"/>
        <w:spacing w:line="48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b w:val="0"/>
          <w:bCs/>
          <w:sz w:val="24"/>
          <w:szCs w:val="24"/>
        </w:rPr>
        <w:t xml:space="preserve">（7）安全管理：包括用电设施日常管理，确保无私接用电等现象；设施场地日常</w:t>
      </w:r>
      <w:r>
        <w:rPr>
          <w:rFonts w:hint="eastAsia" w:cs="仿宋" w:asciiTheme="minorEastAsia" w:hAnsiTheme="minorEastAsia" w:eastAsiaTheme="minorEastAsia"/>
          <w:sz w:val="24"/>
          <w:szCs w:val="24"/>
        </w:rPr>
        <w:t xml:space="preserve">监管，防止游客进入设施危险区域。根据安全管理的相关规定，做好相应的警示标志，以及安全保障措施，防止事故的发生。</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3、应急管理</w:t>
      </w:r>
      <w:r/>
    </w:p>
    <w:p>
      <w:pPr>
        <w:ind w:firstLine="480"/>
        <w:spacing w:line="360" w:lineRule="auto"/>
        <w:rPr>
          <w:highlight w:val="none"/>
        </w:rPr>
      </w:pPr>
      <w:r>
        <w:rPr>
          <w:rFonts w:hint="eastAsia" w:ascii="宋体" w:hAnsi="宋体" w:cs="宋体"/>
          <w:sz w:val="24"/>
          <w:szCs w:val="24"/>
          <w:highlight w:val="none"/>
        </w:rPr>
        <w:t xml:space="preserve">运维期间，在汛期或突发故障情况时，须在接到采购人通知后</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小时内赶到现场进行处置</w:t>
      </w:r>
      <w:r>
        <w:rPr>
          <w:rFonts w:hint="eastAsia" w:ascii="宋体" w:hAnsi="宋体" w:cs="宋体"/>
          <w:sz w:val="24"/>
          <w:szCs w:val="24"/>
          <w:highlight w:val="none"/>
          <w:lang w:eastAsia="zh-CN"/>
        </w:rPr>
        <w:t xml:space="preserve">，</w:t>
      </w:r>
      <w:r>
        <w:rPr>
          <w:rFonts w:hint="eastAsia" w:cs="仿宋" w:asciiTheme="minorEastAsia" w:hAnsiTheme="minorEastAsia" w:eastAsiaTheme="minorEastAsia"/>
          <w:sz w:val="24"/>
          <w:szCs w:val="24"/>
          <w:highlight w:val="none"/>
        </w:rPr>
        <w:t xml:space="preserve">及时反馈并解决故障报警及水质不合格预警信息，及时处理、修复。</w:t>
      </w:r>
      <w:r/>
    </w:p>
    <w:p>
      <w:pPr>
        <w:contextualSpacing/>
        <w:spacing w:line="480" w:lineRule="exact"/>
        <w:rPr>
          <w:rFonts w:cs="仿宋" w:asciiTheme="minorEastAsia" w:hAnsiTheme="minorEastAsia" w:eastAsiaTheme="minorEastAsia"/>
          <w:b w:val="0"/>
          <w:bCs/>
          <w:sz w:val="24"/>
          <w:szCs w:val="24"/>
        </w:rPr>
      </w:pPr>
      <w:r>
        <w:rPr>
          <w:rFonts w:hint="eastAsia" w:cs="仿宋" w:asciiTheme="minorEastAsia" w:hAnsiTheme="minorEastAsia" w:eastAsiaTheme="minorEastAsia"/>
          <w:b w:val="0"/>
          <w:bCs/>
          <w:sz w:val="24"/>
          <w:szCs w:val="24"/>
        </w:rPr>
        <w:t xml:space="preserve">六、设施巡视事项要求</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bCs/>
          <w:sz w:val="24"/>
          <w:szCs w:val="24"/>
        </w:rPr>
        <w:t xml:space="preserve">1）中标范围内的污水处理设施及</w:t>
      </w:r>
      <w:r>
        <w:rPr>
          <w:rFonts w:hint="eastAsia" w:cs="仿宋" w:asciiTheme="minorEastAsia" w:hAnsiTheme="minorEastAsia" w:eastAsiaTheme="minorEastAsia"/>
          <w:sz w:val="24"/>
          <w:szCs w:val="24"/>
        </w:rPr>
        <w:t xml:space="preserve">管道</w:t>
      </w:r>
      <w:r>
        <w:rPr>
          <w:rFonts w:hint="eastAsia" w:cs="仿宋" w:asciiTheme="minorEastAsia" w:hAnsiTheme="minorEastAsia" w:eastAsiaTheme="minorEastAsia"/>
          <w:bCs/>
          <w:sz w:val="24"/>
          <w:szCs w:val="24"/>
        </w:rPr>
        <w:t xml:space="preserve">的日常运营管理。</w:t>
      </w:r>
      <w:r/>
    </w:p>
    <w:p>
      <w:pPr>
        <w:contextualSpacing/>
        <w:ind w:firstLine="560"/>
        <w:spacing w:line="480" w:lineRule="exact"/>
        <w:rPr>
          <w:rFonts w:cs="仿宋" w:asciiTheme="minorEastAsia" w:hAnsiTheme="minorEastAsia" w:eastAsiaTheme="minorEastAsia"/>
          <w:b w:val="0"/>
          <w:bCs/>
          <w:color w:val="ff0000"/>
          <w:sz w:val="24"/>
          <w:szCs w:val="24"/>
        </w:rPr>
      </w:pPr>
      <w:r>
        <w:rPr>
          <w:rFonts w:hint="eastAsia" w:cs="仿宋" w:asciiTheme="minorEastAsia" w:hAnsiTheme="minorEastAsia" w:eastAsiaTheme="minorEastAsia"/>
          <w:b w:val="0"/>
          <w:bCs/>
          <w:sz w:val="24"/>
          <w:szCs w:val="24"/>
        </w:rPr>
        <w:t xml:space="preserve">2）各村污水处理设施日常运营管理和维护，</w:t>
      </w:r>
      <w:r>
        <w:rPr>
          <w:rFonts w:hint="eastAsia" w:cs="宋体" w:asciiTheme="minorEastAsia" w:hAnsiTheme="minorEastAsia" w:eastAsiaTheme="minorEastAsia"/>
          <w:b w:val="0"/>
          <w:bCs/>
          <w:sz w:val="24"/>
          <w:szCs w:val="22"/>
        </w:rPr>
        <w:t xml:space="preserve">5吨及以上每周不少于1次的日常巡查，并做好巡查记录（其中要求20吨及以上每季度不少于1次对污水处理设施的进出水进行第三方水质检测，并提供检测报告）。5吨以下有动力设施每月巡查一次，无动力设施每月巡查总数的25%（确保每个设施一年不少于3次）。20吨以下的设施每年不少于1次对污水处理设施的进出水进行第三方水质检测(检测数量按总数的20%抽查)，并提供检测报告。所有设施如出现水质超标必须立刻汇报业主查明原因，2小时内查明，12小时内排除问题，并保留水样时间不少于2天(水质排放标准安当时设计要求)</w:t>
      </w:r>
      <w:r>
        <w:rPr>
          <w:rFonts w:hint="eastAsia" w:cs="仿宋" w:asciiTheme="minorEastAsia" w:hAnsiTheme="minorEastAsia" w:eastAsiaTheme="minorEastAsia"/>
          <w:b w:val="0"/>
          <w:bCs/>
          <w:sz w:val="24"/>
          <w:szCs w:val="24"/>
        </w:rPr>
        <w:t xml:space="preserve">。</w:t>
      </w:r>
      <w:r/>
    </w:p>
    <w:p>
      <w:pPr>
        <w:contextualSpacing/>
        <w:ind w:firstLine="240"/>
        <w:spacing w:line="480" w:lineRule="exact"/>
        <w:rPr>
          <w:rFonts w:cs="仿宋" w:asciiTheme="minorEastAsia" w:hAnsiTheme="minorEastAsia" w:eastAsiaTheme="minorEastAsia"/>
          <w:b w:val="0"/>
          <w:bCs/>
          <w:sz w:val="24"/>
          <w:szCs w:val="24"/>
        </w:rPr>
      </w:pPr>
      <w:r>
        <w:rPr>
          <w:rFonts w:hint="eastAsia" w:cs="仿宋" w:asciiTheme="minorEastAsia" w:hAnsiTheme="minorEastAsia" w:eastAsiaTheme="minorEastAsia"/>
          <w:b w:val="0"/>
          <w:bCs/>
          <w:sz w:val="24"/>
          <w:szCs w:val="24"/>
        </w:rPr>
        <w:t xml:space="preserve">七、</w:t>
      </w:r>
      <w:r>
        <w:rPr>
          <w:rFonts w:hint="eastAsia" w:cs="仿宋" w:asciiTheme="minorEastAsia" w:hAnsiTheme="minorEastAsia" w:eastAsiaTheme="minorEastAsia"/>
          <w:b w:val="0"/>
          <w:bCs/>
          <w:sz w:val="24"/>
          <w:szCs w:val="24"/>
        </w:rPr>
        <w:t xml:space="preserve">项目人员配备要求</w:t>
      </w:r>
      <w:r/>
    </w:p>
    <w:p>
      <w:pPr>
        <w:contextualSpacing/>
        <w:ind w:firstLine="562"/>
        <w:spacing w:line="480" w:lineRule="exact"/>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1、为保证向采购人提供及时、快捷、有效的服务，投标人应根据采购人设备的具体情况，须有人员常驻现场便于及时对</w:t>
      </w:r>
      <w:r>
        <w:rPr>
          <w:rFonts w:hint="eastAsia" w:cs="仿宋" w:asciiTheme="minorEastAsia" w:hAnsiTheme="minorEastAsia" w:eastAsiaTheme="minorEastAsia"/>
          <w:bCs/>
          <w:sz w:val="24"/>
          <w:szCs w:val="24"/>
          <w:lang w:val="en-US" w:eastAsia="zh-CN"/>
        </w:rPr>
        <w:t xml:space="preserve">污水</w:t>
      </w:r>
      <w:r>
        <w:rPr>
          <w:rFonts w:hint="eastAsia" w:cs="仿宋" w:asciiTheme="minorEastAsia" w:hAnsiTheme="minorEastAsia" w:eastAsiaTheme="minorEastAsia"/>
          <w:bCs/>
          <w:sz w:val="24"/>
          <w:szCs w:val="24"/>
        </w:rPr>
        <w:t xml:space="preserve">泵站、污水处理设施的设备的巡查、水质的检测及设施的故障维修。</w:t>
      </w:r>
      <w:r/>
    </w:p>
    <w:p>
      <w:pPr>
        <w:contextualSpacing/>
        <w:ind w:firstLine="562"/>
        <w:spacing w:line="480" w:lineRule="exact"/>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运行值班操作人员及投标人派出的维修服务人员，专业工龄在1年以上，均应需熟悉项目服务内所有设备的设计参数、技术性能和工作特性，具有设备检查、润滑、保养、维护、维修、故障抢修、技术改造方案实施的能力和服务质量控制能力，并具有丰富的现场维护经验。</w:t>
      </w:r>
      <w:r/>
    </w:p>
    <w:p>
      <w:pPr>
        <w:contextualSpacing/>
        <w:ind w:firstLine="562"/>
        <w:spacing w:line="480" w:lineRule="exact"/>
        <w:rPr>
          <w:rFonts w:hint="eastAsia" w:cs="仿宋" w:asciiTheme="minorEastAsia" w:hAnsiTheme="minorEastAsia" w:eastAsiaTheme="minorEastAsia"/>
          <w:bCs/>
          <w:sz w:val="24"/>
          <w:szCs w:val="24"/>
          <w:lang w:val="en-US" w:eastAsia="zh-CN"/>
        </w:rPr>
      </w:pPr>
      <w:r>
        <w:rPr>
          <w:rFonts w:hint="eastAsia" w:cs="仿宋" w:asciiTheme="minorEastAsia" w:hAnsiTheme="minorEastAsia" w:eastAsiaTheme="minorEastAsia"/>
          <w:bCs/>
          <w:sz w:val="24"/>
          <w:szCs w:val="24"/>
          <w:lang w:val="en-US" w:eastAsia="zh-CN"/>
        </w:rPr>
      </w:r>
      <w:r/>
    </w:p>
    <w:p>
      <w:pPr>
        <w:contextualSpacing/>
        <w:ind w:firstLine="562"/>
        <w:spacing w:line="480" w:lineRule="exact"/>
        <w:rPr>
          <w:rFonts w:hint="default" w:cs="仿宋" w:asciiTheme="minorEastAsia" w:hAnsiTheme="minorEastAsia" w:eastAsiaTheme="minorEastAsia"/>
          <w:bCs/>
          <w:sz w:val="24"/>
          <w:szCs w:val="24"/>
          <w:highlight w:val="none"/>
          <w:lang w:val="en-US" w:eastAsia="zh-CN"/>
        </w:rPr>
      </w:pPr>
      <w:r>
        <w:rPr>
          <w:rFonts w:hint="eastAsia" w:cs="仿宋" w:asciiTheme="minorEastAsia" w:hAnsiTheme="minorEastAsia" w:eastAsiaTheme="minorEastAsia"/>
          <w:b/>
          <w:bCs w:val="0"/>
          <w:sz w:val="24"/>
          <w:szCs w:val="24"/>
          <w:lang w:val="en-US" w:eastAsia="zh-CN"/>
        </w:rPr>
        <w:t xml:space="preserve">3、</w:t>
      </w:r>
      <w:r>
        <w:rPr>
          <w:rFonts w:hint="default" w:cs="仿宋" w:asciiTheme="minorEastAsia" w:hAnsiTheme="minorEastAsia" w:eastAsiaTheme="minorEastAsia"/>
          <w:b/>
          <w:bCs w:val="0"/>
          <w:sz w:val="24"/>
          <w:szCs w:val="24"/>
          <w:lang w:val="en-US" w:eastAsia="zh-CN"/>
        </w:rPr>
        <w:t xml:space="preserve">投标人须组建不少于5人的固定日常运维班组，岗位为：技术总负责</w:t>
      </w:r>
      <w:r>
        <w:rPr>
          <w:rFonts w:hint="eastAsia" w:cs="仿宋" w:asciiTheme="minorEastAsia" w:hAnsiTheme="minorEastAsia" w:eastAsiaTheme="minorEastAsia"/>
          <w:b/>
          <w:bCs w:val="0"/>
          <w:sz w:val="24"/>
          <w:szCs w:val="24"/>
          <w:lang w:val="en-US" w:eastAsia="zh-CN"/>
        </w:rPr>
        <w:t xml:space="preserve">(具有</w:t>
      </w:r>
      <w:r>
        <w:rPr>
          <w:rFonts w:hint="default" w:cs="仿宋" w:asciiTheme="minorEastAsia" w:hAnsiTheme="minorEastAsia" w:eastAsiaTheme="minorEastAsia"/>
          <w:b/>
          <w:bCs w:val="0"/>
          <w:sz w:val="24"/>
          <w:szCs w:val="24"/>
          <w:lang w:val="en-US" w:eastAsia="zh-CN"/>
        </w:rPr>
        <w:t xml:space="preserve">高压电工操作证</w:t>
      </w:r>
      <w:r>
        <w:rPr>
          <w:rFonts w:hint="eastAsia" w:cs="仿宋" w:asciiTheme="minorEastAsia" w:hAnsiTheme="minorEastAsia" w:eastAsiaTheme="minorEastAsia"/>
          <w:b/>
          <w:bCs w:val="0"/>
          <w:sz w:val="24"/>
          <w:szCs w:val="24"/>
          <w:lang w:val="en-US" w:eastAsia="zh-CN"/>
        </w:rPr>
        <w:t xml:space="preserve">)</w:t>
      </w:r>
      <w:r>
        <w:rPr>
          <w:rFonts w:hint="default" w:cs="仿宋" w:asciiTheme="minorEastAsia" w:hAnsiTheme="minorEastAsia" w:eastAsiaTheme="minorEastAsia"/>
          <w:b/>
          <w:bCs w:val="0"/>
          <w:sz w:val="24"/>
          <w:szCs w:val="24"/>
          <w:lang w:val="en-US" w:eastAsia="zh-CN"/>
        </w:rPr>
        <w:t xml:space="preserve">1名、水处理工程师</w:t>
      </w:r>
      <w:r>
        <w:rPr>
          <w:rFonts w:hint="eastAsia" w:cs="仿宋" w:asciiTheme="minorEastAsia" w:hAnsiTheme="minorEastAsia" w:eastAsiaTheme="minorEastAsia"/>
          <w:b/>
          <w:bCs w:val="0"/>
          <w:sz w:val="24"/>
          <w:szCs w:val="24"/>
          <w:lang w:val="en-US" w:eastAsia="zh-CN"/>
        </w:rPr>
        <w:t xml:space="preserve">（具有</w:t>
      </w:r>
      <w:r>
        <w:rPr>
          <w:rFonts w:hint="default" w:cs="仿宋" w:asciiTheme="minorEastAsia" w:hAnsiTheme="minorEastAsia" w:eastAsiaTheme="minorEastAsia"/>
          <w:b/>
          <w:bCs w:val="0"/>
          <w:sz w:val="24"/>
          <w:szCs w:val="24"/>
          <w:lang w:val="en-US" w:eastAsia="zh-CN"/>
        </w:rPr>
        <w:t xml:space="preserve">水处理工程师证书</w:t>
      </w:r>
      <w:r>
        <w:rPr>
          <w:rFonts w:hint="eastAsia" w:cs="仿宋" w:asciiTheme="minorEastAsia" w:hAnsiTheme="minorEastAsia" w:eastAsiaTheme="minorEastAsia"/>
          <w:b/>
          <w:bCs w:val="0"/>
          <w:sz w:val="24"/>
          <w:szCs w:val="24"/>
          <w:lang w:val="en-US" w:eastAsia="zh-CN"/>
        </w:rPr>
        <w:t xml:space="preserve">）</w:t>
      </w:r>
      <w:r>
        <w:rPr>
          <w:rFonts w:hint="default" w:cs="仿宋" w:asciiTheme="minorEastAsia" w:hAnsiTheme="minorEastAsia" w:eastAsiaTheme="minorEastAsia"/>
          <w:b/>
          <w:bCs w:val="0"/>
          <w:sz w:val="24"/>
          <w:szCs w:val="24"/>
          <w:lang w:val="en-US" w:eastAsia="zh-CN"/>
        </w:rPr>
        <w:t xml:space="preserve">1名、污水处理工</w:t>
      </w:r>
      <w:r>
        <w:rPr>
          <w:rFonts w:hint="eastAsia" w:cs="仿宋" w:asciiTheme="minorEastAsia" w:hAnsiTheme="minorEastAsia" w:eastAsiaTheme="minorEastAsia"/>
          <w:b/>
          <w:bCs w:val="0"/>
          <w:sz w:val="24"/>
          <w:szCs w:val="24"/>
          <w:lang w:val="en-US" w:eastAsia="zh-CN"/>
        </w:rPr>
        <w:t xml:space="preserve">（具有</w:t>
      </w:r>
      <w:r>
        <w:rPr>
          <w:rFonts w:hint="default" w:cs="仿宋" w:asciiTheme="minorEastAsia" w:hAnsiTheme="minorEastAsia" w:eastAsiaTheme="minorEastAsia"/>
          <w:b/>
          <w:bCs w:val="0"/>
          <w:sz w:val="24"/>
          <w:szCs w:val="24"/>
          <w:lang w:val="en-US" w:eastAsia="zh-CN"/>
        </w:rPr>
        <w:t xml:space="preserve">污水处理工证书</w:t>
      </w:r>
      <w:r>
        <w:rPr>
          <w:rFonts w:hint="eastAsia" w:cs="仿宋" w:asciiTheme="minorEastAsia" w:hAnsiTheme="minorEastAsia" w:eastAsiaTheme="minorEastAsia"/>
          <w:b/>
          <w:bCs w:val="0"/>
          <w:sz w:val="24"/>
          <w:szCs w:val="24"/>
          <w:lang w:val="en-US" w:eastAsia="zh-CN"/>
        </w:rPr>
        <w:t xml:space="preserve">）</w:t>
      </w:r>
      <w:r>
        <w:rPr>
          <w:rFonts w:hint="default" w:cs="仿宋" w:asciiTheme="minorEastAsia" w:hAnsiTheme="minorEastAsia" w:eastAsiaTheme="minorEastAsia"/>
          <w:b/>
          <w:bCs w:val="0"/>
          <w:sz w:val="24"/>
          <w:szCs w:val="24"/>
          <w:lang w:val="en-US" w:eastAsia="zh-CN"/>
        </w:rPr>
        <w:t xml:space="preserve">1名、污水化验监测工</w:t>
      </w:r>
      <w:r>
        <w:rPr>
          <w:rFonts w:hint="eastAsia" w:cs="仿宋" w:asciiTheme="minorEastAsia" w:hAnsiTheme="minorEastAsia" w:eastAsiaTheme="minorEastAsia"/>
          <w:b/>
          <w:bCs w:val="0"/>
          <w:sz w:val="24"/>
          <w:szCs w:val="24"/>
          <w:lang w:val="en-US" w:eastAsia="zh-CN"/>
        </w:rPr>
        <w:t xml:space="preserve">（具有</w:t>
      </w:r>
      <w:r>
        <w:rPr>
          <w:rFonts w:hint="default" w:cs="仿宋" w:asciiTheme="minorEastAsia" w:hAnsiTheme="minorEastAsia" w:eastAsiaTheme="minorEastAsia"/>
          <w:b/>
          <w:bCs w:val="0"/>
          <w:sz w:val="24"/>
          <w:szCs w:val="24"/>
          <w:lang w:val="en-US" w:eastAsia="zh-CN"/>
        </w:rPr>
        <w:t xml:space="preserve">污水化验监测工证书</w:t>
      </w:r>
      <w:r>
        <w:rPr>
          <w:rFonts w:hint="eastAsia" w:cs="仿宋" w:asciiTheme="minorEastAsia" w:hAnsiTheme="minorEastAsia" w:eastAsiaTheme="minorEastAsia"/>
          <w:b/>
          <w:bCs w:val="0"/>
          <w:sz w:val="24"/>
          <w:szCs w:val="24"/>
          <w:lang w:val="en-US" w:eastAsia="zh-CN"/>
        </w:rPr>
        <w:t xml:space="preserve">）</w:t>
      </w:r>
      <w:r>
        <w:rPr>
          <w:rFonts w:hint="default" w:cs="仿宋" w:asciiTheme="minorEastAsia" w:hAnsiTheme="minorEastAsia" w:eastAsiaTheme="minorEastAsia"/>
          <w:b/>
          <w:bCs w:val="0"/>
          <w:sz w:val="24"/>
          <w:szCs w:val="24"/>
          <w:lang w:val="en-US" w:eastAsia="zh-CN"/>
        </w:rPr>
        <w:t xml:space="preserve">1名、设备维修工</w:t>
      </w:r>
      <w:r>
        <w:rPr>
          <w:rFonts w:hint="eastAsia" w:cs="仿宋" w:asciiTheme="minorEastAsia" w:hAnsiTheme="minorEastAsia" w:eastAsiaTheme="minorEastAsia"/>
          <w:b/>
          <w:bCs w:val="0"/>
          <w:sz w:val="24"/>
          <w:szCs w:val="24"/>
          <w:highlight w:val="none"/>
          <w:lang w:val="en-US" w:eastAsia="zh-CN"/>
        </w:rPr>
        <w:t xml:space="preserve">（市政排水管道有限空间（有毒有害）作业安全培训证）</w:t>
      </w:r>
      <w:r>
        <w:rPr>
          <w:rFonts w:hint="default" w:cs="仿宋" w:asciiTheme="minorEastAsia" w:hAnsiTheme="minorEastAsia" w:eastAsiaTheme="minorEastAsia"/>
          <w:b/>
          <w:bCs w:val="0"/>
          <w:sz w:val="24"/>
          <w:szCs w:val="24"/>
          <w:highlight w:val="none"/>
          <w:lang w:val="en-US" w:eastAsia="zh-CN"/>
        </w:rPr>
        <w:t xml:space="preserve">1名。</w:t>
      </w:r>
      <w:r>
        <w:rPr>
          <w:rFonts w:hint="default" w:cs="仿宋" w:asciiTheme="minorEastAsia" w:hAnsiTheme="minorEastAsia" w:eastAsiaTheme="minorEastAsia"/>
          <w:bCs/>
          <w:sz w:val="24"/>
          <w:szCs w:val="24"/>
          <w:highlight w:val="none"/>
          <w:lang w:val="en-US" w:eastAsia="zh-CN"/>
        </w:rPr>
        <w:t xml:space="preserve">该5名人员须为不同自然人，合同期内每日于公司打卡</w:t>
      </w:r>
      <w:r>
        <w:rPr>
          <w:rFonts w:hint="eastAsia" w:cs="仿宋" w:asciiTheme="minorEastAsia" w:hAnsiTheme="minorEastAsia" w:eastAsiaTheme="minorEastAsia"/>
          <w:bCs/>
          <w:sz w:val="24"/>
          <w:szCs w:val="24"/>
          <w:highlight w:val="none"/>
          <w:lang w:val="en-US" w:eastAsia="zh-CN"/>
        </w:rPr>
        <w:t xml:space="preserve">上班</w:t>
      </w:r>
      <w:r>
        <w:rPr>
          <w:rFonts w:hint="default" w:cs="仿宋" w:asciiTheme="minorEastAsia" w:hAnsiTheme="minorEastAsia" w:eastAsiaTheme="minorEastAsia"/>
          <w:bCs/>
          <w:sz w:val="24"/>
          <w:szCs w:val="24"/>
          <w:highlight w:val="none"/>
          <w:lang w:val="en-US" w:eastAsia="zh-CN"/>
        </w:rPr>
        <w:t xml:space="preserve">。</w:t>
      </w:r>
      <w:r/>
    </w:p>
    <w:p>
      <w:pPr>
        <w:contextualSpacing/>
        <w:ind w:firstLine="562"/>
        <w:spacing w:line="480" w:lineRule="exact"/>
        <w:rPr>
          <w:rFonts w:hint="eastAsia" w:cs="仿宋" w:asciiTheme="minorEastAsia" w:hAnsiTheme="minorEastAsia" w:eastAsiaTheme="minorEastAsia"/>
          <w:bCs/>
          <w:sz w:val="24"/>
          <w:szCs w:val="24"/>
          <w:highlight w:val="none"/>
          <w:lang w:val="en-US" w:eastAsia="zh-CN"/>
        </w:rPr>
      </w:pPr>
      <w:r>
        <w:rPr>
          <w:rFonts w:hint="eastAsia" w:cs="仿宋" w:asciiTheme="minorEastAsia" w:hAnsiTheme="minorEastAsia" w:eastAsiaTheme="minorEastAsia"/>
          <w:bCs/>
          <w:sz w:val="24"/>
          <w:szCs w:val="24"/>
          <w:highlight w:val="none"/>
          <w:lang w:val="en-US" w:eastAsia="zh-CN"/>
        </w:rPr>
        <w:t xml:space="preserve">4、</w:t>
      </w:r>
      <w:r>
        <w:rPr>
          <w:rFonts w:hint="default" w:cs="仿宋" w:asciiTheme="minorEastAsia" w:hAnsiTheme="minorEastAsia" w:eastAsiaTheme="minorEastAsia"/>
          <w:bCs/>
          <w:sz w:val="24"/>
          <w:szCs w:val="24"/>
          <w:highlight w:val="none"/>
          <w:lang w:val="en-US" w:eastAsia="zh-CN"/>
        </w:rPr>
        <w:t xml:space="preserve">中标后，凡进入有限空间、高压电作业等特种操作现场的实操作业人员，必须与投标文件中列明的持证人员一致，否则招标人有权按违约处理并处以罚款。</w:t>
      </w:r>
      <w:r/>
    </w:p>
    <w:p>
      <w:pPr>
        <w:contextualSpacing/>
        <w:ind w:firstLine="562"/>
        <w:spacing w:line="480" w:lineRule="exact"/>
        <w:rPr>
          <w:rFonts w:hint="eastAsia" w:cs="仿宋" w:asciiTheme="minorEastAsia" w:hAnsiTheme="minorEastAsia" w:eastAsiaTheme="minorEastAsia"/>
          <w:b/>
          <w:bCs w:val="0"/>
          <w:sz w:val="24"/>
          <w:szCs w:val="24"/>
          <w:highlight w:val="none"/>
        </w:rPr>
      </w:pPr>
      <w:r>
        <w:rPr>
          <w:rFonts w:hint="eastAsia" w:cs="仿宋" w:asciiTheme="minorEastAsia" w:hAnsiTheme="minorEastAsia" w:eastAsiaTheme="minorEastAsia"/>
          <w:b/>
          <w:bCs w:val="0"/>
          <w:sz w:val="24"/>
          <w:szCs w:val="24"/>
          <w:highlight w:val="none"/>
          <w:lang w:val="en-US" w:eastAsia="zh-CN"/>
        </w:rPr>
        <w:t xml:space="preserve">5</w:t>
      </w:r>
      <w:r>
        <w:rPr>
          <w:rFonts w:hint="eastAsia" w:cs="仿宋" w:asciiTheme="minorEastAsia" w:hAnsiTheme="minorEastAsia" w:eastAsiaTheme="minorEastAsia"/>
          <w:b/>
          <w:bCs w:val="0"/>
          <w:sz w:val="24"/>
          <w:szCs w:val="24"/>
          <w:highlight w:val="none"/>
        </w:rPr>
        <w:t xml:space="preserve">、投标供应商须提供以上</w:t>
      </w:r>
      <w:r>
        <w:rPr>
          <w:rFonts w:hint="eastAsia" w:cs="仿宋" w:asciiTheme="minorEastAsia" w:hAnsiTheme="minorEastAsia" w:eastAsiaTheme="minorEastAsia"/>
          <w:b/>
          <w:bCs w:val="0"/>
          <w:sz w:val="24"/>
          <w:szCs w:val="24"/>
          <w:highlight w:val="none"/>
          <w:lang w:val="en-US" w:eastAsia="zh-CN"/>
        </w:rPr>
        <w:t xml:space="preserve">5</w:t>
      </w:r>
      <w:r>
        <w:rPr>
          <w:rFonts w:hint="eastAsia" w:cs="仿宋" w:asciiTheme="minorEastAsia" w:hAnsiTheme="minorEastAsia" w:eastAsiaTheme="minorEastAsia"/>
          <w:b/>
          <w:bCs w:val="0"/>
          <w:sz w:val="24"/>
          <w:szCs w:val="24"/>
          <w:highlight w:val="none"/>
        </w:rPr>
        <w:t xml:space="preserve">名人员的相关证书、用工合同及</w:t>
      </w:r>
      <w:r>
        <w:rPr>
          <w:rFonts w:hint="eastAsia" w:cs="仿宋" w:asciiTheme="minorEastAsia" w:hAnsiTheme="minorEastAsia" w:eastAsiaTheme="minorEastAsia"/>
          <w:b/>
          <w:bCs w:val="0"/>
          <w:sz w:val="24"/>
          <w:szCs w:val="24"/>
          <w:highlight w:val="none"/>
          <w:lang w:val="en-US" w:eastAsia="zh-CN"/>
        </w:rPr>
        <w:t xml:space="preserve">5</w:t>
      </w:r>
      <w:r>
        <w:rPr>
          <w:rFonts w:hint="eastAsia" w:cs="仿宋" w:asciiTheme="minorEastAsia" w:hAnsiTheme="minorEastAsia" w:eastAsiaTheme="minorEastAsia"/>
          <w:b/>
          <w:bCs w:val="0"/>
          <w:sz w:val="24"/>
          <w:szCs w:val="24"/>
          <w:highlight w:val="none"/>
        </w:rPr>
        <w:t xml:space="preserve">名</w:t>
      </w:r>
      <w:r>
        <w:rPr>
          <w:rFonts w:cs="仿宋" w:asciiTheme="minorEastAsia" w:hAnsiTheme="minorEastAsia" w:eastAsiaTheme="minorEastAsia"/>
          <w:b/>
          <w:bCs w:val="0"/>
          <w:sz w:val="24"/>
          <w:szCs w:val="24"/>
          <w:highlight w:val="none"/>
        </w:rPr>
        <w:t xml:space="preserve">人员</w:t>
      </w:r>
      <w:bookmarkStart w:id="49" w:name="OLE_LINK16"/>
      <w:r/>
      <w:bookmarkStart w:id="50" w:name="OLE_LINK17"/>
      <w:r>
        <w:rPr>
          <w:rFonts w:hint="eastAsia" w:cs="仿宋" w:asciiTheme="minorEastAsia" w:hAnsiTheme="minorEastAsia" w:eastAsiaTheme="minorEastAsia"/>
          <w:b/>
          <w:bCs w:val="0"/>
          <w:sz w:val="24"/>
          <w:szCs w:val="24"/>
          <w:highlight w:val="none"/>
        </w:rPr>
        <w:t xml:space="preserve">缴纳的近</w:t>
      </w:r>
      <w:r>
        <w:rPr>
          <w:rFonts w:hint="eastAsia" w:cs="仿宋" w:asciiTheme="minorEastAsia" w:hAnsiTheme="minorEastAsia" w:eastAsiaTheme="minorEastAsia"/>
          <w:b/>
          <w:bCs w:val="0"/>
          <w:sz w:val="24"/>
          <w:szCs w:val="24"/>
          <w:highlight w:val="none"/>
          <w:lang w:val="en-US" w:eastAsia="zh-CN"/>
        </w:rPr>
        <w:t xml:space="preserve">三</w:t>
      </w:r>
      <w:r>
        <w:rPr>
          <w:rFonts w:hint="eastAsia" w:cs="仿宋" w:asciiTheme="minorEastAsia" w:hAnsiTheme="minorEastAsia" w:eastAsiaTheme="minorEastAsia"/>
          <w:b/>
          <w:bCs w:val="0"/>
          <w:sz w:val="24"/>
          <w:szCs w:val="24"/>
          <w:highlight w:val="none"/>
        </w:rPr>
        <w:t xml:space="preserve">个月的社保缴费证明材料</w:t>
      </w:r>
      <w:bookmarkEnd w:id="49"/>
      <w:r/>
      <w:bookmarkEnd w:id="50"/>
      <w:r>
        <w:rPr>
          <w:rFonts w:hint="eastAsia" w:cs="仿宋" w:asciiTheme="minorEastAsia" w:hAnsiTheme="minorEastAsia" w:eastAsiaTheme="minorEastAsia"/>
          <w:b/>
          <w:bCs w:val="0"/>
          <w:sz w:val="24"/>
          <w:szCs w:val="24"/>
          <w:highlight w:val="none"/>
        </w:rPr>
        <w:t xml:space="preserve">，</w:t>
      </w:r>
      <w:r>
        <w:rPr>
          <w:rFonts w:hint="default" w:cs="仿宋" w:asciiTheme="minorEastAsia" w:hAnsiTheme="minorEastAsia" w:eastAsiaTheme="minorEastAsia"/>
          <w:b/>
          <w:bCs w:val="0"/>
          <w:sz w:val="24"/>
          <w:szCs w:val="24"/>
          <w:highlight w:val="none"/>
        </w:rPr>
        <w:t xml:space="preserve">并按要求填报《人员配</w:t>
      </w:r>
      <w:r>
        <w:rPr>
          <w:rFonts w:hint="eastAsia" w:cs="仿宋" w:asciiTheme="minorEastAsia" w:hAnsiTheme="minorEastAsia" w:eastAsiaTheme="minorEastAsia"/>
          <w:b/>
          <w:bCs w:val="0"/>
          <w:sz w:val="24"/>
          <w:szCs w:val="24"/>
          <w:highlight w:val="none"/>
          <w:lang w:val="en-US" w:eastAsia="zh-CN"/>
        </w:rPr>
        <w:t xml:space="preserve">置</w:t>
      </w:r>
      <w:r>
        <w:rPr>
          <w:rFonts w:hint="default" w:cs="仿宋" w:asciiTheme="minorEastAsia" w:hAnsiTheme="minorEastAsia" w:eastAsiaTheme="minorEastAsia"/>
          <w:b/>
          <w:bCs w:val="0"/>
          <w:sz w:val="24"/>
          <w:szCs w:val="24"/>
          <w:highlight w:val="none"/>
        </w:rPr>
        <w:t xml:space="preserve">表》</w:t>
      </w:r>
      <w:r>
        <w:rPr>
          <w:rFonts w:hint="eastAsia" w:cs="仿宋" w:asciiTheme="minorEastAsia" w:hAnsiTheme="minorEastAsia" w:eastAsiaTheme="minorEastAsia"/>
          <w:b/>
          <w:bCs w:val="0"/>
          <w:sz w:val="24"/>
          <w:szCs w:val="24"/>
          <w:highlight w:val="none"/>
          <w:lang w:eastAsia="zh-CN"/>
        </w:rPr>
        <w:t xml:space="preserve">，</w:t>
      </w:r>
      <w:r>
        <w:rPr>
          <w:rFonts w:hint="eastAsia" w:cs="仿宋" w:asciiTheme="minorEastAsia" w:hAnsiTheme="minorEastAsia" w:eastAsiaTheme="minorEastAsia"/>
          <w:b/>
          <w:bCs w:val="0"/>
          <w:sz w:val="24"/>
          <w:szCs w:val="24"/>
          <w:highlight w:val="none"/>
        </w:rPr>
        <w:t xml:space="preserve">如不能提供或提供不全的，则视为符合性审查不通过。</w:t>
      </w:r>
      <w:r/>
    </w:p>
    <w:p>
      <w:pPr>
        <w:contextualSpacing/>
        <w:ind w:firstLine="562"/>
        <w:spacing w:line="480" w:lineRule="exact"/>
        <w:rPr>
          <w:rFonts w:hint="default" w:cs="仿宋" w:asciiTheme="minorEastAsia" w:hAnsiTheme="minorEastAsia" w:eastAsiaTheme="minorEastAsia"/>
          <w:b/>
          <w:bCs/>
          <w:sz w:val="24"/>
          <w:szCs w:val="24"/>
          <w:highlight w:val="none"/>
          <w:u w:val="none"/>
          <w:lang w:val="en-US" w:eastAsia="zh-CN"/>
        </w:rPr>
      </w:pPr>
      <w:r>
        <w:rPr>
          <w:rFonts w:hint="eastAsia" w:cs="仿宋" w:asciiTheme="minorEastAsia" w:hAnsiTheme="minorEastAsia" w:eastAsiaTheme="minorEastAsia"/>
          <w:b/>
          <w:bCs/>
          <w:sz w:val="24"/>
          <w:szCs w:val="24"/>
          <w:highlight w:val="none"/>
          <w:lang w:val="en-US" w:eastAsia="zh-CN"/>
        </w:rPr>
        <w:t xml:space="preserve">(注1：</w:t>
      </w:r>
      <w:r>
        <w:rPr>
          <w:rFonts w:hint="eastAsia" w:cs="仿宋" w:asciiTheme="minorEastAsia" w:hAnsiTheme="minorEastAsia" w:eastAsiaTheme="minorEastAsia"/>
          <w:b/>
          <w:bCs/>
          <w:sz w:val="24"/>
          <w:szCs w:val="24"/>
          <w:highlight w:val="none"/>
          <w:lang w:val="zh-CN" w:eastAsia="zh-CN"/>
        </w:rPr>
        <w:t xml:space="preserve">招标文件中涉及要求提交基本养老保险证明的，若公司成立至今或员工入职至今未满足要求提交月份的，提交公司成立至今或员工入职至今的缴纳记录，注册不到一个月的新公司可不提供社保缴费证明）。</w:t>
      </w:r>
      <w:r/>
    </w:p>
    <w:p>
      <w:pPr>
        <w:contextualSpacing/>
        <w:ind w:firstLine="562"/>
        <w:spacing w:line="480" w:lineRule="exact"/>
        <w:rPr>
          <w:rFonts w:cs="仿宋" w:asciiTheme="minorEastAsia" w:hAnsiTheme="minorEastAsia" w:eastAsiaTheme="minorEastAsia"/>
          <w:b/>
          <w:bCs/>
          <w:sz w:val="24"/>
          <w:szCs w:val="24"/>
          <w:highlight w:val="none"/>
          <w:u w:val="none"/>
        </w:rPr>
      </w:pPr>
      <w:r>
        <w:rPr>
          <w:rFonts w:hint="eastAsia" w:cs="仿宋" w:asciiTheme="minorEastAsia" w:hAnsiTheme="minorEastAsia" w:eastAsiaTheme="minorEastAsia"/>
          <w:b/>
          <w:bCs/>
          <w:sz w:val="24"/>
          <w:szCs w:val="24"/>
          <w:highlight w:val="none"/>
          <w:u w:val="none"/>
        </w:rPr>
        <w:t xml:space="preserve">（注</w:t>
      </w:r>
      <w:r>
        <w:rPr>
          <w:rFonts w:hint="eastAsia" w:cs="仿宋" w:asciiTheme="minorEastAsia" w:hAnsiTheme="minorEastAsia" w:eastAsiaTheme="minorEastAsia"/>
          <w:b/>
          <w:bCs/>
          <w:sz w:val="24"/>
          <w:szCs w:val="24"/>
          <w:highlight w:val="none"/>
          <w:u w:val="none"/>
          <w:lang w:val="en-US" w:eastAsia="zh-CN"/>
        </w:rPr>
        <w:t xml:space="preserve">2</w:t>
      </w:r>
      <w:r>
        <w:rPr>
          <w:rFonts w:hint="eastAsia" w:cs="仿宋" w:asciiTheme="minorEastAsia" w:hAnsiTheme="minorEastAsia" w:eastAsiaTheme="minorEastAsia"/>
          <w:b/>
          <w:bCs/>
          <w:sz w:val="24"/>
          <w:szCs w:val="24"/>
          <w:highlight w:val="none"/>
          <w:u w:val="none"/>
        </w:rPr>
        <w:t xml:space="preserve">：</w:t>
      </w:r>
      <w:r>
        <w:rPr>
          <w:rFonts w:hint="eastAsia" w:cs="仿宋" w:asciiTheme="minorEastAsia" w:hAnsiTheme="minorEastAsia" w:eastAsiaTheme="minorEastAsia"/>
          <w:b/>
          <w:bCs/>
          <w:sz w:val="24"/>
          <w:szCs w:val="24"/>
          <w:highlight w:val="none"/>
          <w:u w:val="none"/>
          <w:lang w:val="en-US" w:eastAsia="zh-CN"/>
        </w:rPr>
        <w:t xml:space="preserve">投标人应如实安排项目组成员，一旦中标不得擅自变更</w:t>
      </w:r>
      <w:r>
        <w:rPr>
          <w:rFonts w:hint="eastAsia" w:cs="仿宋" w:asciiTheme="minorEastAsia" w:hAnsiTheme="minorEastAsia" w:eastAsiaTheme="minorEastAsia"/>
          <w:b/>
          <w:bCs/>
          <w:sz w:val="24"/>
          <w:szCs w:val="24"/>
          <w:highlight w:val="none"/>
          <w:u w:val="none"/>
        </w:rPr>
        <w:t xml:space="preserve">。如因特殊原因需人员变动，应及时书面通知招标人，将变动相关人员资料交由招标人审核，并经招标人同意，所有变更后的人员资格不得低于变更前人员资格要求。）</w:t>
      </w:r>
      <w:r/>
    </w:p>
    <w:p>
      <w:pPr>
        <w:contextualSpacing/>
        <w:ind w:firstLine="562"/>
        <w:spacing w:line="480" w:lineRule="exac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lang w:val="en-US" w:eastAsia="zh-CN"/>
        </w:rPr>
        <w:t xml:space="preserve">6</w:t>
      </w:r>
      <w:r>
        <w:rPr>
          <w:rFonts w:hint="eastAsia" w:cs="仿宋" w:asciiTheme="minorEastAsia" w:hAnsiTheme="minorEastAsia" w:eastAsiaTheme="minorEastAsia"/>
          <w:b/>
          <w:bCs/>
          <w:sz w:val="24"/>
          <w:szCs w:val="24"/>
        </w:rPr>
        <w:t xml:space="preserve">、日常运维配备本项目专用工程车</w:t>
      </w:r>
      <w:r>
        <w:rPr>
          <w:rFonts w:hint="eastAsia" w:cs="仿宋" w:asciiTheme="minorEastAsia" w:hAnsiTheme="minorEastAsia" w:eastAsiaTheme="minorEastAsia"/>
          <w:b/>
          <w:bCs/>
          <w:sz w:val="24"/>
          <w:szCs w:val="24"/>
          <w:lang w:val="en-US" w:eastAsia="zh-CN"/>
        </w:rPr>
        <w:t xml:space="preserve">2辆</w:t>
      </w:r>
      <w:r>
        <w:rPr>
          <w:rFonts w:hint="eastAsia" w:cs="仿宋" w:asciiTheme="minorEastAsia" w:hAnsiTheme="minorEastAsia" w:eastAsiaTheme="minorEastAsia"/>
          <w:b/>
          <w:bCs/>
          <w:sz w:val="24"/>
          <w:szCs w:val="24"/>
        </w:rPr>
        <w:t xml:space="preserve">、</w:t>
      </w:r>
      <w:r>
        <w:rPr>
          <w:rFonts w:hint="eastAsia" w:cs="仿宋" w:asciiTheme="minorEastAsia" w:hAnsiTheme="minorEastAsia" w:eastAsiaTheme="minorEastAsia"/>
          <w:b/>
          <w:bCs/>
          <w:sz w:val="24"/>
          <w:szCs w:val="24"/>
          <w:lang w:val="en-US" w:eastAsia="zh-CN"/>
        </w:rPr>
        <w:t xml:space="preserve">巡查</w:t>
      </w:r>
      <w:r>
        <w:rPr>
          <w:rFonts w:hint="eastAsia" w:cs="仿宋" w:asciiTheme="minorEastAsia" w:hAnsiTheme="minorEastAsia" w:eastAsiaTheme="minorEastAsia"/>
          <w:b/>
          <w:bCs/>
          <w:sz w:val="24"/>
          <w:szCs w:val="24"/>
        </w:rPr>
        <w:t xml:space="preserve">车辆</w:t>
      </w:r>
      <w:r>
        <w:rPr>
          <w:rFonts w:hint="eastAsia" w:cs="仿宋" w:asciiTheme="minorEastAsia" w:hAnsiTheme="minorEastAsia" w:eastAsiaTheme="minorEastAsia"/>
          <w:b/>
          <w:bCs/>
          <w:sz w:val="24"/>
          <w:szCs w:val="24"/>
          <w:lang w:val="en-US" w:eastAsia="zh-CN"/>
        </w:rPr>
        <w:t xml:space="preserve">2</w:t>
      </w:r>
      <w:r>
        <w:rPr>
          <w:rFonts w:hint="eastAsia" w:cs="仿宋" w:asciiTheme="minorEastAsia" w:hAnsiTheme="minorEastAsia" w:eastAsiaTheme="minorEastAsia"/>
          <w:b/>
          <w:bCs/>
          <w:sz w:val="24"/>
          <w:szCs w:val="24"/>
        </w:rPr>
        <w:t xml:space="preserve">辆，可以自有，也可以租赁。自有车辆提供</w:t>
      </w:r>
      <w:r>
        <w:rPr>
          <w:rFonts w:hint="eastAsia" w:cs="仿宋" w:asciiTheme="minorEastAsia" w:hAnsiTheme="minorEastAsia" w:eastAsiaTheme="minorEastAsia"/>
          <w:b/>
          <w:bCs/>
          <w:sz w:val="24"/>
          <w:szCs w:val="24"/>
          <w:u w:val="none"/>
        </w:rPr>
        <w:t xml:space="preserve">在投标企业名下的有效的</w:t>
      </w:r>
      <w:r>
        <w:rPr>
          <w:rFonts w:hint="eastAsia" w:cs="仿宋" w:asciiTheme="minorEastAsia" w:hAnsiTheme="minorEastAsia" w:eastAsiaTheme="minorEastAsia"/>
          <w:b/>
          <w:bCs/>
          <w:sz w:val="24"/>
          <w:szCs w:val="24"/>
        </w:rPr>
        <w:t xml:space="preserve">车辆行驶证或登记证，租赁车辆的提供供租赁协议、付款证明及有效的车辆行驶证且租赁合同在服务项目的服务期内，如不能提供或提供不全的，则视为符合性审查不通过。</w:t>
      </w:r>
      <w:r/>
    </w:p>
    <w:p>
      <w:pPr>
        <w:contextualSpacing/>
        <w:ind w:firstLine="480"/>
        <w:spacing w:line="480" w:lineRule="exact"/>
        <w:rPr>
          <w:rFonts w:cs="仿宋" w:asciiTheme="minorEastAsia" w:hAnsiTheme="minorEastAsia" w:eastAsiaTheme="minorEastAsia"/>
          <w:bCs/>
          <w:sz w:val="24"/>
          <w:szCs w:val="24"/>
        </w:rPr>
      </w:pPr>
      <w:r>
        <w:rPr>
          <w:rFonts w:hint="eastAsia" w:cs="仿宋_GB2312" w:asciiTheme="minorEastAsia" w:hAnsiTheme="minorEastAsia" w:eastAsiaTheme="minorEastAsia"/>
          <w:bCs/>
          <w:sz w:val="24"/>
          <w:szCs w:val="24"/>
        </w:rPr>
        <w:t xml:space="preserve">八、项目运管相关工器具配备要求</w:t>
      </w:r>
      <w:r/>
    </w:p>
    <w:p>
      <w:pPr>
        <w:contextualSpacing/>
        <w:ind w:firstLine="562"/>
        <w:spacing w:line="480" w:lineRule="exac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1、配备至少一台一体化便携式多参数水质测定仪、至少一台智能多参数水质测定仪、至少一台多功能消解仪。（提供检测设备照片及投标企业购买该设备的发票）</w:t>
      </w:r>
      <w:r/>
    </w:p>
    <w:p>
      <w:pPr>
        <w:contextualSpacing/>
        <w:ind w:firstLine="562"/>
        <w:spacing w:line="480" w:lineRule="exac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注：以上设备需提供的证明材料需体现在本次投标资料中，否则</w:t>
      </w:r>
      <w:bookmarkStart w:id="51" w:name="_Hlk179552983"/>
      <w:r>
        <w:rPr>
          <w:rFonts w:hint="eastAsia" w:cs="仿宋" w:asciiTheme="minorEastAsia" w:hAnsiTheme="minorEastAsia" w:eastAsiaTheme="minorEastAsia"/>
          <w:b/>
          <w:bCs/>
          <w:sz w:val="24"/>
          <w:szCs w:val="24"/>
        </w:rPr>
        <w:t xml:space="preserve">符合性审查</w:t>
      </w:r>
      <w:bookmarkEnd w:id="51"/>
      <w:r>
        <w:rPr>
          <w:rFonts w:hint="eastAsia" w:cs="仿宋" w:asciiTheme="minorEastAsia" w:hAnsiTheme="minorEastAsia" w:eastAsiaTheme="minorEastAsia"/>
          <w:b/>
          <w:bCs/>
          <w:sz w:val="24"/>
          <w:szCs w:val="24"/>
        </w:rPr>
        <w:t xml:space="preserve">不予通过。</w:t>
      </w:r>
      <w:r/>
    </w:p>
    <w:p>
      <w:pPr>
        <w:contextualSpacing/>
        <w:ind w:firstLine="480"/>
        <w:spacing w:line="480" w:lineRule="exact"/>
        <w:rPr>
          <w:rFonts w:hint="default" w:cs="仿宋_GB2312" w:asciiTheme="minorEastAsia" w:hAnsiTheme="minorEastAsia" w:eastAsiaTheme="minorEastAsia"/>
          <w:bCs/>
          <w:sz w:val="24"/>
          <w:szCs w:val="24"/>
          <w:lang w:val="en-US" w:eastAsia="zh-CN"/>
        </w:rPr>
      </w:pPr>
      <w:r>
        <w:rPr>
          <w:rFonts w:hint="eastAsia" w:cs="仿宋_GB2312" w:asciiTheme="minorEastAsia" w:hAnsiTheme="minorEastAsia" w:eastAsiaTheme="minorEastAsia"/>
          <w:bCs/>
          <w:sz w:val="24"/>
          <w:szCs w:val="24"/>
        </w:rPr>
        <w:t xml:space="preserve">九、</w:t>
      </w:r>
      <w:r>
        <w:rPr>
          <w:rFonts w:hint="eastAsia" w:cs="仿宋_GB2312" w:asciiTheme="minorEastAsia" w:hAnsiTheme="minorEastAsia" w:eastAsiaTheme="minorEastAsia"/>
          <w:bCs/>
          <w:sz w:val="24"/>
          <w:szCs w:val="24"/>
          <w:lang w:val="en-US" w:eastAsia="zh-CN"/>
        </w:rPr>
        <w:t xml:space="preserve">其他要求</w:t>
      </w:r>
      <w:r/>
    </w:p>
    <w:p>
      <w:pPr>
        <w:contextualSpacing/>
        <w:ind w:firstLine="480"/>
        <w:spacing w:line="480" w:lineRule="exact"/>
        <w:rPr>
          <w:rFonts w:hint="default" w:cs="仿宋" w:asciiTheme="minorEastAsia" w:hAnsiTheme="minorEastAsia" w:eastAsiaTheme="minorEastAsia"/>
          <w:b/>
          <w:sz w:val="24"/>
          <w:szCs w:val="24"/>
          <w:lang w:val="en-US" w:eastAsia="zh-CN"/>
        </w:rPr>
      </w:pPr>
      <w:r>
        <w:rPr>
          <w:rFonts w:hint="eastAsia" w:cs="仿宋" w:asciiTheme="minorEastAsia" w:hAnsiTheme="minorEastAsia" w:eastAsiaTheme="minorEastAsia"/>
          <w:b/>
          <w:sz w:val="24"/>
          <w:szCs w:val="24"/>
          <w:lang w:val="en-US" w:eastAsia="zh-CN"/>
        </w:rPr>
        <w:t xml:space="preserve">为满足本项目人员办公要求，投标人中标后在海门港新区内须设有专门的办公用房（不少于100㎡）。【中标后须提供房屋产权证明或有效租赁协议（租赁协议附产权证明）】。</w:t>
      </w:r>
      <w:r/>
    </w:p>
    <w:p>
      <w:pPr>
        <w:contextualSpacing/>
        <w:ind w:firstLine="240"/>
        <w:spacing w:line="480" w:lineRule="exact"/>
        <w:rPr>
          <w:rFonts w:cs="仿宋" w:asciiTheme="minorEastAsia" w:hAnsiTheme="minorEastAsia" w:eastAsiaTheme="minorEastAsia"/>
          <w:b/>
          <w:color w:val="ff0000"/>
          <w:sz w:val="24"/>
          <w:szCs w:val="24"/>
        </w:rPr>
      </w:pPr>
      <w:r>
        <w:rPr>
          <w:rFonts w:hint="eastAsia" w:cs="仿宋" w:asciiTheme="minorEastAsia" w:hAnsiTheme="minorEastAsia" w:eastAsiaTheme="minorEastAsia"/>
          <w:b/>
          <w:sz w:val="24"/>
          <w:szCs w:val="24"/>
          <w:lang w:val="en-US" w:eastAsia="zh-CN"/>
        </w:rPr>
        <w:t xml:space="preserve">十、</w:t>
      </w:r>
      <w:r>
        <w:rPr>
          <w:rFonts w:hint="eastAsia" w:cs="仿宋" w:asciiTheme="minorEastAsia" w:hAnsiTheme="minorEastAsia" w:eastAsiaTheme="minorEastAsia"/>
          <w:b/>
          <w:sz w:val="24"/>
          <w:szCs w:val="24"/>
        </w:rPr>
        <w:t xml:space="preserve">考核机制</w:t>
      </w:r>
      <w:bookmarkEnd w:id="41"/>
      <w:bookmarkEnd w:id="42"/>
      <w:r/>
    </w:p>
    <w:p>
      <w:pPr>
        <w:contextualSpacing/>
        <w:ind w:firstLine="3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（一）服务质量考核标准</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1、服务考核标准详见附件：《污水泵站托管考核评分标准》</w:t>
      </w:r>
      <w:r/>
    </w:p>
    <w:p>
      <w:pPr>
        <w:contextualSpacing/>
        <w:ind w:firstLine="3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（二）考核方式</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1、考核组织机构：由招标人有关部门组成考核组，考核以定期检查和随机抽查的形式开展，每月不少于一次定期检查和随机抽查专项考核。</w:t>
      </w:r>
      <w:r/>
    </w:p>
    <w:p>
      <w:pPr>
        <w:contextualSpacing/>
        <w:ind w:firstLine="600"/>
        <w:spacing w:line="480" w:lineRule="exact"/>
        <w:rPr>
          <w:rFonts w:cs="宋体" w:asciiTheme="minorEastAsia" w:hAnsiTheme="minorEastAsia" w:eastAsiaTheme="minorEastAsia"/>
          <w:b/>
          <w:sz w:val="24"/>
          <w:szCs w:val="24"/>
        </w:rPr>
        <w:outlineLvl w:val="0"/>
      </w:pPr>
      <w:r>
        <w:rPr>
          <w:rFonts w:hint="eastAsia" w:cs="仿宋" w:asciiTheme="minorEastAsia" w:hAnsiTheme="minorEastAsia" w:eastAsiaTheme="minorEastAsia"/>
          <w:sz w:val="24"/>
          <w:szCs w:val="24"/>
        </w:rPr>
        <w:t xml:space="preserve">2、考核方法：考核采取百分制。（具体详见附件泵站委托管理考核表）</w:t>
      </w:r>
      <w:r/>
    </w:p>
    <w:p>
      <w:pPr>
        <w:jc w:val="center"/>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第二章采购项目内容与技术要求</w:t>
      </w:r>
      <w:r/>
    </w:p>
    <w:p>
      <w:pPr>
        <w:contextualSpacing/>
        <w:ind w:firstLine="480"/>
        <w:spacing w:line="480" w:lineRule="exac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一、项目服务时间及地点：</w:t>
      </w:r>
      <w:r/>
    </w:p>
    <w:p>
      <w:pPr>
        <w:contextualSpacing/>
        <w:ind w:firstLine="480"/>
        <w:spacing w:line="480" w:lineRule="exact"/>
        <w:rPr>
          <w:rFonts w:cs="仿宋_GB2312" w:asciiTheme="minorEastAsia" w:hAnsiTheme="minorEastAsia" w:eastAsiaTheme="minorEastAsia"/>
          <w:bCs/>
          <w:sz w:val="24"/>
          <w:szCs w:val="24"/>
        </w:rPr>
      </w:pPr>
      <w:r>
        <w:rPr>
          <w:rFonts w:hint="eastAsia" w:cs="仿宋_GB2312" w:asciiTheme="minorEastAsia" w:hAnsiTheme="minorEastAsia" w:eastAsiaTheme="minorEastAsia"/>
          <w:bCs/>
          <w:sz w:val="24"/>
          <w:szCs w:val="24"/>
        </w:rPr>
        <w:t xml:space="preserve">1、服务地点：南通市海门区海门港新区</w:t>
      </w:r>
      <w:r/>
    </w:p>
    <w:p>
      <w:pPr>
        <w:contextualSpacing/>
        <w:ind w:firstLine="480"/>
        <w:spacing w:line="480" w:lineRule="exact"/>
        <w:rPr>
          <w:rFonts w:cs="仿宋_GB2312" w:asciiTheme="minorEastAsia" w:hAnsiTheme="minorEastAsia" w:eastAsiaTheme="minorEastAsia"/>
          <w:bCs/>
          <w:sz w:val="24"/>
          <w:szCs w:val="24"/>
        </w:rPr>
      </w:pPr>
      <w:r>
        <w:rPr>
          <w:rFonts w:hint="eastAsia" w:cs="仿宋_GB2312" w:asciiTheme="minorEastAsia" w:hAnsiTheme="minorEastAsia" w:eastAsiaTheme="minorEastAsia"/>
          <w:bCs/>
          <w:sz w:val="24"/>
          <w:szCs w:val="24"/>
        </w:rPr>
        <w:t xml:space="preserve">2、服务期限：自合同签订日期起一年</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二、承包方式：</w:t>
      </w:r>
      <w:r>
        <w:rPr>
          <w:rFonts w:hint="eastAsia" w:cs="仿宋" w:asciiTheme="minorEastAsia" w:hAnsiTheme="minorEastAsia" w:eastAsiaTheme="minorEastAsia"/>
          <w:sz w:val="24"/>
          <w:szCs w:val="24"/>
        </w:rPr>
        <w:t xml:space="preserve">维护服务外包</w:t>
      </w:r>
      <w:r/>
    </w:p>
    <w:p>
      <w:pPr>
        <w:contextualSpacing/>
        <w:ind w:firstLine="480"/>
        <w:spacing w:line="480" w:lineRule="exact"/>
        <w:rPr>
          <w:rFonts w:cs="仿宋_GB2312" w:asciiTheme="minorEastAsia" w:hAnsiTheme="minorEastAsia" w:eastAsiaTheme="minorEastAsia"/>
          <w:bCs/>
          <w:sz w:val="24"/>
          <w:szCs w:val="24"/>
        </w:rPr>
      </w:pPr>
      <w:r>
        <w:rPr>
          <w:rFonts w:hint="eastAsia" w:cs="仿宋_GB2312" w:asciiTheme="minorEastAsia" w:hAnsiTheme="minorEastAsia" w:eastAsiaTheme="minorEastAsia"/>
          <w:b/>
          <w:sz w:val="24"/>
          <w:szCs w:val="24"/>
        </w:rPr>
        <w:t xml:space="preserve">三、质量标准：</w:t>
      </w:r>
      <w:r>
        <w:rPr>
          <w:rFonts w:hint="eastAsia" w:cs="仿宋_GB2312" w:asciiTheme="minorEastAsia" w:hAnsiTheme="minorEastAsia" w:eastAsiaTheme="minorEastAsia"/>
          <w:bCs/>
          <w:sz w:val="24"/>
          <w:szCs w:val="24"/>
        </w:rPr>
        <w:t xml:space="preserve">满足合同规定要求，并且符合国家、省市相关规范、技术标准要求。</w:t>
      </w:r>
      <w:r/>
    </w:p>
    <w:p>
      <w:pPr>
        <w:contextualSpacing/>
        <w:ind w:firstLine="480"/>
        <w:spacing w:line="480" w:lineRule="exact"/>
        <w:rPr>
          <w:rFonts w:cs="仿宋_GB2312" w:asciiTheme="minorEastAsia" w:hAnsiTheme="minorEastAsia" w:eastAsiaTheme="minorEastAsia"/>
          <w:bCs/>
          <w:sz w:val="24"/>
          <w:szCs w:val="24"/>
        </w:rPr>
      </w:pPr>
      <w:r>
        <w:rPr>
          <w:rFonts w:hint="eastAsia" w:cs="仿宋_GB2312" w:asciiTheme="minorEastAsia" w:hAnsiTheme="minorEastAsia" w:eastAsiaTheme="minorEastAsia"/>
          <w:b/>
          <w:sz w:val="24"/>
          <w:szCs w:val="24"/>
        </w:rPr>
        <w:t xml:space="preserve">四、付款方式：</w:t>
      </w:r>
      <w:r>
        <w:rPr>
          <w:rFonts w:hint="eastAsia" w:cs="仿宋_GB2312" w:asciiTheme="minorEastAsia" w:hAnsiTheme="minorEastAsia" w:eastAsiaTheme="minorEastAsia"/>
          <w:bCs/>
          <w:sz w:val="24"/>
          <w:szCs w:val="24"/>
        </w:rPr>
        <w:t xml:space="preserve">甲方每月对乙方履行协议情况进行考核，结合考核决定最终支付金额（考核标准详见附件）。支付时间为：维护服务期满，根据每月维护服务的考核结果且在移交资料手续齐全并经甲方认可后两个月内一次性付清费用（均不计息）。每次付款乙方须开具等额增值税发票交甲方财务入账为必要条件。</w:t>
      </w:r>
      <w:r/>
    </w:p>
    <w:p>
      <w:pPr>
        <w:contextualSpacing/>
        <w:ind w:firstLine="480"/>
        <w:spacing w:line="480" w:lineRule="exact"/>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 xml:space="preserve">五、其它相关说明：</w:t>
      </w:r>
      <w:r/>
    </w:p>
    <w:p>
      <w:pPr>
        <w:ind w:firstLine="480"/>
        <w:spacing w:line="5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1、本项目投标有效期为开标后60天。</w:t>
      </w:r>
      <w:r/>
    </w:p>
    <w:p>
      <w:pPr>
        <w:ind w:firstLine="480"/>
        <w:jc w:val="left"/>
        <w:spacing w:line="480" w:lineRule="exact"/>
        <w:rPr>
          <w:rFonts w:hint="eastAsia" w:cs="仿宋_GB2312"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2、投标人应自行踏勘现场，对现场情况和影响的因素以及困难条件进行周密的勘察和研究，充分考虑本项目施工应采取的措施方案,作出自己的判断结论和估价。根据现场情况考虑</w:t>
      </w:r>
      <w:r>
        <w:rPr>
          <w:rFonts w:hint="eastAsia" w:cs="仿宋_GB2312" w:asciiTheme="minorEastAsia" w:hAnsiTheme="minorEastAsia" w:eastAsiaTheme="minorEastAsia"/>
          <w:bCs/>
          <w:sz w:val="24"/>
          <w:szCs w:val="24"/>
        </w:rPr>
        <w:t xml:space="preserve">相应的投标报价，任何忽视、猜测、或误解项目情况而导致的成本增加等申请一律不予认可，中标后和签订合同时及实施过程中，投标人均不得以不了解现场情况为由，提出任何形式增加项目造价的要求。</w:t>
      </w:r>
      <w:r/>
    </w:p>
    <w:p>
      <w:pPr>
        <w:contextualSpacing/>
        <w:ind w:firstLine="560"/>
        <w:spacing w:line="360" w:lineRule="auto"/>
        <w:rPr>
          <w:rFonts w:hint="eastAsia" w:cs="仿宋_GB2312" w:asciiTheme="minorEastAsia" w:hAnsiTheme="minorEastAsia" w:eastAsiaTheme="minorEastAsia"/>
          <w:bCs/>
          <w:sz w:val="24"/>
          <w:szCs w:val="24"/>
          <w:lang w:val="en-US" w:eastAsia="zh-CN"/>
        </w:rPr>
      </w:pPr>
      <w:r>
        <w:rPr>
          <w:rFonts w:hint="eastAsia" w:cs="仿宋_GB2312" w:asciiTheme="minorEastAsia" w:hAnsiTheme="minorEastAsia" w:eastAsiaTheme="minorEastAsia"/>
          <w:bCs/>
          <w:sz w:val="24"/>
          <w:szCs w:val="24"/>
          <w:lang w:val="en-US" w:eastAsia="zh-CN"/>
        </w:rPr>
        <w:t xml:space="preserve">3、</w:t>
      </w:r>
      <w:r>
        <w:rPr>
          <w:rFonts w:hint="default" w:cs="仿宋_GB2312" w:asciiTheme="minorEastAsia" w:hAnsiTheme="minorEastAsia" w:eastAsiaTheme="minorEastAsia"/>
          <w:bCs/>
          <w:sz w:val="24"/>
          <w:szCs w:val="24"/>
          <w:lang w:val="en-US" w:eastAsia="zh-CN"/>
        </w:rPr>
        <w:t xml:space="preserve">供应商</w:t>
      </w:r>
      <w:r>
        <w:rPr>
          <w:rFonts w:hint="eastAsia" w:cs="仿宋_GB2312" w:asciiTheme="minorEastAsia" w:hAnsiTheme="minorEastAsia" w:eastAsiaTheme="minorEastAsia"/>
          <w:bCs/>
          <w:sz w:val="24"/>
          <w:szCs w:val="24"/>
          <w:lang w:val="en-US" w:eastAsia="zh-CN"/>
        </w:rPr>
        <w:t xml:space="preserve">的投标响应报价应当</w:t>
      </w:r>
      <w:r>
        <w:rPr>
          <w:rFonts w:hint="eastAsia" w:cs="仿宋" w:asciiTheme="minorEastAsia" w:hAnsiTheme="minorEastAsia" w:eastAsiaTheme="minorEastAsia"/>
          <w:sz w:val="24"/>
          <w:szCs w:val="24"/>
        </w:rPr>
        <w:t xml:space="preserve">包括人工费（包括人员工资、保险等）、水费、药剂费、处理设施范围内绿化、围栏、公示牌、环境卫生、管道、窨井及井盖标识等、工具、车辆、机械设备、设备零件费、设施污泥规范处置费及设施运行的相关维护、维修费用（包括电控元器件、水泵、风机、填料等设备维修及更换）</w:t>
      </w:r>
      <w:r>
        <w:rPr>
          <w:rFonts w:hint="default" w:cs="仿宋_GB2312" w:asciiTheme="minorEastAsia" w:hAnsiTheme="minorEastAsia" w:eastAsiaTheme="minorEastAsia"/>
          <w:bCs/>
          <w:sz w:val="24"/>
          <w:szCs w:val="24"/>
          <w:lang w:val="en-US" w:eastAsia="zh-CN"/>
        </w:rPr>
        <w:t xml:space="preserve">及设施运行的相关维护费用等在服务过程中发生的一切费用税费及政策性文件规定和合同所包含的所有风险、责任等各项应有费用</w:t>
      </w:r>
      <w:r>
        <w:rPr>
          <w:rFonts w:hint="eastAsia" w:cs="仿宋_GB2312" w:asciiTheme="minorEastAsia" w:hAnsiTheme="minorEastAsia" w:eastAsiaTheme="minorEastAsia"/>
          <w:bCs/>
          <w:sz w:val="24"/>
          <w:szCs w:val="24"/>
          <w:lang w:val="en-US" w:eastAsia="zh-CN"/>
        </w:rPr>
        <w:t xml:space="preserve">。</w:t>
      </w:r>
      <w:r/>
    </w:p>
    <w:p>
      <w:pPr>
        <w:contextualSpacing/>
        <w:ind w:firstLine="560"/>
        <w:spacing w:line="360" w:lineRule="auto"/>
        <w:rPr>
          <w:rFonts w:hint="eastAsia" w:cs="仿宋_GB2312" w:asciiTheme="minorEastAsia" w:hAnsiTheme="minorEastAsia" w:eastAsiaTheme="minorEastAsia"/>
          <w:bCs/>
          <w:sz w:val="24"/>
          <w:szCs w:val="24"/>
          <w:lang w:val="en-US" w:eastAsia="zh-CN"/>
        </w:rPr>
      </w:pPr>
      <w:r>
        <w:rPr>
          <w:rFonts w:hint="eastAsia" w:cs="仿宋_GB2312" w:asciiTheme="minorEastAsia" w:hAnsiTheme="minorEastAsia" w:eastAsiaTheme="minorEastAsia"/>
          <w:bCs/>
          <w:sz w:val="24"/>
          <w:szCs w:val="24"/>
          <w:lang w:val="en-US" w:eastAsia="zh-CN"/>
        </w:rPr>
        <w:t xml:space="preserve">运维期间</w:t>
      </w:r>
      <w:r>
        <w:rPr>
          <w:rFonts w:hint="default" w:cs="仿宋_GB2312" w:asciiTheme="minorEastAsia" w:hAnsiTheme="minorEastAsia" w:eastAsiaTheme="minorEastAsia"/>
          <w:bCs/>
          <w:sz w:val="24"/>
          <w:szCs w:val="24"/>
          <w:lang w:val="en-US" w:eastAsia="zh-CN"/>
        </w:rPr>
        <w:t xml:space="preserve">，污水处理设施的药剂投放、菌群补充更换</w:t>
      </w:r>
      <w:r>
        <w:rPr>
          <w:rFonts w:hint="eastAsia" w:cs="仿宋_GB2312" w:asciiTheme="minorEastAsia" w:hAnsiTheme="minorEastAsia" w:eastAsiaTheme="minorEastAsia"/>
          <w:bCs/>
          <w:sz w:val="24"/>
          <w:szCs w:val="24"/>
          <w:lang w:val="en-US" w:eastAsia="zh-CN"/>
        </w:rPr>
        <w:t xml:space="preserve">等</w:t>
      </w:r>
      <w:r>
        <w:rPr>
          <w:rFonts w:hint="default" w:cs="仿宋_GB2312" w:asciiTheme="minorEastAsia" w:hAnsiTheme="minorEastAsia" w:eastAsiaTheme="minorEastAsia"/>
          <w:bCs/>
          <w:sz w:val="24"/>
          <w:szCs w:val="24"/>
          <w:lang w:val="en-US" w:eastAsia="zh-CN"/>
        </w:rPr>
        <w:t xml:space="preserve">与设施运行相关的基本耗材费用</w:t>
      </w:r>
      <w:r>
        <w:rPr>
          <w:rFonts w:hint="eastAsia" w:cs="仿宋_GB2312" w:asciiTheme="minorEastAsia" w:hAnsiTheme="minorEastAsia" w:eastAsiaTheme="minorEastAsia"/>
          <w:bCs/>
          <w:sz w:val="24"/>
          <w:szCs w:val="24"/>
          <w:lang w:val="en-US" w:eastAsia="zh-CN"/>
        </w:rPr>
        <w:t xml:space="preserve">及</w:t>
      </w:r>
      <w:r>
        <w:rPr>
          <w:rFonts w:hint="default" w:cs="仿宋_GB2312" w:asciiTheme="minorEastAsia" w:hAnsiTheme="minorEastAsia" w:eastAsiaTheme="minorEastAsia"/>
          <w:bCs/>
          <w:sz w:val="24"/>
          <w:szCs w:val="24"/>
          <w:lang w:val="en-US" w:eastAsia="zh-CN"/>
        </w:rPr>
        <w:t xml:space="preserve">污泥清理处置</w:t>
      </w:r>
      <w:r>
        <w:rPr>
          <w:rFonts w:hint="eastAsia" w:cs="仿宋_GB2312" w:asciiTheme="minorEastAsia" w:hAnsiTheme="minorEastAsia" w:eastAsiaTheme="minorEastAsia"/>
          <w:bCs/>
          <w:sz w:val="24"/>
          <w:szCs w:val="24"/>
          <w:lang w:val="en-US" w:eastAsia="zh-CN"/>
        </w:rPr>
        <w:t xml:space="preserve">均</w:t>
      </w:r>
      <w:r>
        <w:rPr>
          <w:rFonts w:hint="default" w:cs="仿宋_GB2312" w:asciiTheme="minorEastAsia" w:hAnsiTheme="minorEastAsia" w:eastAsiaTheme="minorEastAsia"/>
          <w:bCs/>
          <w:sz w:val="24"/>
          <w:szCs w:val="24"/>
          <w:lang w:val="en-US" w:eastAsia="zh-CN"/>
        </w:rPr>
        <w:t xml:space="preserve">由</w:t>
      </w:r>
      <w:r>
        <w:rPr>
          <w:rFonts w:hint="eastAsia" w:cs="仿宋_GB2312" w:asciiTheme="minorEastAsia" w:hAnsiTheme="minorEastAsia" w:eastAsiaTheme="minorEastAsia"/>
          <w:bCs/>
          <w:sz w:val="24"/>
          <w:szCs w:val="24"/>
          <w:lang w:val="en-US" w:eastAsia="zh-CN"/>
        </w:rPr>
        <w:t xml:space="preserve">中标</w:t>
      </w:r>
      <w:r>
        <w:rPr>
          <w:rFonts w:hint="default" w:cs="仿宋_GB2312" w:asciiTheme="minorEastAsia" w:hAnsiTheme="minorEastAsia" w:eastAsiaTheme="minorEastAsia"/>
          <w:bCs/>
          <w:sz w:val="24"/>
          <w:szCs w:val="24"/>
          <w:lang w:val="en-US" w:eastAsia="zh-CN"/>
        </w:rPr>
        <w:t xml:space="preserve">供应商</w:t>
      </w:r>
      <w:r>
        <w:rPr>
          <w:rFonts w:hint="eastAsia" w:cs="仿宋_GB2312" w:asciiTheme="minorEastAsia" w:hAnsiTheme="minorEastAsia" w:eastAsiaTheme="minorEastAsia"/>
          <w:bCs/>
          <w:sz w:val="24"/>
          <w:szCs w:val="24"/>
          <w:lang w:val="en-US" w:eastAsia="zh-CN"/>
        </w:rPr>
        <w:t xml:space="preserve">承担</w:t>
      </w:r>
      <w:r>
        <w:rPr>
          <w:rFonts w:hint="default" w:cs="仿宋_GB2312" w:asciiTheme="minorEastAsia" w:hAnsiTheme="minorEastAsia" w:eastAsiaTheme="minorEastAsia"/>
          <w:bCs/>
          <w:sz w:val="24"/>
          <w:szCs w:val="24"/>
          <w:lang w:val="en-US" w:eastAsia="zh-CN"/>
        </w:rPr>
        <w:t xml:space="preserve">。</w:t>
      </w:r>
      <w:r/>
    </w:p>
    <w:p>
      <w:pPr>
        <w:ind w:firstLine="480"/>
        <w:jc w:val="left"/>
        <w:spacing w:line="480" w:lineRule="exact"/>
        <w:rPr>
          <w:rFonts w:hint="eastAsia" w:cs="仿宋_GB2312" w:asciiTheme="minorEastAsia" w:hAnsiTheme="minorEastAsia" w:eastAsiaTheme="minorEastAsia"/>
          <w:bCs/>
          <w:sz w:val="24"/>
          <w:szCs w:val="24"/>
          <w:lang w:val="en-US" w:eastAsia="zh-CN"/>
        </w:rPr>
      </w:pPr>
      <w:r>
        <w:rPr>
          <w:rFonts w:hint="eastAsia" w:cs="仿宋_GB2312" w:asciiTheme="minorEastAsia" w:hAnsiTheme="minorEastAsia" w:eastAsiaTheme="minorEastAsia"/>
          <w:bCs/>
          <w:sz w:val="24"/>
          <w:szCs w:val="24"/>
          <w:lang w:val="en-US" w:eastAsia="zh-CN"/>
        </w:rPr>
        <w:t xml:space="preserve">六、履约保证金：</w:t>
      </w:r>
      <w:r/>
    </w:p>
    <w:p>
      <w:pPr>
        <w:ind w:firstLine="480"/>
        <w:spacing w:line="5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1、本项目履约保证金为中标金额的5%，</w:t>
      </w:r>
      <w:r>
        <w:rPr>
          <w:rFonts w:hint="eastAsia" w:cs="宋体" w:asciiTheme="minorEastAsia" w:hAnsiTheme="minorEastAsia" w:eastAsiaTheme="minorEastAsia"/>
          <w:sz w:val="24"/>
          <w:szCs w:val="24"/>
          <w:lang w:val="zh-CN"/>
        </w:rPr>
        <w:t xml:space="preserve">以支票、汇票、本票或者金融机构、担保机构出具的保函等非现金形式提交</w:t>
      </w:r>
      <w:r>
        <w:rPr>
          <w:rFonts w:hint="eastAsia" w:cs="宋体" w:asciiTheme="minorEastAsia" w:hAnsiTheme="minorEastAsia" w:eastAsiaTheme="minorEastAsia"/>
          <w:sz w:val="24"/>
          <w:szCs w:val="24"/>
        </w:rPr>
        <w:t xml:space="preserve">，在签订合同前缴纳至甲方指定账户</w:t>
      </w:r>
      <w:r>
        <w:rPr>
          <w:rFonts w:hint="eastAsia" w:cs="宋体" w:asciiTheme="minorEastAsia" w:hAnsiTheme="minorEastAsia" w:eastAsiaTheme="minorEastAsia"/>
          <w:b/>
          <w:bCs/>
          <w:sz w:val="24"/>
          <w:szCs w:val="24"/>
        </w:rPr>
        <w:t xml:space="preserve">（帐户名：南通市海门区海门港新区管理委员会财政局预算外资金 ，开户行：农行东灶港分理处，帐号：</w:t>
      </w:r>
      <w:r>
        <w:rPr>
          <w:rFonts w:cs="宋体" w:asciiTheme="minorEastAsia" w:hAnsiTheme="minorEastAsia" w:eastAsiaTheme="minorEastAsia"/>
          <w:b/>
          <w:bCs/>
          <w:sz w:val="24"/>
          <w:szCs w:val="24"/>
        </w:rPr>
        <w:t xml:space="preserve">10721401040000695</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sz w:val="24"/>
          <w:szCs w:val="24"/>
        </w:rPr>
        <w:t xml:space="preserve">，并按中标通知书规定时间与采购单位签订合同，项目验收合格后无息退还。</w:t>
      </w:r>
      <w:r/>
    </w:p>
    <w:p>
      <w:pPr>
        <w:ind w:firstLine="480"/>
        <w:spacing w:line="5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2、发生以下情况的，履约保证金不予退还或部分退还：</w:t>
      </w:r>
      <w:r>
        <w:rPr>
          <w:rFonts w:hint="eastAsia" w:cs="宋体" w:asciiTheme="minorEastAsia" w:hAnsiTheme="minorEastAsia" w:eastAsiaTheme="minorEastAsia"/>
          <w:sz w:val="24"/>
          <w:szCs w:val="24"/>
        </w:rPr>
        <w:br/>
      </w:r>
      <w:r>
        <w:rPr>
          <w:rFonts w:hint="eastAsia" w:cs="宋体" w:asciiTheme="minorEastAsia" w:hAnsiTheme="minorEastAsia" w:eastAsiaTheme="minorEastAsia"/>
          <w:sz w:val="24"/>
          <w:szCs w:val="24"/>
        </w:rPr>
        <w:t xml:space="preserve">    a.签订合同后，成交供应商不履行合同义务的，采购单位有权全额扣除履约保证金，全额不予退还，同时采购单位亦有权终止合同，中标供应商还须承担相应的法律赔偿责任。</w:t>
      </w:r>
      <w:r/>
    </w:p>
    <w:p>
      <w:pPr>
        <w:ind w:firstLine="480"/>
        <w:spacing w:line="5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jc w:val="center"/>
        <w:spacing w:line="360" w:lineRule="auto"/>
        <w:rPr>
          <w:rFonts w:cs="宋体" w:asciiTheme="minorEastAsia" w:hAnsiTheme="minorEastAsia" w:eastAsiaTheme="minorEastAsia"/>
          <w:b/>
          <w:color w:val="000000" w:themeColor="text1"/>
          <w:sz w:val="30"/>
          <w:szCs w:val="30"/>
          <w14:textFill>
            <w14:solidFill>
              <w14:schemeClr w14:val="tx1"/>
            </w14:solidFill>
          </w14:textFill>
        </w:rPr>
      </w:pPr>
      <w:r>
        <w:rPr>
          <w:rFonts w:cs="宋体" w:asciiTheme="minorEastAsia" w:hAnsiTheme="minorEastAsia" w:eastAsiaTheme="minorEastAsia"/>
          <w:b/>
          <w:color w:val="000000" w:themeColor="text1"/>
          <w:sz w:val="30"/>
          <w:szCs w:val="30"/>
          <w14:textFill>
            <w14:solidFill>
              <w14:schemeClr w14:val="tx1"/>
            </w14:solidFill>
          </w14:textFill>
        </w:rPr>
      </w:r>
      <w:r/>
    </w:p>
    <w:p>
      <w:pPr>
        <w:pStyle w:val="763"/>
        <w:ind w:left="0" w:firstLine="0"/>
        <w:rPr>
          <w:rFonts w:cs="宋体" w:asciiTheme="minorEastAsia" w:hAnsiTheme="minorEastAsia" w:eastAsiaTheme="minorEastAsia"/>
          <w:b/>
          <w:color w:val="000000" w:themeColor="text1"/>
          <w:sz w:val="30"/>
          <w:szCs w:val="30"/>
          <w14:textFill>
            <w14:solidFill>
              <w14:schemeClr w14:val="tx1"/>
            </w14:solidFill>
          </w14:textFill>
        </w:rPr>
      </w:pPr>
      <w:r>
        <w:rPr>
          <w:rFonts w:cs="宋体" w:asciiTheme="minorEastAsia" w:hAnsiTheme="minorEastAsia" w:eastAsiaTheme="minorEastAsia"/>
          <w:b/>
          <w:color w:val="000000" w:themeColor="text1"/>
          <w:sz w:val="30"/>
          <w:szCs w:val="30"/>
          <w14:textFill>
            <w14:solidFill>
              <w14:schemeClr w14:val="tx1"/>
            </w14:solidFill>
          </w14:textFill>
        </w:rPr>
      </w:r>
      <w:r/>
    </w:p>
    <w:p>
      <w:pPr>
        <w:pStyle w:val="763"/>
        <w:ind w:left="0" w:firstLine="0"/>
        <w:rPr>
          <w:rFonts w:cs="宋体" w:asciiTheme="minorEastAsia" w:hAnsiTheme="minorEastAsia" w:eastAsiaTheme="minorEastAsia"/>
          <w:b/>
          <w:color w:val="000000" w:themeColor="text1"/>
          <w:sz w:val="30"/>
          <w:szCs w:val="30"/>
          <w14:textFill>
            <w14:solidFill>
              <w14:schemeClr w14:val="tx1"/>
            </w14:solidFill>
          </w14:textFill>
        </w:rPr>
      </w:pPr>
      <w:r>
        <w:rPr>
          <w:rFonts w:cs="宋体" w:asciiTheme="minorEastAsia" w:hAnsiTheme="minorEastAsia" w:eastAsiaTheme="minorEastAsia"/>
          <w:b/>
          <w:color w:val="000000" w:themeColor="text1"/>
          <w:sz w:val="30"/>
          <w:szCs w:val="30"/>
          <w14:textFill>
            <w14:solidFill>
              <w14:schemeClr w14:val="tx1"/>
            </w14:solidFill>
          </w14:textFill>
        </w:rPr>
      </w:r>
      <w:r/>
    </w:p>
    <w:p>
      <w:pPr>
        <w:pStyle w:val="763"/>
        <w:ind w:left="0" w:firstLine="0"/>
        <w:rPr>
          <w:rFonts w:cs="宋体" w:asciiTheme="minorEastAsia" w:hAnsiTheme="minorEastAsia" w:eastAsiaTheme="minorEastAsia"/>
          <w:b/>
          <w:color w:val="000000" w:themeColor="text1"/>
          <w:sz w:val="30"/>
          <w:szCs w:val="30"/>
          <w14:textFill>
            <w14:solidFill>
              <w14:schemeClr w14:val="tx1"/>
            </w14:solidFill>
          </w14:textFill>
        </w:rPr>
      </w:pPr>
      <w:r>
        <w:rPr>
          <w:rFonts w:cs="宋体" w:asciiTheme="minorEastAsia" w:hAnsiTheme="minorEastAsia" w:eastAsiaTheme="minorEastAsia"/>
          <w:b/>
          <w:color w:val="000000" w:themeColor="text1"/>
          <w:sz w:val="30"/>
          <w:szCs w:val="30"/>
          <w14:textFill>
            <w14:solidFill>
              <w14:schemeClr w14:val="tx1"/>
            </w14:solidFill>
          </w14:textFill>
        </w:rPr>
      </w:r>
      <w:r/>
    </w:p>
    <w:p>
      <w:pPr>
        <w:pStyle w:val="763"/>
        <w:ind w:left="0" w:firstLine="0"/>
        <w:rPr>
          <w:rFonts w:cs="宋体" w:asciiTheme="minorEastAsia" w:hAnsiTheme="minorEastAsia" w:eastAsiaTheme="minorEastAsia"/>
          <w:b/>
          <w:color w:val="000000" w:themeColor="text1"/>
          <w:sz w:val="30"/>
          <w:szCs w:val="30"/>
          <w14:textFill>
            <w14:solidFill>
              <w14:schemeClr w14:val="tx1"/>
            </w14:solidFill>
          </w14:textFill>
        </w:rPr>
      </w:pPr>
      <w:r>
        <w:rPr>
          <w:rFonts w:cs="宋体" w:asciiTheme="minorEastAsia" w:hAnsiTheme="minorEastAsia" w:eastAsiaTheme="minorEastAsia"/>
          <w:b/>
          <w:color w:val="000000" w:themeColor="text1"/>
          <w:sz w:val="30"/>
          <w:szCs w:val="30"/>
          <w14:textFill>
            <w14:solidFill>
              <w14:schemeClr w14:val="tx1"/>
            </w14:solidFill>
          </w14:textFill>
        </w:rPr>
      </w:r>
      <w:r/>
    </w:p>
    <w:p>
      <w:pPr>
        <w:pStyle w:val="763"/>
        <w:ind w:left="0" w:firstLine="0"/>
        <w:rPr>
          <w:rFonts w:cs="宋体" w:asciiTheme="minorEastAsia" w:hAnsiTheme="minorEastAsia" w:eastAsiaTheme="minorEastAsia"/>
          <w:b/>
          <w:color w:val="000000" w:themeColor="text1"/>
          <w:sz w:val="30"/>
          <w:szCs w:val="30"/>
          <w14:textFill>
            <w14:solidFill>
              <w14:schemeClr w14:val="tx1"/>
            </w14:solidFill>
          </w14:textFill>
        </w:rPr>
      </w:pPr>
      <w:r>
        <w:rPr>
          <w:rFonts w:cs="宋体" w:asciiTheme="minorEastAsia" w:hAnsiTheme="minorEastAsia" w:eastAsiaTheme="minorEastAsia"/>
          <w:b/>
          <w:color w:val="000000" w:themeColor="text1"/>
          <w:sz w:val="30"/>
          <w:szCs w:val="30"/>
          <w14:textFill>
            <w14:solidFill>
              <w14:schemeClr w14:val="tx1"/>
            </w14:solidFill>
          </w14:textFill>
        </w:rPr>
      </w:r>
      <w:r/>
    </w:p>
    <w:p>
      <w:pPr>
        <w:pStyle w:val="763"/>
        <w:ind w:left="0" w:firstLine="0"/>
        <w:rPr>
          <w:rFonts w:cs="宋体" w:asciiTheme="minorEastAsia" w:hAnsiTheme="minorEastAsia" w:eastAsiaTheme="minorEastAsia"/>
          <w:b/>
          <w:color w:val="000000" w:themeColor="text1"/>
          <w:sz w:val="30"/>
          <w:szCs w:val="30"/>
          <w14:textFill>
            <w14:solidFill>
              <w14:schemeClr w14:val="tx1"/>
            </w14:solidFill>
          </w14:textFill>
        </w:rPr>
      </w:pPr>
      <w:r>
        <w:rPr>
          <w:rFonts w:cs="宋体" w:asciiTheme="minorEastAsia" w:hAnsiTheme="minorEastAsia" w:eastAsiaTheme="minorEastAsia"/>
          <w:b/>
          <w:color w:val="000000" w:themeColor="text1"/>
          <w:sz w:val="30"/>
          <w:szCs w:val="30"/>
          <w14:textFill>
            <w14:solidFill>
              <w14:schemeClr w14:val="tx1"/>
            </w14:solidFill>
          </w14:textFill>
        </w:rPr>
      </w:r>
      <w:r/>
    </w:p>
    <w:p>
      <w:pPr>
        <w:pStyle w:val="763"/>
        <w:ind w:left="0" w:firstLine="0"/>
        <w:rPr>
          <w:rFonts w:cs="宋体" w:asciiTheme="minorEastAsia" w:hAnsiTheme="minorEastAsia" w:eastAsiaTheme="minorEastAsia"/>
          <w:b/>
          <w:color w:val="000000" w:themeColor="text1"/>
          <w:sz w:val="30"/>
          <w:szCs w:val="30"/>
          <w14:textFill>
            <w14:solidFill>
              <w14:schemeClr w14:val="tx1"/>
            </w14:solidFill>
          </w14:textFill>
        </w:rPr>
      </w:pPr>
      <w:r>
        <w:rPr>
          <w:rFonts w:cs="宋体" w:asciiTheme="minorEastAsia" w:hAnsiTheme="minorEastAsia" w:eastAsiaTheme="minorEastAsia"/>
          <w:b/>
          <w:color w:val="000000" w:themeColor="text1"/>
          <w:sz w:val="30"/>
          <w:szCs w:val="30"/>
          <w14:textFill>
            <w14:solidFill>
              <w14:schemeClr w14:val="tx1"/>
            </w14:solidFill>
          </w14:textFill>
        </w:rPr>
      </w:r>
      <w:r/>
    </w:p>
    <w:p>
      <w:pPr>
        <w:pStyle w:val="763"/>
        <w:ind w:left="0" w:firstLine="0"/>
        <w:rPr>
          <w:rFonts w:cs="宋体" w:asciiTheme="minorEastAsia" w:hAnsiTheme="minorEastAsia" w:eastAsiaTheme="minorEastAsia"/>
          <w:b/>
          <w:color w:val="000000" w:themeColor="text1"/>
          <w:sz w:val="30"/>
          <w:szCs w:val="30"/>
          <w14:textFill>
            <w14:solidFill>
              <w14:schemeClr w14:val="tx1"/>
            </w14:solidFill>
          </w14:textFill>
        </w:rPr>
      </w:pPr>
      <w:r>
        <w:rPr>
          <w:rFonts w:cs="宋体" w:asciiTheme="minorEastAsia" w:hAnsiTheme="minorEastAsia" w:eastAsiaTheme="minorEastAsia"/>
          <w:b/>
          <w:color w:val="000000" w:themeColor="text1"/>
          <w:sz w:val="30"/>
          <w:szCs w:val="30"/>
          <w14:textFill>
            <w14:solidFill>
              <w14:schemeClr w14:val="tx1"/>
            </w14:solidFill>
          </w14:textFill>
        </w:rPr>
      </w:r>
      <w:r/>
    </w:p>
    <w:p>
      <w:pPr>
        <w:pStyle w:val="763"/>
        <w:ind w:left="0" w:firstLine="0"/>
        <w:rPr>
          <w:rFonts w:cs="宋体" w:asciiTheme="minorEastAsia" w:hAnsiTheme="minorEastAsia" w:eastAsiaTheme="minorEastAsia"/>
          <w:b/>
          <w:color w:val="000000" w:themeColor="text1"/>
          <w:sz w:val="30"/>
          <w:szCs w:val="30"/>
          <w14:textFill>
            <w14:solidFill>
              <w14:schemeClr w14:val="tx1"/>
            </w14:solidFill>
          </w14:textFill>
        </w:rPr>
      </w:pPr>
      <w:r>
        <w:rPr>
          <w:rFonts w:cs="宋体" w:asciiTheme="minorEastAsia" w:hAnsiTheme="minorEastAsia" w:eastAsiaTheme="minorEastAsia"/>
          <w:b/>
          <w:color w:val="000000" w:themeColor="text1"/>
          <w:sz w:val="30"/>
          <w:szCs w:val="30"/>
          <w14:textFill>
            <w14:solidFill>
              <w14:schemeClr w14:val="tx1"/>
            </w14:solidFill>
          </w14:textFill>
        </w:rPr>
      </w:r>
      <w:r/>
    </w:p>
    <w:p>
      <w:pPr>
        <w:pStyle w:val="763"/>
        <w:ind w:left="0" w:firstLine="0"/>
        <w:rPr>
          <w:rFonts w:cs="宋体" w:asciiTheme="minorEastAsia" w:hAnsiTheme="minorEastAsia" w:eastAsiaTheme="minorEastAsia"/>
          <w:b/>
          <w:color w:val="000000" w:themeColor="text1"/>
          <w:sz w:val="30"/>
          <w:szCs w:val="30"/>
          <w14:textFill>
            <w14:solidFill>
              <w14:schemeClr w14:val="tx1"/>
            </w14:solidFill>
          </w14:textFill>
        </w:rPr>
      </w:pPr>
      <w:r>
        <w:rPr>
          <w:rFonts w:cs="宋体" w:asciiTheme="minorEastAsia" w:hAnsiTheme="minorEastAsia" w:eastAsiaTheme="minorEastAsia"/>
          <w:b/>
          <w:color w:val="000000" w:themeColor="text1"/>
          <w:sz w:val="30"/>
          <w:szCs w:val="30"/>
          <w14:textFill>
            <w14:solidFill>
              <w14:schemeClr w14:val="tx1"/>
            </w14:solidFill>
          </w14:textFill>
        </w:rPr>
      </w:r>
      <w:r/>
    </w:p>
    <w:p>
      <w:pPr>
        <w:contextualSpacing/>
        <w:jc w:val="center"/>
        <w:spacing w:line="360" w:lineRule="auto"/>
        <w:rPr>
          <w:rFonts w:cs="宋体" w:asciiTheme="minorEastAsia" w:hAnsiTheme="minorEastAsia" w:eastAsiaTheme="minorEastAsia"/>
          <w:b/>
          <w:bCs/>
          <w:sz w:val="30"/>
          <w:szCs w:val="30"/>
        </w:rPr>
      </w:pPr>
      <w:r>
        <w:rPr>
          <w:rFonts w:hint="eastAsia" w:cs="宋体" w:asciiTheme="minorEastAsia" w:hAnsiTheme="minorEastAsia" w:eastAsiaTheme="minorEastAsia"/>
          <w:b/>
          <w:bCs/>
          <w:sz w:val="30"/>
          <w:szCs w:val="30"/>
        </w:rPr>
        <w:t xml:space="preserve">南通市海门区包场镇人民政府采购2026年污水处理设施运维服务项目</w:t>
      </w:r>
      <w:r/>
    </w:p>
    <w:p>
      <w:pPr>
        <w:contextualSpacing/>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30"/>
          <w:szCs w:val="30"/>
        </w:rPr>
        <w:t xml:space="preserve">服务协议</w:t>
      </w:r>
      <w:r/>
    </w:p>
    <w:p>
      <w:pPr>
        <w:contextualSpacing/>
        <w:ind w:firstLine="482"/>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甲方：</w:t>
      </w:r>
      <w:r>
        <w:rPr>
          <w:rFonts w:hint="eastAsia" w:cs="宋体" w:asciiTheme="minorEastAsia" w:hAnsiTheme="minorEastAsia" w:eastAsiaTheme="minorEastAsia"/>
          <w:sz w:val="24"/>
          <w:szCs w:val="24"/>
          <w:u w:val="single"/>
        </w:rPr>
        <w:t xml:space="preserve"> 南通市海门区包场镇人民政府</w:t>
      </w:r>
      <w:r/>
    </w:p>
    <w:p>
      <w:pPr>
        <w:contextualSpacing/>
        <w:ind w:firstLine="482"/>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乙方： </w:t>
      </w:r>
      <w:r/>
    </w:p>
    <w:p>
      <w:pPr>
        <w:contextualSpacing/>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为保证南通市海门区包场镇区域污水处理设施及配套管网进行日常运营管理和维护的正常运行，甲方将包场镇区域内</w:t>
      </w:r>
      <w:r>
        <w:rPr>
          <w:rFonts w:hint="eastAsia" w:asciiTheme="minorEastAsia" w:hAnsiTheme="minorEastAsia" w:eastAsiaTheme="minorEastAsia"/>
          <w:sz w:val="24"/>
          <w:szCs w:val="32"/>
        </w:rPr>
        <w:t xml:space="preserve">20</w:t>
      </w:r>
      <w:r>
        <w:rPr>
          <w:rFonts w:asciiTheme="minorEastAsia" w:hAnsiTheme="minorEastAsia" w:eastAsiaTheme="minorEastAsia"/>
          <w:sz w:val="24"/>
          <w:szCs w:val="32"/>
        </w:rPr>
        <w:t xml:space="preserve">2</w:t>
      </w:r>
      <w:r>
        <w:rPr>
          <w:rFonts w:hint="eastAsia" w:asciiTheme="minorEastAsia" w:hAnsiTheme="minorEastAsia" w:eastAsiaTheme="minorEastAsia"/>
          <w:sz w:val="24"/>
          <w:szCs w:val="32"/>
        </w:rPr>
        <w:t xml:space="preserve">6年度村庄污水处理设施运行维护服务</w:t>
      </w:r>
      <w:r>
        <w:rPr>
          <w:rFonts w:hint="eastAsia" w:cs="宋体" w:asciiTheme="minorEastAsia" w:hAnsiTheme="minorEastAsia" w:eastAsiaTheme="minorEastAsia"/>
          <w:sz w:val="24"/>
          <w:szCs w:val="24"/>
        </w:rPr>
        <w:t xml:space="preserve">发包给乙方负责运行、维护和管理。经双方协商，达成如下协议：</w:t>
      </w:r>
      <w:r/>
    </w:p>
    <w:p>
      <w:pPr>
        <w:numPr>
          <w:ilvl w:val="0"/>
          <w:numId w:val="5"/>
        </w:numPr>
        <w:contextualSpacing/>
        <w:spacing w:line="360" w:lineRule="auto"/>
        <w:rPr>
          <w:rFonts w:cs="宋体" w:asciiTheme="minorEastAsia" w:hAnsiTheme="minorEastAsia" w:eastAsiaTheme="minorEastAsia"/>
          <w:b w:val="0"/>
          <w:bCs w:val="0"/>
          <w:sz w:val="24"/>
          <w:szCs w:val="22"/>
          <w:lang w:val="zh-CN"/>
        </w:rPr>
      </w:pPr>
      <w:r>
        <w:rPr>
          <w:rFonts w:hint="eastAsia" w:cs="宋体" w:asciiTheme="minorEastAsia" w:hAnsiTheme="minorEastAsia" w:eastAsiaTheme="minorEastAsia"/>
          <w:b w:val="0"/>
          <w:bCs w:val="0"/>
          <w:sz w:val="24"/>
          <w:szCs w:val="22"/>
          <w:lang w:val="zh-CN"/>
        </w:rPr>
        <w:t xml:space="preserve">服务内容： </w:t>
      </w:r>
      <w:r/>
    </w:p>
    <w:tbl>
      <w:tblPr>
        <w:tblStyle w:val="72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25"/>
        <w:gridCol w:w="3162"/>
        <w:gridCol w:w="1665"/>
        <w:gridCol w:w="2004"/>
        <w:gridCol w:w="2090"/>
      </w:tblGrid>
      <w:tr>
        <w:trPr>
          <w:trHeight w:val="505"/>
        </w:trPr>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contextualSpacing/>
              <w:spacing w:line="480" w:lineRule="exact"/>
              <w:rPr>
                <w:rFonts w:asciiTheme="minorEastAsia" w:hAnsiTheme="minorEastAsia" w:eastAsiaTheme="minorEastAsia"/>
                <w:b w:val="0"/>
                <w:bCs w:val="0"/>
                <w:sz w:val="24"/>
                <w:szCs w:val="24"/>
              </w:rPr>
              <w:outlineLvl w:val="0"/>
            </w:pPr>
            <w:r>
              <w:rPr>
                <w:rFonts w:hint="eastAsia" w:asciiTheme="minorEastAsia" w:hAnsiTheme="minorEastAsia" w:eastAsiaTheme="minorEastAsia"/>
                <w:b w:val="0"/>
                <w:bCs w:val="0"/>
                <w:sz w:val="24"/>
                <w:szCs w:val="24"/>
              </w:rPr>
              <w:t xml:space="preserve">序号</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tcPr>
          <w:p>
            <w:pPr>
              <w:contextualSpacing/>
              <w:ind w:firstLine="1200"/>
              <w:spacing w:line="480" w:lineRule="exact"/>
              <w:rPr>
                <w:rFonts w:asciiTheme="minorEastAsia" w:hAnsiTheme="minorEastAsia" w:eastAsiaTheme="minorEastAsia"/>
                <w:b w:val="0"/>
                <w:bCs w:val="0"/>
                <w:sz w:val="24"/>
                <w:szCs w:val="24"/>
              </w:rPr>
              <w:outlineLvl w:val="0"/>
            </w:pPr>
            <w:r>
              <w:rPr>
                <w:rFonts w:hint="eastAsia" w:asciiTheme="minorEastAsia" w:hAnsiTheme="minorEastAsia" w:eastAsiaTheme="minorEastAsia"/>
                <w:b w:val="0"/>
                <w:bCs w:val="0"/>
                <w:sz w:val="24"/>
                <w:szCs w:val="24"/>
              </w:rPr>
              <w:t xml:space="preserve">名称</w:t>
            </w:r>
            <w:r/>
          </w:p>
        </w:tc>
        <w:tc>
          <w:tcPr>
            <w:tcBorders>
              <w:top w:val="single" w:color="auto" w:sz="4" w:space="0"/>
              <w:left w:val="single" w:color="auto" w:sz="4" w:space="0"/>
              <w:bottom w:val="single" w:color="auto" w:sz="4" w:space="0"/>
              <w:right w:val="single" w:color="auto" w:sz="4" w:space="0"/>
            </w:tcBorders>
            <w:tcW w:w="854" w:type="pct"/>
            <w:vAlign w:val="center"/>
            <w:textDirection w:val="lrTb"/>
            <w:noWrap/>
          </w:tcPr>
          <w:p>
            <w:pPr>
              <w:contextualSpacing/>
              <w:ind w:firstLine="480"/>
              <w:spacing w:line="480" w:lineRule="exact"/>
              <w:rPr>
                <w:rFonts w:asciiTheme="minorEastAsia" w:hAnsiTheme="minorEastAsia" w:eastAsiaTheme="minorEastAsia"/>
                <w:b w:val="0"/>
                <w:bCs w:val="0"/>
                <w:sz w:val="24"/>
                <w:szCs w:val="24"/>
              </w:rPr>
              <w:outlineLvl w:val="0"/>
            </w:pPr>
            <w:r>
              <w:rPr>
                <w:rFonts w:hint="eastAsia" w:asciiTheme="minorEastAsia" w:hAnsiTheme="minorEastAsia" w:eastAsiaTheme="minorEastAsia"/>
                <w:b w:val="0"/>
                <w:bCs w:val="0"/>
                <w:sz w:val="24"/>
                <w:szCs w:val="24"/>
              </w:rPr>
              <w:t xml:space="preserve">单位</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tcPr>
          <w:p>
            <w:pPr>
              <w:contextualSpacing/>
              <w:ind w:firstLine="480"/>
              <w:spacing w:line="480" w:lineRule="exact"/>
              <w:rPr>
                <w:rFonts w:asciiTheme="minorEastAsia" w:hAnsiTheme="minorEastAsia" w:eastAsiaTheme="minorEastAsia"/>
                <w:b w:val="0"/>
                <w:bCs w:val="0"/>
                <w:sz w:val="24"/>
                <w:szCs w:val="24"/>
              </w:rPr>
              <w:outlineLvl w:val="0"/>
            </w:pPr>
            <w:r>
              <w:rPr>
                <w:rFonts w:hint="eastAsia" w:asciiTheme="minorEastAsia" w:hAnsiTheme="minorEastAsia" w:eastAsiaTheme="minorEastAsia"/>
                <w:b w:val="0"/>
                <w:bCs w:val="0"/>
                <w:sz w:val="24"/>
                <w:szCs w:val="24"/>
              </w:rPr>
              <w:t xml:space="preserve">数量</w:t>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tcPr>
          <w:p>
            <w:pPr>
              <w:contextualSpacing/>
              <w:ind w:firstLine="480"/>
              <w:spacing w:line="480" w:lineRule="exact"/>
              <w:rPr>
                <w:rFonts w:asciiTheme="minorEastAsia" w:hAnsiTheme="minorEastAsia" w:eastAsiaTheme="minorEastAsia"/>
                <w:b w:val="0"/>
                <w:bCs w:val="0"/>
                <w:sz w:val="24"/>
                <w:szCs w:val="24"/>
              </w:rPr>
              <w:outlineLvl w:val="0"/>
            </w:pPr>
            <w:r>
              <w:rPr>
                <w:rFonts w:hint="eastAsia" w:asciiTheme="minorEastAsia" w:hAnsiTheme="minorEastAsia" w:eastAsiaTheme="minorEastAsia"/>
                <w:b w:val="0"/>
                <w:bCs w:val="0"/>
                <w:sz w:val="24"/>
                <w:szCs w:val="24"/>
              </w:rPr>
              <w:t xml:space="preserve">备注</w:t>
            </w:r>
            <w:r/>
          </w:p>
        </w:tc>
      </w:tr>
      <w:tr>
        <w:trPr>
          <w:trHeight w:val="483"/>
        </w:trPr>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contextualSpacing/>
              <w:ind w:firstLine="240"/>
              <w:spacing w:line="480" w:lineRule="exact"/>
              <w:rPr>
                <w:rFonts w:asciiTheme="minorEastAsia" w:hAnsiTheme="minorEastAsia" w:eastAsiaTheme="minorEastAsia"/>
                <w:b w:val="0"/>
                <w:bCs w:val="0"/>
                <w:sz w:val="24"/>
                <w:szCs w:val="24"/>
              </w:rPr>
              <w:outlineLvl w:val="0"/>
            </w:pPr>
            <w:r>
              <w:rPr>
                <w:rFonts w:hint="eastAsia" w:asciiTheme="minorEastAsia" w:hAnsiTheme="minorEastAsia" w:eastAsiaTheme="minorEastAsia"/>
                <w:b w:val="0"/>
                <w:bCs w:val="0"/>
                <w:sz w:val="24"/>
                <w:szCs w:val="24"/>
              </w:rPr>
              <w:t xml:space="preserve">1</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tcPr>
          <w:p>
            <w:pPr>
              <w:contextualSpacing/>
              <w:ind w:firstLine="480"/>
              <w:spacing w:line="480" w:lineRule="exact"/>
              <w:rPr>
                <w:rFonts w:asciiTheme="minorEastAsia" w:hAnsiTheme="minorEastAsia" w:eastAsiaTheme="minorEastAsia"/>
                <w:b w:val="0"/>
                <w:bCs w:val="0"/>
                <w:sz w:val="24"/>
                <w:szCs w:val="24"/>
              </w:rPr>
              <w:outlineLvl w:val="0"/>
            </w:pPr>
            <w:r>
              <w:rPr>
                <w:rFonts w:hint="eastAsia" w:asciiTheme="minorEastAsia" w:hAnsiTheme="minorEastAsia" w:eastAsiaTheme="minorEastAsia"/>
                <w:b w:val="0"/>
                <w:bCs w:val="0"/>
                <w:sz w:val="24"/>
                <w:szCs w:val="24"/>
              </w:rPr>
              <w:t xml:space="preserve">小型农村污水处理设施</w:t>
            </w:r>
            <w:r/>
          </w:p>
        </w:tc>
        <w:tc>
          <w:tcPr>
            <w:tcBorders>
              <w:top w:val="single" w:color="auto" w:sz="4" w:space="0"/>
              <w:left w:val="single" w:color="auto" w:sz="4" w:space="0"/>
              <w:bottom w:val="single" w:color="auto" w:sz="4" w:space="0"/>
              <w:right w:val="single" w:color="auto" w:sz="4" w:space="0"/>
            </w:tcBorders>
            <w:tcW w:w="854" w:type="pct"/>
            <w:vAlign w:val="center"/>
            <w:textDirection w:val="lrTb"/>
            <w:noWrap/>
          </w:tcPr>
          <w:p>
            <w:pPr>
              <w:contextualSpacing/>
              <w:ind w:firstLine="480"/>
              <w:spacing w:line="480" w:lineRule="exact"/>
              <w:rPr>
                <w:rFonts w:asciiTheme="minorEastAsia" w:hAnsiTheme="minorEastAsia" w:eastAsiaTheme="minorEastAsia"/>
                <w:b w:val="0"/>
                <w:bCs w:val="0"/>
                <w:sz w:val="24"/>
                <w:szCs w:val="24"/>
              </w:rPr>
              <w:outlineLvl w:val="0"/>
            </w:pPr>
            <w:r>
              <w:rPr>
                <w:rFonts w:hint="eastAsia" w:asciiTheme="minorEastAsia" w:hAnsiTheme="minorEastAsia" w:eastAsiaTheme="minorEastAsia"/>
                <w:b w:val="0"/>
                <w:bCs w:val="0"/>
                <w:sz w:val="24"/>
                <w:szCs w:val="24"/>
              </w:rPr>
              <w:t xml:space="preserve">台</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tcPr>
          <w:p>
            <w:pPr>
              <w:contextualSpacing/>
              <w:ind w:firstLine="480"/>
              <w:spacing w:line="480" w:lineRule="exact"/>
              <w:rPr>
                <w:rFonts w:hint="eastAsia" w:asciiTheme="minorEastAsia" w:hAnsiTheme="minorEastAsia" w:eastAsiaTheme="minorEastAsia"/>
                <w:b w:val="0"/>
                <w:bCs w:val="0"/>
                <w:sz w:val="24"/>
                <w:szCs w:val="24"/>
                <w:lang w:eastAsia="zh-CN"/>
              </w:rPr>
              <w:outlineLvl w:val="0"/>
            </w:pPr>
            <w:r>
              <w:rPr>
                <w:rFonts w:hint="eastAsia" w:asciiTheme="minorEastAsia" w:hAnsiTheme="minorEastAsia" w:eastAsiaTheme="minorEastAsia"/>
                <w:b w:val="0"/>
                <w:bCs w:val="0"/>
                <w:sz w:val="24"/>
                <w:szCs w:val="24"/>
              </w:rPr>
              <w:t xml:space="preserve">34</w:t>
            </w:r>
            <w:r>
              <w:rPr>
                <w:rFonts w:hint="eastAsia" w:asciiTheme="minorEastAsia" w:hAnsiTheme="minorEastAsia" w:eastAsiaTheme="minorEastAsia"/>
                <w:b w:val="0"/>
                <w:bCs w:val="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072" w:type="pct"/>
            <w:vAlign w:val="center"/>
            <w:vMerge w:val="restart"/>
            <w:textDirection w:val="lrTb"/>
            <w:noWrap/>
          </w:tcPr>
          <w:p>
            <w:pPr>
              <w:contextualSpacing/>
              <w:spacing w:line="480" w:lineRule="exact"/>
              <w:rPr>
                <w:rFonts w:asciiTheme="minorEastAsia" w:hAnsiTheme="minorEastAsia" w:eastAsiaTheme="minorEastAsia"/>
                <w:b w:val="0"/>
                <w:bCs w:val="0"/>
                <w:sz w:val="24"/>
                <w:szCs w:val="24"/>
              </w:rPr>
              <w:outlineLvl w:val="0"/>
            </w:pPr>
            <w:r>
              <w:rPr>
                <w:rFonts w:asciiTheme="minorEastAsia" w:hAnsiTheme="minorEastAsia" w:eastAsiaTheme="minorEastAsia"/>
                <w:b w:val="0"/>
                <w:bCs w:val="0"/>
                <w:sz w:val="24"/>
                <w:szCs w:val="24"/>
              </w:rPr>
            </w:r>
            <w:r/>
          </w:p>
        </w:tc>
      </w:tr>
      <w:tr>
        <w:trPr>
          <w:trHeight w:val="370"/>
        </w:trPr>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contextualSpacing/>
              <w:ind w:firstLine="240"/>
              <w:spacing w:line="480" w:lineRule="exact"/>
              <w:rPr>
                <w:rFonts w:asciiTheme="minorEastAsia" w:hAnsiTheme="minorEastAsia" w:eastAsiaTheme="minorEastAsia"/>
                <w:b w:val="0"/>
                <w:bCs w:val="0"/>
                <w:sz w:val="24"/>
                <w:szCs w:val="24"/>
              </w:rPr>
              <w:outlineLvl w:val="0"/>
            </w:pPr>
            <w:r>
              <w:rPr>
                <w:rFonts w:hint="eastAsia" w:asciiTheme="minorEastAsia" w:hAnsiTheme="minorEastAsia" w:eastAsiaTheme="minorEastAsia"/>
                <w:b w:val="0"/>
                <w:bCs w:val="0"/>
                <w:sz w:val="24"/>
                <w:szCs w:val="24"/>
              </w:rPr>
              <w:t xml:space="preserve">2</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tcPr>
          <w:p>
            <w:pPr>
              <w:contextualSpacing/>
              <w:ind w:firstLine="480"/>
              <w:spacing w:line="480" w:lineRule="exact"/>
              <w:rPr>
                <w:rFonts w:asciiTheme="minorEastAsia" w:hAnsiTheme="minorEastAsia" w:eastAsiaTheme="minorEastAsia"/>
                <w:b w:val="0"/>
                <w:bCs w:val="0"/>
                <w:sz w:val="24"/>
                <w:szCs w:val="24"/>
              </w:rPr>
              <w:outlineLvl w:val="0"/>
            </w:pPr>
            <w:r>
              <w:rPr>
                <w:rFonts w:hint="eastAsia" w:asciiTheme="minorEastAsia" w:hAnsiTheme="minorEastAsia" w:eastAsiaTheme="minorEastAsia"/>
                <w:b w:val="0"/>
                <w:bCs w:val="0"/>
                <w:sz w:val="24"/>
                <w:szCs w:val="24"/>
              </w:rPr>
              <w:t xml:space="preserve">无动力设施</w:t>
            </w:r>
            <w:r/>
          </w:p>
        </w:tc>
        <w:tc>
          <w:tcPr>
            <w:tcBorders>
              <w:top w:val="single" w:color="auto" w:sz="4" w:space="0"/>
              <w:left w:val="single" w:color="auto" w:sz="4" w:space="0"/>
              <w:bottom w:val="single" w:color="auto" w:sz="4" w:space="0"/>
              <w:right w:val="single" w:color="auto" w:sz="4" w:space="0"/>
            </w:tcBorders>
            <w:tcW w:w="854" w:type="pct"/>
            <w:vAlign w:val="center"/>
            <w:textDirection w:val="lrTb"/>
            <w:noWrap/>
          </w:tcPr>
          <w:p>
            <w:pPr>
              <w:contextualSpacing/>
              <w:ind w:firstLine="480"/>
              <w:spacing w:line="480" w:lineRule="exact"/>
              <w:rPr>
                <w:rFonts w:asciiTheme="minorEastAsia" w:hAnsiTheme="minorEastAsia" w:eastAsiaTheme="minorEastAsia"/>
                <w:b w:val="0"/>
                <w:bCs w:val="0"/>
                <w:sz w:val="24"/>
                <w:szCs w:val="24"/>
              </w:rPr>
              <w:outlineLvl w:val="0"/>
            </w:pPr>
            <w:r>
              <w:rPr>
                <w:rFonts w:hint="eastAsia" w:asciiTheme="minorEastAsia" w:hAnsiTheme="minorEastAsia" w:eastAsiaTheme="minorEastAsia"/>
                <w:b w:val="0"/>
                <w:bCs w:val="0"/>
                <w:sz w:val="24"/>
                <w:szCs w:val="24"/>
              </w:rPr>
              <w:t xml:space="preserve">套</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tcPr>
          <w:p>
            <w:pPr>
              <w:contextualSpacing/>
              <w:ind w:firstLine="480"/>
              <w:spacing w:line="480" w:lineRule="exact"/>
              <w:rPr>
                <w:rFonts w:hint="default" w:asciiTheme="minorEastAsia" w:hAnsiTheme="minorEastAsia" w:eastAsiaTheme="minorEastAsia"/>
                <w:b w:val="0"/>
                <w:bCs w:val="0"/>
                <w:sz w:val="24"/>
                <w:szCs w:val="24"/>
                <w:lang w:val="en-US" w:eastAsia="zh-CN"/>
              </w:rPr>
              <w:outlineLvl w:val="0"/>
            </w:pPr>
            <w:r>
              <w:rPr>
                <w:rFonts w:hint="eastAsia" w:asciiTheme="minorEastAsia" w:hAnsiTheme="minorEastAsia" w:eastAsiaTheme="minorEastAsia"/>
                <w:b w:val="0"/>
                <w:bCs w:val="0"/>
                <w:sz w:val="24"/>
                <w:szCs w:val="24"/>
              </w:rPr>
              <w:t xml:space="preserve">14</w:t>
            </w:r>
            <w:r>
              <w:rPr>
                <w:rFonts w:hint="eastAsia" w:asciiTheme="minorEastAsia" w:hAnsiTheme="minorEastAsia" w:eastAsiaTheme="minorEastAsia"/>
                <w:b w:val="0"/>
                <w:bCs w:val="0"/>
                <w:sz w:val="24"/>
                <w:szCs w:val="24"/>
                <w:lang w:val="en-US" w:eastAsia="zh-CN"/>
              </w:rPr>
              <w:t xml:space="preserve">73</w:t>
            </w:r>
            <w:r/>
          </w:p>
        </w:tc>
        <w:tc>
          <w:tcPr>
            <w:tcBorders>
              <w:top w:val="single" w:color="auto" w:sz="4" w:space="0"/>
              <w:left w:val="single" w:color="auto" w:sz="4" w:space="0"/>
              <w:bottom w:val="single" w:color="auto" w:sz="4" w:space="0"/>
              <w:right w:val="single" w:color="auto" w:sz="4" w:space="0"/>
            </w:tcBorders>
            <w:tcW w:w="1072" w:type="pct"/>
            <w:vAlign w:val="center"/>
            <w:vMerge w:val="continue"/>
            <w:textDirection w:val="lrTb"/>
            <w:noWrap/>
          </w:tcPr>
          <w:p>
            <w:pPr>
              <w:contextualSpacing/>
              <w:ind w:firstLine="480"/>
              <w:spacing w:line="480" w:lineRule="exact"/>
              <w:rPr>
                <w:rFonts w:asciiTheme="minorEastAsia" w:hAnsiTheme="minorEastAsia" w:eastAsiaTheme="minorEastAsia"/>
                <w:b w:val="0"/>
                <w:bCs w:val="0"/>
                <w:sz w:val="24"/>
                <w:szCs w:val="24"/>
              </w:rPr>
              <w:outlineLvl w:val="0"/>
            </w:pPr>
            <w:r>
              <w:rPr>
                <w:rFonts w:asciiTheme="minorEastAsia" w:hAnsiTheme="minorEastAsia" w:eastAsiaTheme="minorEastAsia"/>
                <w:b w:val="0"/>
                <w:bCs w:val="0"/>
                <w:sz w:val="24"/>
                <w:szCs w:val="24"/>
              </w:rPr>
            </w:r>
            <w:r/>
          </w:p>
        </w:tc>
      </w:tr>
      <w:tr>
        <w:trPr>
          <w:trHeight w:val="370"/>
        </w:trPr>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contextualSpacing/>
              <w:ind w:firstLine="240"/>
              <w:spacing w:line="480" w:lineRule="exact"/>
              <w:rPr>
                <w:rFonts w:hint="eastAsia" w:asciiTheme="minorEastAsia" w:hAnsiTheme="minorEastAsia" w:eastAsiaTheme="minorEastAsia"/>
                <w:b w:val="0"/>
                <w:bCs w:val="0"/>
                <w:sz w:val="24"/>
                <w:szCs w:val="24"/>
                <w:lang w:val="en-US" w:eastAsia="zh-CN"/>
              </w:rPr>
              <w:outlineLvl w:val="0"/>
            </w:pPr>
            <w:r>
              <w:rPr>
                <w:rFonts w:hint="eastAsia" w:asciiTheme="minorEastAsia" w:hAnsiTheme="minorEastAsia" w:eastAsiaTheme="minorEastAsia"/>
                <w:b w:val="0"/>
                <w:bCs w:val="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622" w:type="pct"/>
            <w:vAlign w:val="center"/>
            <w:textDirection w:val="lrTb"/>
            <w:noWrap/>
          </w:tcPr>
          <w:p>
            <w:pPr>
              <w:contextualSpacing/>
              <w:ind w:firstLine="480"/>
              <w:spacing w:line="480" w:lineRule="exact"/>
              <w:rPr>
                <w:rFonts w:hint="default" w:asciiTheme="minorEastAsia" w:hAnsiTheme="minorEastAsia" w:eastAsiaTheme="minorEastAsia"/>
                <w:b w:val="0"/>
                <w:bCs w:val="0"/>
                <w:sz w:val="24"/>
                <w:szCs w:val="24"/>
                <w:lang w:val="en-US" w:eastAsia="zh-CN"/>
              </w:rPr>
              <w:outlineLvl w:val="0"/>
            </w:pPr>
            <w:r>
              <w:rPr>
                <w:rFonts w:hint="eastAsia" w:asciiTheme="minorEastAsia" w:hAnsiTheme="minorEastAsia" w:eastAsiaTheme="minorEastAsia"/>
                <w:b w:val="0"/>
                <w:bCs w:val="0"/>
                <w:sz w:val="24"/>
                <w:szCs w:val="24"/>
                <w:lang w:val="en-US" w:eastAsia="zh-CN"/>
              </w:rPr>
              <w:t xml:space="preserve">提升泵站</w:t>
            </w:r>
            <w:r/>
          </w:p>
        </w:tc>
        <w:tc>
          <w:tcPr>
            <w:tcBorders>
              <w:top w:val="single" w:color="auto" w:sz="4" w:space="0"/>
              <w:left w:val="single" w:color="auto" w:sz="4" w:space="0"/>
              <w:bottom w:val="single" w:color="auto" w:sz="4" w:space="0"/>
              <w:right w:val="single" w:color="auto" w:sz="4" w:space="0"/>
            </w:tcBorders>
            <w:tcW w:w="854" w:type="pct"/>
            <w:vAlign w:val="center"/>
            <w:textDirection w:val="lrTb"/>
            <w:noWrap/>
          </w:tcPr>
          <w:p>
            <w:pPr>
              <w:contextualSpacing/>
              <w:ind w:firstLine="480"/>
              <w:spacing w:line="480" w:lineRule="exact"/>
              <w:rPr>
                <w:rFonts w:hint="eastAsia" w:asciiTheme="minorEastAsia" w:hAnsiTheme="minorEastAsia" w:eastAsiaTheme="minorEastAsia"/>
                <w:b w:val="0"/>
                <w:bCs w:val="0"/>
                <w:sz w:val="24"/>
                <w:szCs w:val="24"/>
                <w:lang w:val="en-US" w:eastAsia="zh-CN"/>
              </w:rPr>
              <w:outlineLvl w:val="0"/>
            </w:pPr>
            <w:r>
              <w:rPr>
                <w:rFonts w:hint="eastAsia" w:asciiTheme="minorEastAsia" w:hAnsiTheme="minorEastAsia" w:eastAsiaTheme="minorEastAsia"/>
                <w:b w:val="0"/>
                <w:bCs w:val="0"/>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tcPr>
          <w:p>
            <w:pPr>
              <w:contextualSpacing/>
              <w:ind w:firstLine="720"/>
              <w:spacing w:line="480" w:lineRule="exact"/>
              <w:rPr>
                <w:rFonts w:hint="eastAsia" w:asciiTheme="minorEastAsia" w:hAnsiTheme="minorEastAsia" w:eastAsiaTheme="minorEastAsia"/>
                <w:b w:val="0"/>
                <w:bCs w:val="0"/>
                <w:sz w:val="24"/>
                <w:szCs w:val="24"/>
                <w:lang w:val="en-US" w:eastAsia="zh-CN"/>
              </w:rPr>
              <w:outlineLvl w:val="0"/>
            </w:pPr>
            <w:r>
              <w:rPr>
                <w:rFonts w:hint="eastAsia" w:asciiTheme="minorEastAsia" w:hAnsiTheme="minorEastAsia" w:eastAsiaTheme="minorEastAsia"/>
                <w:b w:val="0"/>
                <w:bCs w:val="0"/>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tcPr>
          <w:p>
            <w:pPr>
              <w:contextualSpacing/>
              <w:ind w:firstLine="480"/>
              <w:spacing w:line="480" w:lineRule="exact"/>
              <w:rPr>
                <w:rFonts w:asciiTheme="minorEastAsia" w:hAnsiTheme="minorEastAsia" w:eastAsiaTheme="minorEastAsia"/>
                <w:b w:val="0"/>
                <w:bCs w:val="0"/>
                <w:sz w:val="24"/>
                <w:szCs w:val="24"/>
              </w:rPr>
              <w:outlineLvl w:val="0"/>
            </w:pPr>
            <w:r>
              <w:rPr>
                <w:rFonts w:asciiTheme="minorEastAsia" w:hAnsiTheme="minorEastAsia" w:eastAsiaTheme="minorEastAsia"/>
                <w:b w:val="0"/>
                <w:bCs w:val="0"/>
                <w:sz w:val="24"/>
                <w:szCs w:val="24"/>
              </w:rPr>
            </w:r>
            <w:r/>
          </w:p>
        </w:tc>
      </w:tr>
    </w:tbl>
    <w:p>
      <w:pPr>
        <w:contextualSpacing/>
        <w:ind w:firstLine="480"/>
        <w:spacing w:line="480" w:lineRule="exact"/>
        <w:rPr>
          <w:rFonts w:asciiTheme="minorEastAsia" w:hAnsiTheme="minorEastAsia" w:eastAsiaTheme="minorEastAsia"/>
          <w:b w:val="0"/>
          <w:bCs w:val="0"/>
          <w:sz w:val="24"/>
          <w:szCs w:val="24"/>
        </w:rPr>
        <w:outlineLvl w:val="0"/>
      </w:pPr>
      <w:r>
        <w:rPr>
          <w:rFonts w:hint="eastAsia" w:asciiTheme="minorEastAsia" w:hAnsiTheme="minorEastAsia" w:eastAsiaTheme="minorEastAsia"/>
          <w:b w:val="0"/>
          <w:bCs w:val="0"/>
          <w:sz w:val="24"/>
          <w:szCs w:val="24"/>
        </w:rPr>
        <w:t xml:space="preserve">注</w:t>
      </w:r>
      <w:r>
        <w:rPr>
          <w:rFonts w:asciiTheme="minorEastAsia" w:hAnsiTheme="minorEastAsia" w:eastAsiaTheme="minorEastAsia"/>
          <w:b w:val="0"/>
          <w:bCs w:val="0"/>
          <w:sz w:val="24"/>
          <w:szCs w:val="24"/>
        </w:rPr>
        <w:t xml:space="preserve">：202</w:t>
      </w:r>
      <w:r>
        <w:rPr>
          <w:rFonts w:hint="eastAsia" w:asciiTheme="minorEastAsia" w:hAnsiTheme="minorEastAsia" w:eastAsiaTheme="minorEastAsia"/>
          <w:b w:val="0"/>
          <w:bCs w:val="0"/>
          <w:sz w:val="24"/>
          <w:szCs w:val="24"/>
          <w:lang w:val="en-US" w:eastAsia="zh-CN"/>
        </w:rPr>
        <w:t xml:space="preserve">6</w:t>
      </w:r>
      <w:r>
        <w:rPr>
          <w:rFonts w:hint="eastAsia" w:asciiTheme="minorEastAsia" w:hAnsiTheme="minorEastAsia" w:eastAsiaTheme="minorEastAsia"/>
          <w:b w:val="0"/>
          <w:bCs w:val="0"/>
          <w:sz w:val="24"/>
          <w:szCs w:val="24"/>
        </w:rPr>
        <w:t xml:space="preserve">年以前已建成累计34</w:t>
      </w:r>
      <w:r>
        <w:rPr>
          <w:rFonts w:hint="eastAsia" w:asciiTheme="minorEastAsia" w:hAnsiTheme="minorEastAsia" w:eastAsiaTheme="minorEastAsia"/>
          <w:b w:val="0"/>
          <w:bCs w:val="0"/>
          <w:sz w:val="24"/>
          <w:szCs w:val="24"/>
          <w:lang w:val="en-US" w:eastAsia="zh-CN"/>
        </w:rPr>
        <w:t xml:space="preserve">2</w:t>
      </w:r>
      <w:r>
        <w:rPr>
          <w:rFonts w:hint="eastAsia" w:asciiTheme="minorEastAsia" w:hAnsiTheme="minorEastAsia" w:eastAsiaTheme="minorEastAsia"/>
          <w:b w:val="0"/>
          <w:bCs w:val="0"/>
          <w:sz w:val="24"/>
          <w:szCs w:val="24"/>
        </w:rPr>
        <w:t xml:space="preserve">台小型农村污水处理设施</w:t>
      </w:r>
      <w:r>
        <w:rPr>
          <w:rFonts w:hint="eastAsia" w:asciiTheme="minorEastAsia" w:hAnsiTheme="minorEastAsia" w:eastAsiaTheme="minorEastAsia"/>
          <w:b w:val="0"/>
          <w:bCs w:val="0"/>
          <w:sz w:val="24"/>
          <w:szCs w:val="24"/>
          <w:lang w:eastAsia="zh-CN"/>
        </w:rPr>
        <w:t xml:space="preserve">、</w:t>
      </w:r>
      <w:r>
        <w:rPr>
          <w:rFonts w:hint="eastAsia" w:asciiTheme="minorEastAsia" w:hAnsiTheme="minorEastAsia" w:eastAsiaTheme="minorEastAsia"/>
          <w:b w:val="0"/>
          <w:bCs w:val="0"/>
          <w:sz w:val="24"/>
          <w:szCs w:val="24"/>
          <w:lang w:val="en-US" w:eastAsia="zh-CN"/>
        </w:rPr>
        <w:t xml:space="preserve">4套提升泵站</w:t>
      </w:r>
      <w:r>
        <w:rPr>
          <w:rFonts w:hint="eastAsia" w:asciiTheme="minorEastAsia" w:hAnsiTheme="minorEastAsia" w:eastAsiaTheme="minorEastAsia"/>
          <w:b w:val="0"/>
          <w:bCs w:val="0"/>
          <w:sz w:val="24"/>
          <w:szCs w:val="24"/>
        </w:rPr>
        <w:t xml:space="preserve">以及14</w:t>
      </w:r>
      <w:r>
        <w:rPr>
          <w:rFonts w:hint="eastAsia" w:asciiTheme="minorEastAsia" w:hAnsiTheme="minorEastAsia" w:eastAsiaTheme="minorEastAsia"/>
          <w:b w:val="0"/>
          <w:bCs w:val="0"/>
          <w:sz w:val="24"/>
          <w:szCs w:val="24"/>
          <w:lang w:val="en-US" w:eastAsia="zh-CN"/>
        </w:rPr>
        <w:t xml:space="preserve">73</w:t>
      </w:r>
      <w:r>
        <w:rPr>
          <w:rFonts w:hint="eastAsia" w:asciiTheme="minorEastAsia" w:hAnsiTheme="minorEastAsia" w:eastAsiaTheme="minorEastAsia"/>
          <w:b w:val="0"/>
          <w:bCs w:val="0"/>
          <w:sz w:val="24"/>
          <w:szCs w:val="24"/>
        </w:rPr>
        <w:t xml:space="preserve">套无动力设施进行日常运营管理、维护及保养，对所属设施的配套管网进行</w:t>
      </w:r>
      <w:r>
        <w:rPr>
          <w:rFonts w:hint="eastAsia" w:asciiTheme="minorEastAsia" w:hAnsiTheme="minorEastAsia" w:eastAsiaTheme="minorEastAsia"/>
          <w:b w:val="0"/>
          <w:bCs w:val="0"/>
          <w:sz w:val="24"/>
          <w:szCs w:val="24"/>
          <w:lang w:val="en-US" w:eastAsia="zh-CN"/>
        </w:rPr>
        <w:t xml:space="preserve">全线</w:t>
      </w:r>
      <w:r>
        <w:rPr>
          <w:rFonts w:hint="eastAsia" w:asciiTheme="minorEastAsia" w:hAnsiTheme="minorEastAsia" w:eastAsiaTheme="minorEastAsia"/>
          <w:b w:val="0"/>
          <w:bCs w:val="0"/>
          <w:sz w:val="24"/>
          <w:szCs w:val="24"/>
        </w:rPr>
        <w:t xml:space="preserve">疏通</w:t>
      </w:r>
      <w:r>
        <w:rPr>
          <w:rFonts w:hint="eastAsia" w:asciiTheme="minorEastAsia" w:hAnsiTheme="minorEastAsia" w:eastAsiaTheme="minorEastAsia"/>
          <w:b w:val="0"/>
          <w:bCs w:val="0"/>
          <w:sz w:val="24"/>
          <w:szCs w:val="24"/>
          <w:lang w:eastAsia="zh-CN"/>
        </w:rPr>
        <w:t xml:space="preserve">、</w:t>
      </w:r>
      <w:r>
        <w:rPr>
          <w:rFonts w:hint="eastAsia" w:asciiTheme="minorEastAsia" w:hAnsiTheme="minorEastAsia" w:eastAsiaTheme="minorEastAsia"/>
          <w:b w:val="0"/>
          <w:bCs w:val="0"/>
          <w:sz w:val="24"/>
          <w:szCs w:val="24"/>
          <w:lang w:val="en-US" w:eastAsia="zh-CN"/>
        </w:rPr>
        <w:t xml:space="preserve">运行管理</w:t>
      </w:r>
      <w:r>
        <w:rPr>
          <w:rFonts w:hint="eastAsia" w:asciiTheme="minorEastAsia" w:hAnsiTheme="minorEastAsia" w:eastAsiaTheme="minorEastAsia"/>
          <w:b w:val="0"/>
          <w:bCs w:val="0"/>
          <w:sz w:val="24"/>
          <w:szCs w:val="24"/>
        </w:rPr>
        <w:t xml:space="preserve">。</w:t>
      </w:r>
      <w:r/>
    </w:p>
    <w:p>
      <w:pPr>
        <w:contextualSpacing/>
        <w:spacing w:line="360" w:lineRule="auto"/>
        <w:rPr>
          <w:rFonts w:cs="宋体" w:asciiTheme="minorEastAsia" w:hAnsiTheme="minorEastAsia" w:eastAsiaTheme="minorEastAsia"/>
          <w:b w:val="0"/>
          <w:bCs w:val="0"/>
          <w:sz w:val="24"/>
          <w:szCs w:val="22"/>
          <w:lang w:val="zh-CN"/>
        </w:rPr>
      </w:pPr>
      <w:r>
        <w:rPr>
          <w:rFonts w:hint="eastAsia" w:asciiTheme="minorEastAsia" w:hAnsiTheme="minorEastAsia" w:eastAsiaTheme="minorEastAsia"/>
          <w:b w:val="0"/>
          <w:bCs w:val="0"/>
          <w:sz w:val="24"/>
          <w:szCs w:val="24"/>
        </w:rPr>
        <w:t xml:space="preserve">；</w:t>
      </w:r>
      <w:r/>
    </w:p>
    <w:p>
      <w:pPr>
        <w:contextualSpacing/>
        <w:ind w:firstLine="24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Cs/>
          <w:sz w:val="24"/>
          <w:szCs w:val="24"/>
        </w:rPr>
        <w:t xml:space="preserve">二、</w:t>
      </w:r>
      <w:r>
        <w:rPr>
          <w:rFonts w:hint="eastAsia" w:cs="仿宋" w:asciiTheme="minorEastAsia" w:hAnsiTheme="minorEastAsia" w:eastAsiaTheme="minorEastAsia"/>
          <w:sz w:val="24"/>
          <w:szCs w:val="24"/>
        </w:rPr>
        <w:t xml:space="preserve">维护事项：</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合同维护费用包括服务期内完成该项目工作所需的所有费用，包括人工费（包括人员工资、保险等）、水费、药剂费、处理设施范围内绿化、围栏、公示牌、环境卫生、管道、窨井及井盖标识等、工具、车辆、机械设备、设备零件费、设施污泥规范处置费及设施运行的相关维护、维修费用（包括电控元器件、水泵、风机、填料等设备维修及更换）</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污水处理设施运营期间的药剂投放、菌群补充更换及污泥清理处置由乙方负责。运营期出水水质满足江苏省《农村生活污水处理设施水污染物排放标准》DB32/ 3462-2020 相关规定。</w:t>
      </w:r>
      <w:r/>
    </w:p>
    <w:p>
      <w:pPr>
        <w:contextualSpacing/>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（一）污水处理设施。</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管理办法</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一、目的和范围</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1、实施目的：为规范农村污水处理设施运行管理工作、明确管理职责和管理标准，实现设施正常运行，提高设施运行效率，特制定本办法。</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2、适用范围：经验收合格移交运行管理的农村污水处理设施及配套管网。</w:t>
      </w:r>
      <w:r/>
    </w:p>
    <w:p>
      <w:pPr>
        <w:contextualSpacing/>
        <w:ind w:firstLine="24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（一）污水处理设施范围内的管网设施</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1.管道通畅，无淤积、破损、堵塞。</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2.管道回填面无下陷、开裂、接口无脱落，管道无破损。</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3.检查井井盖、井圈、井口无破损、倾斜、沉降、塌陷。</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4.井盖能正常打开。</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5.井内壁防渗层无破损、渗漏。</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6.井内无杂物堆积、堵塞，流槽无淤积。</w:t>
      </w:r>
      <w:r/>
    </w:p>
    <w:p>
      <w:pPr>
        <w:contextualSpacing/>
        <w:ind w:firstLine="24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（二）污水处理设施</w:t>
      </w:r>
      <w:r/>
    </w:p>
    <w:p>
      <w:pPr>
        <w:contextualSpacing/>
        <w:ind w:firstLine="480"/>
        <w:spacing w:line="360" w:lineRule="auto"/>
        <w:rPr>
          <w:rFonts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1）设施出水水质需达到一级B标准。</w:t>
      </w:r>
      <w:r/>
    </w:p>
    <w:p>
      <w:pPr>
        <w:contextualSpacing/>
        <w:ind w:firstLine="477"/>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2）格栅完好、齐全，过水通畅。</w:t>
      </w:r>
      <w:r/>
    </w:p>
    <w:p>
      <w:pPr>
        <w:contextualSpacing/>
        <w:ind w:firstLine="477"/>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3）各池体无垃圾、无堵塞，水位正常，填料完好，挂膜良好。</w:t>
      </w:r>
      <w:r/>
    </w:p>
    <w:p>
      <w:pPr>
        <w:contextualSpacing/>
        <w:ind w:firstLine="477"/>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4）出水井出水正常，排水通畅。</w:t>
      </w:r>
      <w:r/>
    </w:p>
    <w:p>
      <w:pPr>
        <w:contextualSpacing/>
        <w:ind w:firstLine="477"/>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5）如有流量计的确保运行和数据显示正常。</w:t>
      </w:r>
      <w:r/>
    </w:p>
    <w:p>
      <w:pPr>
        <w:contextualSpacing/>
        <w:ind w:firstLine="477"/>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6）水泵、液位计运行正常，接口无脱落，管道无破损。</w:t>
      </w:r>
      <w:r/>
    </w:p>
    <w:p>
      <w:pPr>
        <w:contextualSpacing/>
        <w:ind w:firstLine="477"/>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7）风机或气泵曝气系统运行正常，曝气均匀，运行参数符合要求。</w:t>
      </w:r>
      <w:r/>
    </w:p>
    <w:p>
      <w:pPr>
        <w:contextualSpacing/>
        <w:ind w:firstLine="477"/>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8）污泥、污水回流系统运行正常，运行参数符合要求。</w:t>
      </w:r>
      <w:r/>
    </w:p>
    <w:p>
      <w:pPr>
        <w:contextualSpacing/>
        <w:ind w:firstLine="477"/>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9）废弃物妥善处置。</w:t>
      </w:r>
      <w:r/>
    </w:p>
    <w:p>
      <w:pPr>
        <w:contextualSpacing/>
        <w:ind w:firstLine="477"/>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10）护栏、围挡和爬梯等完整牢固，无破损。</w:t>
      </w:r>
      <w:r/>
    </w:p>
    <w:p>
      <w:pPr>
        <w:contextualSpacing/>
        <w:ind w:firstLine="477"/>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11）设备房结构稳定，上锁，无破损，房内设施布置规范、整洁。</w:t>
      </w:r>
      <w:r/>
    </w:p>
    <w:p>
      <w:pPr>
        <w:contextualSpacing/>
        <w:ind w:firstLine="47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12）大标识牌内容完整、表述正确，安装牢固。</w:t>
      </w:r>
      <w:r/>
    </w:p>
    <w:p>
      <w:pPr>
        <w:contextualSpacing/>
        <w:ind w:firstLine="477"/>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13）工艺流程小标牌数量齐全、内容明晰、安装牢固。</w:t>
      </w:r>
      <w:r/>
    </w:p>
    <w:p>
      <w:pPr>
        <w:contextualSpacing/>
        <w:ind w:firstLine="560"/>
        <w:spacing w:line="360" w:lineRule="auto"/>
        <w:rPr>
          <w:rFonts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14）现场整洁、美观，与村庄环境协调。</w:t>
      </w:r>
      <w:r/>
    </w:p>
    <w:p>
      <w:pPr>
        <w:contextualSpacing/>
        <w:ind w:firstLine="24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三、责任分工</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1、南通市海门区包场镇人民政府为农村污水处理设施运行管理的监督部门，负责对设施运行管理情况进行监督、检查。</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2、各设施运行管理单位，具体负责设施的日常运行、巡查养护、维修管理等工作。</w:t>
      </w:r>
      <w:r/>
    </w:p>
    <w:p>
      <w:pPr>
        <w:contextualSpacing/>
        <w:ind w:firstLine="24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四、运行管理标准</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1、台账管理</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设施日常巡检、养护、水质检测应做好台账记录，5T及以上形成一站一档；每周至少记录一次；5T以下（包含无动力）做好巡查日志记录，并每月做好数据整理。</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2、日常管理</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（1）环境卫生：包括设施范围内垃圾、杂草清理、池体漂浮物清理、围栏修补等。</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（2）收集系统：包括提升泵井、隔油池、化粪池、窨井、污水管网等污水收集和预处理设施，应定期巡查，菌群的补充更换及时清理垃圾及沉积物等，确保收集系统无堵塞、无漫溢、无渗漏。</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（3）处理系统：包括格栅、调节池、生化（处理）池等，定期开展巡查，检查池体完好情况、生化系统功况、植物生长情况，井盖字样缺失的及时喷涂，确保设施各处理单元效能正常发挥作用。</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（4）设备管理养护：包括水泵、风机、电控设备、流量计等设备，应定期检查、维修养护，确保正常运行。</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（5）标识管理：实行公示牌制度，应按照要求标识设施信息、警示等。</w:t>
      </w:r>
      <w:r/>
    </w:p>
    <w:p>
      <w:pPr>
        <w:contextualSpacing/>
        <w:ind w:firstLine="56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（6）出水标准：定期开展水质自检和抽检，出水水质满足江苏省《农村生活污水处理设施水污染物排放标准》DB32/ 3462-2020 相关规定，20吨及以上设施站点每季度检测水质并出具CMA资质认证（含八项指标）水质检测报告，20T以下设施站点每年抽检比例不小于20%（无动力除外）并出具CMA资质认证（含八项指标）水质检测报告。如上级部门要求出具更多水质报告，需无条件配合。</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（7）安全管理：包括用电设施日常管理，确保无私接用电等现象；设施场地日常监管，防止游客进入设施危险区域。根据安全管理的相关规定，做好相应的警示标志，以及安全保障措施，防止事故的发生。</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3、应急管理</w:t>
      </w:r>
      <w:r/>
    </w:p>
    <w:p>
      <w:pPr>
        <w:contextualSpacing/>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及时反馈并解决故障报警及水质不合格预警信息，及时处理、修复。</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4、设施巡视事项要求</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Cs/>
          <w:sz w:val="24"/>
          <w:szCs w:val="24"/>
        </w:rPr>
        <w:t xml:space="preserve">1）中标范围内的污水处理设施及</w:t>
      </w:r>
      <w:r>
        <w:rPr>
          <w:rFonts w:hint="eastAsia" w:cs="仿宋" w:asciiTheme="minorEastAsia" w:hAnsiTheme="minorEastAsia" w:eastAsiaTheme="minorEastAsia"/>
          <w:sz w:val="24"/>
          <w:szCs w:val="24"/>
        </w:rPr>
        <w:t xml:space="preserve">管道</w:t>
      </w:r>
      <w:r>
        <w:rPr>
          <w:rFonts w:hint="eastAsia" w:cs="仿宋" w:asciiTheme="minorEastAsia" w:hAnsiTheme="minorEastAsia" w:eastAsiaTheme="minorEastAsia"/>
          <w:bCs/>
          <w:sz w:val="24"/>
          <w:szCs w:val="24"/>
        </w:rPr>
        <w:t xml:space="preserve">的日常运营管理。</w:t>
      </w:r>
      <w:r/>
    </w:p>
    <w:p>
      <w:pPr>
        <w:contextualSpacing/>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2）各村污水处理设施日常运营管理和维护，</w:t>
      </w:r>
      <w:r>
        <w:rPr>
          <w:rFonts w:hint="eastAsia" w:cs="宋体" w:asciiTheme="minorEastAsia" w:hAnsiTheme="minorEastAsia" w:eastAsiaTheme="minorEastAsia"/>
          <w:bCs/>
          <w:sz w:val="24"/>
          <w:szCs w:val="22"/>
        </w:rPr>
        <w:t xml:space="preserve">5吨及以上每周不少于1次的日常巡查，并做好巡查记录（其中要求20吨及以上每季度不少于1次对污水处理设施的进出水进行第三方水质检测，并提供检测报告）。5吨以下有动力设施每月巡查一次，无动力设施每月巡查总数的25%（确保每个设施一年不少于3次）。20吨以下的设施每年不少于1次对污水处理设施的进出水进行第三方水质检测(检测数量按总数的20%抽查)，并提供检测报告。所有设施如出现水质超标必须立刻汇报业主查明原因，2小时内查明，12小时内排除问题，并保留水样时间不少于2天(水质排放标准按当时设计要求)</w:t>
      </w:r>
      <w:r>
        <w:rPr>
          <w:rFonts w:hint="eastAsia" w:cs="仿宋" w:asciiTheme="minorEastAsia" w:hAnsiTheme="minorEastAsia" w:eastAsiaTheme="minorEastAsia"/>
          <w:sz w:val="24"/>
          <w:szCs w:val="24"/>
        </w:rPr>
        <w:t xml:space="preserve">。</w:t>
      </w:r>
      <w:r/>
    </w:p>
    <w:p>
      <w:pPr>
        <w:contextualSpacing/>
        <w:ind w:firstLine="240"/>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五、维护服务期限：</w:t>
      </w:r>
      <w:r>
        <w:rPr>
          <w:rFonts w:hint="eastAsia" w:cs="宋体" w:asciiTheme="minorEastAsia" w:hAnsiTheme="minorEastAsia" w:eastAsiaTheme="minorEastAsia"/>
          <w:sz w:val="24"/>
          <w:szCs w:val="22"/>
          <w:lang w:val="zh-CN"/>
        </w:rPr>
        <w:t xml:space="preserve">合同签订之日起满</w:t>
      </w:r>
      <w:r>
        <w:rPr>
          <w:rFonts w:cs="宋体" w:asciiTheme="minorEastAsia" w:hAnsiTheme="minorEastAsia" w:eastAsiaTheme="minorEastAsia"/>
          <w:sz w:val="24"/>
          <w:szCs w:val="22"/>
          <w:lang w:val="zh-CN"/>
        </w:rPr>
        <w:t xml:space="preserve">1</w:t>
      </w:r>
      <w:r>
        <w:rPr>
          <w:rFonts w:hint="eastAsia" w:cs="宋体" w:asciiTheme="minorEastAsia" w:hAnsiTheme="minorEastAsia" w:eastAsiaTheme="minorEastAsia"/>
          <w:sz w:val="24"/>
          <w:szCs w:val="22"/>
          <w:lang w:val="zh-CN"/>
        </w:rPr>
        <w:t xml:space="preserve">年。</w:t>
      </w:r>
      <w:r/>
    </w:p>
    <w:p>
      <w:pPr>
        <w:contextualSpacing/>
        <w:ind w:firstLine="24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六、维护费用和支付方法</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1、维护费用为人民币大写：元(小写：</w:t>
      </w:r>
      <w:r>
        <w:rPr>
          <w:rFonts w:cs="Calibri"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 元)</w:t>
      </w:r>
      <w:r/>
    </w:p>
    <w:p>
      <w:pPr>
        <w:contextualSpacing/>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甲方每月对乙方履行协议情况进行考核，结合考核决定最终支付金额（考核标准详见附件）。支付时间为：维护服务期满，根据每月维护服务的考核结果且在移交资料手续齐全并经甲方认可后两个月内一次性付清费用（均不计息）。每次付款乙方须开具等额增值税发票交甲方财务入账为必要条件。</w:t>
      </w:r>
      <w:r/>
    </w:p>
    <w:p>
      <w:pPr>
        <w:contextualSpacing/>
        <w:ind w:firstLine="480"/>
        <w:jc w:val="left"/>
        <w:spacing w:line="360" w:lineRule="auto"/>
        <w:tabs>
          <w:tab w:val="left" w:pos="720" w:leader="none"/>
        </w:tabs>
        <w:rPr>
          <w:rFonts w:asciiTheme="minorEastAsia" w:hAnsiTheme="minorEastAsia" w:eastAsiaTheme="minorEastAsia"/>
          <w:bCs/>
          <w:sz w:val="24"/>
          <w:szCs w:val="24"/>
        </w:rPr>
      </w:pPr>
      <w:r>
        <w:rPr>
          <w:rFonts w:asciiTheme="minorEastAsia" w:hAnsiTheme="minorEastAsia" w:eastAsiaTheme="minorEastAsia"/>
          <w:bCs/>
          <w:sz w:val="24"/>
          <w:szCs w:val="24"/>
        </w:rPr>
        <w:t xml:space="preserve">3</w:t>
      </w:r>
      <w:r>
        <w:rPr>
          <w:rFonts w:hint="eastAsia" w:asciiTheme="minorEastAsia" w:hAnsiTheme="minorEastAsia" w:eastAsiaTheme="minorEastAsia"/>
          <w:bCs/>
          <w:sz w:val="24"/>
          <w:szCs w:val="24"/>
        </w:rPr>
        <w:t xml:space="preserve">.乙方指定收款账户：               ；户名：               ；</w:t>
      </w:r>
      <w:r/>
    </w:p>
    <w:p>
      <w:pPr>
        <w:contextualSpacing/>
        <w:ind w:firstLine="72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账号：                           ；开户行：             。</w:t>
      </w:r>
      <w:r/>
    </w:p>
    <w:p>
      <w:pPr>
        <w:contextualSpacing/>
        <w:ind w:firstLine="24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七、履约保证金：</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本项目履约保证金为人民币大写：  </w:t>
      </w:r>
      <w:r>
        <w:rPr>
          <w:rFonts w:hint="eastAsia" w:cs="宋体" w:asciiTheme="minorEastAsia" w:hAnsiTheme="minorEastAsia" w:eastAsiaTheme="minorEastAsia"/>
          <w:sz w:val="24"/>
          <w:szCs w:val="24"/>
          <w:lang w:val="en-US" w:eastAsia="zh-CN"/>
        </w:rPr>
        <w:t xml:space="preserve">    </w:t>
      </w:r>
      <w:r>
        <w:rPr>
          <w:rFonts w:hint="eastAsia" w:cs="宋体" w:asciiTheme="minorEastAsia" w:hAnsiTheme="minorEastAsia" w:eastAsiaTheme="minorEastAsia"/>
          <w:sz w:val="24"/>
          <w:szCs w:val="24"/>
        </w:rPr>
        <w:t xml:space="preserve">元整；小写：元（中标价的5%），待履约完成后退还。</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服务期间，如产生各项扣款或赔偿的，甲方有权优先在乙方的履约保证金中予以扣除，且有权要求乙方补足履约保证金。</w:t>
      </w:r>
      <w:r/>
    </w:p>
    <w:p>
      <w:pPr>
        <w:contextualSpacing/>
        <w:ind w:firstLine="24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八、甲方的权利和义务</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甲方有权对一体化污水处理设施及配套管网运行、维护情况进行定期、不定期的检查，并作为考核依据，乙方应予以配合；甲方根据一体化污水处理设施及配套管网进水情况对一体化污水处理设施及配套管网运行和管理提出的调整要求，乙方应无条件接受。</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2、甲方发现乙方不按维护内容和事项管理或超越权限时，甲方根据扣分情况予以一定的扣款，给甲方造成损失的，甲方可以要求其赔偿实际损失，并追究经济责任，直至解除维护协议，扣除履约保证金。</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3、甲方应按时支付给乙方的维护费用，按时支付一体化污水处理设施正常运行的水电费。</w:t>
      </w:r>
      <w:r/>
    </w:p>
    <w:p>
      <w:pPr>
        <w:contextualSpacing/>
        <w:spacing w:line="360" w:lineRule="auto"/>
        <w:rPr>
          <w:rFonts w:asciiTheme="minorEastAsia" w:hAnsiTheme="minorEastAsia" w:eastAsiaTheme="minorEastAsia"/>
          <w:szCs w:val="22"/>
        </w:rPr>
      </w:pPr>
      <w:r>
        <w:rPr>
          <w:rFonts w:hint="eastAsia" w:cs="宋体" w:asciiTheme="minorEastAsia" w:hAnsiTheme="minorEastAsia" w:eastAsiaTheme="minorEastAsia"/>
          <w:sz w:val="24"/>
          <w:szCs w:val="24"/>
        </w:rPr>
        <w:t xml:space="preserve">    4、因乙方运维不到位导致设备损毁或者造成第三人财产损失、人身伤害的，由乙方负责赔偿，如导致甲方承担赔偿责任的，甲方有权向乙方追偿。</w:t>
      </w:r>
      <w:r/>
    </w:p>
    <w:p>
      <w:pPr>
        <w:contextualSpacing/>
        <w:ind w:firstLine="24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九、乙方的权利和义务</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1、乙方有按时取得维护费用的权利。</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乙方在维护期限内，保证一体化污水处理设施及配套管网正常安全运行、资产完好，不得转移、抵押、租赁或以其它方式处理甲方的资产。否则一经查实，甲方有权解除本合同，并有权按合同总价的30%向乙方主张违约金。</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3、乙方因情况紧急，难以和甲方取得联系的，乙方应妥善处理维护事务，但事后应当将该情况及时报告甲方；乙方发现一体化污水处理设施及配套管网进水出现异常现象时，应当及时向甲方通报。</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4、维护期结束时，乙方应保证将所管理的一体化污水处理设施、管道完好交于甲方。如有损失，乙方将赔偿甲方损失。</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5、一体化污水处理设施及配套管网托管期间发生的安全事故由乙方承担全部责任。</w:t>
      </w:r>
      <w:r/>
    </w:p>
    <w:p>
      <w:pPr>
        <w:contextualSpacing/>
        <w:ind w:firstLine="24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十、其它事项</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如一体化污水处理设施需更新改造，乙方应提前7日通知甲方，由甲方决定是否实施。甲方可将此任务委托给乙方或委托给其他单位，发生的费用由甲方支付。对于一体化设备的中大型维修，甲方有权根据价格优势的原则，委托第三方单位施工，乙方不得阻挠和干扰。</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2、乙方未经甲方许可不得向他人转供水电。</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3、由于乙方的原因，造成设备损坏由乙方负责赔偿，因管理不善造成损坏或污水溢流引起经济损失由乙方负责。</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乙方在经营期间产生的各种民事、经济、刑事责任和安全事故均由乙方承担，与甲方无关。如因此导致甲方遭第三方索赔的，甲方有权向乙方追偿损失，损失包括甲方因维权支出的律师费、诉讼费、保全费、鉴定费、保全保险费、差旅费等。</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乙方应严格执行考核评分标准（详见附件），甲方将定期组织考核，如发现违约情况按考核细则各项规定处理。考核达到优90分以上（含90分），甲方全额支付托管费；考核达到良85-89分甲方支付95%托管费；考核达到合格</w:t>
      </w:r>
      <w:r>
        <w:rPr>
          <w:rFonts w:hint="eastAsia" w:cs="宋体" w:asciiTheme="minorEastAsia" w:hAnsiTheme="minorEastAsia" w:eastAsiaTheme="minorEastAsia"/>
          <w:sz w:val="24"/>
          <w:szCs w:val="24"/>
        </w:rPr>
        <w:tab/>
      </w:r>
      <w:r>
        <w:rPr>
          <w:rFonts w:hint="eastAsia" w:cs="宋体" w:asciiTheme="minorEastAsia" w:hAnsiTheme="minorEastAsia" w:eastAsiaTheme="minorEastAsia"/>
          <w:sz w:val="24"/>
          <w:szCs w:val="24"/>
        </w:rPr>
        <w:t xml:space="preserve">80-84分（含80分）甲方支付90%托管费；考核得到差80分以下，甲方不支付托管费。当季度考核直接评定为不合格并在甲方规定时间内整改完毕。如涉及考核办法中直接扣款的事项，还需在托管费中扣除直接扣款的金额，承包人季度考核超过2次得分不合格，甲方有权终止合同。</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6、本协议执行期间，如遇不可抗力造成经济损失的，按相关法律、法规处理。本合同在履行过程中，发生的争议由双方当事人协商解决，协商不成的，按下列第</w:t>
      </w:r>
      <w:r>
        <w:rPr>
          <w:rFonts w:hint="eastAsia" w:cs="宋体" w:asciiTheme="minorEastAsia" w:hAnsiTheme="minorEastAsia" w:eastAsiaTheme="minorEastAsia"/>
          <w:sz w:val="24"/>
          <w:szCs w:val="24"/>
          <w:u w:val="single"/>
        </w:rPr>
        <w:t xml:space="preserve"> (二) </w:t>
      </w:r>
      <w:r>
        <w:rPr>
          <w:rFonts w:hint="eastAsia" w:cs="宋体" w:asciiTheme="minorEastAsia" w:hAnsiTheme="minorEastAsia" w:eastAsiaTheme="minorEastAsia"/>
          <w:sz w:val="24"/>
          <w:szCs w:val="24"/>
        </w:rPr>
        <w:t xml:space="preserve"> 种方式解决：</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（一）提交南通仲裁委员会仲裁。</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（二）依法向甲方所在地人民法院提起诉讼。甲方主张权利的，乙方并需承担甲方为主张权利支出的包括但不限于诉讼费、保全费、保全保险费、律师费等。</w:t>
      </w:r>
      <w:r/>
    </w:p>
    <w:p>
      <w:pPr>
        <w:contextualSpacing/>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7、本协议一式陆份，双方各执叁份，自双方签字之日起生效。双方对合同内容的变更或补充应当采取书面形式，并经双方签字确认，作为本合同的附件。</w:t>
      </w:r>
      <w:r/>
    </w:p>
    <w:p>
      <w:pPr>
        <w:contextualSpacing/>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contextualSpacing/>
        <w:spacing w:line="360" w:lineRule="auto"/>
        <w:rPr>
          <w:rFonts w:asciiTheme="minorEastAsia" w:hAnsiTheme="minorEastAsia" w:eastAsiaTheme="minorEastAsia"/>
          <w:sz w:val="24"/>
          <w:szCs w:val="22"/>
        </w:rPr>
      </w:pPr>
      <w:r>
        <w:rPr>
          <w:rFonts w:hint="eastAsia" w:cs="宋体" w:asciiTheme="minorEastAsia" w:hAnsiTheme="minorEastAsia" w:eastAsiaTheme="minorEastAsia"/>
          <w:sz w:val="24"/>
          <w:szCs w:val="24"/>
        </w:rPr>
        <w:t xml:space="preserve">委  托  人（公章）：                      受  托  人（公章）：</w:t>
      </w:r>
      <w:r/>
    </w:p>
    <w:p>
      <w:pPr>
        <w:contextualSpacing/>
        <w:spacing w:line="360" w:lineRule="auto"/>
        <w:rPr>
          <w:rFonts w:asciiTheme="minorEastAsia" w:hAnsiTheme="minorEastAsia" w:eastAsiaTheme="minorEastAsia"/>
          <w:sz w:val="24"/>
          <w:szCs w:val="22"/>
        </w:rPr>
      </w:pPr>
      <w:r>
        <w:rPr>
          <w:rFonts w:hint="eastAsia" w:cs="宋体" w:asciiTheme="minorEastAsia" w:hAnsiTheme="minorEastAsia" w:eastAsiaTheme="minorEastAsia"/>
          <w:sz w:val="24"/>
          <w:szCs w:val="24"/>
        </w:rPr>
        <w:t xml:space="preserve">法定代表人或委托代理人（签字或盖章）：    法定代表人或委托代理人（签字或盖章）：</w:t>
      </w:r>
      <w:r/>
    </w:p>
    <w:p>
      <w:pPr>
        <w:contextualSpacing/>
        <w:spacing w:line="360" w:lineRule="auto"/>
        <w:rPr>
          <w:rFonts w:cs="仿宋" w:asciiTheme="minorEastAsia" w:hAnsiTheme="minorEastAsia" w:eastAsiaTheme="minorEastAsia"/>
          <w:sz w:val="28"/>
          <w:szCs w:val="28"/>
        </w:rPr>
      </w:pPr>
      <w:r>
        <w:rPr>
          <w:rFonts w:hint="eastAsia" w:cs="宋体" w:asciiTheme="minorEastAsia" w:hAnsiTheme="minorEastAsia" w:eastAsiaTheme="minorEastAsia"/>
          <w:sz w:val="24"/>
          <w:szCs w:val="24"/>
        </w:rPr>
        <w:t xml:space="preserve">日期：    年    月    日                 日期：    年    月    日</w:t>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726"/>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726"/>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726"/>
      </w:pPr>
      <w:r/>
      <w:r/>
    </w:p>
    <w:p>
      <w:pPr>
        <w:jc w:val="left"/>
        <w:widowControl/>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附件1</w:t>
      </w:r>
      <w:r/>
    </w:p>
    <w:p>
      <w:pPr>
        <w:contextualSpacing/>
        <w:ind w:firstLine="640"/>
        <w:jc w:val="center"/>
        <w:spacing w:line="360" w:lineRule="auto"/>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 xml:space="preserve">污水处理设施运维管理办法</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一、运维范围和目的</w:t>
      </w:r>
      <w:r/>
    </w:p>
    <w:p>
      <w:pPr>
        <w:contextualSpacing/>
        <w:ind w:firstLine="480"/>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、适用范围：对相关设施</w:t>
      </w:r>
      <w:r>
        <w:rPr>
          <w:rFonts w:hint="eastAsia" w:cs="仿宋_GB2312" w:asciiTheme="minorEastAsia" w:hAnsiTheme="minorEastAsia" w:eastAsiaTheme="minorEastAsia"/>
          <w:sz w:val="24"/>
          <w:szCs w:val="24"/>
          <w:lang w:val="zh-CN"/>
        </w:rPr>
        <w:t xml:space="preserve">进行巡查、登记造册和简单维护服务</w:t>
      </w:r>
      <w:r>
        <w:rPr>
          <w:rFonts w:hint="eastAsia" w:cs="仿宋" w:asciiTheme="minorEastAsia" w:hAnsiTheme="minorEastAsia" w:eastAsiaTheme="minorEastAsia"/>
          <w:sz w:val="24"/>
          <w:szCs w:val="24"/>
        </w:rPr>
        <w:t xml:space="preserve">。</w:t>
      </w:r>
      <w:r/>
    </w:p>
    <w:p>
      <w:pPr>
        <w:contextualSpacing/>
        <w:ind w:firstLine="480"/>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、实施目的：确保污水处理设施及配套管网正常安全运行，污水排放水质达到实施标准。</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二、日常维护要求</w:t>
      </w:r>
      <w:r/>
    </w:p>
    <w:p>
      <w:pPr>
        <w:contextualSpacing/>
        <w:ind w:firstLine="24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（一）污水处理设施范围内的管网设施</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1、管道通畅，无淤积、破损、堵塞。</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2、管道回填面无下陷、开裂、接口无脱落，管道无破损。</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3、检查井井盖、井圈、井口无破损、倾斜、沉降、塌陷。</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4、井盖能正常打开。</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5、井内壁防渗层无破损、渗漏。</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6、井内无杂物堆积、堵塞，流槽无淤积。</w:t>
      </w:r>
      <w:r/>
    </w:p>
    <w:p>
      <w:pPr>
        <w:contextualSpacing/>
        <w:ind w:firstLine="24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（二）污水处理设施</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1、分散处理设施（设施主体部分）</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2、格栅完好、齐全，过水通畅。</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3、各池体无垃圾、无堵塞，水位正常，填料完好，挂膜良好。</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4、出水井出水正常，排水通畅。</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5、如有流量计的确保运行和数据显示正常。</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6、水泵、液位计运行正常，接口无脱落，管道无破损。</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7、风机或气泵曝气系统运行正常，曝气均匀，运行参数符合要求。</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8、污泥、污水回流系统运行正常，运行参数符合要求。</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9、废弃物妥善处置。</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10、plc系统运行正常，能采集水泵、风机、气泵等设备的运行工况，数据、图片等运维信息能上传至平台。</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11、护栏、围挡和爬梯等完整牢固，无破损。</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12、设备房结构稳定，上锁，无破损，房内设施布置规范、整洁。</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13、大标识牌内容完整、表述正确，安装牢固。</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14、工艺流程小标牌数量齐全、内容明晰、安装牢固。</w:t>
      </w:r>
      <w:r/>
    </w:p>
    <w:p>
      <w:pPr>
        <w:contextualSpacing/>
        <w:ind w:firstLine="477"/>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15、现场整洁、美观，与村庄环境协调。</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三、责任分工</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lang w:val="en-US" w:eastAsia="zh-CN"/>
        </w:rPr>
        <w:t xml:space="preserve">南通市海门区包场镇人民政府</w:t>
      </w:r>
      <w:r>
        <w:rPr>
          <w:rFonts w:hint="eastAsia" w:cs="仿宋" w:asciiTheme="minorEastAsia" w:hAnsiTheme="minorEastAsia" w:eastAsiaTheme="minorEastAsia"/>
          <w:sz w:val="24"/>
          <w:szCs w:val="24"/>
        </w:rPr>
        <w:t xml:space="preserve">为农村污水处理设施运行管理的监督部门，负责对设施运行管理情况进行监督、检查。</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2、设施运行管理单位具体负责设施的日常运行、巡查养护、维修管理等工作。</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四、运行管理标准</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1、台账管理</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设施日常巡检、养护、水质检测应做好台账记录。</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2、日常管理</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（1）环境卫生：包括设施范围内垃圾、杂草清理、池体漂浮物清理。</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（2）收集系统：包括提升泵井、隔油池、化粪池、窨井、污水管网等污水收集和预处理设施，应定期巡查，菌群的补充更换及时清理垃圾及沉积物等，确保收集系统无堵塞、无漫溢、无渗漏。</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（3）处理系统：包括格栅、调节池、生化（处理）池等，定期开展巡查，检查池体完好情况、生化系统功况、植物生长情况，确保设施各处理单元效能正常发挥作用。</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（4）设备管理养护：包括水泵、风机、电控设备、流量计等设备，应定期检查、维修养护，确保正常运行。</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（5）标识管理：实行公示牌制度，应按照要求标识设施信息、警示等。</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（6）出水标准：定期开展水质自检和抽检，出水水质满足江苏省《农村生活污水处理设施水污染物排放标准》DB32/3462-2020相关规定。</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（7）安全管理：包括用电设施日常管理，确保无私接用电等现象；设施场地日常监管，防止游客进入设施危险区域。</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3、应急管理</w:t>
      </w:r>
      <w:r/>
    </w:p>
    <w:p>
      <w:pPr>
        <w:contextualSpacing/>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及时反馈并解决故障报警及水质不合格预警信息，及时处理、修复。</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五、设施巡视事项要求</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bCs/>
          <w:sz w:val="24"/>
          <w:szCs w:val="24"/>
        </w:rPr>
        <w:t xml:space="preserve">1）中标范围内的污水处理设施及</w:t>
      </w:r>
      <w:r>
        <w:rPr>
          <w:rFonts w:hint="eastAsia" w:cs="仿宋" w:asciiTheme="minorEastAsia" w:hAnsiTheme="minorEastAsia" w:eastAsiaTheme="minorEastAsia"/>
          <w:sz w:val="24"/>
          <w:szCs w:val="24"/>
        </w:rPr>
        <w:t xml:space="preserve">管道</w:t>
      </w:r>
      <w:r>
        <w:rPr>
          <w:rFonts w:hint="eastAsia" w:cs="仿宋" w:asciiTheme="minorEastAsia" w:hAnsiTheme="minorEastAsia" w:eastAsiaTheme="minorEastAsia"/>
          <w:bCs/>
          <w:sz w:val="24"/>
          <w:szCs w:val="24"/>
        </w:rPr>
        <w:t xml:space="preserve">的日常运营管理。</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2）村污水处理设施日常运营管理和维护，</w:t>
      </w:r>
      <w:r>
        <w:rPr>
          <w:rFonts w:hint="eastAsia" w:cs="仿宋" w:asciiTheme="minorEastAsia" w:hAnsiTheme="minorEastAsia" w:eastAsiaTheme="minorEastAsia"/>
          <w:bCs/>
          <w:sz w:val="24"/>
          <w:szCs w:val="24"/>
        </w:rPr>
        <w:t xml:space="preserve">20吨以上每周不少于1次的巡查、20吨以下每月不少于一次的巡检，并做好巡查记录，要求20吨以上每个季度不少于1次对污水处理设施的出水进行水质检测、20吨以下每半年不少于1次对污水处理设施的出水进行水质检测，并做好记录，如出现水质超标必须立刻汇报业主查明原因，2小时内查明，12小时内排除问题，并保留水样时间不少于2天(水质排放标准安当时设计要求)</w:t>
      </w:r>
      <w:r>
        <w:rPr>
          <w:rFonts w:hint="eastAsia" w:cs="仿宋" w:asciiTheme="minorEastAsia" w:hAnsiTheme="minorEastAsia" w:eastAsiaTheme="minorEastAsia"/>
          <w:sz w:val="24"/>
          <w:szCs w:val="24"/>
        </w:rPr>
        <w:t xml:space="preserve">。</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六、人员配备要求</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1、为保证污水处理设施设备及配套管网的运行正常，保证水质排放达标，配备的维修服务人员须及时对泵站、污水处理设施等进行巡逻、检查，水质检测及设施故障维修。</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运行值班操作人员及维修服务人员，专业工龄在1年以上，均应需熟悉项目服务内所有设备的设计参数、技术性能和工作特性，具有设备检查、润滑、保养、维护、维修、故障抢修、技术改造方案实施的能力和服务质量控制能力，并具有丰富的现场维护经验。</w:t>
      </w:r>
      <w:r/>
    </w:p>
    <w:p>
      <w:pPr>
        <w:contextualSpacing/>
        <w:ind w:firstLine="562"/>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w:t>
      </w:r>
      <w:r>
        <w:rPr>
          <w:rFonts w:hint="eastAsia" w:cs="仿宋" w:asciiTheme="minorEastAsia" w:hAnsiTheme="minorEastAsia" w:eastAsiaTheme="minorEastAsia"/>
          <w:bCs/>
          <w:sz w:val="24"/>
          <w:szCs w:val="24"/>
        </w:rPr>
        <w:t xml:space="preserve">日常维护配备人员</w:t>
      </w:r>
      <w:r>
        <w:rPr>
          <w:rFonts w:hint="eastAsia" w:cs="仿宋" w:asciiTheme="minorEastAsia" w:hAnsiTheme="minorEastAsia" w:eastAsiaTheme="minorEastAsia"/>
          <w:bCs/>
          <w:sz w:val="24"/>
          <w:szCs w:val="24"/>
          <w:lang w:val="en-US" w:eastAsia="zh-CN"/>
        </w:rPr>
        <w:t xml:space="preserve">5</w:t>
      </w:r>
      <w:r>
        <w:rPr>
          <w:rFonts w:hint="eastAsia" w:cs="仿宋" w:asciiTheme="minorEastAsia" w:hAnsiTheme="minorEastAsia" w:eastAsiaTheme="minorEastAsia"/>
          <w:bCs/>
          <w:sz w:val="24"/>
          <w:szCs w:val="24"/>
        </w:rPr>
        <w:t xml:space="preserve">名（含</w:t>
      </w:r>
      <w:r>
        <w:rPr>
          <w:rFonts w:hint="eastAsia" w:cs="仿宋" w:asciiTheme="minorEastAsia" w:hAnsiTheme="minorEastAsia" w:eastAsiaTheme="minorEastAsia"/>
          <w:bCs/>
          <w:sz w:val="24"/>
          <w:szCs w:val="24"/>
          <w:lang w:val="en-US" w:eastAsia="zh-CN"/>
        </w:rPr>
        <w:t xml:space="preserve">1个技术总负责人员</w:t>
      </w:r>
      <w:r>
        <w:rPr>
          <w:rFonts w:hint="eastAsia" w:cs="仿宋" w:asciiTheme="minorEastAsia" w:hAnsiTheme="minorEastAsia" w:eastAsiaTheme="minorEastAsia"/>
          <w:bCs/>
          <w:sz w:val="24"/>
          <w:szCs w:val="24"/>
          <w:highlight w:val="none"/>
          <w:lang w:val="en-US" w:eastAsia="zh-CN"/>
        </w:rPr>
        <w:t xml:space="preserve">、1</w:t>
      </w:r>
      <w:r>
        <w:rPr>
          <w:rFonts w:hint="eastAsia" w:cs="仿宋" w:asciiTheme="minorEastAsia" w:hAnsiTheme="minorEastAsia" w:eastAsiaTheme="minorEastAsia"/>
          <w:bCs/>
          <w:sz w:val="24"/>
          <w:szCs w:val="24"/>
          <w:highlight w:val="none"/>
        </w:rPr>
        <w:t xml:space="preserve">个</w:t>
      </w:r>
      <w:r>
        <w:rPr>
          <w:rFonts w:hint="eastAsia" w:cs="仿宋" w:asciiTheme="minorEastAsia" w:hAnsiTheme="minorEastAsia" w:eastAsiaTheme="minorEastAsia"/>
          <w:bCs/>
          <w:sz w:val="24"/>
          <w:szCs w:val="24"/>
          <w:highlight w:val="none"/>
          <w:lang w:val="en-US" w:eastAsia="zh-CN"/>
        </w:rPr>
        <w:t xml:space="preserve">水处理工程师</w:t>
      </w:r>
      <w:r>
        <w:rPr>
          <w:rFonts w:hint="eastAsia" w:cs="仿宋" w:asciiTheme="minorEastAsia" w:hAnsiTheme="minorEastAsia" w:eastAsiaTheme="minorEastAsia"/>
          <w:bCs/>
          <w:sz w:val="24"/>
          <w:szCs w:val="24"/>
          <w:highlight w:val="none"/>
        </w:rPr>
        <w:t xml:space="preserve">，1</w:t>
      </w:r>
      <w:r>
        <w:rPr>
          <w:rFonts w:hint="eastAsia" w:cs="仿宋" w:asciiTheme="minorEastAsia" w:hAnsiTheme="minorEastAsia" w:eastAsiaTheme="minorEastAsia"/>
          <w:bCs/>
          <w:sz w:val="24"/>
          <w:szCs w:val="24"/>
        </w:rPr>
        <w:t xml:space="preserve">个污水处理工，1个污水化验监测工，1个设备维修工</w:t>
      </w:r>
      <w:r>
        <w:rPr>
          <w:rFonts w:hint="eastAsia" w:cs="仿宋" w:asciiTheme="minorEastAsia" w:hAnsiTheme="minorEastAsia" w:eastAsiaTheme="minorEastAsia"/>
          <w:sz w:val="24"/>
          <w:szCs w:val="24"/>
        </w:rPr>
        <w:t xml:space="preserve">。人员不得随意更换，若要更换须经甲方同意，并确保更换的人员与原始配备人员具有同等的资格条件。</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七、考核机制</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（一）污水处理设施维护考核等级评定及支付办法：详见附件</w:t>
      </w:r>
      <w:r>
        <w:rPr>
          <w:rFonts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（二）考核方式</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1、考核机构：由甲方有关部门组成考核组，考核以定期检查和随机抽查的形式开展，每季度不少于一次定期检查和随机抽查专项考核。以每两个季度考核得分的平均值作为考核结果。</w:t>
      </w:r>
      <w:r/>
    </w:p>
    <w:p>
      <w:pPr>
        <w:contextualSpacing/>
        <w:ind w:firstLine="480"/>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2、考核方法：考核采取百分制，详见附件</w:t>
      </w:r>
      <w:r>
        <w:rPr>
          <w:rFonts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w:t>
      </w:r>
      <w:r/>
    </w:p>
    <w:p>
      <w:pPr>
        <w:contextualSpacing/>
        <w:spacing w:line="50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contextualSpacing/>
        <w:spacing w:line="50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contextualSpacing/>
        <w:spacing w:line="50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contextualSpacing/>
        <w:spacing w:line="50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contextualSpacing/>
        <w:spacing w:line="50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726"/>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762"/>
      </w:pPr>
      <w:r/>
      <w:r/>
    </w:p>
    <w:p>
      <w:pPr>
        <w:contextualSpacing/>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contextualSpacing/>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726"/>
        <w:rPr>
          <w:rFonts w:hint="eastAsia"/>
        </w:rPr>
      </w:pPr>
      <w:r>
        <w:rPr>
          <w:rFonts w:hint="eastAsia"/>
        </w:rPr>
      </w:r>
      <w:r/>
    </w:p>
    <w:p>
      <w:pPr>
        <w:contextualSpacing/>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附件</w:t>
      </w:r>
      <w:r>
        <w:rPr>
          <w:rFonts w:cs="仿宋" w:asciiTheme="minorEastAsia" w:hAnsiTheme="minorEastAsia" w:eastAsiaTheme="minorEastAsia"/>
          <w:sz w:val="24"/>
          <w:szCs w:val="24"/>
        </w:rPr>
        <w:t xml:space="preserve">2</w:t>
      </w:r>
      <w:r/>
    </w:p>
    <w:p>
      <w:pPr>
        <w:contextualSpacing/>
        <w:jc w:val="center"/>
        <w:spacing w:line="500" w:lineRule="exact"/>
        <w:rPr>
          <w:rFonts w:cs="仿宋" w:asciiTheme="minorEastAsia" w:hAnsiTheme="minorEastAsia" w:eastAsiaTheme="minorEastAsia"/>
          <w:b/>
          <w:bCs/>
          <w:sz w:val="24"/>
          <w:szCs w:val="24"/>
        </w:rPr>
      </w:pPr>
      <w:r>
        <w:rPr>
          <w:rFonts w:hint="eastAsia" w:cs="仿宋" w:asciiTheme="minorEastAsia" w:hAnsiTheme="minorEastAsia" w:eastAsiaTheme="minorEastAsia"/>
          <w:b/>
          <w:sz w:val="24"/>
          <w:szCs w:val="24"/>
        </w:rPr>
        <w:t xml:space="preserve">一体化泵站及污水处理设施</w:t>
      </w:r>
      <w:r>
        <w:rPr>
          <w:rFonts w:hint="eastAsia" w:cs="仿宋" w:asciiTheme="minorEastAsia" w:hAnsiTheme="minorEastAsia" w:eastAsiaTheme="minorEastAsia"/>
          <w:b/>
          <w:bCs/>
          <w:sz w:val="24"/>
          <w:szCs w:val="24"/>
        </w:rPr>
        <w:t xml:space="preserve">维护考核评分标准</w:t>
      </w:r>
      <w:r/>
    </w:p>
    <w:p>
      <w:pPr>
        <w:contextualSpacing/>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为加强泵站的管理，细化泵站维护协议内容，特制订本考核办法：</w:t>
      </w:r>
      <w:r/>
    </w:p>
    <w:p>
      <w:pPr>
        <w:contextualSpacing/>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一、考核办法按客观、合理、公证原则制定。</w:t>
      </w:r>
      <w:r/>
    </w:p>
    <w:p>
      <w:pPr>
        <w:contextualSpacing/>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二、考核以定期检查和随机抽查的形式开展，定期检查每月不少于1次。</w:t>
      </w:r>
      <w:r/>
    </w:p>
    <w:p>
      <w:pPr>
        <w:contextualSpacing/>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三、考核结果以百分制量化，分为四个档次，具体为：</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2"/>
        <w:gridCol w:w="4333"/>
        <w:gridCol w:w="3781"/>
      </w:tblGrid>
      <w:tr>
        <w:trPr/>
        <w:tc>
          <w:tcPr>
            <w:tcW w:w="833"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档次</w:t>
            </w:r>
            <w:r/>
          </w:p>
        </w:tc>
        <w:tc>
          <w:tcPr>
            <w:tcW w:w="2225"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分值</w:t>
            </w:r>
            <w:r/>
          </w:p>
        </w:tc>
        <w:tc>
          <w:tcPr>
            <w:tcW w:w="1942"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考核结果</w:t>
            </w:r>
            <w:r/>
          </w:p>
        </w:tc>
      </w:tr>
      <w:tr>
        <w:trPr/>
        <w:tc>
          <w:tcPr>
            <w:tcW w:w="833"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优</w:t>
            </w:r>
            <w:r/>
          </w:p>
        </w:tc>
        <w:tc>
          <w:tcPr>
            <w:tcW w:w="2225"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90分以上（含90分）</w:t>
            </w:r>
            <w:r/>
          </w:p>
        </w:tc>
        <w:tc>
          <w:tcPr>
            <w:tcW w:w="1942"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全额支付托管费</w:t>
            </w:r>
            <w:r/>
          </w:p>
        </w:tc>
      </w:tr>
      <w:tr>
        <w:trPr/>
        <w:tc>
          <w:tcPr>
            <w:tcW w:w="833"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良</w:t>
            </w:r>
            <w:r/>
          </w:p>
        </w:tc>
        <w:tc>
          <w:tcPr>
            <w:tcW w:w="2225"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85-89分</w:t>
            </w:r>
            <w:r/>
          </w:p>
        </w:tc>
        <w:tc>
          <w:tcPr>
            <w:tcW w:w="1942"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支付95%托管费</w:t>
            </w:r>
            <w:r/>
          </w:p>
        </w:tc>
      </w:tr>
      <w:tr>
        <w:trPr/>
        <w:tc>
          <w:tcPr>
            <w:tcW w:w="833"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合格</w:t>
            </w:r>
            <w:r/>
          </w:p>
        </w:tc>
        <w:tc>
          <w:tcPr>
            <w:tcW w:w="2225"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80-84分（含80分）</w:t>
            </w:r>
            <w:r/>
          </w:p>
        </w:tc>
        <w:tc>
          <w:tcPr>
            <w:tcW w:w="1942"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支付90%托管费</w:t>
            </w:r>
            <w:r/>
          </w:p>
        </w:tc>
      </w:tr>
      <w:tr>
        <w:trPr/>
        <w:tc>
          <w:tcPr>
            <w:tcW w:w="833"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差</w:t>
            </w:r>
            <w:r/>
          </w:p>
        </w:tc>
        <w:tc>
          <w:tcPr>
            <w:tcW w:w="2225"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80分以下</w:t>
            </w:r>
            <w:r/>
          </w:p>
        </w:tc>
        <w:tc>
          <w:tcPr>
            <w:tcW w:w="1942" w:type="pct"/>
            <w:vAlign w:val="center"/>
            <w:textDirection w:val="lrTb"/>
            <w:noWrap/>
          </w:tcPr>
          <w:p>
            <w:pPr>
              <w:contextualSpacing/>
              <w:jc w:val="center"/>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不支付托管费</w:t>
            </w:r>
            <w:r/>
          </w:p>
        </w:tc>
      </w:tr>
    </w:tbl>
    <w:p>
      <w:pPr>
        <w:contextualSpacing/>
        <w:ind w:firstLine="12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四、安全生产实行“一票否决”制，一旦发生人身伤亡、火灾等重大责任事故，扣除当月管理费。</w:t>
      </w:r>
      <w:r/>
    </w:p>
    <w:p>
      <w:pPr>
        <w:contextualSpacing/>
        <w:ind w:firstLine="12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五、扣除的相关费用用于泵站的经营支出。</w:t>
      </w:r>
      <w:r/>
    </w:p>
    <w:p>
      <w:pPr>
        <w:contextualSpacing/>
        <w:ind w:firstLine="120"/>
        <w:spacing w:line="500" w:lineRule="exact"/>
        <w:rPr>
          <w:rFonts w:cs="仿宋" w:asciiTheme="minorEastAsia" w:hAnsiTheme="minorEastAsia" w:eastAsiaTheme="minorEastAsia"/>
          <w:sz w:val="24"/>
          <w:szCs w:val="24"/>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851" w:gutter="0"/>
          <w:pgNumType w:start="1"/>
          <w:cols w:num="1" w:sep="0" w:space="720" w:equalWidth="1"/>
          <w:docGrid w:linePitch="360"/>
          <w:titlePg/>
        </w:sectPr>
      </w:pPr>
      <w:r>
        <w:rPr>
          <w:rFonts w:hint="eastAsia" w:cs="仿宋" w:asciiTheme="minorEastAsia" w:hAnsiTheme="minorEastAsia" w:eastAsiaTheme="minorEastAsia"/>
          <w:sz w:val="24"/>
          <w:szCs w:val="24"/>
        </w:rPr>
        <w:t xml:space="preserve">六、根据考核办法于次月上旬核定当月托管费用（按每月考核结果计算分值），并及时支付给乙方。</w:t>
      </w:r>
      <w:r/>
    </w:p>
    <w:p>
      <w:pPr>
        <w:contextualSpacing/>
        <w:spacing w:line="3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附件</w:t>
      </w:r>
      <w:r>
        <w:rPr>
          <w:rFonts w:cs="仿宋" w:asciiTheme="minorEastAsia" w:hAnsiTheme="minorEastAsia" w:eastAsiaTheme="minorEastAsia"/>
          <w:sz w:val="24"/>
          <w:szCs w:val="24"/>
        </w:rPr>
        <w:t xml:space="preserve">3</w:t>
      </w:r>
      <w:r/>
    </w:p>
    <w:p>
      <w:pPr>
        <w:contextualSpacing/>
        <w:jc w:val="center"/>
        <w:spacing w:line="3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一体化污水泵站及污水处理设施委托管理考核表</w:t>
      </w:r>
      <w:r/>
    </w:p>
    <w:tbl>
      <w:tblPr>
        <w:tblStyle w:val="725"/>
        <w:tblpPr w:horzAnchor="page" w:tblpX="932" w:vertAnchor="text" w:tblpY="691" w:leftFromText="180" w:topFromText="0" w:rightFromText="180" w:bottomFromText="0"/>
        <w:tblW w:w="10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080"/>
        <w:gridCol w:w="1917"/>
        <w:gridCol w:w="4694"/>
        <w:gridCol w:w="1534"/>
        <w:gridCol w:w="872"/>
      </w:tblGrid>
      <w:tr>
        <w:trPr>
          <w:trHeight w:val="362"/>
        </w:trPr>
        <w:tc>
          <w:tcPr>
            <w:tcW w:w="600"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080"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考核项目</w:t>
            </w:r>
            <w:r/>
          </w:p>
        </w:tc>
        <w:tc>
          <w:tcPr>
            <w:tcW w:w="1917"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考核内容</w:t>
            </w:r>
            <w:r/>
          </w:p>
        </w:tc>
        <w:tc>
          <w:tcPr>
            <w:tcW w:w="469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考核要求</w:t>
            </w:r>
            <w:r/>
          </w:p>
        </w:tc>
        <w:tc>
          <w:tcPr>
            <w:tcW w:w="153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评分标准</w:t>
            </w:r>
            <w:r/>
          </w:p>
        </w:tc>
        <w:tc>
          <w:tcPr>
            <w:tcW w:w="872"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得分</w:t>
            </w:r>
            <w:r/>
          </w:p>
        </w:tc>
      </w:tr>
      <w:tr>
        <w:trPr>
          <w:trHeight w:val="362"/>
        </w:trPr>
        <w:tc>
          <w:tcPr>
            <w:tcW w:w="600" w:type="dxa"/>
            <w:vAlign w:val="center"/>
            <w:vMerge w:val="restart"/>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w:t>
            </w:r>
            <w:r/>
          </w:p>
        </w:tc>
        <w:tc>
          <w:tcPr>
            <w:tcW w:w="1080" w:type="dxa"/>
            <w:vAlign w:val="center"/>
            <w:vMerge w:val="restart"/>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组织管理（1</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 分）</w:t>
            </w:r>
            <w:r/>
          </w:p>
        </w:tc>
        <w:tc>
          <w:tcPr>
            <w:tcW w:w="1917" w:type="dxa"/>
            <w:vAlign w:val="center"/>
            <w:textDirection w:val="lrTb"/>
            <w:noWrap/>
          </w:tcPr>
          <w:p>
            <w:pPr>
              <w:contextualSpacing/>
              <w:jc w:val="left"/>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人员到岗履职</w:t>
            </w:r>
            <w:r/>
          </w:p>
        </w:tc>
        <w:tc>
          <w:tcPr>
            <w:tcW w:w="4694" w:type="dxa"/>
            <w:vAlign w:val="center"/>
            <w:textDirection w:val="lrTb"/>
            <w:noWrap/>
          </w:tcPr>
          <w:p>
            <w:pPr>
              <w:contextualSpacing/>
              <w:jc w:val="left"/>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 ① 本项目配置</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5名核心运维人员</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（技术总负责1人、水处理工程师1人、污水处理工1人、污水化验监测工1人、设备维修工1人），须</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每日在公司打卡上班</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。甲方不定期抽查打卡记录，每发现一人次未打卡上班且无正当理由的，扣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；当月累计5人次以上未打卡的，本项得</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0分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② 重要故障、汛期须在接到采购人通知后</w:t>
            </w:r>
            <w:r>
              <w:rPr>
                <w:rFonts w:hint="eastAsia" w:asciiTheme="minorEastAsia" w:hAnsiTheme="minorEastAsia" w:eastAsiaTheme="minorEastAsia" w:cstheme="minorEastAsia"/>
                <w:i w:val="0"/>
                <w:iCs w:val="0"/>
                <w:caps w:val="0"/>
                <w:color w:val="0f1115"/>
                <w:spacing w:val="0"/>
                <w:sz w:val="24"/>
                <w:szCs w:val="24"/>
                <w:shd w:val="clear" w:color="auto" w:fill="ffffff"/>
                <w:lang w:val="en-US" w:eastAsia="zh-CN"/>
              </w:rPr>
              <w:t xml:space="preserve">1</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小时内赶到现场进行处置；未落实每次扣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3分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本项扣完为止</w:t>
            </w:r>
            <w:r/>
          </w:p>
        </w:tc>
        <w:tc>
          <w:tcPr>
            <w:tcW w:w="153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8分</w:t>
            </w:r>
            <w:r/>
          </w:p>
        </w:tc>
        <w:tc>
          <w:tcPr>
            <w:tcW w:w="872"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362"/>
        </w:trPr>
        <w:tc>
          <w:tcPr>
            <w:tcW w:w="60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17" w:type="dxa"/>
            <w:vAlign w:val="center"/>
            <w:textDirection w:val="lrTb"/>
            <w:noWrap/>
          </w:tcPr>
          <w:p>
            <w:pPr>
              <w:contextualSpacing/>
              <w:jc w:val="left"/>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操作人员稳定性</w:t>
            </w:r>
            <w:r/>
          </w:p>
        </w:tc>
        <w:tc>
          <w:tcPr>
            <w:tcW w:w="4694" w:type="dxa"/>
            <w:vAlign w:val="center"/>
            <w:textDirection w:val="lrTb"/>
            <w:noWrap/>
          </w:tcPr>
          <w:p>
            <w:pPr>
              <w:contextualSpacing/>
              <w:jc w:val="left"/>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当月核心运维人员流动变更不得超过2人次；核心岗位（技术总负责、化验、设备维修）当月变更不得多于1人次。每超1人次扣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；人员缺编每少1人扣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，须在5个工作日内补齐，逾期未补加倍扣分。</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本项扣完为止。</w:t>
            </w:r>
            <w:r/>
          </w:p>
        </w:tc>
        <w:tc>
          <w:tcPr>
            <w:tcW w:w="153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分</w:t>
            </w:r>
            <w:r/>
          </w:p>
        </w:tc>
        <w:tc>
          <w:tcPr>
            <w:tcW w:w="872"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362"/>
        </w:trPr>
        <w:tc>
          <w:tcPr>
            <w:tcW w:w="60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17" w:type="dxa"/>
            <w:vAlign w:val="center"/>
            <w:textDirection w:val="lrTb"/>
            <w:noWrap/>
          </w:tcPr>
          <w:p>
            <w:pPr>
              <w:contextualSpacing/>
              <w:jc w:val="left"/>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持证上岗</w:t>
            </w:r>
            <w:r/>
          </w:p>
        </w:tc>
        <w:tc>
          <w:tcPr>
            <w:tcW w:w="4694" w:type="dxa"/>
            <w:vAlign w:val="center"/>
            <w:textDirection w:val="lrTb"/>
            <w:noWrap/>
          </w:tcPr>
          <w:p>
            <w:pPr>
              <w:numPr>
                <w:ilvl w:val="0"/>
                <w:numId w:val="0"/>
              </w:numPr>
              <w:contextualSpacing/>
              <w:jc w:val="left"/>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① 技术总负责持有有效</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高压电工证</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，无证扣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② 设备维修工持有有效</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低压电工证</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，无证扣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③ 污水处理工持有有效污水处理工证书，无证扣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④ 污水化验监测工持有有效化验检测工证书，无证扣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⑤ 有限空间作业安全培训证书（至少1人持有），缺项扣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⑥ 证件失效、人证不符每项扣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本项扣完为止。</w:t>
            </w:r>
            <w:r/>
          </w:p>
        </w:tc>
        <w:tc>
          <w:tcPr>
            <w:tcW w:w="153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p>
        </w:tc>
        <w:tc>
          <w:tcPr>
            <w:tcW w:w="872"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362"/>
        </w:trPr>
        <w:tc>
          <w:tcPr>
            <w:tcW w:w="600"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w:t>
            </w:r>
            <w:r/>
          </w:p>
        </w:tc>
        <w:tc>
          <w:tcPr>
            <w:tcW w:w="1080" w:type="dxa"/>
            <w:vAlign w:val="center"/>
            <w:vMerge w:val="restart"/>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基本要求（1</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分）</w:t>
            </w:r>
            <w:r/>
          </w:p>
        </w:tc>
        <w:tc>
          <w:tcPr>
            <w:tcW w:w="1917"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管理制度、操作规程</w:t>
            </w:r>
            <w:r/>
          </w:p>
        </w:tc>
        <w:tc>
          <w:tcPr>
            <w:tcW w:w="4694" w:type="dxa"/>
            <w:vAlign w:val="center"/>
            <w:textDirection w:val="lrTb"/>
            <w:noWrap/>
          </w:tcPr>
          <w:p>
            <w:pPr>
              <w:numPr>
                <w:ilvl w:val="0"/>
                <w:numId w:val="0"/>
              </w:numPr>
              <w:contextualSpacing/>
              <w:jc w:val="left"/>
              <w:spacing w:line="3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① 建立并执行巡检值班、交接班、设备巡检检修、水质管理、污泥处置、有限空间作业、安全应急制度，每缺失1项制度扣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；每违反制度一次扣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② 操作规程发放至岗位班组，严格按规程作业，每违规操作一次扣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本项扣完为止。</w:t>
            </w:r>
            <w:r/>
          </w:p>
        </w:tc>
        <w:tc>
          <w:tcPr>
            <w:tcW w:w="153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tc>
        <w:tc>
          <w:tcPr>
            <w:tcW w:w="872"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371"/>
        </w:trPr>
        <w:tc>
          <w:tcPr>
            <w:tcW w:w="600"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17" w:type="dxa"/>
            <w:vAlign w:val="center"/>
            <w:textDirection w:val="lrTb"/>
            <w:noWrap/>
          </w:tcPr>
          <w:p>
            <w:pPr>
              <w:contextualSpacing/>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工器具、检测设备、车辆配置</w:t>
            </w:r>
            <w:r/>
          </w:p>
        </w:tc>
        <w:tc>
          <w:tcPr>
            <w:tcW w:w="4694" w:type="dxa"/>
            <w:textDirection w:val="lrTb"/>
            <w:noWrap/>
          </w:tcPr>
          <w:p>
            <w:pPr>
              <w:numPr>
                <w:ilvl w:val="0"/>
                <w:numId w:val="0"/>
              </w:num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① 投标承诺</w:t>
            </w:r>
            <w:r>
              <w:rPr>
                <w:rFonts w:hint="eastAsia" w:asciiTheme="minorEastAsia" w:hAnsiTheme="minorEastAsia" w:eastAsiaTheme="minorEastAsia" w:cstheme="minorEastAsia"/>
                <w:i w:val="0"/>
                <w:iCs w:val="0"/>
                <w:caps w:val="0"/>
                <w:color w:val="0f1115"/>
                <w:spacing w:val="0"/>
                <w:sz w:val="24"/>
                <w:szCs w:val="24"/>
                <w:shd w:val="clear" w:color="auto" w:fill="ffffff"/>
                <w:lang w:val="en-US" w:eastAsia="zh-CN"/>
              </w:rPr>
              <w:t xml:space="preserve">用于本项目的车辆和现场用车一致</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，每缺1台扣</w:t>
            </w:r>
            <w:r>
              <w:rPr>
                <w:rFonts w:hint="eastAsia" w:asciiTheme="minorEastAsia" w:hAnsiTheme="minorEastAsia" w:eastAsiaTheme="minorEastAsia" w:cstheme="minorEastAsia"/>
                <w:b/>
                <w:bCs/>
                <w:i w:val="0"/>
                <w:iCs w:val="0"/>
                <w:caps w:val="0"/>
                <w:color w:val="0f1115"/>
                <w:spacing w:val="0"/>
                <w:sz w:val="24"/>
                <w:szCs w:val="24"/>
                <w:shd w:val="clear" w:color="auto" w:fill="ffffff"/>
                <w:lang w:val="en-US" w:eastAsia="zh-CN"/>
              </w:rPr>
              <w:t xml:space="preserve">3</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② 一体化便携式多参数水质测定仪、智能多参数水质测定仪、多功能消解仪各不少于1台，每缺1台扣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4分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；设备无法正常使用视同缺失。</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本项扣完为止。</w:t>
            </w:r>
            <w:r/>
          </w:p>
        </w:tc>
        <w:tc>
          <w:tcPr>
            <w:tcW w:w="153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11</w:t>
            </w:r>
            <w:r>
              <w:rPr>
                <w:rFonts w:hint="eastAsia" w:asciiTheme="minorEastAsia" w:hAnsiTheme="minorEastAsia" w:eastAsiaTheme="minorEastAsia" w:cstheme="minorEastAsia"/>
                <w:sz w:val="24"/>
                <w:szCs w:val="24"/>
              </w:rPr>
              <w:t xml:space="preserve">分</w:t>
            </w:r>
            <w:r/>
          </w:p>
        </w:tc>
        <w:tc>
          <w:tcPr>
            <w:tcW w:w="872" w:type="dxa"/>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90"/>
        </w:trPr>
        <w:tc>
          <w:tcPr>
            <w:tcW w:w="600" w:type="dxa"/>
            <w:vAlign w:val="center"/>
            <w:vMerge w:val="restart"/>
            <w:textDirection w:val="lrTb"/>
            <w:noWrap/>
          </w:tcPr>
          <w:p>
            <w:pPr>
              <w:contextualSpacing/>
              <w:jc w:val="center"/>
              <w:spacing w:line="3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3</w:t>
            </w:r>
            <w:r/>
          </w:p>
        </w:tc>
        <w:tc>
          <w:tcPr>
            <w:tcW w:w="1080" w:type="dxa"/>
            <w:vAlign w:val="center"/>
            <w:vMerge w:val="restart"/>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设备及设施日常维护（</w:t>
            </w:r>
            <w:r>
              <w:rPr>
                <w:rFonts w:hint="eastAsia" w:asciiTheme="minorEastAsia" w:hAnsiTheme="minorEastAsia" w:eastAsiaTheme="minorEastAsia" w:cstheme="minorEastAsia"/>
                <w:sz w:val="24"/>
                <w:szCs w:val="24"/>
                <w:lang w:val="en-US" w:eastAsia="zh-CN"/>
              </w:rPr>
              <w:t xml:space="preserve">35</w:t>
            </w:r>
            <w:r>
              <w:rPr>
                <w:rFonts w:hint="eastAsia" w:asciiTheme="minorEastAsia" w:hAnsiTheme="minorEastAsia" w:eastAsiaTheme="minorEastAsia" w:cstheme="minorEastAsia"/>
                <w:sz w:val="24"/>
                <w:szCs w:val="24"/>
              </w:rPr>
              <w:t xml:space="preserve"> 分）</w:t>
            </w:r>
            <w:r/>
          </w:p>
        </w:tc>
        <w:tc>
          <w:tcPr>
            <w:tcW w:w="1917" w:type="dxa"/>
            <w:vAlign w:val="center"/>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设施日常巡查</w:t>
            </w:r>
            <w:r/>
          </w:p>
        </w:tc>
        <w:tc>
          <w:tcPr>
            <w:tcW w:w="4694" w:type="dxa"/>
            <w:textDirection w:val="lrTb"/>
            <w:noWrap/>
          </w:tcPr>
          <w:tbl>
            <w:tblPr>
              <w:tblStyle w:val="725"/>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8640"/>
            </w:tblGrid>
            <w:tr>
              <w:trPr/>
              <w:tc>
                <w:tcPr>
                  <w:shd w:val="clear" w:color="auto" w:fill="ffffff"/>
                  <w:tcMar>
                    <w:left w:w="240" w:type="dxa"/>
                    <w:top w:w="150" w:type="dxa"/>
                    <w:right w:w="240" w:type="dxa"/>
                    <w:bottom w:w="150" w:type="dxa"/>
                  </w:tcMar>
                  <w:tcW w:w="8640" w:type="dxa"/>
                  <w:vAlign w:val="center"/>
                  <w:textDirection w:val="lrTb"/>
                  <w:noWrap w:val="false"/>
                </w:tcPr>
                <w:p>
                  <w:pPr>
                    <w:ind w:right="4158"/>
                    <w:jc w:val="left"/>
                    <w:keepLines w:val="0"/>
                    <w:keepNext w:val="0"/>
                    <w:spacing w:line="375" w:lineRule="atLeast"/>
                    <w:widowControl/>
                    <w:rPr>
                      <w:rFonts w:hint="eastAsia" w:asciiTheme="minorEastAsia" w:hAnsiTheme="minorEastAsia" w:eastAsiaTheme="minorEastAsia" w:cstheme="minorEastAsia"/>
                      <w:i w:val="0"/>
                      <w:iCs w:val="0"/>
                      <w:caps w:val="0"/>
                      <w:color w:val="0f1115"/>
                      <w:spacing w:val="0"/>
                      <w:sz w:val="24"/>
                      <w:szCs w:val="24"/>
                    </w:rPr>
                    <w:suppressLineNumbers w:val="0"/>
                  </w:pPr>
                  <w:r>
                    <w:rPr>
                      <w:rFonts w:hint="eastAsia" w:asciiTheme="minorEastAsia" w:hAnsiTheme="minorEastAsia" w:eastAsiaTheme="minorEastAsia" w:cstheme="minorEastAsia"/>
                      <w:i w:val="0"/>
                      <w:iCs w:val="0"/>
                      <w:caps w:val="0"/>
                      <w:color w:val="0f1115"/>
                      <w:spacing w:val="0"/>
                      <w:sz w:val="24"/>
                      <w:szCs w:val="24"/>
                      <w:lang w:val="en-US" w:eastAsia="zh-CN" w:bidi="ar"/>
                    </w:rPr>
                    <w:t xml:space="preserve">① 无巡查台账本项得</w:t>
                  </w:r>
                  <w:r>
                    <w:rPr>
                      <w:rFonts w:hint="eastAsia" w:asciiTheme="minorEastAsia" w:hAnsiTheme="minorEastAsia" w:eastAsiaTheme="minorEastAsia" w:cstheme="minorEastAsia"/>
                      <w:b/>
                      <w:bCs/>
                      <w:i w:val="0"/>
                      <w:iCs w:val="0"/>
                      <w:caps w:val="0"/>
                      <w:color w:val="0f1115"/>
                      <w:spacing w:val="0"/>
                      <w:sz w:val="24"/>
                      <w:szCs w:val="24"/>
                      <w:lang w:val="en-US" w:eastAsia="zh-CN" w:bidi="ar"/>
                    </w:rPr>
                    <w:t xml:space="preserve">0分</w:t>
                  </w:r>
                  <w:r>
                    <w:rPr>
                      <w:rFonts w:hint="eastAsia" w:asciiTheme="minorEastAsia" w:hAnsiTheme="minorEastAsia" w:eastAsiaTheme="minorEastAsia" w:cstheme="minorEastAsia"/>
                      <w:i w:val="0"/>
                      <w:iCs w:val="0"/>
                      <w:caps w:val="0"/>
                      <w:color w:val="0f1115"/>
                      <w:spacing w:val="0"/>
                      <w:sz w:val="24"/>
                      <w:szCs w:val="24"/>
                      <w:lang w:val="en-US" w:eastAsia="zh-CN" w:bidi="ar"/>
                    </w:rPr>
                    <w:t xml:space="preserve">；</w:t>
                  </w:r>
                  <w:r>
                    <w:rPr>
                      <w:rFonts w:hint="eastAsia" w:asciiTheme="minorEastAsia" w:hAnsiTheme="minorEastAsia" w:eastAsiaTheme="minorEastAsia" w:cstheme="minorEastAsia"/>
                      <w:i w:val="0"/>
                      <w:iCs w:val="0"/>
                      <w:caps w:val="0"/>
                      <w:color w:val="0f1115"/>
                      <w:spacing w:val="0"/>
                      <w:sz w:val="24"/>
                      <w:szCs w:val="24"/>
                      <w:lang w:val="en-US" w:eastAsia="zh-CN" w:bidi="ar"/>
                    </w:rPr>
                    <w:br/>
                  </w:r>
                  <w:r>
                    <w:rPr>
                      <w:rFonts w:hint="eastAsia" w:asciiTheme="minorEastAsia" w:hAnsiTheme="minorEastAsia" w:eastAsiaTheme="minorEastAsia" w:cstheme="minorEastAsia"/>
                      <w:i w:val="0"/>
                      <w:iCs w:val="0"/>
                      <w:caps w:val="0"/>
                      <w:color w:val="0f1115"/>
                      <w:spacing w:val="0"/>
                      <w:sz w:val="24"/>
                      <w:szCs w:val="24"/>
                      <w:lang w:val="en-US" w:eastAsia="zh-CN" w:bidi="ar"/>
                    </w:rPr>
                    <w:t xml:space="preserve">② 巡查频次须达到招标文件要求（</w:t>
                  </w:r>
                  <w:r>
                    <w:rPr>
                      <w:rFonts w:hint="eastAsia" w:asciiTheme="minorEastAsia" w:hAnsiTheme="minorEastAsia" w:eastAsiaTheme="minorEastAsia" w:cstheme="minorEastAsia"/>
                      <w:b/>
                      <w:bCs/>
                      <w:i w:val="0"/>
                      <w:iCs w:val="0"/>
                      <w:caps w:val="0"/>
                      <w:color w:val="0f1115"/>
                      <w:spacing w:val="0"/>
                      <w:sz w:val="24"/>
                      <w:szCs w:val="24"/>
                      <w:lang w:val="en-US" w:eastAsia="zh-CN" w:bidi="ar"/>
                    </w:rPr>
                    <w:t xml:space="preserve">5T及以上每周≥1次；5T以下有动力每月≥1次；无动力每月≥总数的25%</w:t>
                  </w:r>
                  <w:r>
                    <w:rPr>
                      <w:rFonts w:hint="eastAsia" w:asciiTheme="minorEastAsia" w:hAnsiTheme="minorEastAsia" w:eastAsiaTheme="minorEastAsia" w:cstheme="minorEastAsia"/>
                      <w:i w:val="0"/>
                      <w:iCs w:val="0"/>
                      <w:caps w:val="0"/>
                      <w:color w:val="0f1115"/>
                      <w:spacing w:val="0"/>
                      <w:sz w:val="24"/>
                      <w:szCs w:val="24"/>
                      <w:lang w:val="en-US" w:eastAsia="zh-CN" w:bidi="ar"/>
                    </w:rPr>
                    <w:t xml:space="preserve">），频次不足每发现1处站点扣</w:t>
                  </w:r>
                  <w:r>
                    <w:rPr>
                      <w:rFonts w:hint="eastAsia" w:asciiTheme="minorEastAsia" w:hAnsiTheme="minorEastAsia" w:eastAsiaTheme="minorEastAsia" w:cstheme="minorEastAsia"/>
                      <w:b/>
                      <w:bCs/>
                      <w:i w:val="0"/>
                      <w:iCs w:val="0"/>
                      <w:caps w:val="0"/>
                      <w:color w:val="0f1115"/>
                      <w:spacing w:val="0"/>
                      <w:sz w:val="24"/>
                      <w:szCs w:val="24"/>
                      <w:lang w:val="en-US" w:eastAsia="zh-CN" w:bidi="ar"/>
                    </w:rPr>
                    <w:t xml:space="preserve">2分</w:t>
                  </w:r>
                  <w:r>
                    <w:rPr>
                      <w:rFonts w:hint="eastAsia" w:asciiTheme="minorEastAsia" w:hAnsiTheme="minorEastAsia" w:eastAsiaTheme="minorEastAsia" w:cstheme="minorEastAsia"/>
                      <w:i w:val="0"/>
                      <w:iCs w:val="0"/>
                      <w:caps w:val="0"/>
                      <w:color w:val="0f1115"/>
                      <w:spacing w:val="0"/>
                      <w:sz w:val="24"/>
                      <w:szCs w:val="24"/>
                      <w:lang w:val="en-US" w:eastAsia="zh-CN" w:bidi="ar"/>
                    </w:rPr>
                    <w:t xml:space="preserve">；</w:t>
                  </w:r>
                  <w:r>
                    <w:rPr>
                      <w:rFonts w:hint="eastAsia" w:asciiTheme="minorEastAsia" w:hAnsiTheme="minorEastAsia" w:eastAsiaTheme="minorEastAsia" w:cstheme="minorEastAsia"/>
                      <w:i w:val="0"/>
                      <w:iCs w:val="0"/>
                      <w:caps w:val="0"/>
                      <w:color w:val="0f1115"/>
                      <w:spacing w:val="0"/>
                      <w:sz w:val="24"/>
                      <w:szCs w:val="24"/>
                      <w:lang w:val="en-US" w:eastAsia="zh-CN" w:bidi="ar"/>
                    </w:rPr>
                    <w:br/>
                  </w:r>
                  <w:r>
                    <w:rPr>
                      <w:rFonts w:hint="eastAsia" w:asciiTheme="minorEastAsia" w:hAnsiTheme="minorEastAsia" w:eastAsiaTheme="minorEastAsia" w:cstheme="minorEastAsia"/>
                      <w:i w:val="0"/>
                      <w:iCs w:val="0"/>
                      <w:caps w:val="0"/>
                      <w:color w:val="0f1115"/>
                      <w:spacing w:val="0"/>
                      <w:sz w:val="24"/>
                      <w:szCs w:val="24"/>
                      <w:lang w:val="en-US" w:eastAsia="zh-CN" w:bidi="ar"/>
                    </w:rPr>
                    <w:t xml:space="preserve">③ 巡查记录内容不全、应记未记、未签字或代签每处扣</w:t>
                  </w:r>
                  <w:r>
                    <w:rPr>
                      <w:rFonts w:hint="eastAsia" w:asciiTheme="minorEastAsia" w:hAnsiTheme="minorEastAsia" w:eastAsiaTheme="minorEastAsia" w:cstheme="minorEastAsia"/>
                      <w:b/>
                      <w:bCs/>
                      <w:i w:val="0"/>
                      <w:iCs w:val="0"/>
                      <w:caps w:val="0"/>
                      <w:color w:val="0f1115"/>
                      <w:spacing w:val="0"/>
                      <w:sz w:val="24"/>
                      <w:szCs w:val="24"/>
                      <w:lang w:val="en-US" w:eastAsia="zh-CN" w:bidi="ar"/>
                    </w:rPr>
                    <w:t xml:space="preserve">1分</w:t>
                  </w:r>
                  <w:r>
                    <w:rPr>
                      <w:rFonts w:hint="eastAsia" w:asciiTheme="minorEastAsia" w:hAnsiTheme="minorEastAsia" w:eastAsiaTheme="minorEastAsia" w:cstheme="minorEastAsia"/>
                      <w:i w:val="0"/>
                      <w:iCs w:val="0"/>
                      <w:caps w:val="0"/>
                      <w:color w:val="0f1115"/>
                      <w:spacing w:val="0"/>
                      <w:sz w:val="24"/>
                      <w:szCs w:val="24"/>
                      <w:lang w:val="en-US" w:eastAsia="zh-CN" w:bidi="ar"/>
                    </w:rPr>
                    <w:t xml:space="preserve">；</w:t>
                  </w:r>
                  <w:r>
                    <w:rPr>
                      <w:rFonts w:hint="eastAsia" w:asciiTheme="minorEastAsia" w:hAnsiTheme="minorEastAsia" w:eastAsiaTheme="minorEastAsia" w:cstheme="minorEastAsia"/>
                      <w:i w:val="0"/>
                      <w:iCs w:val="0"/>
                      <w:caps w:val="0"/>
                      <w:color w:val="0f1115"/>
                      <w:spacing w:val="0"/>
                      <w:sz w:val="24"/>
                      <w:szCs w:val="24"/>
                      <w:lang w:val="en-US" w:eastAsia="zh-CN" w:bidi="ar"/>
                    </w:rPr>
                    <w:br/>
                  </w:r>
                  <w:r>
                    <w:rPr>
                      <w:rFonts w:hint="eastAsia" w:asciiTheme="minorEastAsia" w:hAnsiTheme="minorEastAsia" w:eastAsiaTheme="minorEastAsia" w:cstheme="minorEastAsia"/>
                      <w:i w:val="0"/>
                      <w:iCs w:val="0"/>
                      <w:caps w:val="0"/>
                      <w:color w:val="0f1115"/>
                      <w:spacing w:val="0"/>
                      <w:sz w:val="24"/>
                      <w:szCs w:val="24"/>
                      <w:lang w:val="en-US" w:eastAsia="zh-CN" w:bidi="ar"/>
                    </w:rPr>
                    <w:t xml:space="preserve">④ 设施缺陷、异常、管道堵塞、井盖破损发现后未及时上报，每处扣</w:t>
                  </w:r>
                  <w:r>
                    <w:rPr>
                      <w:rFonts w:hint="eastAsia" w:asciiTheme="minorEastAsia" w:hAnsiTheme="minorEastAsia" w:eastAsiaTheme="minorEastAsia" w:cstheme="minorEastAsia"/>
                      <w:b/>
                      <w:bCs/>
                      <w:i w:val="0"/>
                      <w:iCs w:val="0"/>
                      <w:caps w:val="0"/>
                      <w:color w:val="0f1115"/>
                      <w:spacing w:val="0"/>
                      <w:sz w:val="24"/>
                      <w:szCs w:val="24"/>
                      <w:lang w:val="en-US" w:eastAsia="zh-CN" w:bidi="ar"/>
                    </w:rPr>
                    <w:t xml:space="preserve">2分</w:t>
                  </w:r>
                  <w:r>
                    <w:rPr>
                      <w:rFonts w:hint="eastAsia" w:asciiTheme="minorEastAsia" w:hAnsiTheme="minorEastAsia" w:eastAsiaTheme="minorEastAsia" w:cstheme="minorEastAsia"/>
                      <w:i w:val="0"/>
                      <w:iCs w:val="0"/>
                      <w:caps w:val="0"/>
                      <w:color w:val="0f1115"/>
                      <w:spacing w:val="0"/>
                      <w:sz w:val="24"/>
                      <w:szCs w:val="24"/>
                      <w:lang w:val="en-US" w:eastAsia="zh-CN" w:bidi="ar"/>
                    </w:rPr>
                    <w:t xml:space="preserve">。</w:t>
                  </w:r>
                  <w:r>
                    <w:rPr>
                      <w:rFonts w:hint="eastAsia" w:asciiTheme="minorEastAsia" w:hAnsiTheme="minorEastAsia" w:eastAsiaTheme="minorEastAsia" w:cstheme="minorEastAsia"/>
                      <w:i w:val="0"/>
                      <w:iCs w:val="0"/>
                      <w:caps w:val="0"/>
                      <w:color w:val="0f1115"/>
                      <w:spacing w:val="0"/>
                      <w:sz w:val="24"/>
                      <w:szCs w:val="24"/>
                      <w:lang w:val="en-US" w:eastAsia="zh-CN" w:bidi="ar"/>
                    </w:rPr>
                    <w:br/>
                  </w:r>
                  <w:r>
                    <w:rPr>
                      <w:rFonts w:hint="eastAsia" w:asciiTheme="minorEastAsia" w:hAnsiTheme="minorEastAsia" w:eastAsiaTheme="minorEastAsia" w:cstheme="minorEastAsia"/>
                      <w:b/>
                      <w:bCs/>
                      <w:i w:val="0"/>
                      <w:iCs w:val="0"/>
                      <w:caps w:val="0"/>
                      <w:color w:val="0f1115"/>
                      <w:spacing w:val="0"/>
                      <w:sz w:val="24"/>
                      <w:szCs w:val="24"/>
                      <w:lang w:val="en-US" w:eastAsia="zh-CN" w:bidi="ar"/>
                    </w:rPr>
                    <w:t xml:space="preserve">本项扣完为止</w:t>
                  </w:r>
                  <w:r/>
                </w:p>
              </w:tc>
            </w:tr>
          </w:tbl>
          <w:p>
            <w:pPr>
              <w:numPr>
                <w:ilvl w:val="0"/>
                <w:numId w:val="0"/>
              </w:num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3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w:t>
            </w:r>
            <w:r/>
          </w:p>
        </w:tc>
        <w:tc>
          <w:tcPr>
            <w:tcW w:w="872" w:type="dxa"/>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448"/>
        </w:trPr>
        <w:tc>
          <w:tcPr>
            <w:tcW w:w="60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17" w:type="dxa"/>
            <w:vAlign w:val="center"/>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污水</w:t>
            </w:r>
            <w:r>
              <w:rPr>
                <w:rFonts w:hint="eastAsia" w:asciiTheme="minorEastAsia" w:hAnsiTheme="minorEastAsia" w:eastAsiaTheme="minorEastAsia" w:cstheme="minorEastAsia"/>
                <w:sz w:val="24"/>
                <w:szCs w:val="24"/>
              </w:rPr>
              <w:t xml:space="preserve">泵站设施维护</w:t>
            </w:r>
            <w:r/>
          </w:p>
        </w:tc>
        <w:tc>
          <w:tcPr>
            <w:tcW w:w="4694" w:type="dxa"/>
            <w:textDirection w:val="lrTb"/>
            <w:noWrap/>
          </w:tcPr>
          <w:p>
            <w:pPr>
              <w:numPr>
                <w:ilvl w:val="0"/>
                <w:numId w:val="0"/>
              </w:num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① 泵机、格栅、闸阀、电气柜、备用电源定期保养检修，未开展定期检修每座泵站扣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3分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，无检修记录每座扣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② 围墙及围栏清洁完整，无明显破损、乱</w:t>
            </w:r>
            <w:r>
              <w:rPr>
                <w:rFonts w:hint="eastAsia" w:asciiTheme="minorEastAsia" w:hAnsiTheme="minorEastAsia" w:eastAsiaTheme="minorEastAsia" w:cstheme="minorEastAsia"/>
                <w:i w:val="0"/>
                <w:iCs w:val="0"/>
                <w:caps w:val="0"/>
                <w:color w:val="0f1115"/>
                <w:spacing w:val="0"/>
                <w:sz w:val="24"/>
                <w:szCs w:val="24"/>
                <w:shd w:val="clear" w:color="auto" w:fill="ffffff"/>
                <w:lang w:val="en-US" w:eastAsia="zh-CN"/>
              </w:rPr>
              <w:t xml:space="preserve">涂</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乱画，铸铁围栏及时除锈保养，人为损坏及时修复，每处缺陷扣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③ 泵站房屋建筑每季度检查，屋面、墙体、门窗损坏未及时处置每处扣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④ 构筑物裂缝、渗漏、松动未及时处置每处扣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，每年清理井内沉淤，未按期清淤每座扣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3分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⑤ 泵站液位、报警装置定期校验，故障未及时处置每处扣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本项扣完为止。</w:t>
            </w:r>
            <w:r/>
          </w:p>
        </w:tc>
        <w:tc>
          <w:tcPr>
            <w:tcW w:w="153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12</w:t>
            </w:r>
            <w:r>
              <w:rPr>
                <w:rFonts w:hint="eastAsia" w:asciiTheme="minorEastAsia" w:hAnsiTheme="minorEastAsia" w:eastAsiaTheme="minorEastAsia" w:cstheme="minorEastAsia"/>
                <w:sz w:val="24"/>
                <w:szCs w:val="24"/>
              </w:rPr>
              <w:t xml:space="preserve">分</w:t>
            </w:r>
            <w:r/>
          </w:p>
        </w:tc>
        <w:tc>
          <w:tcPr>
            <w:tcW w:w="872" w:type="dxa"/>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1235"/>
        </w:trPr>
        <w:tc>
          <w:tcPr>
            <w:tcW w:w="600" w:type="dxa"/>
            <w:vAlign w:val="center"/>
            <w:vMerge w:val="continue"/>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1917" w:type="dxa"/>
            <w:vAlign w:val="center"/>
            <w:textDirection w:val="lrTb"/>
            <w:noWrap/>
          </w:tcPr>
          <w:p>
            <w:pPr>
              <w:contextualSpacing/>
              <w:spacing w:line="360" w:lineRule="exact"/>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污水处理设施</w:t>
            </w:r>
            <w:r>
              <w:rPr>
                <w:rFonts w:hint="eastAsia" w:asciiTheme="minorEastAsia" w:hAnsiTheme="minorEastAsia" w:eastAsiaTheme="minorEastAsia" w:cstheme="minorEastAsia"/>
                <w:sz w:val="24"/>
                <w:szCs w:val="24"/>
              </w:rPr>
              <w:t xml:space="preserve">日常维护保养</w:t>
            </w:r>
            <w:r/>
          </w:p>
        </w:tc>
        <w:tc>
          <w:tcPr>
            <w:shd w:val="clear" w:color="auto" w:fill="auto"/>
            <w:tcW w:w="4694" w:type="dxa"/>
            <w:vAlign w:val="top"/>
            <w:textDirection w:val="lrTb"/>
            <w:noWrap/>
          </w:tcPr>
          <w:p>
            <w:pPr>
              <w:numPr>
                <w:ilvl w:val="0"/>
                <w:numId w:val="0"/>
              </w:numPr>
              <w:contextualSpacing/>
              <w:ind w:left="0" w:firstLine="0"/>
              <w:spacing w:line="360" w:lineRule="exact"/>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① 未按要求开展定期检修保养每处扣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，无检修保养记录每处扣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② 机电设备、池体、管网、检查井存在一般缺陷无处置措施每处扣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，较大缺陷未处置每处扣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③ 格栅、填料、回流系统、曝气系统故障未及时维修每处扣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④ 污泥未规范处置、栅渣乱堆放每处扣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3分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⑤ 未按合同频次清掏隔油池、化粪池、无动力设施，每个站点扣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5分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本项扣完为止。</w:t>
            </w:r>
            <w:r/>
          </w:p>
        </w:tc>
        <w:tc>
          <w:tcPr>
            <w:shd w:val="clear" w:color="auto" w:fill="auto"/>
            <w:tcW w:w="153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w:t>
            </w:r>
            <w:r/>
          </w:p>
        </w:tc>
        <w:tc>
          <w:tcPr>
            <w:shd w:val="clear" w:color="auto" w:fill="auto"/>
            <w:tcW w:w="872" w:type="dxa"/>
            <w:vAlign w:val="top"/>
            <w:textDirection w:val="lrTb"/>
            <w:noWrap/>
          </w:tcPr>
          <w:p>
            <w:pPr>
              <w:contextualSpacing/>
              <w:spacing w:line="360" w:lineRule="exact"/>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r>
            <w:r/>
          </w:p>
        </w:tc>
      </w:tr>
      <w:tr>
        <w:trPr>
          <w:trHeight w:val="381"/>
        </w:trPr>
        <w:tc>
          <w:tcPr>
            <w:tcW w:w="60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17" w:type="dxa"/>
            <w:vAlign w:val="center"/>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管网、附属构筑物巡查</w:t>
            </w:r>
            <w:r/>
          </w:p>
        </w:tc>
        <w:tc>
          <w:tcPr>
            <w:tcW w:w="4694" w:type="dxa"/>
            <w:textDirection w:val="lrTb"/>
            <w:noWrap/>
          </w:tcPr>
          <w:tbl>
            <w:tblPr>
              <w:tblStyle w:val="725"/>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8640"/>
            </w:tblGrid>
            <w:tr>
              <w:trPr/>
              <w:tc>
                <w:tcPr>
                  <w:shd w:val="clear" w:color="auto" w:fill="ffffff"/>
                  <w:tcMar>
                    <w:left w:w="240" w:type="dxa"/>
                    <w:top w:w="150" w:type="dxa"/>
                    <w:right w:w="240" w:type="dxa"/>
                    <w:bottom w:w="150" w:type="dxa"/>
                  </w:tcMar>
                  <w:tcW w:w="8640" w:type="dxa"/>
                  <w:vAlign w:val="center"/>
                  <w:textDirection w:val="lrTb"/>
                  <w:noWrap w:val="false"/>
                </w:tcPr>
                <w:p>
                  <w:pPr>
                    <w:ind w:right="4158"/>
                    <w:jc w:val="left"/>
                    <w:keepLines w:val="0"/>
                    <w:keepNext w:val="0"/>
                    <w:spacing w:line="375" w:lineRule="atLeast"/>
                    <w:widowControl/>
                    <w:rPr>
                      <w:rFonts w:hint="eastAsia" w:asciiTheme="minorEastAsia" w:hAnsiTheme="minorEastAsia" w:eastAsiaTheme="minorEastAsia" w:cstheme="minorEastAsia"/>
                      <w:i w:val="0"/>
                      <w:iCs w:val="0"/>
                      <w:caps w:val="0"/>
                      <w:color w:val="0f1115"/>
                      <w:spacing w:val="0"/>
                      <w:sz w:val="24"/>
                      <w:szCs w:val="24"/>
                    </w:rPr>
                    <w:suppressLineNumbers w:val="0"/>
                  </w:pPr>
                  <w:r>
                    <w:rPr>
                      <w:rFonts w:hint="eastAsia" w:asciiTheme="minorEastAsia" w:hAnsiTheme="minorEastAsia" w:eastAsiaTheme="minorEastAsia" w:cstheme="minorEastAsia"/>
                      <w:i w:val="0"/>
                      <w:iCs w:val="0"/>
                      <w:caps w:val="0"/>
                      <w:color w:val="0f1115"/>
                      <w:spacing w:val="0"/>
                      <w:sz w:val="24"/>
                      <w:szCs w:val="24"/>
                      <w:lang w:val="en-US" w:eastAsia="zh-CN" w:bidi="ar"/>
                    </w:rPr>
                    <w:t xml:space="preserve">① 配套污水管网、窨井、井盖每周开展巡检并记录，未按时巡查每次扣</w:t>
                  </w:r>
                  <w:r>
                    <w:rPr>
                      <w:rFonts w:hint="eastAsia" w:asciiTheme="minorEastAsia" w:hAnsiTheme="minorEastAsia" w:eastAsiaTheme="minorEastAsia" w:cstheme="minorEastAsia"/>
                      <w:b/>
                      <w:bCs/>
                      <w:i w:val="0"/>
                      <w:iCs w:val="0"/>
                      <w:caps w:val="0"/>
                      <w:color w:val="0f1115"/>
                      <w:spacing w:val="0"/>
                      <w:sz w:val="24"/>
                      <w:szCs w:val="24"/>
                      <w:lang w:val="en-US" w:eastAsia="zh-CN" w:bidi="ar"/>
                    </w:rPr>
                    <w:t xml:space="preserve">2分</w:t>
                  </w:r>
                  <w:r>
                    <w:rPr>
                      <w:rFonts w:hint="eastAsia" w:asciiTheme="minorEastAsia" w:hAnsiTheme="minorEastAsia" w:eastAsiaTheme="minorEastAsia" w:cstheme="minorEastAsia"/>
                      <w:i w:val="0"/>
                      <w:iCs w:val="0"/>
                      <w:caps w:val="0"/>
                      <w:color w:val="0f1115"/>
                      <w:spacing w:val="0"/>
                      <w:sz w:val="24"/>
                      <w:szCs w:val="24"/>
                      <w:lang w:val="en-US" w:eastAsia="zh-CN" w:bidi="ar"/>
                    </w:rPr>
                    <w:t xml:space="preserve">；井盖丢失、管网破损、渗漏、塌陷未及时上报处置每处扣</w:t>
                  </w:r>
                  <w:r>
                    <w:rPr>
                      <w:rFonts w:hint="eastAsia" w:asciiTheme="minorEastAsia" w:hAnsiTheme="minorEastAsia" w:eastAsiaTheme="minorEastAsia" w:cstheme="minorEastAsia"/>
                      <w:b/>
                      <w:bCs/>
                      <w:i w:val="0"/>
                      <w:iCs w:val="0"/>
                      <w:caps w:val="0"/>
                      <w:color w:val="0f1115"/>
                      <w:spacing w:val="0"/>
                      <w:sz w:val="24"/>
                      <w:szCs w:val="24"/>
                      <w:lang w:val="en-US" w:eastAsia="zh-CN" w:bidi="ar"/>
                    </w:rPr>
                    <w:t xml:space="preserve">2分</w:t>
                  </w:r>
                  <w:r>
                    <w:rPr>
                      <w:rFonts w:hint="eastAsia" w:asciiTheme="minorEastAsia" w:hAnsiTheme="minorEastAsia" w:eastAsiaTheme="minorEastAsia" w:cstheme="minorEastAsia"/>
                      <w:i w:val="0"/>
                      <w:iCs w:val="0"/>
                      <w:caps w:val="0"/>
                      <w:color w:val="0f1115"/>
                      <w:spacing w:val="0"/>
                      <w:sz w:val="24"/>
                      <w:szCs w:val="24"/>
                      <w:lang w:val="en-US" w:eastAsia="zh-CN" w:bidi="ar"/>
                    </w:rPr>
                    <w:t xml:space="preserve">；</w:t>
                  </w:r>
                  <w:r>
                    <w:rPr>
                      <w:rFonts w:hint="eastAsia" w:asciiTheme="minorEastAsia" w:hAnsiTheme="minorEastAsia" w:eastAsiaTheme="minorEastAsia" w:cstheme="minorEastAsia"/>
                      <w:i w:val="0"/>
                      <w:iCs w:val="0"/>
                      <w:caps w:val="0"/>
                      <w:color w:val="0f1115"/>
                      <w:spacing w:val="0"/>
                      <w:sz w:val="24"/>
                      <w:szCs w:val="24"/>
                      <w:lang w:val="en-US" w:eastAsia="zh-CN" w:bidi="ar"/>
                    </w:rPr>
                    <w:br/>
                  </w:r>
                  <w:r>
                    <w:rPr>
                      <w:rFonts w:hint="eastAsia" w:asciiTheme="minorEastAsia" w:hAnsiTheme="minorEastAsia" w:eastAsiaTheme="minorEastAsia" w:cstheme="minorEastAsia"/>
                      <w:i w:val="0"/>
                      <w:iCs w:val="0"/>
                      <w:caps w:val="0"/>
                      <w:color w:val="0f1115"/>
                      <w:spacing w:val="0"/>
                      <w:sz w:val="24"/>
                      <w:szCs w:val="24"/>
                      <w:lang w:val="en-US" w:eastAsia="zh-CN" w:bidi="ar"/>
                    </w:rPr>
                    <w:t xml:space="preserve">② 污水处理池体、提升泵站构筑物按时巡检，隐患未及时上报每处扣</w:t>
                  </w:r>
                  <w:r>
                    <w:rPr>
                      <w:rFonts w:hint="eastAsia" w:asciiTheme="minorEastAsia" w:hAnsiTheme="minorEastAsia" w:eastAsiaTheme="minorEastAsia" w:cstheme="minorEastAsia"/>
                      <w:b/>
                      <w:bCs/>
                      <w:i w:val="0"/>
                      <w:iCs w:val="0"/>
                      <w:caps w:val="0"/>
                      <w:color w:val="0f1115"/>
                      <w:spacing w:val="0"/>
                      <w:sz w:val="24"/>
                      <w:szCs w:val="24"/>
                      <w:lang w:val="en-US" w:eastAsia="zh-CN" w:bidi="ar"/>
                    </w:rPr>
                    <w:t xml:space="preserve">2分</w:t>
                  </w:r>
                  <w:r>
                    <w:rPr>
                      <w:rFonts w:hint="eastAsia" w:asciiTheme="minorEastAsia" w:hAnsiTheme="minorEastAsia" w:eastAsiaTheme="minorEastAsia" w:cstheme="minorEastAsia"/>
                      <w:i w:val="0"/>
                      <w:iCs w:val="0"/>
                      <w:caps w:val="0"/>
                      <w:color w:val="0f1115"/>
                      <w:spacing w:val="0"/>
                      <w:sz w:val="24"/>
                      <w:szCs w:val="24"/>
                      <w:lang w:val="en-US" w:eastAsia="zh-CN" w:bidi="ar"/>
                    </w:rPr>
                    <w:t xml:space="preserve">。</w:t>
                  </w:r>
                  <w:r>
                    <w:rPr>
                      <w:rFonts w:hint="eastAsia" w:asciiTheme="minorEastAsia" w:hAnsiTheme="minorEastAsia" w:eastAsiaTheme="minorEastAsia" w:cstheme="minorEastAsia"/>
                      <w:i w:val="0"/>
                      <w:iCs w:val="0"/>
                      <w:caps w:val="0"/>
                      <w:color w:val="0f1115"/>
                      <w:spacing w:val="0"/>
                      <w:sz w:val="24"/>
                      <w:szCs w:val="24"/>
                      <w:lang w:val="en-US" w:eastAsia="zh-CN" w:bidi="ar"/>
                    </w:rPr>
                    <w:br/>
                  </w:r>
                  <w:r>
                    <w:rPr>
                      <w:rFonts w:hint="eastAsia" w:asciiTheme="minorEastAsia" w:hAnsiTheme="minorEastAsia" w:eastAsiaTheme="minorEastAsia" w:cstheme="minorEastAsia"/>
                      <w:b/>
                      <w:bCs/>
                      <w:i w:val="0"/>
                      <w:iCs w:val="0"/>
                      <w:caps w:val="0"/>
                      <w:color w:val="0f1115"/>
                      <w:spacing w:val="0"/>
                      <w:sz w:val="24"/>
                      <w:szCs w:val="24"/>
                      <w:lang w:val="en-US" w:eastAsia="zh-CN" w:bidi="ar"/>
                    </w:rPr>
                    <w:t xml:space="preserve">本项扣完为止。</w:t>
                  </w:r>
                  <w:r/>
                </w:p>
              </w:tc>
            </w:tr>
          </w:tbl>
          <w:p>
            <w:pPr>
              <w:numPr>
                <w:ilvl w:val="0"/>
                <w:numId w:val="0"/>
              </w:num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3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分</w:t>
            </w:r>
            <w:r/>
          </w:p>
        </w:tc>
        <w:tc>
          <w:tcPr>
            <w:tcW w:w="872" w:type="dxa"/>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2875"/>
        </w:trPr>
        <w:tc>
          <w:tcPr>
            <w:tcW w:w="600"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w:t>
            </w:r>
            <w:r/>
          </w:p>
        </w:tc>
        <w:tc>
          <w:tcPr>
            <w:tcW w:w="1080"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安全</w:t>
            </w:r>
            <w:r>
              <w:rPr>
                <w:rFonts w:hint="eastAsia" w:asciiTheme="minorEastAsia" w:hAnsiTheme="minorEastAsia" w:eastAsiaTheme="minorEastAsia" w:cstheme="minorEastAsia"/>
                <w:sz w:val="24"/>
                <w:szCs w:val="24"/>
                <w:lang w:val="en-US" w:eastAsia="zh-CN"/>
              </w:rPr>
              <w:t xml:space="preserve">管理</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 分）</w:t>
            </w:r>
            <w:r/>
          </w:p>
        </w:tc>
        <w:tc>
          <w:tcPr>
            <w:tcW w:w="1917" w:type="dxa"/>
            <w:vAlign w:val="center"/>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安全</w:t>
            </w:r>
            <w:r>
              <w:rPr>
                <w:rFonts w:hint="eastAsia" w:asciiTheme="minorEastAsia" w:hAnsiTheme="minorEastAsia" w:eastAsiaTheme="minorEastAsia" w:cstheme="minorEastAsia"/>
                <w:sz w:val="24"/>
                <w:szCs w:val="24"/>
                <w:lang w:val="en-US" w:eastAsia="zh-CN"/>
              </w:rPr>
              <w:t xml:space="preserve">管理</w:t>
            </w:r>
            <w:r>
              <w:rPr>
                <w:rFonts w:hint="eastAsia" w:asciiTheme="minorEastAsia" w:hAnsiTheme="minorEastAsia" w:eastAsiaTheme="minorEastAsia" w:cstheme="minorEastAsia"/>
                <w:sz w:val="24"/>
                <w:szCs w:val="24"/>
              </w:rPr>
              <w:t xml:space="preserve">考核</w:t>
            </w:r>
            <w:r/>
          </w:p>
        </w:tc>
        <w:tc>
          <w:tcPr>
            <w:tcW w:w="4694" w:type="dxa"/>
            <w:textDirection w:val="lrTb"/>
            <w:noWrap/>
          </w:tcPr>
          <w:p>
            <w:pPr>
              <w:numPr>
                <w:ilvl w:val="0"/>
                <w:numId w:val="0"/>
              </w:num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① 发生轻微设备事故或一般安全事件扣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3分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重大责任事故一票否决，当月计0分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② 每季度开展运维人员安全教育培训，无培训档案扣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③ 险情、故障预警未及时处置每次扣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④ 有限空间作业未执行作业票、通风检测流程，每发现一次扣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5分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⑤ 安全防护、应急救援器材缺失失效每次扣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⑥ 全部运维人员足额缴纳工伤保险，每1人未参保扣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本项扣完为止。</w:t>
            </w:r>
            <w:r/>
          </w:p>
        </w:tc>
        <w:tc>
          <w:tcPr>
            <w:tcW w:w="153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9分</w:t>
            </w:r>
            <w:r/>
          </w:p>
        </w:tc>
        <w:tc>
          <w:tcPr>
            <w:tcW w:w="872" w:type="dxa"/>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90"/>
        </w:trPr>
        <w:tc>
          <w:tcPr>
            <w:tcW w:w="600"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w:t>
            </w:r>
            <w:r/>
          </w:p>
        </w:tc>
        <w:tc>
          <w:tcPr>
            <w:tcW w:w="1080" w:type="dxa"/>
            <w:vAlign w:val="center"/>
            <w:textDirection w:val="lrTb"/>
            <w:noWrap/>
          </w:tcPr>
          <w:p>
            <w:pPr>
              <w:contextualSpacing/>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水质管控（</w:t>
            </w:r>
            <w:r>
              <w:rPr>
                <w:rFonts w:hint="eastAsia" w:asciiTheme="minorEastAsia" w:hAnsiTheme="minorEastAsia" w:eastAsiaTheme="minorEastAsia" w:cstheme="minorEastAsia"/>
                <w:b/>
                <w:bCs/>
                <w:i w:val="0"/>
                <w:iCs w:val="0"/>
                <w:caps w:val="0"/>
                <w:color w:val="0f1115"/>
                <w:spacing w:val="0"/>
                <w:sz w:val="24"/>
                <w:szCs w:val="24"/>
                <w:shd w:val="clear" w:color="auto" w:fill="ffffff"/>
                <w:lang w:val="en-US" w:eastAsia="zh-CN"/>
              </w:rPr>
              <w:t xml:space="preserve">8</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分）</w:t>
            </w:r>
            <w:r/>
          </w:p>
        </w:tc>
        <w:tc>
          <w:tcPr>
            <w:tcW w:w="1917" w:type="dxa"/>
            <w:vAlign w:val="center"/>
            <w:textDirection w:val="lrTb"/>
            <w:noWrap/>
          </w:tcPr>
          <w:p>
            <w:pPr>
              <w:contextualSpacing/>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水质达标与检测</w:t>
            </w:r>
            <w:r/>
          </w:p>
        </w:tc>
        <w:tc>
          <w:tcPr>
            <w:tcW w:w="4694" w:type="dxa"/>
            <w:textDirection w:val="lrTb"/>
            <w:noWrap/>
          </w:tcPr>
          <w:p>
            <w:pPr>
              <w:contextualSpacing/>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① 出水水质满足标准，每发现一个站点不达标扣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5分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同一站点连续两个月不达标，该站点当月水质项得0分，且甲方有权对该站点单独追责</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② 20T及以上站点每季度出具CMA认证（八项指标）检测报告，20T以下（无动力除外）每年抽检≥20%出具CMA认证（八项指标）检测报告，每缺1份扣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3分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，报告内容不全或资质不符扣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③ 水质超标后2小时内查明原因、12小时内排除问题，未在规定时限内完成每次扣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3分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；未保留水样不少于2天扣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本项扣完为止。</w:t>
            </w:r>
            <w:r/>
          </w:p>
        </w:tc>
        <w:tc>
          <w:tcPr>
            <w:tcW w:w="153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8分</w:t>
            </w:r>
            <w:r/>
          </w:p>
        </w:tc>
        <w:tc>
          <w:tcPr>
            <w:tcW w:w="872" w:type="dxa"/>
            <w:textDirection w:val="lrTb"/>
            <w:noWrap/>
          </w:tcPr>
          <w:p>
            <w:pPr>
              <w:contextualSpacing/>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tc>
      </w:tr>
      <w:tr>
        <w:trPr/>
        <w:tc>
          <w:tcPr>
            <w:tcW w:w="600"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p>
        </w:tc>
        <w:tc>
          <w:tcPr>
            <w:shd w:val="clear" w:color="auto" w:fill="auto"/>
            <w:tcW w:w="1080"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节能降耗（3 分）</w:t>
            </w:r>
            <w:r/>
          </w:p>
        </w:tc>
        <w:tc>
          <w:tcPr>
            <w:shd w:val="clear" w:color="auto" w:fill="auto"/>
            <w:tcW w:w="1917" w:type="dxa"/>
            <w:vAlign w:val="center"/>
            <w:textDirection w:val="lrTb"/>
            <w:noWrap/>
          </w:tcPr>
          <w:p>
            <w:pPr>
              <w:contextualSpacing/>
              <w:spacing w:line="360" w:lineRule="exact"/>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节电、节水管理</w:t>
            </w:r>
            <w:r/>
          </w:p>
        </w:tc>
        <w:tc>
          <w:tcPr>
            <w:shd w:val="clear" w:color="auto" w:fill="auto"/>
            <w:tcW w:w="4694" w:type="dxa"/>
            <w:vAlign w:val="center"/>
            <w:textDirection w:val="lrTb"/>
            <w:noWrap/>
          </w:tcPr>
          <w:p>
            <w:pPr>
              <w:numPr>
                <w:ilvl w:val="0"/>
                <w:numId w:val="0"/>
              </w:numPr>
              <w:contextualSpacing/>
              <w:ind w:left="0" w:firstLine="0"/>
              <w:spacing w:line="360" w:lineRule="exact"/>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① 合理调度泵站、污水处理设施机组运行，杜绝设备无故空转，每处扣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② 规范办公、站点用电，无私接乱拉、无谓耗电现象，发现违规用电扣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③ 树立节水意识，不得使用自来水直接冲洗设备、场地，发现一次扣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本项扣完为止。</w:t>
            </w:r>
            <w:r/>
          </w:p>
        </w:tc>
        <w:tc>
          <w:tcPr>
            <w:shd w:val="clear" w:color="auto" w:fill="auto"/>
            <w:tcW w:w="153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tc>
        <w:tc>
          <w:tcPr>
            <w:tcW w:w="872" w:type="dxa"/>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600"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7</w:t>
            </w:r>
            <w:r/>
          </w:p>
        </w:tc>
        <w:tc>
          <w:tcPr>
            <w:tcW w:w="1080"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站点现场管养、文明保洁绿化（1</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 分）</w:t>
            </w:r>
            <w:r/>
          </w:p>
        </w:tc>
        <w:tc>
          <w:tcPr>
            <w:tcW w:w="1917" w:type="dxa"/>
            <w:vAlign w:val="center"/>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污水处理站点、泵站现场管养保洁绿化</w:t>
            </w:r>
            <w:r/>
          </w:p>
        </w:tc>
        <w:tc>
          <w:tcPr>
            <w:tcW w:w="4694" w:type="dxa"/>
            <w:textDirection w:val="lrTb"/>
            <w:noWrap/>
          </w:tcPr>
          <w:p>
            <w:pPr>
              <w:numPr>
                <w:ilvl w:val="0"/>
                <w:numId w:val="0"/>
              </w:num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① 设施及泵站范围内杂草及时清理，杂草丛生每处扣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② 绿化枯死苗木及时补种，未补种每处扣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；病虫害未处置每处扣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1分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③ 围栏、公示标牌损坏缺失未及时修复每处扣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④ 站点、泵站现场垃圾、漂浮物、栅渣清理不及时，保洁不到位每处扣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3分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⑤ 泵站设备房脏乱、乱堆杂物每处扣</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2分</w:t>
            </w: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i w:val="0"/>
                <w:iCs w:val="0"/>
                <w:caps w:val="0"/>
                <w:color w:val="0f1115"/>
                <w:spacing w:val="0"/>
                <w:sz w:val="24"/>
                <w:szCs w:val="24"/>
                <w:shd w:val="clear" w:color="auto" w:fill="ffffff"/>
              </w:rPr>
              <w:br/>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本项扣完为止。</w:t>
            </w:r>
            <w:r/>
          </w:p>
        </w:tc>
        <w:tc>
          <w:tcPr>
            <w:tcW w:w="1534"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11</w:t>
            </w:r>
            <w:r>
              <w:rPr>
                <w:rFonts w:hint="eastAsia" w:asciiTheme="minorEastAsia" w:hAnsiTheme="minorEastAsia" w:eastAsiaTheme="minorEastAsia" w:cstheme="minorEastAsia"/>
                <w:sz w:val="24"/>
                <w:szCs w:val="24"/>
              </w:rPr>
              <w:t xml:space="preserve">分</w:t>
            </w:r>
            <w:r/>
          </w:p>
        </w:tc>
        <w:tc>
          <w:tcPr>
            <w:tcW w:w="872" w:type="dxa"/>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600" w:type="dxa"/>
            <w:vAlign w:val="center"/>
            <w:vMerge w:val="restart"/>
            <w:textDirection w:val="lrTb"/>
            <w:noWrap/>
          </w:tcPr>
          <w:p>
            <w:pPr>
              <w:contextualSpacing/>
              <w:jc w:val="center"/>
              <w:spacing w:line="3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8</w:t>
            </w:r>
            <w:r/>
          </w:p>
        </w:tc>
        <w:tc>
          <w:tcPr>
            <w:tcW w:w="1080" w:type="dxa"/>
            <w:vAlign w:val="center"/>
            <w:vMerge w:val="restart"/>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直接扣款项目（涉及扣分的同时扣分）</w:t>
            </w:r>
            <w:r/>
          </w:p>
        </w:tc>
        <w:tc>
          <w:tcPr>
            <w:gridSpan w:val="2"/>
            <w:tcW w:w="6611" w:type="dxa"/>
            <w:vAlign w:val="center"/>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不服从委托人调度的</w:t>
            </w:r>
            <w:r/>
          </w:p>
        </w:tc>
        <w:tc>
          <w:tcPr>
            <w:gridSpan w:val="2"/>
            <w:tcW w:w="2406"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一次扣200-1000元</w:t>
            </w:r>
            <w:r/>
          </w:p>
        </w:tc>
      </w:tr>
      <w:tr>
        <w:trPr/>
        <w:tc>
          <w:tcPr>
            <w:tcW w:w="60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2"/>
            <w:tcW w:w="6611" w:type="dxa"/>
            <w:vAlign w:val="center"/>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班前、班中喝酒的</w:t>
            </w:r>
            <w:r/>
          </w:p>
        </w:tc>
        <w:tc>
          <w:tcPr>
            <w:gridSpan w:val="2"/>
            <w:tcW w:w="2406"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一次扣200-500元</w:t>
            </w:r>
            <w:r/>
          </w:p>
        </w:tc>
      </w:tr>
      <w:tr>
        <w:trPr/>
        <w:tc>
          <w:tcPr>
            <w:tcW w:w="60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2"/>
            <w:tcW w:w="6611" w:type="dxa"/>
            <w:vAlign w:val="center"/>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上班人员通讯不畅的</w:t>
            </w:r>
            <w:r/>
          </w:p>
        </w:tc>
        <w:tc>
          <w:tcPr>
            <w:gridSpan w:val="2"/>
            <w:tcW w:w="2406"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一次扣50-100元</w:t>
            </w:r>
            <w:r/>
          </w:p>
        </w:tc>
      </w:tr>
      <w:tr>
        <w:trPr/>
        <w:tc>
          <w:tcPr>
            <w:tcW w:w="60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2"/>
            <w:tcW w:w="6611" w:type="dxa"/>
            <w:vAlign w:val="center"/>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上班人员争吵、打架斗殴的</w:t>
            </w:r>
            <w:r/>
          </w:p>
        </w:tc>
        <w:tc>
          <w:tcPr>
            <w:gridSpan w:val="2"/>
            <w:tcW w:w="2406"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一次扣100-500元</w:t>
            </w:r>
            <w:r/>
          </w:p>
        </w:tc>
      </w:tr>
      <w:tr>
        <w:trPr/>
        <w:tc>
          <w:tcPr>
            <w:tcW w:w="60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2"/>
            <w:tcW w:w="6611" w:type="dxa"/>
            <w:vAlign w:val="center"/>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作业现场</w:t>
            </w:r>
            <w:r>
              <w:rPr>
                <w:rFonts w:hint="eastAsia" w:asciiTheme="minorEastAsia" w:hAnsiTheme="minorEastAsia" w:eastAsiaTheme="minorEastAsia" w:cstheme="minorEastAsia"/>
                <w:sz w:val="24"/>
                <w:szCs w:val="24"/>
              </w:rPr>
              <w:t xml:space="preserve">卫生脏、乱、差的</w:t>
            </w:r>
            <w:r/>
          </w:p>
        </w:tc>
        <w:tc>
          <w:tcPr>
            <w:gridSpan w:val="2"/>
            <w:tcW w:w="2406"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一次扣50-100元</w:t>
            </w:r>
            <w:r/>
          </w:p>
        </w:tc>
      </w:tr>
      <w:tr>
        <w:trPr/>
        <w:tc>
          <w:tcPr>
            <w:tcW w:w="60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2"/>
            <w:tcW w:w="6611" w:type="dxa"/>
            <w:vAlign w:val="center"/>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没有按时准确</w:t>
            </w:r>
            <w:r>
              <w:rPr>
                <w:rFonts w:hint="eastAsia" w:asciiTheme="minorEastAsia" w:hAnsiTheme="minorEastAsia" w:eastAsiaTheme="minorEastAsia" w:cstheme="minorEastAsia"/>
                <w:sz w:val="24"/>
                <w:szCs w:val="24"/>
                <w:lang w:val="en-US" w:eastAsia="zh-CN"/>
              </w:rPr>
              <w:t xml:space="preserve">记录设施及配套</w:t>
            </w:r>
            <w:r>
              <w:rPr>
                <w:rFonts w:hint="eastAsia" w:asciiTheme="minorEastAsia" w:hAnsiTheme="minorEastAsia" w:eastAsiaTheme="minorEastAsia" w:cstheme="minorEastAsia"/>
                <w:sz w:val="24"/>
                <w:szCs w:val="24"/>
              </w:rPr>
              <w:t xml:space="preserve">管网运行维护日志的</w:t>
            </w:r>
            <w:r/>
          </w:p>
        </w:tc>
        <w:tc>
          <w:tcPr>
            <w:gridSpan w:val="2"/>
            <w:tcW w:w="2406"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一次扣50-100元</w:t>
            </w:r>
            <w:r/>
          </w:p>
        </w:tc>
      </w:tr>
      <w:tr>
        <w:trPr/>
        <w:tc>
          <w:tcPr>
            <w:tcW w:w="60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2"/>
            <w:tcW w:w="6611" w:type="dxa"/>
            <w:vAlign w:val="center"/>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日常维护未按规定配置人员值班的</w:t>
            </w:r>
            <w:r/>
          </w:p>
        </w:tc>
        <w:tc>
          <w:tcPr>
            <w:gridSpan w:val="2"/>
            <w:tcW w:w="2406"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一次扣500-1000元</w:t>
            </w:r>
            <w:r/>
          </w:p>
        </w:tc>
      </w:tr>
      <w:tr>
        <w:trPr/>
        <w:tc>
          <w:tcPr>
            <w:tcW w:w="60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2"/>
            <w:tcW w:w="6611" w:type="dxa"/>
            <w:vAlign w:val="center"/>
            <w:textDirection w:val="lrTb"/>
            <w:noWrap/>
          </w:tcPr>
          <w:p>
            <w:pPr>
              <w:contextualSpacing/>
              <w:spacing w:line="36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被区级以上攻坚办检查通报的</w:t>
            </w:r>
            <w:r/>
          </w:p>
        </w:tc>
        <w:tc>
          <w:tcPr>
            <w:gridSpan w:val="2"/>
            <w:tcW w:w="2406" w:type="dxa"/>
            <w:vAlign w:val="center"/>
            <w:textDirection w:val="lrTb"/>
            <w:noWrap/>
          </w:tcPr>
          <w:p>
            <w:pPr>
              <w:contextualSpacing/>
              <w:jc w:val="center"/>
              <w:spacing w:line="36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一次扣200-500元</w:t>
            </w:r>
            <w:r/>
          </w:p>
        </w:tc>
      </w:tr>
      <w:tr>
        <w:trPr/>
        <w:tc>
          <w:tcPr>
            <w:tcW w:w="60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2"/>
            <w:tcW w:w="6611" w:type="dxa"/>
            <w:vAlign w:val="center"/>
            <w:textDirection w:val="lrTb"/>
            <w:noWrap/>
          </w:tcPr>
          <w:p>
            <w:pPr>
              <w:contextualSpacing/>
              <w:spacing w:line="36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被上级部门检查到设施不正常运行、出水水质不合格、环境不整洁等问题，海门区每处扣5分，南通市级每处扣10分</w:t>
            </w:r>
            <w:r/>
          </w:p>
        </w:tc>
        <w:tc>
          <w:tcPr>
            <w:gridSpan w:val="2"/>
            <w:tcW w:w="2406" w:type="dxa"/>
            <w:vAlign w:val="center"/>
            <w:textDirection w:val="lrTb"/>
            <w:noWrap/>
          </w:tcPr>
          <w:p>
            <w:pPr>
              <w:contextualSpacing/>
              <w:jc w:val="center"/>
              <w:spacing w:line="36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一次扣1000-3000元</w:t>
            </w:r>
            <w:r/>
          </w:p>
        </w:tc>
      </w:tr>
      <w:tr>
        <w:trPr/>
        <w:tc>
          <w:tcPr>
            <w:tcW w:w="60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80" w:type="dxa"/>
            <w:vAlign w:val="center"/>
            <w:vMerge w:val="continue"/>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2"/>
            <w:tcW w:w="6611" w:type="dxa"/>
            <w:vAlign w:val="center"/>
            <w:textDirection w:val="lrTb"/>
            <w:noWrap/>
          </w:tcPr>
          <w:p>
            <w:pPr>
              <w:contextualSpacing/>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汛期未按规定配置人员或在接到采购人通知后</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小时内赶到现场进行处置的</w:t>
            </w:r>
            <w:r/>
          </w:p>
        </w:tc>
        <w:tc>
          <w:tcPr>
            <w:gridSpan w:val="2"/>
            <w:tcW w:w="2406" w:type="dxa"/>
            <w:vAlign w:val="center"/>
            <w:textDirection w:val="lrTb"/>
            <w:noWrap/>
          </w:tcPr>
          <w:p>
            <w:pPr>
              <w:contextualSpacing/>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一次扣3000-5000元</w:t>
            </w:r>
            <w:r/>
          </w:p>
        </w:tc>
      </w:tr>
    </w:tbl>
    <w:p>
      <w:pP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r>
      <w:r/>
    </w:p>
    <w:p>
      <w:pPr>
        <w:ind w:firstLine="480"/>
        <w:jc w:val="center"/>
        <w:spacing w:line="360" w:lineRule="auto"/>
        <w:rPr>
          <w:rFonts w:hint="eastAsia" w:cs="宋体" w:asciiTheme="minorEastAsia" w:hAnsiTheme="minorEastAsia" w:eastAsiaTheme="minorEastAsia"/>
          <w:b/>
          <w:color w:val="000000" w:themeColor="text1"/>
          <w:sz w:val="30"/>
          <w:szCs w:val="30"/>
          <w14:textFill>
            <w14:solidFill>
              <w14:schemeClr w14:val="tx1"/>
            </w14:solidFill>
          </w14:textFill>
        </w:rPr>
      </w:pPr>
      <w:r>
        <w:rPr>
          <w:rFonts w:hint="eastAsia" w:cs="宋体" w:asciiTheme="minorEastAsia" w:hAnsiTheme="minorEastAsia" w:eastAsiaTheme="minorEastAsia"/>
          <w:b/>
          <w:color w:val="000000" w:themeColor="text1"/>
          <w:sz w:val="30"/>
          <w:szCs w:val="30"/>
          <w14:textFill>
            <w14:solidFill>
              <w14:schemeClr w14:val="tx1"/>
            </w14:solidFill>
          </w14:textFill>
        </w:rPr>
      </w:r>
      <w:r/>
    </w:p>
    <w:p>
      <w:pPr>
        <w:ind w:firstLine="480"/>
        <w:jc w:val="center"/>
        <w:spacing w:line="360" w:lineRule="auto"/>
        <w:rPr>
          <w:rFonts w:hint="eastAsia" w:cs="宋体" w:asciiTheme="minorEastAsia" w:hAnsiTheme="minorEastAsia" w:eastAsiaTheme="minorEastAsia"/>
          <w:b/>
          <w:color w:val="000000" w:themeColor="text1"/>
          <w:sz w:val="30"/>
          <w:szCs w:val="30"/>
          <w14:textFill>
            <w14:solidFill>
              <w14:schemeClr w14:val="tx1"/>
            </w14:solidFill>
          </w14:textFill>
        </w:rPr>
      </w:pPr>
      <w:r>
        <w:rPr>
          <w:rFonts w:hint="eastAsia" w:cs="宋体" w:asciiTheme="minorEastAsia" w:hAnsiTheme="minorEastAsia" w:eastAsiaTheme="minorEastAsia"/>
          <w:b/>
          <w:color w:val="000000" w:themeColor="text1"/>
          <w:sz w:val="30"/>
          <w:szCs w:val="30"/>
          <w14:textFill>
            <w14:solidFill>
              <w14:schemeClr w14:val="tx1"/>
            </w14:solidFill>
          </w14:textFill>
        </w:rPr>
      </w:r>
      <w:r/>
    </w:p>
    <w:p>
      <w:pPr>
        <w:jc w:val="both"/>
        <w:spacing w:line="360" w:lineRule="auto"/>
        <w:rPr>
          <w:rFonts w:hint="eastAsia" w:cs="宋体" w:asciiTheme="minorEastAsia" w:hAnsiTheme="minorEastAsia" w:eastAsiaTheme="minorEastAsia"/>
          <w:b/>
          <w:bCs/>
          <w:sz w:val="30"/>
          <w:szCs w:val="30"/>
          <w:lang w:val="en-US" w:eastAsia="zh-CN"/>
          <w14:textFill>
            <w14:solidFill>
              <w14:schemeClr w14:val="tx1"/>
            </w14:solidFill>
          </w14:textFill>
        </w:rPr>
      </w:pPr>
      <w:r>
        <w:rPr>
          <w:rFonts w:hint="eastAsia" w:cs="宋体" w:asciiTheme="minorEastAsia" w:hAnsiTheme="minorEastAsia" w:eastAsiaTheme="minorEastAsia"/>
          <w:b/>
          <w:color w:val="000000" w:themeColor="text1"/>
          <w:sz w:val="30"/>
          <w:szCs w:val="30"/>
          <w:lang w:val="en-US" w:eastAsia="zh-CN"/>
          <w14:textFill>
            <w14:solidFill>
              <w14:schemeClr w14:val="tx1"/>
            </w14:solidFill>
          </w14:textFill>
        </w:rPr>
      </w:r>
      <w:r>
        <w:rPr>
          <w:rFonts w:hint="eastAsia" w:cs="宋体" w:asciiTheme="minorEastAsia" w:hAnsiTheme="minorEastAsia" w:eastAsiaTheme="minorEastAsia"/>
          <w:b/>
          <w:color w:val="000000" w:themeColor="text1"/>
          <w:sz w:val="30"/>
          <w:szCs w:val="30"/>
          <w:lang w:val="en-US" w:eastAsia="zh-CN"/>
          <w14:textFill>
            <w14:solidFill>
              <w14:schemeClr w14:val="tx1"/>
            </w14:solidFill>
          </w14:textFill>
        </w:rPr>
      </w:r>
    </w:p>
    <w:p>
      <w:pPr>
        <w:jc w:val="both"/>
        <w:spacing w:line="360" w:lineRule="auto"/>
        <w:rPr>
          <w:rFonts w:hint="eastAsia" w:cs="宋体" w:asciiTheme="minorEastAsia" w:hAnsiTheme="minorEastAsia" w:eastAsiaTheme="minorEastAsia"/>
          <w:b/>
          <w:bCs/>
          <w:sz w:val="30"/>
          <w:szCs w:val="30"/>
          <w:lang w:val="en-US" w:eastAsia="zh-CN"/>
          <w14:textFill>
            <w14:solidFill>
              <w14:schemeClr w14:val="tx1"/>
            </w14:solidFill>
          </w14:textFill>
        </w:rPr>
      </w:pPr>
      <w:r>
        <w:rPr>
          <w:rFonts w:hint="eastAsia" w:cs="宋体" w:asciiTheme="minorEastAsia" w:hAnsiTheme="minorEastAsia" w:eastAsiaTheme="minorEastAsia"/>
          <w:b/>
          <w:bCs/>
          <w:sz w:val="30"/>
          <w:szCs w:val="30"/>
          <w:lang w:val="en-US" w:eastAsia="zh-CN"/>
          <w14:textFill>
            <w14:solidFill>
              <w14:schemeClr w14:val="tx1"/>
            </w14:solidFill>
          </w14:textFill>
        </w:rPr>
      </w:r>
      <w:r>
        <w:rPr>
          <w:rFonts w:hint="eastAsia" w:cs="宋体" w:asciiTheme="minorEastAsia" w:hAnsiTheme="minorEastAsia" w:eastAsiaTheme="minorEastAsia"/>
          <w:b/>
          <w:bCs/>
          <w:sz w:val="30"/>
          <w:szCs w:val="30"/>
          <w:lang w:val="en-US" w:eastAsia="zh-CN"/>
          <w14:textFill>
            <w14:solidFill>
              <w14:schemeClr w14:val="tx1"/>
            </w14:solidFill>
          </w14:textFill>
        </w:rPr>
      </w:r>
    </w:p>
    <w:p>
      <w:pPr>
        <w:jc w:val="both"/>
        <w:spacing w:line="360" w:lineRule="auto"/>
        <w:rPr>
          <w:rFonts w:hint="eastAsia" w:cs="宋体" w:asciiTheme="minorEastAsia" w:hAnsiTheme="minorEastAsia" w:eastAsiaTheme="minorEastAsia"/>
          <w:b/>
          <w:bCs/>
          <w:sz w:val="30"/>
          <w:szCs w:val="30"/>
          <w:lang w:val="en-US" w:eastAsia="zh-CN"/>
          <w14:textFill>
            <w14:solidFill>
              <w14:schemeClr w14:val="tx1"/>
            </w14:solidFill>
          </w14:textFill>
        </w:rPr>
      </w:pPr>
      <w:r>
        <w:rPr>
          <w:rFonts w:hint="eastAsia" w:cs="宋体" w:asciiTheme="minorEastAsia" w:hAnsiTheme="minorEastAsia" w:eastAsiaTheme="minorEastAsia"/>
          <w:b/>
          <w:color w:val="000000" w:themeColor="text1"/>
          <w:sz w:val="30"/>
          <w:szCs w:val="30"/>
          <w:lang w:val="en-US" w:eastAsia="zh-CN"/>
          <w14:textFill>
            <w14:solidFill>
              <w14:schemeClr w14:val="tx1"/>
            </w14:solidFill>
          </w14:textFill>
        </w:rPr>
      </w:r>
      <w:r/>
    </w:p>
    <w:p>
      <w:pPr>
        <w:ind w:firstLine="480"/>
        <w:jc w:val="center"/>
        <w:spacing w:line="360" w:lineRule="auto"/>
        <w:rPr>
          <w:rFonts w:cs="宋体" w:asciiTheme="minorEastAsia" w:hAnsiTheme="minorEastAsia" w:eastAsiaTheme="minorEastAsia"/>
          <w:b/>
          <w:bCs/>
          <w:color w:val="000000" w:themeColor="text1"/>
          <w:sz w:val="30"/>
          <w:szCs w:val="30"/>
          <w:lang w:val="zh-CN"/>
          <w14:textFill>
            <w14:solidFill>
              <w14:schemeClr w14:val="tx1"/>
            </w14:solidFill>
          </w14:textFill>
        </w:rPr>
      </w:pPr>
      <w:r>
        <w:rPr>
          <w:rFonts w:hint="eastAsia" w:cs="宋体" w:asciiTheme="minorEastAsia" w:hAnsiTheme="minorEastAsia" w:eastAsiaTheme="minorEastAsia"/>
          <w:b/>
          <w:color w:val="000000" w:themeColor="text1"/>
          <w:sz w:val="30"/>
          <w:szCs w:val="30"/>
          <w14:textFill>
            <w14:solidFill>
              <w14:schemeClr w14:val="tx1"/>
            </w14:solidFill>
          </w14:textFill>
        </w:rPr>
        <w:t xml:space="preserve">第四部分  </w:t>
      </w:r>
      <w:r>
        <w:rPr>
          <w:rFonts w:hint="eastAsia" w:cs="宋体" w:asciiTheme="minorEastAsia" w:hAnsiTheme="minorEastAsia" w:eastAsiaTheme="minorEastAsia"/>
          <w:b/>
          <w:color w:val="000000" w:themeColor="text1"/>
          <w:sz w:val="30"/>
          <w:szCs w:val="30"/>
          <w:lang w:val="zh-CN"/>
          <w14:textFill>
            <w14:solidFill>
              <w14:schemeClr w14:val="tx1"/>
            </w14:solidFill>
          </w14:textFill>
        </w:rPr>
        <w:t xml:space="preserve">评审方法和评审标准</w:t>
      </w:r>
      <w:r/>
    </w:p>
    <w:p>
      <w:pPr>
        <w:ind w:firstLine="643"/>
        <w:jc w:val="left"/>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bookmarkStart w:id="52" w:name="_Toc25401332"/>
      <w:r/>
      <w:bookmarkStart w:id="53" w:name="_Toc25574120"/>
      <w:r/>
      <w:bookmarkStart w:id="54" w:name="_Toc25726409"/>
      <w:r/>
      <w:bookmarkStart w:id="55" w:name="_Toc52352454"/>
      <w:r/>
      <w:bookmarkStart w:id="56" w:name="_Toc52352456"/>
      <w:r/>
      <w:bookmarkStart w:id="57" w:name="_Toc26261456"/>
      <w:r/>
      <w:bookmarkStart w:id="58" w:name="_Toc25400536"/>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一、开标</w:t>
      </w:r>
      <w:r/>
    </w:p>
    <w:p>
      <w:pPr>
        <w:ind w:firstLine="643"/>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不见面远程开标模式：投标人在各自地点通过“苏采云”不见面交易系统参加开标会。</w:t>
      </w:r>
      <w:r/>
    </w:p>
    <w:p>
      <w:pPr>
        <w:ind w:firstLine="643"/>
        <w:jc w:val="left"/>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二、评标流程和评标标准</w:t>
      </w:r>
      <w:r/>
    </w:p>
    <w:p>
      <w:pPr>
        <w:ind w:firstLine="555"/>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1.评审方法：</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采用综合评分法。分资格审查、符合性审查、商务技术标、价格标四部分评审，总分值为100分，加分和减分因素除外。</w:t>
      </w:r>
      <w:r/>
    </w:p>
    <w:p>
      <w:pPr>
        <w:ind w:firstLine="555"/>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评标结果按评审后总得分由高到低顺序排列，确定中标候选人名单并按顺序确定中标人。得分相同的，按投标报价由低到高顺序排列，得分且投标报价相同的并列。</w:t>
      </w:r>
      <w:r/>
    </w:p>
    <w:p>
      <w:pPr>
        <w:ind w:firstLine="555"/>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评委在认真审阅投标文件的基础上，根据各投标文件的响应程度独立评判，不得统一打分。</w:t>
      </w:r>
      <w:r/>
    </w:p>
    <w:p>
      <w:pPr>
        <w:ind w:firstLine="413"/>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（一）采购人（代表）对投标人资格进行审查。</w:t>
      </w:r>
      <w:r/>
    </w:p>
    <w:p>
      <w:pPr>
        <w:pStyle w:val="978"/>
        <w:ind w:firstLine="577"/>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投标人资格不合格的，其投标文件判定为无效投标文件。</w:t>
      </w:r>
      <w:r/>
    </w:p>
    <w:p>
      <w:pPr>
        <w:ind w:firstLine="413"/>
        <w:jc w:val="left"/>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（二）评标委员会对符合资格投标人的投标文件进行符合性审查。</w:t>
      </w:r>
      <w:r/>
    </w:p>
    <w:p>
      <w:pPr>
        <w:pStyle w:val="978"/>
        <w:ind w:firstLine="577"/>
        <w:spacing w:line="360" w:lineRule="auto"/>
        <w:rPr>
          <w:rFonts w:hint="eastAsia"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未通过符合性审查的投标文件，将被判为不满足招标文件实质性要求。</w:t>
      </w:r>
      <w:r/>
    </w:p>
    <w:p>
      <w:pPr>
        <w:ind w:firstLine="562"/>
        <w:jc w:val="left"/>
        <w:spacing w:line="360" w:lineRule="auto"/>
        <w:rPr>
          <w:rFonts w:hint="eastAsia"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r>
      <w:r/>
    </w:p>
    <w:p>
      <w:pPr>
        <w:ind w:firstLine="562"/>
        <w:jc w:val="left"/>
        <w:spacing w:line="360" w:lineRule="auto"/>
        <w:rPr>
          <w:rFonts w:cs="宋体" w:asciiTheme="minorEastAsia" w:hAnsiTheme="minorEastAsia" w:eastAsiaTheme="minorEastAsia"/>
          <w:b/>
          <w:color w:val="000000" w:themeColor="text1"/>
          <w:sz w:val="24"/>
          <w:szCs w:val="24"/>
          <w:lang w:val="zh-CN"/>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color w:val="000000" w:themeColor="text1"/>
          <w:sz w:val="24"/>
          <w:szCs w:val="24"/>
          <w:lang w:val="zh-CN"/>
          <w14:textFill>
            <w14:solidFill>
              <w14:schemeClr w14:val="tx1"/>
            </w14:solidFill>
          </w14:textFill>
        </w:rPr>
        <w:t xml:space="preserve">三</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color w:val="000000" w:themeColor="text1"/>
          <w:sz w:val="24"/>
          <w:szCs w:val="24"/>
          <w:lang w:val="zh-CN"/>
          <w14:textFill>
            <w14:solidFill>
              <w14:schemeClr w14:val="tx1"/>
            </w14:solidFill>
          </w14:textFill>
        </w:rPr>
        <w:t xml:space="preserve">商务技术分：</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70</w:t>
      </w:r>
      <w:r>
        <w:rPr>
          <w:rFonts w:hint="eastAsia" w:cs="宋体" w:asciiTheme="minorEastAsia" w:hAnsiTheme="minorEastAsia" w:eastAsiaTheme="minorEastAsia"/>
          <w:b/>
          <w:color w:val="000000" w:themeColor="text1"/>
          <w:sz w:val="24"/>
          <w:szCs w:val="24"/>
          <w:lang w:val="zh-CN"/>
          <w14:textFill>
            <w14:solidFill>
              <w14:schemeClr w14:val="tx1"/>
            </w14:solidFill>
          </w14:textFill>
        </w:rPr>
        <w:t xml:space="preserve">分</w:t>
      </w:r>
      <w:r/>
    </w:p>
    <w:tbl>
      <w:tblPr>
        <w:tblStyle w:val="725"/>
        <w:tblW w:w="96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559"/>
        <w:gridCol w:w="851"/>
        <w:gridCol w:w="6525"/>
      </w:tblGrid>
      <w:tr>
        <w:trPr>
          <w:trHeight w:val="642"/>
        </w:trPr>
        <w:tc>
          <w:tcPr>
            <w:tcW w:w="704" w:type="dxa"/>
            <w:vAlign w:val="center"/>
            <w:textDirection w:val="lrTb"/>
            <w:noWrap w:val="false"/>
          </w:tcPr>
          <w:p>
            <w:pPr>
              <w:contextualSpacing/>
              <w:jc w:val="center"/>
              <w:spacing w:line="300" w:lineRule="exact"/>
              <w:rPr>
                <w:rFonts w:hint="eastAsia" w:ascii="宋体" w:hAnsi="宋体" w:eastAsia="宋体" w:cs="宋体"/>
                <w:b w:val="0"/>
                <w:bCs w:val="0"/>
                <w:color w:val="000000"/>
                <w:sz w:val="24"/>
                <w:szCs w:val="24"/>
                <w:lang w:val="zh-CN"/>
              </w:rPr>
            </w:pPr>
            <w:r/>
            <w:bookmarkStart w:id="59" w:name="_Hlk209113115"/>
            <w:r>
              <w:rPr>
                <w:rFonts w:hint="eastAsia" w:ascii="宋体" w:hAnsi="宋体" w:eastAsia="宋体" w:cs="宋体"/>
                <w:b w:val="0"/>
                <w:bCs w:val="0"/>
                <w:color w:val="000000"/>
                <w:sz w:val="24"/>
                <w:szCs w:val="24"/>
                <w:lang w:val="zh-CN"/>
              </w:rPr>
              <w:t xml:space="preserve">序号</w:t>
            </w:r>
            <w:r/>
          </w:p>
        </w:tc>
        <w:tc>
          <w:tcPr>
            <w:tcW w:w="1559" w:type="dxa"/>
            <w:vAlign w:val="center"/>
            <w:textDirection w:val="lrTb"/>
            <w:noWrap w:val="false"/>
          </w:tcPr>
          <w:p>
            <w:pPr>
              <w:contextualSpacing/>
              <w:jc w:val="center"/>
              <w:spacing w:line="300" w:lineRule="exact"/>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zh-CN"/>
              </w:rPr>
              <w:t xml:space="preserve">评分点名称</w:t>
            </w:r>
            <w:r/>
          </w:p>
        </w:tc>
        <w:tc>
          <w:tcPr>
            <w:tcW w:w="851" w:type="dxa"/>
            <w:vAlign w:val="center"/>
            <w:textDirection w:val="lrTb"/>
            <w:noWrap w:val="false"/>
          </w:tcPr>
          <w:p>
            <w:pPr>
              <w:contextualSpacing/>
              <w:jc w:val="center"/>
              <w:spacing w:line="300" w:lineRule="exact"/>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zh-CN"/>
              </w:rPr>
              <w:t xml:space="preserve">分值</w:t>
            </w:r>
            <w:r/>
          </w:p>
        </w:tc>
        <w:tc>
          <w:tcPr>
            <w:tcW w:w="6525" w:type="dxa"/>
            <w:vAlign w:val="center"/>
            <w:textDirection w:val="lrTb"/>
            <w:noWrap w:val="false"/>
          </w:tcPr>
          <w:p>
            <w:pPr>
              <w:contextualSpacing/>
              <w:jc w:val="center"/>
              <w:spacing w:line="300" w:lineRule="exact"/>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zh-CN"/>
              </w:rPr>
              <w:t xml:space="preserve">评审标准</w:t>
            </w:r>
            <w:r/>
          </w:p>
        </w:tc>
      </w:tr>
      <w:tr>
        <w:trPr>
          <w:trHeight w:val="642"/>
        </w:trPr>
        <w:tc>
          <w:tcPr>
            <w:tcW w:w="704" w:type="dxa"/>
            <w:vAlign w:val="center"/>
            <w:textDirection w:val="lrTb"/>
            <w:noWrap w:val="false"/>
          </w:tcPr>
          <w:p>
            <w:pPr>
              <w:jc w:val="center"/>
              <w:spacing w:before="78" w:line="184" w:lineRule="auto"/>
              <w:widowControl/>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rPr>
              <w:t xml:space="preserve">1</w:t>
            </w:r>
            <w:r/>
          </w:p>
        </w:tc>
        <w:tc>
          <w:tcPr>
            <w:tcW w:w="1559" w:type="dxa"/>
            <w:vAlign w:val="center"/>
            <w:textDirection w:val="lrTb"/>
            <w:noWrap w:val="false"/>
          </w:tcPr>
          <w:p>
            <w:pPr>
              <w:jc w:val="center"/>
              <w:spacing w:before="78" w:line="219"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项目拟使用的工程车辆及运管安全相关器具情况</w:t>
            </w:r>
            <w:r/>
          </w:p>
        </w:tc>
        <w:tc>
          <w:tcPr>
            <w:tcW w:w="851" w:type="dxa"/>
            <w:vAlign w:val="center"/>
            <w:textDirection w:val="lrTb"/>
            <w:noWrap w:val="false"/>
          </w:tcPr>
          <w:p>
            <w:pPr>
              <w:jc w:val="center"/>
              <w:spacing w:line="360" w:lineRule="auto"/>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5</w:t>
            </w:r>
            <w:r/>
          </w:p>
        </w:tc>
        <w:tc>
          <w:tcPr>
            <w:tcW w:w="6525" w:type="dxa"/>
            <w:vAlign w:val="center"/>
            <w:textDirection w:val="lrTb"/>
            <w:noWrap w:val="false"/>
          </w:tcPr>
          <w:p>
            <w:pPr>
              <w:numPr>
                <w:ilvl w:val="0"/>
                <w:numId w:val="6"/>
              </w:numPr>
              <w:ind w:left="218" w:right="214" w:firstLine="0"/>
              <w:spacing w:before="4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投标供应商</w:t>
            </w:r>
            <w:r>
              <w:rPr>
                <w:rFonts w:hint="eastAsia" w:ascii="宋体" w:hAnsi="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工程车或运维巡检车，在满足项目最低配置要求（4辆）的基础上，</w:t>
            </w:r>
            <w:r>
              <w:rPr>
                <w:rFonts w:hint="eastAsia" w:ascii="宋体" w:hAnsi="宋体" w:eastAsia="宋体" w:cs="宋体"/>
                <w:b w:val="0"/>
                <w:bCs w:val="0"/>
                <w:color w:val="auto"/>
                <w:sz w:val="24"/>
                <w:szCs w:val="24"/>
                <w:highlight w:val="none"/>
                <w:lang w:val="en-US" w:eastAsia="zh-CN"/>
              </w:rPr>
              <w:t xml:space="preserve">再</w:t>
            </w:r>
            <w:r>
              <w:rPr>
                <w:rFonts w:hint="eastAsia" w:ascii="宋体" w:hAnsi="宋体" w:eastAsia="宋体" w:cs="宋体"/>
                <w:b w:val="0"/>
                <w:bCs w:val="0"/>
                <w:color w:val="auto"/>
                <w:sz w:val="24"/>
                <w:szCs w:val="24"/>
                <w:highlight w:val="none"/>
              </w:rPr>
              <w:t xml:space="preserve">增加1辆</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分，本项最高得分为</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ind w:left="218" w:right="214" w:firstLine="0"/>
              <w:spacing w:before="41"/>
              <w:widowControl/>
              <w:rPr>
                <w:rFonts w:hint="eastAsia"/>
              </w:rPr>
            </w:pPr>
            <w:r>
              <w:rPr>
                <w:rFonts w:hint="eastAsia" w:ascii="宋体" w:hAnsi="宋体" w:eastAsia="宋体" w:cs="宋体"/>
                <w:b w:val="0"/>
                <w:bCs w:val="0"/>
                <w:color w:val="auto"/>
                <w:sz w:val="24"/>
                <w:szCs w:val="24"/>
                <w:lang w:val="en-US" w:eastAsia="zh-CN"/>
              </w:rPr>
              <w:t xml:space="preserve">注：租赁车辆租赁期限自开标之日起不得少于12个月的服务期限</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且用于本项目，纳入日常考核。</w:t>
            </w:r>
            <w:r/>
          </w:p>
          <w:p>
            <w:pPr>
              <w:numPr>
                <w:ilvl w:val="0"/>
                <w:numId w:val="6"/>
              </w:numPr>
              <w:ind w:left="218" w:right="214" w:firstLine="0"/>
              <w:spacing w:before="4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投标供应商</w:t>
            </w:r>
            <w:r>
              <w:rPr>
                <w:rFonts w:hint="eastAsia" w:ascii="宋体" w:hAnsi="宋体" w:cs="宋体"/>
                <w:b w:val="0"/>
                <w:bCs w:val="0"/>
                <w:color w:val="auto"/>
                <w:sz w:val="24"/>
                <w:szCs w:val="24"/>
                <w:highlight w:val="none"/>
                <w:lang w:val="en-US" w:eastAsia="zh-CN"/>
              </w:rPr>
              <w:t xml:space="preserve">自</w:t>
            </w:r>
            <w:r>
              <w:rPr>
                <w:rFonts w:hint="eastAsia" w:ascii="宋体" w:hAnsi="宋体" w:eastAsia="宋体" w:cs="宋体"/>
                <w:b w:val="0"/>
                <w:bCs w:val="0"/>
                <w:color w:val="auto"/>
                <w:sz w:val="24"/>
                <w:szCs w:val="24"/>
                <w:highlight w:val="none"/>
                <w:lang w:val="en-US" w:eastAsia="zh-CN"/>
              </w:rPr>
              <w:t xml:space="preserve">有非载货专项作业车辆（起吊车）的得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分，本项最高得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w:t>
            </w:r>
            <w:r/>
          </w:p>
          <w:p>
            <w:pPr>
              <w:ind w:left="218" w:right="214" w:firstLine="0"/>
              <w:spacing w:before="41"/>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要求自有车辆</w:t>
            </w:r>
            <w:r>
              <w:rPr>
                <w:rFonts w:hint="eastAsia" w:ascii="宋体" w:hAnsi="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rPr>
              <w:t xml:space="preserve">提供在投标企业名下的有效的车辆行驶证或登记证</w:t>
            </w:r>
            <w:r>
              <w:rPr>
                <w:rFonts w:hint="eastAsia" w:ascii="宋体" w:hAnsi="宋体" w:eastAsia="宋体" w:cs="宋体"/>
                <w:b w:val="0"/>
                <w:bCs w:val="0"/>
                <w:color w:val="auto"/>
                <w:sz w:val="24"/>
                <w:szCs w:val="24"/>
                <w:lang w:val="en-US" w:eastAsia="zh-CN"/>
              </w:rPr>
              <w:t xml:space="preserve">复印件、车辆照片并加盖公章</w:t>
            </w:r>
            <w:r>
              <w:rPr>
                <w:rFonts w:hint="eastAsia" w:ascii="宋体" w:hAnsi="宋体" w:eastAsia="宋体" w:cs="宋体"/>
                <w:b w:val="0"/>
                <w:bCs w:val="0"/>
                <w:color w:val="auto"/>
                <w:sz w:val="24"/>
                <w:szCs w:val="24"/>
              </w:rPr>
              <w:t xml:space="preserve">，否则不予计分。</w:t>
            </w:r>
            <w:r/>
          </w:p>
        </w:tc>
      </w:tr>
      <w:tr>
        <w:trPr>
          <w:trHeight w:val="642"/>
        </w:trPr>
        <w:tc>
          <w:tcPr>
            <w:tcW w:w="704" w:type="dxa"/>
            <w:vAlign w:val="center"/>
            <w:textDirection w:val="lrTb"/>
            <w:noWrap w:val="false"/>
          </w:tcPr>
          <w:p>
            <w:pPr>
              <w:jc w:val="center"/>
              <w:spacing w:before="78" w:line="181" w:lineRule="auto"/>
              <w:widowControl/>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rPr>
              <w:t xml:space="preserve">2</w:t>
            </w:r>
            <w:r/>
          </w:p>
        </w:tc>
        <w:tc>
          <w:tcPr>
            <w:tcW w:w="1559" w:type="dxa"/>
            <w:vAlign w:val="center"/>
            <w:textDirection w:val="lrTb"/>
            <w:noWrap w:val="false"/>
          </w:tcPr>
          <w:p>
            <w:pPr>
              <w:jc w:val="center"/>
              <w:spacing w:before="78" w:line="360" w:lineRule="exac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人员配备</w:t>
            </w:r>
            <w:r/>
          </w:p>
        </w:tc>
        <w:tc>
          <w:tcPr>
            <w:tcW w:w="851" w:type="dxa"/>
            <w:vAlign w:val="center"/>
            <w:textDirection w:val="lrTb"/>
            <w:noWrap w:val="false"/>
          </w:tcPr>
          <w:p>
            <w:pPr>
              <w:jc w:val="center"/>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cs="宋体"/>
                <w:b w:val="0"/>
                <w:bCs w:val="0"/>
                <w:color w:val="000000"/>
                <w:sz w:val="24"/>
                <w:szCs w:val="24"/>
                <w:lang w:val="en-US" w:eastAsia="zh-CN"/>
              </w:rPr>
              <w:t xml:space="preserve">0</w:t>
            </w:r>
            <w:r/>
          </w:p>
        </w:tc>
        <w:tc>
          <w:tcPr>
            <w:tcW w:w="6525" w:type="dxa"/>
            <w:vAlign w:val="center"/>
            <w:textDirection w:val="lrTb"/>
            <w:noWrap w:val="false"/>
          </w:tcPr>
          <w:p>
            <w:pPr>
              <w:ind w:left="214" w:right="214" w:firstLine="4"/>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i w:val="0"/>
                <w:iCs w:val="0"/>
                <w:caps w:val="0"/>
                <w:color w:val="0f1115"/>
                <w:spacing w:val="0"/>
                <w:sz w:val="24"/>
                <w:szCs w:val="24"/>
                <w:highlight w:val="none"/>
                <w:shd w:val="clear" w:color="auto" w:fill="ffffff"/>
              </w:rPr>
              <w:t xml:space="preserve">投标人在本项目中配备</w:t>
            </w:r>
            <w:r>
              <w:rPr>
                <w:rFonts w:hint="eastAsia" w:ascii="宋体" w:hAnsi="宋体" w:eastAsia="宋体" w:cs="宋体"/>
                <w:b w:val="0"/>
                <w:bCs w:val="0"/>
                <w:i w:val="0"/>
                <w:iCs w:val="0"/>
                <w:caps w:val="0"/>
                <w:color w:val="0f1115"/>
                <w:spacing w:val="0"/>
                <w:sz w:val="24"/>
                <w:szCs w:val="24"/>
                <w:highlight w:val="none"/>
                <w:shd w:val="clear" w:color="auto" w:fill="ffffff"/>
                <w:lang w:val="en-US" w:eastAsia="zh-CN"/>
              </w:rPr>
              <w:t xml:space="preserve">的</w:t>
            </w:r>
            <w:r>
              <w:rPr>
                <w:rFonts w:hint="eastAsia" w:ascii="宋体" w:hAnsi="宋体" w:eastAsia="宋体" w:cs="宋体"/>
                <w:b w:val="0"/>
                <w:bCs w:val="0"/>
                <w:i w:val="0"/>
                <w:iCs w:val="0"/>
                <w:caps w:val="0"/>
                <w:color w:val="0f1115"/>
                <w:spacing w:val="0"/>
                <w:sz w:val="24"/>
                <w:szCs w:val="24"/>
                <w:highlight w:val="none"/>
                <w:shd w:val="clear" w:color="auto" w:fill="ffffff"/>
              </w:rPr>
              <w:t xml:space="preserve">日常维护人员</w:t>
            </w:r>
            <w:r>
              <w:rPr>
                <w:rFonts w:hint="eastAsia" w:ascii="宋体" w:hAnsi="宋体" w:eastAsia="宋体" w:cs="宋体"/>
                <w:b w:val="0"/>
                <w:bCs w:val="0"/>
                <w:i w:val="0"/>
                <w:iCs w:val="0"/>
                <w:caps w:val="0"/>
                <w:color w:val="0f1115"/>
                <w:spacing w:val="0"/>
                <w:sz w:val="24"/>
                <w:szCs w:val="24"/>
                <w:highlight w:val="none"/>
                <w:shd w:val="clear" w:color="auto" w:fill="ffffff"/>
                <w:lang w:val="en-US" w:eastAsia="zh-CN"/>
              </w:rPr>
              <w:t xml:space="preserve">在满足符合性审查中基本要求5人的基础上，有更完善配置的可以相应加分，</w:t>
            </w:r>
            <w:r>
              <w:rPr>
                <w:rFonts w:hint="eastAsia" w:ascii="宋体" w:hAnsi="宋体" w:eastAsia="宋体" w:cs="宋体"/>
                <w:b w:val="0"/>
                <w:bCs w:val="0"/>
                <w:sz w:val="24"/>
                <w:szCs w:val="24"/>
                <w:highlight w:val="none"/>
                <w:lang w:val="en-US" w:eastAsia="zh-CN"/>
              </w:rPr>
              <w:t xml:space="preserve">具体加分细则如下：</w:t>
            </w:r>
            <w:r/>
          </w:p>
          <w:p>
            <w:pPr>
              <w:ind w:left="214" w:right="214" w:firstLine="4"/>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1、日常维护配备人员中具有高压电工操作证并同时持有（污水处理专业）助理工程师及以上职称的得2分；</w:t>
            </w:r>
            <w:r/>
          </w:p>
          <w:p>
            <w:pPr>
              <w:ind w:left="214" w:right="214" w:firstLine="4"/>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2、日常维护配备人员中持水处理工程师证书并同时持有供排水电气运行工证的，得1分。</w:t>
            </w:r>
            <w:r/>
          </w:p>
          <w:p>
            <w:pPr>
              <w:ind w:left="214" w:right="214" w:firstLine="4"/>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3、日常维护配备人员中持污水处理工证书并同时持有低压电工证的，得1分。</w:t>
            </w:r>
            <w:r/>
          </w:p>
          <w:p>
            <w:pPr>
              <w:ind w:left="214" w:right="214" w:firstLine="4"/>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4、日常维护配备人员中持污水化验检测工证书并同时持有低压电工证的，得1分。</w:t>
            </w:r>
            <w:r/>
          </w:p>
          <w:p>
            <w:pPr>
              <w:ind w:left="214" w:right="214" w:firstLine="4"/>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5、日常维护配备人员中持有市政排水管道有限空间（有毒有害）作业安全培训证并同时持有</w:t>
            </w:r>
            <w:r>
              <w:rPr>
                <w:rFonts w:hint="eastAsia" w:ascii="宋体" w:hAnsi="宋体" w:eastAsia="宋体" w:cs="宋体"/>
                <w:b w:val="0"/>
                <w:bCs w:val="0"/>
                <w:sz w:val="24"/>
                <w:szCs w:val="24"/>
                <w:highlight w:val="none"/>
                <w:lang w:val="en-US" w:eastAsia="zh-CN"/>
              </w:rPr>
              <w:t xml:space="preserve">低压电工</w:t>
            </w:r>
            <w:r>
              <w:rPr>
                <w:rFonts w:hint="eastAsia" w:ascii="宋体" w:hAnsi="宋体" w:eastAsia="宋体" w:cs="宋体"/>
                <w:b w:val="0"/>
                <w:bCs w:val="0"/>
                <w:sz w:val="24"/>
                <w:szCs w:val="24"/>
                <w:highlight w:val="none"/>
                <w:lang w:val="en-US" w:eastAsia="zh-CN"/>
              </w:rPr>
              <w:t xml:space="preserve">证的，得</w:t>
            </w:r>
            <w:r>
              <w:rPr>
                <w:rFonts w:hint="eastAsia" w:ascii="宋体" w:hAnsi="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分；</w:t>
            </w:r>
            <w:r/>
          </w:p>
          <w:p>
            <w:pPr>
              <w:ind w:left="214" w:right="214" w:firstLine="4"/>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highlight w:val="none"/>
                <w:lang w:val="en-US" w:eastAsia="zh-CN"/>
              </w:rPr>
              <w:t xml:space="preserve">6、投标人额外配备一名设备维修工同时持有</w:t>
            </w:r>
            <w:r>
              <w:rPr>
                <w:rFonts w:hint="eastAsia" w:ascii="宋体" w:hAnsi="宋体" w:eastAsia="宋体" w:cs="宋体"/>
                <w:b w:val="0"/>
                <w:bCs w:val="0"/>
                <w:sz w:val="24"/>
                <w:szCs w:val="24"/>
                <w:lang w:val="en-US" w:eastAsia="zh-CN"/>
              </w:rPr>
              <w:t xml:space="preserve">高压、低压电工证的，得2分。</w:t>
            </w:r>
            <w:r/>
          </w:p>
          <w:p>
            <w:pPr>
              <w:ind w:left="214" w:right="214" w:firstLine="4"/>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i w:val="0"/>
                <w:iCs w:val="0"/>
                <w:caps w:val="0"/>
                <w:color w:val="0f1115"/>
                <w:spacing w:val="0"/>
                <w:sz w:val="24"/>
                <w:szCs w:val="24"/>
                <w:shd w:val="clear" w:color="auto" w:fill="ffffff"/>
              </w:rPr>
              <w:t xml:space="preserve">投标人配备持有高空作业车操作证（适用于起吊车作业）的人员</w:t>
            </w:r>
            <w:r>
              <w:rPr>
                <w:rFonts w:hint="eastAsia" w:ascii="宋体" w:hAnsi="宋体" w:eastAsia="宋体" w:cs="宋体"/>
                <w:b w:val="0"/>
                <w:bCs w:val="0"/>
                <w:sz w:val="24"/>
                <w:szCs w:val="24"/>
                <w:lang w:val="en-US" w:eastAsia="zh-CN"/>
              </w:rPr>
              <w:t xml:space="preserve">，得2分。</w:t>
            </w:r>
            <w:r/>
          </w:p>
          <w:p>
            <w:pPr>
              <w:ind w:left="214" w:right="214" w:firstLine="4"/>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注：</w:t>
            </w:r>
            <w:r/>
          </w:p>
          <w:p>
            <w:pPr>
              <w:ind w:left="214" w:right="214" w:firstLine="4"/>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i w:val="0"/>
                <w:iCs w:val="0"/>
                <w:caps w:val="0"/>
                <w:color w:val="0f1115"/>
                <w:spacing w:val="0"/>
                <w:sz w:val="24"/>
                <w:szCs w:val="24"/>
                <w:shd w:val="clear" w:color="auto" w:fill="ffffff"/>
              </w:rPr>
              <w:t xml:space="preserve">上述第1项至第5项为5名固定岗位人员及其对应评分项，各岗位人员不得相互兼任，同一人只能对应一个岗位计分。</w:t>
            </w:r>
            <w:r/>
          </w:p>
          <w:p>
            <w:pPr>
              <w:ind w:left="214" w:right="214" w:firstLine="4"/>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（2）第6项中“额外配备的人员”为投标人自愿增加的人员，该人员不得与其他评分项人员重复。</w:t>
            </w:r>
            <w:r/>
          </w:p>
          <w:p>
            <w:pPr>
              <w:ind w:left="214" w:right="214" w:firstLine="4"/>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（3）第7项人员可为上述固定岗位人员中任意一人兼持。</w:t>
            </w:r>
            <w:r/>
          </w:p>
          <w:p>
            <w:pPr>
              <w:pStyle w:val="726"/>
              <w:ind w:firstLine="240"/>
              <w:rPr>
                <w:rFonts w:hint="eastAsia" w:ascii="宋体" w:hAnsi="宋体" w:eastAsia="宋体" w:cs="宋体"/>
                <w:b w:val="0"/>
                <w:bCs w:val="0"/>
                <w:color w:val="auto"/>
                <w:sz w:val="24"/>
                <w:szCs w:val="24"/>
                <w:lang w:val="zh-CN"/>
              </w:rPr>
            </w:pPr>
            <w:r>
              <w:rPr>
                <w:rFonts w:hint="eastAsia" w:ascii="宋体" w:hAnsi="宋体" w:eastAsia="宋体" w:cs="宋体"/>
                <w:b w:val="0"/>
                <w:bCs w:val="0"/>
                <w:sz w:val="24"/>
                <w:szCs w:val="24"/>
                <w:lang w:val="en-US" w:eastAsia="zh-CN"/>
              </w:rPr>
              <w:t xml:space="preserve">（4）投标人须在投标文件中提供上述人员的证书复印件（加盖公章）及投标人为其缴纳的近三个月社保缴费证明材料</w:t>
            </w:r>
            <w:r>
              <w:rPr>
                <w:rFonts w:hint="eastAsia" w:ascii="宋体" w:hAnsi="宋体" w:cs="宋体"/>
                <w:b w:val="0"/>
                <w:bCs w:val="0"/>
                <w:sz w:val="24"/>
                <w:szCs w:val="24"/>
                <w:lang w:val="en-US" w:eastAsia="zh-CN"/>
              </w:rPr>
              <w:t xml:space="preserve">，</w:t>
            </w:r>
            <w:r>
              <w:rPr>
                <w:rFonts w:hint="eastAsia" w:ascii="宋体" w:hAnsi="宋体" w:eastAsia="宋体" w:cs="Times New Roman"/>
                <w:b/>
                <w:bCs/>
                <w:color w:val="auto"/>
                <w:sz w:val="24"/>
                <w:szCs w:val="20"/>
                <w:highlight w:val="none"/>
                <w:lang w:val="zh-CN" w:eastAsia="zh-CN" w:bidi="ar-SA"/>
              </w:rPr>
              <w:t xml:space="preserve">若公司成立至今或员工入职至今未满足要求提交月份的，提交公司成立至今或员工入职至今的缴纳记录</w:t>
            </w:r>
            <w:r>
              <w:rPr>
                <w:rFonts w:hint="eastAsia" w:ascii="宋体" w:hAnsi="宋体" w:cs="Times New Roman"/>
                <w:b/>
                <w:bCs/>
                <w:color w:val="auto"/>
                <w:sz w:val="24"/>
                <w:szCs w:val="20"/>
                <w:highlight w:val="none"/>
                <w:lang w:val="zh-CN" w:eastAsia="zh-CN" w:bidi="ar-SA"/>
              </w:rPr>
              <w:t xml:space="preserve">，</w:t>
            </w:r>
            <w:r>
              <w:rPr>
                <w:rFonts w:hint="eastAsia" w:ascii="宋体" w:hAnsi="宋体" w:eastAsia="宋体" w:cs="Times New Roman"/>
                <w:b/>
                <w:bCs/>
                <w:color w:val="auto"/>
                <w:sz w:val="24"/>
                <w:szCs w:val="20"/>
                <w:highlight w:val="none"/>
                <w:lang w:val="zh-CN" w:eastAsia="zh-CN" w:bidi="ar-SA"/>
              </w:rPr>
              <w:t xml:space="preserve">注册不到一个月的新公司可不提供社保缴费证明</w:t>
            </w:r>
            <w:r>
              <w:rPr>
                <w:rFonts w:hint="eastAsia" w:ascii="宋体" w:hAnsi="宋体" w:cs="Times New Roman"/>
                <w:b/>
                <w:bCs/>
                <w:color w:val="auto"/>
                <w:sz w:val="24"/>
                <w:szCs w:val="20"/>
                <w:highlight w:val="none"/>
                <w:lang w:val="zh-CN" w:eastAsia="zh-CN" w:bidi="ar-SA"/>
              </w:rPr>
              <w:t xml:space="preserve">）。</w:t>
            </w:r>
            <w:bookmarkEnd w:id="59"/>
            <w:r/>
          </w:p>
        </w:tc>
      </w:tr>
      <w:tr>
        <w:trPr>
          <w:trHeight w:val="642"/>
        </w:trPr>
        <w:tc>
          <w:tcPr>
            <w:tcW w:w="704" w:type="dxa"/>
            <w:vAlign w:val="center"/>
            <w:textDirection w:val="lrTb"/>
            <w:noWrap w:val="false"/>
          </w:tcPr>
          <w:p>
            <w:pPr>
              <w:jc w:val="center"/>
              <w:spacing w:before="78" w:line="183" w:lineRule="auto"/>
              <w:widowControl/>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rPr>
              <w:t xml:space="preserve">3</w:t>
            </w:r>
            <w:r/>
          </w:p>
        </w:tc>
        <w:tc>
          <w:tcPr>
            <w:tcW w:w="1559" w:type="dxa"/>
            <w:vAlign w:val="center"/>
            <w:textDirection w:val="lrTb"/>
            <w:noWrap w:val="false"/>
          </w:tcPr>
          <w:p>
            <w:pPr>
              <w:jc w:val="center"/>
              <w:spacing w:before="269" w:line="360" w:lineRule="exact"/>
              <w:widowControl/>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rPr>
              <w:t xml:space="preserve">企业业绩</w:t>
            </w:r>
            <w:r/>
          </w:p>
        </w:tc>
        <w:tc>
          <w:tcPr>
            <w:tcW w:w="851" w:type="dxa"/>
            <w:vAlign w:val="center"/>
            <w:textDirection w:val="lrTb"/>
            <w:noWrap w:val="false"/>
          </w:tcPr>
          <w:p>
            <w:pPr>
              <w:jc w:val="cente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10</w:t>
            </w:r>
            <w:r/>
          </w:p>
        </w:tc>
        <w:tc>
          <w:tcPr>
            <w:tcW w:w="6525" w:type="dxa"/>
            <w:vAlign w:val="center"/>
            <w:textDirection w:val="lrTb"/>
            <w:noWrap w:val="false"/>
          </w:tcPr>
          <w:p>
            <w:pPr>
              <w:ind w:left="214" w:right="214" w:firstLine="4"/>
              <w:spacing w:before="87" w:line="258" w:lineRule="auto"/>
              <w:widowControl/>
              <w:rPr>
                <w:rFonts w:hint="eastAsia" w:ascii="宋体" w:hAnsi="宋体" w:eastAsia="宋体" w:cs="宋体"/>
                <w:b w:val="0"/>
                <w:bCs w:val="0"/>
                <w:i w:val="0"/>
                <w:iCs w:val="0"/>
                <w:caps w:val="0"/>
                <w:color w:val="0f1115"/>
                <w:spacing w:val="0"/>
                <w:sz w:val="24"/>
                <w:szCs w:val="24"/>
                <w:shd w:val="clear" w:color="auto" w:fill="ffffff"/>
              </w:rPr>
            </w:pPr>
            <w:r>
              <w:rPr>
                <w:rFonts w:hint="eastAsia" w:ascii="宋体" w:hAnsi="宋体" w:eastAsia="宋体" w:cs="宋体"/>
                <w:b w:val="0"/>
                <w:bCs w:val="0"/>
                <w:i w:val="0"/>
                <w:iCs w:val="0"/>
                <w:caps w:val="0"/>
                <w:color w:val="0f1115"/>
                <w:spacing w:val="0"/>
                <w:sz w:val="24"/>
                <w:szCs w:val="24"/>
                <w:shd w:val="clear" w:color="auto" w:fill="ffffff"/>
              </w:rPr>
              <w:t xml:space="preserve">投标供应商自2023年1月1日以来（以合同签订时间为准）具有同时涵盖农村生活污水设施运维和泵站运维的项目业绩，每提供一个得2分，最多得10分。</w:t>
            </w:r>
            <w:r/>
          </w:p>
          <w:p>
            <w:pPr>
              <w:pStyle w:val="726"/>
              <w:ind w:left="214" w:right="214" w:firstLine="4"/>
              <w:rPr>
                <w:rFonts w:hint="eastAsia" w:ascii="宋体" w:hAnsi="宋体" w:eastAsia="宋体" w:cs="宋体"/>
                <w:b w:val="0"/>
                <w:bCs w:val="0"/>
                <w:sz w:val="24"/>
                <w:szCs w:val="24"/>
                <w:lang w:val="zh-CN" w:eastAsia="zh-CN"/>
              </w:rPr>
            </w:pPr>
            <w:r>
              <w:rPr>
                <w:rFonts w:hint="eastAsia" w:ascii="宋体" w:hAnsi="宋体" w:eastAsia="宋体" w:cs="宋体"/>
                <w:b w:val="0"/>
                <w:bCs w:val="0"/>
                <w:i w:val="0"/>
                <w:iCs w:val="0"/>
                <w:caps w:val="0"/>
                <w:color w:val="0f1115"/>
                <w:spacing w:val="0"/>
                <w:sz w:val="24"/>
                <w:szCs w:val="24"/>
                <w:shd w:val="clear" w:color="auto" w:fill="ffffff"/>
              </w:rPr>
              <w:t xml:space="preserve">注：须提供中标通知书及合同复印件，合同须明确包含上述两类服务内容；仅含单项服务内容的合同不予计分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tc>
      </w:tr>
      <w:tr>
        <w:trPr>
          <w:trHeight w:val="642"/>
        </w:trPr>
        <w:tc>
          <w:tcPr>
            <w:tcW w:w="704" w:type="dxa"/>
            <w:vAlign w:val="center"/>
            <w:textDirection w:val="lrTb"/>
            <w:noWrap w:val="false"/>
          </w:tcPr>
          <w:p>
            <w:pPr>
              <w:jc w:val="center"/>
              <w:spacing w:before="78" w:line="183"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w:t>
            </w:r>
            <w:r/>
          </w:p>
        </w:tc>
        <w:tc>
          <w:tcPr>
            <w:tcW w:w="1559" w:type="dxa"/>
            <w:vAlign w:val="center"/>
            <w:textDirection w:val="lrTb"/>
            <w:noWrap w:val="false"/>
          </w:tcPr>
          <w:p>
            <w:pPr>
              <w:jc w:val="center"/>
              <w:spacing w:before="78" w:line="220" w:lineRule="auto"/>
              <w:widowControl/>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rPr>
              <w:t xml:space="preserve">投标人综合情况</w:t>
            </w:r>
            <w:r/>
          </w:p>
        </w:tc>
        <w:tc>
          <w:tcPr>
            <w:tcW w:w="851"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19</w:t>
            </w:r>
            <w:r/>
          </w:p>
        </w:tc>
        <w:tc>
          <w:tcPr>
            <w:tcW w:w="6525" w:type="dxa"/>
            <w:vAlign w:val="center"/>
            <w:textDirection w:val="lrTb"/>
            <w:noWrap w:val="false"/>
          </w:tcPr>
          <w:p>
            <w:pPr>
              <w:ind w:left="214" w:right="214" w:firstLine="4"/>
              <w:keepLines w:val="0"/>
              <w:keepNext w:val="0"/>
              <w:pageBreakBefore w:val="0"/>
              <w:spacing w:line="240" w:lineRule="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投标供应商具有</w:t>
            </w:r>
            <w:r>
              <w:rPr>
                <w:rFonts w:hint="eastAsia" w:ascii="宋体" w:hAnsi="宋体" w:eastAsia="宋体" w:cs="宋体"/>
                <w:b w:val="0"/>
                <w:bCs w:val="0"/>
                <w:color w:val="auto"/>
                <w:sz w:val="24"/>
                <w:szCs w:val="24"/>
                <w:lang w:val="en-US" w:eastAsia="zh-CN"/>
              </w:rPr>
              <w:t xml:space="preserve">社会责任</w:t>
            </w:r>
            <w:r>
              <w:rPr>
                <w:rFonts w:hint="eastAsia" w:ascii="宋体" w:hAnsi="宋体" w:eastAsia="宋体" w:cs="宋体"/>
                <w:b w:val="0"/>
                <w:bCs w:val="0"/>
                <w:color w:val="auto"/>
                <w:sz w:val="24"/>
                <w:szCs w:val="24"/>
              </w:rPr>
              <w:t xml:space="preserve">管理体系认证证书的，得</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分；</w:t>
            </w:r>
            <w:r/>
          </w:p>
          <w:p>
            <w:pPr>
              <w:ind w:left="214" w:right="214" w:firstLine="4"/>
              <w:keepLines w:val="0"/>
              <w:keepNext w:val="0"/>
              <w:pageBreakBefore w:val="0"/>
              <w:spacing w:line="240" w:lineRule="auto"/>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、投标供应商具有诚信管理体系认证证书</w:t>
            </w:r>
            <w:r>
              <w:rPr>
                <w:rFonts w:hint="eastAsia" w:ascii="宋体" w:hAnsi="宋体" w:eastAsia="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得</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分</w:t>
            </w:r>
            <w:r>
              <w:rPr>
                <w:rFonts w:hint="eastAsia" w:ascii="宋体" w:hAnsi="宋体" w:eastAsia="宋体" w:cs="宋体"/>
                <w:b w:val="0"/>
                <w:bCs w:val="0"/>
                <w:color w:val="auto"/>
                <w:sz w:val="24"/>
                <w:szCs w:val="24"/>
                <w:lang w:val="en-US" w:eastAsia="zh-CN"/>
              </w:rPr>
              <w:t xml:space="preserve">；</w:t>
            </w:r>
            <w:r/>
          </w:p>
          <w:p>
            <w:pPr>
              <w:pStyle w:val="726"/>
              <w:ind w:left="214" w:right="214" w:firstLine="4"/>
              <w:keepLines w:val="0"/>
              <w:keepNext w:val="0"/>
              <w:pageBreakBefore w:val="0"/>
              <w:spacing w:after="0" w:line="240" w:lineRule="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投标供应商具有</w:t>
            </w:r>
            <w:r>
              <w:rPr>
                <w:rFonts w:hint="eastAsia" w:ascii="宋体" w:hAnsi="宋体" w:eastAsia="宋体" w:cs="宋体"/>
                <w:b w:val="0"/>
                <w:bCs w:val="0"/>
                <w:color w:val="auto"/>
                <w:sz w:val="24"/>
                <w:szCs w:val="24"/>
                <w:lang w:val="en-US" w:eastAsia="zh-CN"/>
              </w:rPr>
              <w:t xml:space="preserve">信息安全管理体系认证证书的，得3分。</w:t>
            </w:r>
            <w:r/>
          </w:p>
          <w:p>
            <w:pPr>
              <w:ind w:left="214" w:right="214" w:firstLine="4"/>
              <w:keepLines w:val="0"/>
              <w:keepNext w:val="0"/>
              <w:pageBreakBefore w:val="0"/>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、投标供应商具有ISO9001质量管理体系、ISO14001环境管理体系、ISO45001职业健康管理体系认证证书</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有1个得</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分，最多得</w:t>
            </w: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分。</w:t>
            </w:r>
            <w:r/>
          </w:p>
          <w:p>
            <w:pPr>
              <w:pStyle w:val="726"/>
              <w:ind w:left="214" w:right="214" w:firstLine="4"/>
              <w:keepLines w:val="0"/>
              <w:keepNext w:val="0"/>
              <w:pageBreakBefore w:val="0"/>
              <w:spacing w:after="0"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（注：上述第</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项，证书</w:t>
            </w:r>
            <w:r>
              <w:rPr>
                <w:rFonts w:hint="eastAsia" w:ascii="宋体" w:hAnsi="宋体" w:eastAsia="宋体" w:cs="宋体"/>
                <w:b w:val="0"/>
                <w:bCs w:val="0"/>
                <w:color w:val="auto"/>
                <w:sz w:val="24"/>
                <w:szCs w:val="24"/>
              </w:rPr>
              <w:t xml:space="preserve">认证范围须包含农村生活污水处理设施</w:t>
            </w:r>
            <w:r>
              <w:rPr>
                <w:rFonts w:hint="eastAsia" w:ascii="宋体" w:hAnsi="宋体" w:eastAsia="宋体" w:cs="宋体"/>
                <w:b w:val="0"/>
                <w:bCs w:val="0"/>
                <w:color w:val="auto"/>
                <w:sz w:val="24"/>
                <w:szCs w:val="24"/>
                <w:lang w:val="en-US" w:eastAsia="zh-CN"/>
              </w:rPr>
              <w:t xml:space="preserve">及污水泵站市政设施</w:t>
            </w:r>
            <w:r>
              <w:rPr>
                <w:rFonts w:hint="eastAsia" w:ascii="宋体" w:hAnsi="宋体" w:eastAsia="宋体" w:cs="宋体"/>
                <w:b w:val="0"/>
                <w:bCs w:val="0"/>
                <w:color w:val="auto"/>
                <w:sz w:val="24"/>
                <w:szCs w:val="24"/>
              </w:rPr>
              <w:t xml:space="preserve">管理服务</w:t>
            </w:r>
            <w:r>
              <w:rPr>
                <w:rFonts w:hint="eastAsia" w:ascii="宋体" w:hAnsi="宋体" w:eastAsia="宋体" w:cs="宋体"/>
                <w:b w:val="0"/>
                <w:bCs w:val="0"/>
                <w:color w:val="auto"/>
                <w:sz w:val="24"/>
                <w:szCs w:val="24"/>
                <w:lang w:val="en-US" w:eastAsia="zh-CN"/>
              </w:rPr>
              <w:t xml:space="preserve">；以上认证证书均在有效期内，提供认证证书扫描件及国家市场监督管理总局全国认证认可信息公共服务平台证书查询页面公示截图加盖公章，否则不得分）。</w:t>
            </w:r>
            <w:r/>
          </w:p>
          <w:p>
            <w:pPr>
              <w:ind w:left="214" w:right="214" w:firstLine="4"/>
              <w:keepLines w:val="0"/>
              <w:keepNext w:val="0"/>
              <w:pageBreakBefore w:val="0"/>
              <w:spacing w:line="240" w:lineRule="auto"/>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5</w:t>
            </w:r>
            <w:r>
              <w:rPr>
                <w:rFonts w:hint="eastAsia" w:ascii="宋体" w:hAnsi="宋体" w:eastAsia="宋体" w:cs="宋体"/>
                <w:b w:val="0"/>
                <w:bCs w:val="0"/>
                <w:color w:val="auto"/>
                <w:sz w:val="24"/>
                <w:szCs w:val="24"/>
                <w:lang w:val="en-US" w:eastAsia="zh-CN" w:bidi="ar-SA"/>
              </w:rPr>
              <w:t xml:space="preserve">、投标供应商主编（参编）过投标项目相关标准的主编（参编）项目的，有1个的，得2分，本项最多得4分。以主编（参编）单位目录页或相关证明材料为准。</w:t>
            </w:r>
            <w:r/>
          </w:p>
          <w:p>
            <w:pPr>
              <w:ind w:left="214" w:right="214" w:firstLine="4"/>
              <w:keepLines w:val="0"/>
              <w:keepNext w:val="0"/>
              <w:pageBreakBefore w:val="0"/>
              <w:spacing w:line="240" w:lineRule="auto"/>
              <w:widowControl/>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bidi="ar-SA"/>
              </w:rPr>
              <w:t xml:space="preserve">注：以上评分标准所需认证证书均需在招标公告发布之前注册办理，否则均属无效，不得分。</w:t>
            </w:r>
            <w:r/>
          </w:p>
        </w:tc>
      </w:tr>
      <w:tr>
        <w:trPr>
          <w:trHeight w:val="416"/>
        </w:trPr>
        <w:tc>
          <w:tcPr>
            <w:tcW w:w="704" w:type="dxa"/>
            <w:vAlign w:val="center"/>
            <w:textDirection w:val="lrTb"/>
            <w:noWrap w:val="false"/>
          </w:tcPr>
          <w:p>
            <w:pPr>
              <w:jc w:val="center"/>
              <w:spacing w:before="78" w:line="183" w:lineRule="auto"/>
              <w:widowControl/>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5</w:t>
            </w:r>
            <w:r/>
          </w:p>
        </w:tc>
        <w:tc>
          <w:tcPr>
            <w:tcW w:w="1559" w:type="dxa"/>
            <w:vAlign w:val="center"/>
            <w:textDirection w:val="lrTb"/>
            <w:noWrap w:val="false"/>
          </w:tcPr>
          <w:p>
            <w:pPr>
              <w:jc w:val="center"/>
              <w:spacing w:before="298" w:line="22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sz w:val="24"/>
                <w:szCs w:val="24"/>
                <w:lang w:val="zh-CN"/>
              </w:rPr>
              <w:t xml:space="preserve">对本项目熟悉情况</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10</w:t>
            </w:r>
            <w:r/>
          </w:p>
        </w:tc>
        <w:tc>
          <w:tcPr>
            <w:shd w:val="clear" w:color="auto" w:fill="auto"/>
            <w:tcW w:w="6525" w:type="dxa"/>
            <w:vAlign w:val="center"/>
            <w:textDirection w:val="lrTb"/>
            <w:noWrap w:val="false"/>
          </w:tcPr>
          <w:p>
            <w:pPr>
              <w:ind w:left="216" w:right="214" w:firstLine="0"/>
              <w:jc w:val="left"/>
              <w:keepLines w:val="0"/>
              <w:keepNext w:val="0"/>
              <w:pageBreakBefore w:val="0"/>
              <w:spacing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zh-CN" w:eastAsia="zh-CN" w:bidi="ar-SA"/>
              </w:rPr>
              <w:t xml:space="preserve">投标人对本项目自行勘察并提供现场清晰照片及污水处理设备、</w:t>
            </w:r>
            <w:r>
              <w:rPr>
                <w:rFonts w:hint="eastAsia" w:ascii="宋体" w:hAnsi="宋体" w:eastAsia="宋体" w:cs="宋体"/>
                <w:b w:val="0"/>
                <w:bCs w:val="0"/>
                <w:color w:val="auto"/>
                <w:sz w:val="24"/>
                <w:szCs w:val="24"/>
                <w:lang w:val="en-US" w:eastAsia="zh-CN" w:bidi="ar-SA"/>
              </w:rPr>
              <w:t xml:space="preserve">污水泵站</w:t>
            </w:r>
            <w:r>
              <w:rPr>
                <w:rFonts w:hint="eastAsia" w:ascii="宋体" w:hAnsi="宋体" w:eastAsia="宋体" w:cs="宋体"/>
                <w:b w:val="0"/>
                <w:bCs w:val="0"/>
                <w:color w:val="auto"/>
                <w:sz w:val="24"/>
                <w:szCs w:val="24"/>
                <w:lang w:val="zh-CN" w:eastAsia="zh-CN" w:bidi="ar-SA"/>
              </w:rPr>
              <w:t xml:space="preserve">概况（设备准确位置，运行情况，</w:t>
            </w:r>
            <w:r>
              <w:rPr>
                <w:rFonts w:hint="eastAsia" w:ascii="宋体" w:hAnsi="宋体" w:eastAsia="宋体" w:cs="宋体"/>
                <w:b w:val="0"/>
                <w:bCs w:val="0"/>
                <w:color w:val="auto"/>
                <w:sz w:val="24"/>
                <w:szCs w:val="24"/>
                <w:lang w:val="en-US" w:eastAsia="zh-CN" w:bidi="ar-SA"/>
              </w:rPr>
              <w:t xml:space="preserve">配套设施</w:t>
            </w:r>
            <w:r>
              <w:rPr>
                <w:rFonts w:hint="eastAsia" w:ascii="宋体" w:hAnsi="宋体" w:eastAsia="宋体" w:cs="宋体"/>
                <w:b w:val="0"/>
                <w:bCs w:val="0"/>
                <w:color w:val="auto"/>
                <w:sz w:val="24"/>
                <w:szCs w:val="24"/>
                <w:lang w:val="zh-CN" w:eastAsia="zh-CN" w:bidi="ar-SA"/>
              </w:rPr>
              <w:t xml:space="preserve">情况等），根据资料齐全程度进行综合打分，提供的资料完整、全面的得</w:t>
            </w:r>
            <w:r>
              <w:rPr>
                <w:rFonts w:hint="eastAsia" w:ascii="宋体" w:hAnsi="宋体" w:eastAsia="宋体" w:cs="宋体"/>
                <w:b w:val="0"/>
                <w:bCs w:val="0"/>
                <w:color w:val="auto"/>
                <w:sz w:val="24"/>
                <w:szCs w:val="24"/>
                <w:lang w:val="en-US" w:eastAsia="zh-CN" w:bidi="ar-SA"/>
              </w:rPr>
              <w:t xml:space="preserve">10</w:t>
            </w:r>
            <w:r>
              <w:rPr>
                <w:rFonts w:hint="eastAsia" w:ascii="宋体" w:hAnsi="宋体" w:eastAsia="宋体" w:cs="宋体"/>
                <w:b w:val="0"/>
                <w:bCs w:val="0"/>
                <w:color w:val="auto"/>
                <w:sz w:val="24"/>
                <w:szCs w:val="24"/>
                <w:lang w:val="zh-CN" w:eastAsia="zh-CN" w:bidi="ar-SA"/>
              </w:rPr>
              <w:t xml:space="preserve">分，提供的资料较完整、较全面的得</w:t>
            </w:r>
            <w:r>
              <w:rPr>
                <w:rFonts w:hint="eastAsia" w:ascii="宋体" w:hAnsi="宋体"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分，提供</w:t>
            </w:r>
            <w:r>
              <w:rPr>
                <w:rFonts w:hint="eastAsia" w:ascii="宋体" w:hAnsi="宋体" w:eastAsia="宋体" w:cs="宋体"/>
                <w:b w:val="0"/>
                <w:bCs w:val="0"/>
                <w:color w:val="auto"/>
                <w:sz w:val="24"/>
                <w:szCs w:val="24"/>
                <w:lang w:val="zh-CN" w:eastAsia="zh-CN" w:bidi="ar-SA"/>
              </w:rPr>
              <w:t xml:space="preserve">的资料不完整、有缺失的得</w:t>
            </w:r>
            <w:r>
              <w:rPr>
                <w:rFonts w:hint="eastAsia" w:ascii="宋体" w:hAnsi="宋体" w:eastAsia="宋体" w:cs="宋体"/>
                <w:b w:val="0"/>
                <w:bCs w:val="0"/>
                <w:color w:val="auto"/>
                <w:sz w:val="24"/>
                <w:szCs w:val="24"/>
                <w:lang w:val="en-US" w:eastAsia="zh-CN" w:bidi="ar-SA"/>
              </w:rPr>
              <w:t xml:space="preserve">2</w:t>
            </w:r>
            <w:r>
              <w:rPr>
                <w:rFonts w:hint="eastAsia" w:ascii="宋体" w:hAnsi="宋体" w:eastAsia="宋体" w:cs="宋体"/>
                <w:b w:val="0"/>
                <w:bCs w:val="0"/>
                <w:color w:val="auto"/>
                <w:sz w:val="24"/>
                <w:szCs w:val="24"/>
                <w:lang w:val="zh-CN" w:eastAsia="zh-CN" w:bidi="ar-SA"/>
              </w:rPr>
              <w:t xml:space="preserve">分，未提供的不得分。</w:t>
            </w:r>
            <w:r/>
          </w:p>
        </w:tc>
      </w:tr>
      <w:tr>
        <w:trPr>
          <w:trHeight w:val="416"/>
        </w:trPr>
        <w:tc>
          <w:tcPr>
            <w:tcW w:w="704" w:type="dxa"/>
            <w:vAlign w:val="center"/>
            <w:textDirection w:val="lrTb"/>
            <w:noWrap w:val="false"/>
          </w:tcPr>
          <w:p>
            <w:pPr>
              <w:jc w:val="center"/>
              <w:spacing w:before="78" w:line="183" w:lineRule="auto"/>
              <w:widowControl/>
              <w:rPr>
                <w:rFonts w:hint="eastAsia" w:ascii="宋体" w:hAnsi="宋体" w:eastAsia="宋体" w:cs="宋体"/>
                <w:b w:val="0"/>
                <w:bCs w:val="0"/>
                <w:color w:val="000000"/>
                <w:sz w:val="24"/>
                <w:szCs w:val="24"/>
                <w:lang w:eastAsia="zh-CN"/>
              </w:rPr>
            </w:pPr>
            <w:r>
              <w:rPr>
                <w:rFonts w:hint="eastAsia" w:ascii="宋体" w:hAnsi="宋体" w:cs="宋体"/>
                <w:b w:val="0"/>
                <w:bCs w:val="0"/>
                <w:color w:val="000000"/>
                <w:sz w:val="24"/>
                <w:szCs w:val="24"/>
                <w:lang w:val="en-US" w:eastAsia="zh-CN"/>
              </w:rPr>
              <w:t xml:space="preserve">6</w:t>
            </w:r>
            <w:r/>
          </w:p>
        </w:tc>
        <w:tc>
          <w:tcPr>
            <w:tcW w:w="1559" w:type="dxa"/>
            <w:vAlign w:val="center"/>
            <w:textDirection w:val="lrTb"/>
            <w:noWrap w:val="false"/>
          </w:tcPr>
          <w:p>
            <w:pPr>
              <w:jc w:val="center"/>
              <w:spacing w:before="298" w:line="22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日常维护方案</w:t>
            </w:r>
            <w:r/>
          </w:p>
        </w:tc>
        <w:tc>
          <w:tcPr>
            <w:tcW w:w="851" w:type="dxa"/>
            <w:vAlign w:val="center"/>
            <w:textDirection w:val="lrTb"/>
            <w:noWrap w:val="false"/>
          </w:tcPr>
          <w:p>
            <w:pPr>
              <w:jc w:val="center"/>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4</w:t>
            </w:r>
            <w:r/>
          </w:p>
        </w:tc>
        <w:tc>
          <w:tcPr>
            <w:tcW w:w="6525" w:type="dxa"/>
            <w:vAlign w:val="center"/>
            <w:textDirection w:val="lrTb"/>
            <w:noWrap w:val="false"/>
          </w:tcPr>
          <w:p>
            <w:pPr>
              <w:ind w:left="216" w:right="214" w:firstLine="0"/>
              <w:spacing w:before="140" w:line="25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对村级污水处理设施</w:t>
            </w:r>
            <w:r>
              <w:rPr>
                <w:rFonts w:hint="eastAsia" w:ascii="宋体" w:hAnsi="宋体" w:eastAsia="宋体" w:cs="宋体"/>
                <w:b w:val="0"/>
                <w:bCs w:val="0"/>
                <w:color w:val="auto"/>
                <w:sz w:val="24"/>
                <w:szCs w:val="24"/>
                <w:lang w:val="en-US" w:eastAsia="zh-CN"/>
              </w:rPr>
              <w:t xml:space="preserve">及泵站</w:t>
            </w:r>
            <w:r>
              <w:rPr>
                <w:rFonts w:hint="eastAsia" w:ascii="宋体" w:hAnsi="宋体" w:eastAsia="宋体" w:cs="宋体"/>
                <w:b w:val="0"/>
                <w:bCs w:val="0"/>
                <w:color w:val="auto"/>
                <w:sz w:val="24"/>
                <w:szCs w:val="24"/>
              </w:rPr>
              <w:t xml:space="preserve">运行、维护及安全技术规程进行合理打分，方案措施完整、科学、可操作性强的得</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分，较强的得</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分，一般的得 </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分，不提供或全部不符合不得分。</w:t>
            </w:r>
            <w:r/>
          </w:p>
        </w:tc>
      </w:tr>
      <w:tr>
        <w:trPr>
          <w:trHeight w:val="353"/>
        </w:trPr>
        <w:tc>
          <w:tcPr>
            <w:tcW w:w="704" w:type="dxa"/>
            <w:vAlign w:val="center"/>
            <w:textDirection w:val="lrTb"/>
            <w:noWrap w:val="false"/>
          </w:tcPr>
          <w:p>
            <w:pPr>
              <w:jc w:val="center"/>
              <w:spacing w:before="78" w:line="184" w:lineRule="auto"/>
              <w:widowControl/>
              <w:rPr>
                <w:rFonts w:hint="eastAsia" w:ascii="宋体" w:hAnsi="宋体" w:eastAsia="宋体" w:cs="宋体"/>
                <w:b w:val="0"/>
                <w:bCs w:val="0"/>
                <w:color w:val="000000"/>
                <w:sz w:val="24"/>
                <w:szCs w:val="24"/>
                <w:lang w:eastAsia="zh-CN"/>
              </w:rPr>
            </w:pPr>
            <w:r>
              <w:rPr>
                <w:rFonts w:hint="eastAsia" w:ascii="宋体" w:hAnsi="宋体" w:cs="宋体"/>
                <w:b w:val="0"/>
                <w:bCs w:val="0"/>
                <w:color w:val="000000"/>
                <w:sz w:val="24"/>
                <w:szCs w:val="24"/>
                <w:lang w:val="en-US" w:eastAsia="zh-CN"/>
              </w:rPr>
              <w:t xml:space="preserve">7</w:t>
            </w:r>
            <w:r/>
          </w:p>
        </w:tc>
        <w:tc>
          <w:tcPr>
            <w:tcW w:w="1559" w:type="dxa"/>
            <w:vAlign w:val="center"/>
            <w:textDirection w:val="lrTb"/>
            <w:noWrap w:val="false"/>
          </w:tcPr>
          <w:p>
            <w:pPr>
              <w:jc w:val="center"/>
              <w:spacing w:before="78" w:line="22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日常设备检修的管理方案</w:t>
            </w:r>
            <w:r/>
          </w:p>
        </w:tc>
        <w:tc>
          <w:tcPr>
            <w:tcW w:w="851" w:type="dxa"/>
            <w:vAlign w:val="center"/>
            <w:textDirection w:val="lrTb"/>
            <w:noWrap w:val="false"/>
          </w:tcPr>
          <w:p>
            <w:pPr>
              <w:jc w:val="center"/>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4</w:t>
            </w:r>
            <w:r/>
          </w:p>
        </w:tc>
        <w:tc>
          <w:tcPr>
            <w:tcW w:w="6525" w:type="dxa"/>
            <w:vAlign w:val="center"/>
            <w:textDirection w:val="lrTb"/>
            <w:noWrap w:val="false"/>
          </w:tcPr>
          <w:p>
            <w:pPr>
              <w:ind w:left="216" w:right="214" w:firstLine="0"/>
              <w:spacing w:before="39" w:line="22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对设备巡检的实施方案，常规检修的人员安排进行合理打分。</w:t>
            </w:r>
            <w:r/>
          </w:p>
          <w:p>
            <w:pPr>
              <w:ind w:left="216" w:right="214" w:firstLine="0"/>
              <w:spacing w:before="26"/>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管理方案完整、科学、可操作性强的得 </w:t>
            </w: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rPr>
              <w:t xml:space="preserve">分；</w:t>
            </w:r>
            <w:r/>
          </w:p>
          <w:p>
            <w:pPr>
              <w:ind w:left="216" w:right="214" w:firstLine="0"/>
              <w:spacing w:before="1" w:line="218"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管理方案基本完整、可操作性一般的得</w:t>
            </w:r>
            <w:r>
              <w:rPr>
                <w:rFonts w:hint="eastAsia" w:ascii="宋体" w:hAnsi="宋体" w:eastAsia="宋体" w:cs="宋体"/>
                <w:b w:val="0"/>
                <w:bCs w:val="0"/>
                <w:color w:val="000000"/>
                <w:sz w:val="24"/>
                <w:szCs w:val="24"/>
                <w:lang w:val="en-US" w:eastAsia="zh-CN"/>
              </w:rPr>
              <w:t xml:space="preserve"> 2</w:t>
            </w:r>
            <w:r>
              <w:rPr>
                <w:rFonts w:hint="eastAsia" w:ascii="宋体" w:hAnsi="宋体" w:eastAsia="宋体" w:cs="宋体"/>
                <w:b w:val="0"/>
                <w:bCs w:val="0"/>
                <w:color w:val="000000"/>
                <w:sz w:val="24"/>
                <w:szCs w:val="24"/>
              </w:rPr>
              <w:t xml:space="preserve">分；</w:t>
            </w:r>
            <w:r/>
          </w:p>
          <w:p>
            <w:pPr>
              <w:ind w:left="216" w:right="214" w:firstLine="0"/>
              <w:spacing w:before="27" w:line="228"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管理方案不够完整、可操作性欠缺的得</w:t>
            </w: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分，不提供或全部不符合不得分。</w:t>
            </w:r>
            <w:r/>
          </w:p>
        </w:tc>
      </w:tr>
      <w:tr>
        <w:trPr>
          <w:trHeight w:val="415"/>
        </w:trPr>
        <w:tc>
          <w:tcPr>
            <w:tcW w:w="704" w:type="dxa"/>
            <w:vAlign w:val="center"/>
            <w:textDirection w:val="lrTb"/>
            <w:noWrap w:val="false"/>
          </w:tcPr>
          <w:p>
            <w:pPr>
              <w:jc w:val="center"/>
              <w:spacing w:before="78" w:line="181" w:lineRule="auto"/>
              <w:widowControl/>
              <w:rPr>
                <w:rFonts w:hint="eastAsia" w:ascii="宋体" w:hAnsi="宋体" w:eastAsia="宋体" w:cs="宋体"/>
                <w:b w:val="0"/>
                <w:bCs w:val="0"/>
                <w:color w:val="000000"/>
                <w:sz w:val="24"/>
                <w:szCs w:val="24"/>
                <w:lang w:eastAsia="zh-CN"/>
              </w:rPr>
            </w:pPr>
            <w:r>
              <w:rPr>
                <w:rFonts w:hint="eastAsia" w:ascii="宋体" w:hAnsi="宋体" w:cs="宋体"/>
                <w:b w:val="0"/>
                <w:bCs w:val="0"/>
                <w:color w:val="000000"/>
                <w:sz w:val="24"/>
                <w:szCs w:val="24"/>
                <w:lang w:val="en-US" w:eastAsia="zh-CN"/>
              </w:rPr>
              <w:t xml:space="preserve">8</w:t>
            </w:r>
            <w:r/>
          </w:p>
        </w:tc>
        <w:tc>
          <w:tcPr>
            <w:tcW w:w="155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污水处理</w:t>
            </w:r>
            <w:r>
              <w:rPr>
                <w:rFonts w:hint="eastAsia" w:ascii="宋体" w:hAnsi="宋体" w:eastAsia="宋体" w:cs="宋体"/>
                <w:b w:val="0"/>
                <w:bCs w:val="0"/>
                <w:color w:val="000000"/>
                <w:sz w:val="24"/>
                <w:szCs w:val="24"/>
                <w:lang w:val="en-US" w:eastAsia="zh-CN"/>
              </w:rPr>
              <w:t xml:space="preserve">设施</w:t>
            </w:r>
            <w:r>
              <w:rPr>
                <w:rFonts w:hint="eastAsia" w:ascii="宋体" w:hAnsi="宋体" w:eastAsia="宋体" w:cs="宋体"/>
                <w:b w:val="0"/>
                <w:bCs w:val="0"/>
                <w:color w:val="000000"/>
                <w:sz w:val="24"/>
                <w:szCs w:val="24"/>
              </w:rPr>
              <w:t xml:space="preserve">站</w:t>
            </w:r>
            <w:r>
              <w:rPr>
                <w:rFonts w:hint="eastAsia" w:ascii="宋体" w:hAnsi="宋体" w:eastAsia="宋体" w:cs="宋体"/>
                <w:b w:val="0"/>
                <w:bCs w:val="0"/>
                <w:color w:val="000000"/>
                <w:sz w:val="24"/>
                <w:szCs w:val="24"/>
                <w:lang w:val="en-US" w:eastAsia="zh-CN"/>
              </w:rPr>
              <w:t xml:space="preserve">点及污水泵站</w:t>
            </w:r>
            <w:r>
              <w:rPr>
                <w:rFonts w:hint="eastAsia" w:ascii="宋体" w:hAnsi="宋体" w:eastAsia="宋体" w:cs="宋体"/>
                <w:b w:val="0"/>
                <w:bCs w:val="0"/>
                <w:color w:val="000000"/>
                <w:sz w:val="24"/>
                <w:szCs w:val="24"/>
              </w:rPr>
              <w:t xml:space="preserve">突发环境事故应急预案</w:t>
            </w:r>
            <w:r/>
          </w:p>
        </w:tc>
        <w:tc>
          <w:tcPr>
            <w:tcW w:w="851" w:type="dxa"/>
            <w:vAlign w:val="center"/>
            <w:textDirection w:val="lrTb"/>
            <w:noWrap w:val="false"/>
          </w:tcPr>
          <w:p>
            <w:pPr>
              <w:jc w:val="center"/>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4</w:t>
            </w:r>
            <w:r/>
          </w:p>
        </w:tc>
        <w:tc>
          <w:tcPr>
            <w:tcW w:w="6525" w:type="dxa"/>
            <w:vAlign w:val="center"/>
            <w:textDirection w:val="lrTb"/>
            <w:noWrap w:val="false"/>
          </w:tcPr>
          <w:p>
            <w:pPr>
              <w:ind w:left="216" w:right="214" w:firstLine="0"/>
              <w:spacing w:before="39" w:line="22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对</w:t>
            </w:r>
            <w:r>
              <w:rPr>
                <w:rFonts w:hint="eastAsia" w:ascii="宋体" w:hAnsi="宋体" w:eastAsia="宋体" w:cs="宋体"/>
                <w:b w:val="0"/>
                <w:bCs w:val="0"/>
                <w:color w:val="000000"/>
                <w:sz w:val="24"/>
                <w:szCs w:val="24"/>
              </w:rPr>
              <w:t xml:space="preserve">污水处理</w:t>
            </w:r>
            <w:r>
              <w:rPr>
                <w:rFonts w:hint="eastAsia" w:ascii="宋体" w:hAnsi="宋体" w:eastAsia="宋体" w:cs="宋体"/>
                <w:b w:val="0"/>
                <w:bCs w:val="0"/>
                <w:color w:val="000000"/>
                <w:sz w:val="24"/>
                <w:szCs w:val="24"/>
                <w:lang w:val="en-US" w:eastAsia="zh-CN"/>
              </w:rPr>
              <w:t xml:space="preserve">设施</w:t>
            </w:r>
            <w:r>
              <w:rPr>
                <w:rFonts w:hint="eastAsia" w:ascii="宋体" w:hAnsi="宋体" w:eastAsia="宋体" w:cs="宋体"/>
                <w:b w:val="0"/>
                <w:bCs w:val="0"/>
                <w:color w:val="000000"/>
                <w:sz w:val="24"/>
                <w:szCs w:val="24"/>
              </w:rPr>
              <w:t xml:space="preserve">站</w:t>
            </w:r>
            <w:r>
              <w:rPr>
                <w:rFonts w:hint="eastAsia" w:ascii="宋体" w:hAnsi="宋体" w:eastAsia="宋体" w:cs="宋体"/>
                <w:b w:val="0"/>
                <w:bCs w:val="0"/>
                <w:color w:val="000000"/>
                <w:sz w:val="24"/>
                <w:szCs w:val="24"/>
                <w:lang w:val="en-US" w:eastAsia="zh-CN"/>
              </w:rPr>
              <w:t xml:space="preserve">点及污水泵站</w:t>
            </w:r>
            <w:r>
              <w:rPr>
                <w:rFonts w:hint="eastAsia" w:ascii="宋体" w:hAnsi="宋体" w:eastAsia="宋体" w:cs="宋体"/>
                <w:b w:val="0"/>
                <w:bCs w:val="0"/>
                <w:color w:val="000000"/>
                <w:sz w:val="24"/>
                <w:szCs w:val="24"/>
              </w:rPr>
              <w:t xml:space="preserve">突发环境事故应急预案进行合理打分。</w:t>
            </w:r>
            <w:r/>
          </w:p>
          <w:p>
            <w:pPr>
              <w:ind w:left="216" w:right="214" w:firstLine="0"/>
              <w:spacing w:before="26"/>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管理方案完整、科学、可操作性强的得</w:t>
            </w:r>
            <w:r>
              <w:rPr>
                <w:rFonts w:hint="eastAsia" w:ascii="宋体" w:hAnsi="宋体" w:eastAsia="宋体" w:cs="宋体"/>
                <w:b w:val="0"/>
                <w:bCs w:val="0"/>
                <w:color w:val="000000"/>
                <w:sz w:val="24"/>
                <w:szCs w:val="24"/>
                <w:lang w:val="en-US" w:eastAsia="zh-CN"/>
              </w:rPr>
              <w:t xml:space="preserve"> 4</w:t>
            </w:r>
            <w:r>
              <w:rPr>
                <w:rFonts w:hint="eastAsia" w:ascii="宋体" w:hAnsi="宋体" w:eastAsia="宋体" w:cs="宋体"/>
                <w:b w:val="0"/>
                <w:bCs w:val="0"/>
                <w:color w:val="000000"/>
                <w:sz w:val="24"/>
                <w:szCs w:val="24"/>
              </w:rPr>
              <w:t xml:space="preserve">分；</w:t>
            </w:r>
            <w:r/>
          </w:p>
          <w:p>
            <w:pPr>
              <w:ind w:left="216" w:right="214" w:firstLine="0"/>
              <w:spacing w:before="1" w:line="218"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管理方案基本完整、可操作性一般的得</w:t>
            </w:r>
            <w:r>
              <w:rPr>
                <w:rFonts w:hint="eastAsia" w:ascii="宋体" w:hAnsi="宋体" w:eastAsia="宋体" w:cs="宋体"/>
                <w:b w:val="0"/>
                <w:bCs w:val="0"/>
                <w:color w:val="000000"/>
                <w:sz w:val="24"/>
                <w:szCs w:val="24"/>
                <w:lang w:val="en-US" w:eastAsia="zh-CN"/>
              </w:rPr>
              <w:t xml:space="preserve"> 2</w:t>
            </w:r>
            <w:r>
              <w:rPr>
                <w:rFonts w:hint="eastAsia" w:ascii="宋体" w:hAnsi="宋体" w:eastAsia="宋体" w:cs="宋体"/>
                <w:b w:val="0"/>
                <w:bCs w:val="0"/>
                <w:color w:val="000000"/>
                <w:sz w:val="24"/>
                <w:szCs w:val="24"/>
              </w:rPr>
              <w:t xml:space="preserve">分；</w:t>
            </w:r>
            <w:r/>
          </w:p>
          <w:p>
            <w:pPr>
              <w:ind w:left="216" w:right="214" w:firstLine="0"/>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管理方案不够完整、可操作性欠缺的得</w:t>
            </w: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分，不提供或全部不符合不得分。</w:t>
            </w:r>
            <w:r/>
          </w:p>
        </w:tc>
      </w:tr>
      <w:tr>
        <w:trPr/>
        <w:tc>
          <w:tcPr>
            <w:tcW w:w="704" w:type="dxa"/>
            <w:vAlign w:val="center"/>
            <w:textDirection w:val="lrTb"/>
            <w:noWrap w:val="false"/>
          </w:tcPr>
          <w:p>
            <w:pPr>
              <w:jc w:val="center"/>
              <w:spacing w:before="78" w:line="183" w:lineRule="auto"/>
              <w:widowControl/>
              <w:rPr>
                <w:rFonts w:hint="eastAsia" w:ascii="宋体" w:hAnsi="宋体" w:eastAsia="宋体" w:cs="宋体"/>
                <w:b w:val="0"/>
                <w:bCs w:val="0"/>
                <w:color w:val="000000"/>
                <w:sz w:val="24"/>
                <w:szCs w:val="24"/>
                <w:lang w:eastAsia="zh-CN"/>
              </w:rPr>
            </w:pPr>
            <w:r>
              <w:rPr>
                <w:rFonts w:hint="eastAsia" w:ascii="宋体" w:hAnsi="宋体" w:cs="宋体"/>
                <w:b w:val="0"/>
                <w:bCs w:val="0"/>
                <w:color w:val="000000"/>
                <w:sz w:val="24"/>
                <w:szCs w:val="24"/>
                <w:lang w:val="en-US" w:eastAsia="zh-CN"/>
              </w:rPr>
              <w:t xml:space="preserve">9</w:t>
            </w:r>
            <w:bookmarkStart w:id="65" w:name="_GoBack"/>
            <w:r/>
            <w:bookmarkEnd w:id="65"/>
            <w:r/>
            <w:r/>
          </w:p>
        </w:tc>
        <w:tc>
          <w:tcPr>
            <w:tcW w:w="1559" w:type="dxa"/>
            <w:vAlign w:val="center"/>
            <w:textDirection w:val="lrTb"/>
            <w:noWrap w:val="false"/>
          </w:tcPr>
          <w:p>
            <w:pPr>
              <w:ind w:right="153"/>
              <w:jc w:val="center"/>
              <w:spacing w:before="240" w:line="255"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重难点分析及对策</w:t>
            </w:r>
            <w:r/>
          </w:p>
        </w:tc>
        <w:tc>
          <w:tcPr>
            <w:tcW w:w="851" w:type="dxa"/>
            <w:vAlign w:val="center"/>
            <w:textDirection w:val="lrTb"/>
            <w:noWrap w:val="false"/>
          </w:tcPr>
          <w:p>
            <w:pPr>
              <w:jc w:val="center"/>
              <w:spacing w:line="300" w:lineRule="exact"/>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4</w:t>
            </w:r>
            <w:r/>
          </w:p>
        </w:tc>
        <w:tc>
          <w:tcPr>
            <w:tcW w:w="6525" w:type="dxa"/>
            <w:vAlign w:val="center"/>
            <w:textDirection w:val="lrTb"/>
            <w:noWrap w:val="false"/>
          </w:tcPr>
          <w:p>
            <w:pPr>
              <w:ind w:left="218" w:right="214" w:firstLine="0"/>
              <w:spacing w:before="85" w:line="242"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根据投标人提供的本项目重难点分析及对策方案打分：</w:t>
            </w:r>
            <w:r/>
          </w:p>
          <w:p>
            <w:pPr>
              <w:ind w:left="218" w:right="214" w:firstLine="0"/>
              <w:spacing w:before="85" w:line="242" w:lineRule="auto"/>
              <w:widowControl/>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提供的方案分析到位、措施合理全面的得</w:t>
            </w:r>
            <w:r>
              <w:rPr>
                <w:rFonts w:hint="eastAsia" w:ascii="宋体" w:hAnsi="宋体" w:eastAsia="宋体" w:cs="宋体"/>
                <w:b w:val="0"/>
                <w:bCs w:val="0"/>
                <w:color w:val="000000"/>
                <w:sz w:val="24"/>
                <w:szCs w:val="24"/>
                <w:lang w:val="en-US" w:eastAsia="zh-CN"/>
              </w:rPr>
              <w:t xml:space="preserve"> 4</w:t>
            </w:r>
            <w:r>
              <w:rPr>
                <w:rFonts w:hint="eastAsia" w:ascii="宋体" w:hAnsi="宋体" w:eastAsia="宋体" w:cs="宋体"/>
                <w:b w:val="0"/>
                <w:bCs w:val="0"/>
                <w:color w:val="000000"/>
                <w:sz w:val="24"/>
                <w:szCs w:val="24"/>
              </w:rPr>
              <w:t xml:space="preserve">分</w:t>
            </w:r>
            <w:r>
              <w:rPr>
                <w:rFonts w:hint="eastAsia" w:ascii="宋体" w:hAnsi="宋体" w:eastAsia="宋体" w:cs="宋体"/>
                <w:b w:val="0"/>
                <w:bCs w:val="0"/>
                <w:color w:val="000000"/>
                <w:sz w:val="24"/>
                <w:szCs w:val="24"/>
                <w:lang w:eastAsia="zh-CN"/>
              </w:rPr>
              <w:t xml:space="preserve">；</w:t>
            </w:r>
            <w:r/>
          </w:p>
          <w:p>
            <w:pPr>
              <w:ind w:left="218" w:right="214" w:firstLine="0"/>
              <w:spacing w:before="85" w:line="242" w:lineRule="auto"/>
              <w:widowControl/>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较全面的得</w:t>
            </w:r>
            <w:r>
              <w:rPr>
                <w:rFonts w:hint="eastAsia" w:ascii="宋体" w:hAnsi="宋体" w:eastAsia="宋体" w:cs="宋体"/>
                <w:b w:val="0"/>
                <w:bCs w:val="0"/>
                <w:color w:val="000000"/>
                <w:sz w:val="24"/>
                <w:szCs w:val="24"/>
                <w:lang w:val="en-US" w:eastAsia="zh-CN"/>
              </w:rPr>
              <w:t xml:space="preserve"> 2</w:t>
            </w:r>
            <w:r>
              <w:rPr>
                <w:rFonts w:hint="eastAsia" w:ascii="宋体" w:hAnsi="宋体" w:eastAsia="宋体" w:cs="宋体"/>
                <w:b w:val="0"/>
                <w:bCs w:val="0"/>
                <w:color w:val="000000"/>
                <w:sz w:val="24"/>
                <w:szCs w:val="24"/>
              </w:rPr>
              <w:t xml:space="preserve">分</w:t>
            </w:r>
            <w:r>
              <w:rPr>
                <w:rFonts w:hint="eastAsia" w:ascii="宋体" w:hAnsi="宋体" w:eastAsia="宋体" w:cs="宋体"/>
                <w:b w:val="0"/>
                <w:bCs w:val="0"/>
                <w:color w:val="000000"/>
                <w:sz w:val="24"/>
                <w:szCs w:val="24"/>
                <w:lang w:eastAsia="zh-CN"/>
              </w:rPr>
              <w:t xml:space="preserve">；</w:t>
            </w:r>
            <w:r/>
          </w:p>
          <w:p>
            <w:pPr>
              <w:ind w:left="218" w:right="214" w:firstLine="0"/>
              <w:spacing w:before="85" w:line="242"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一般得</w:t>
            </w:r>
            <w:r>
              <w:rPr>
                <w:rFonts w:hint="eastAsia" w:ascii="宋体" w:hAnsi="宋体" w:eastAsia="宋体" w:cs="宋体"/>
                <w:b w:val="0"/>
                <w:bCs w:val="0"/>
                <w:color w:val="000000"/>
                <w:sz w:val="24"/>
                <w:szCs w:val="24"/>
                <w:lang w:val="en-US" w:eastAsia="zh-CN"/>
              </w:rPr>
              <w:t xml:space="preserve"> 1</w:t>
            </w:r>
            <w:r>
              <w:rPr>
                <w:rFonts w:hint="eastAsia" w:ascii="宋体" w:hAnsi="宋体" w:eastAsia="宋体" w:cs="宋体"/>
                <w:b w:val="0"/>
                <w:bCs w:val="0"/>
                <w:color w:val="000000"/>
                <w:sz w:val="24"/>
                <w:szCs w:val="24"/>
              </w:rPr>
              <w:t xml:space="preserve">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不提供或全部不符合不得分。</w:t>
            </w:r>
            <w:r/>
          </w:p>
        </w:tc>
      </w:tr>
    </w:tbl>
    <w:p>
      <w:pPr>
        <w:ind w:firstLine="446"/>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②请供应商制作投标文件的时保证图片、文字材料的完整、清晰可辨，任何原因导致评委看不清楚或无法查看，后果由供应商自负。</w:t>
      </w:r>
      <w:r/>
    </w:p>
    <w:p>
      <w:pPr>
        <w:ind w:firstLine="446"/>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③供应商制作投标文件时所用的所有原件材料均须准备好中标公告结束后</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5日内</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被采购人核查，如核查时供应商不能提供相关原件材料作弄虚作假处理，供应商自行承担相应法律后果。</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（四）</w:t>
      </w:r>
      <w:r>
        <w:rPr>
          <w:rFonts w:hint="eastAsia" w:cs="宋体" w:asciiTheme="minorEastAsia" w:hAnsiTheme="minorEastAsia" w:eastAsiaTheme="minorEastAsia"/>
          <w:b/>
          <w:color w:val="000000" w:themeColor="text1"/>
          <w:sz w:val="24"/>
          <w:szCs w:val="24"/>
          <w:lang w:val="zh-CN"/>
          <w14:textFill>
            <w14:solidFill>
              <w14:schemeClr w14:val="tx1"/>
            </w14:solidFill>
          </w14:textFill>
        </w:rPr>
        <w:t xml:space="preserve">价格分：</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30</w:t>
      </w:r>
      <w:r>
        <w:rPr>
          <w:rFonts w:hint="eastAsia" w:cs="宋体" w:asciiTheme="minorEastAsia" w:hAnsiTheme="minorEastAsia" w:eastAsiaTheme="minorEastAsia"/>
          <w:b/>
          <w:color w:val="000000" w:themeColor="text1"/>
          <w:sz w:val="24"/>
          <w:szCs w:val="24"/>
          <w:lang w:val="zh-CN"/>
          <w14:textFill>
            <w14:solidFill>
              <w14:schemeClr w14:val="tx1"/>
            </w14:solidFill>
          </w14:textFill>
        </w:rPr>
        <w:t xml:space="preserve">分</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价格分统一采用低价优先法计算，即满足招标文件要求且投标价格最低的投标报价为评标基准价，其价格分为满分。其他投标人的价格分统一按照下列公式计算：</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投标报价得分=（评标基准价/投标报价）×价格权值×100</w:t>
      </w:r>
      <w:r/>
    </w:p>
    <w:p>
      <w:pPr>
        <w:pStyle w:val="981"/>
        <w:ind w:left="0" w:right="0" w:firstLine="562"/>
        <w:jc w:val="both"/>
        <w:spacing w:before="0" w:after="0"/>
        <w:rPr>
          <w:rFonts w:cs="宋体" w:asciiTheme="minorEastAsia" w:hAnsiTheme="minorEastAsia" w:eastAsiaTheme="minorEastAsia"/>
          <w:b/>
          <w:bCs/>
          <w:color w:val="000000" w:themeColor="text1"/>
          <w14:textFill>
            <w14:solidFill>
              <w14:schemeClr w14:val="tx1"/>
            </w14:solidFill>
          </w14:textFill>
        </w:rPr>
      </w:pPr>
      <w:r>
        <w:rPr>
          <w:rFonts w:hint="eastAsia" w:cs="宋体" w:asciiTheme="minorEastAsia" w:hAnsiTheme="minorEastAsia" w:eastAsiaTheme="minorEastAsia"/>
          <w:b/>
          <w:color w:val="000000" w:themeColor="text1"/>
          <w14:textFill>
            <w14:solidFill>
              <w14:schemeClr w14:val="tx1"/>
            </w14:solidFill>
          </w14:textFill>
        </w:rPr>
        <w:t xml:space="preserve">（</w:t>
      </w:r>
      <w:r>
        <w:rPr>
          <w:rFonts w:hint="eastAsia" w:cs="宋体" w:asciiTheme="minorEastAsia" w:hAnsiTheme="minorEastAsia" w:eastAsiaTheme="minorEastAsia"/>
          <w:b/>
          <w:bCs/>
          <w:color w:val="000000" w:themeColor="text1"/>
          <w14:textFill>
            <w14:solidFill>
              <w14:schemeClr w14:val="tx1"/>
            </w14:solidFill>
          </w14:textFill>
        </w:rPr>
        <w:t xml:space="preserve">五</w:t>
      </w:r>
      <w:r>
        <w:rPr>
          <w:rFonts w:hint="eastAsia" w:cs="宋体" w:asciiTheme="minorEastAsia" w:hAnsiTheme="minorEastAsia" w:eastAsiaTheme="minorEastAsia"/>
          <w:b/>
          <w:color w:val="000000" w:themeColor="text1"/>
          <w14:textFill>
            <w14:solidFill>
              <w14:schemeClr w14:val="tx1"/>
            </w14:solidFill>
          </w14:textFill>
        </w:rPr>
        <w:t xml:space="preserve">）</w:t>
      </w:r>
      <w:r>
        <w:rPr>
          <w:rFonts w:hint="eastAsia" w:cs="宋体" w:asciiTheme="minorEastAsia" w:hAnsiTheme="minorEastAsia" w:eastAsiaTheme="minorEastAsia"/>
          <w:b/>
          <w:bCs/>
          <w:color w:val="000000" w:themeColor="text1"/>
          <w14:textFill>
            <w14:solidFill>
              <w14:schemeClr w14:val="tx1"/>
            </w14:solidFill>
          </w14:textFill>
        </w:rPr>
        <w:t xml:space="preserve">政府采购政策功能落实</w:t>
      </w:r>
      <w:r/>
    </w:p>
    <w:p>
      <w:pPr>
        <w:ind w:firstLine="57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本项目为专门面向中小企业（含残疾人福利性单位、监狱企业）采购的项目,供应商应为中小微企业或残疾人福利性单位或监狱企业。</w:t>
      </w:r>
      <w:bookmarkEnd w:id="52"/>
      <w:r/>
      <w:bookmarkEnd w:id="53"/>
      <w:r/>
      <w:bookmarkEnd w:id="54"/>
      <w:r/>
      <w:bookmarkEnd w:id="55"/>
      <w:r/>
      <w:bookmarkEnd w:id="56"/>
      <w:r/>
      <w:bookmarkEnd w:id="57"/>
      <w:r/>
      <w:bookmarkEnd w:id="58"/>
      <w:r>
        <w:rPr>
          <w:rFonts w:hint="eastAsia" w:cs="宋体" w:asciiTheme="minorEastAsia" w:hAnsiTheme="minorEastAsia" w:eastAsiaTheme="minorEastAsia"/>
          <w:color w:val="000000" w:themeColor="text1"/>
          <w:sz w:val="24"/>
          <w:szCs w:val="24"/>
          <w14:textFill>
            <w14:solidFill>
              <w14:schemeClr w14:val="tx1"/>
            </w14:solidFill>
          </w14:textFill>
        </w:rPr>
        <w:t xml:space="preserve">不再执行价格评审优惠的扶持政策。</w:t>
      </w:r>
      <w:r/>
    </w:p>
    <w:p>
      <w:pPr>
        <w:ind w:firstLine="57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（六）中标人的确定</w:t>
      </w:r>
      <w:r/>
    </w:p>
    <w:p>
      <w:pPr>
        <w:ind w:firstLine="57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评委会汇总各评委评分后，按照得分从高到低的顺序推荐三名中标候选人，并编写评标报告。</w:t>
      </w:r>
      <w:r/>
    </w:p>
    <w:p>
      <w:pPr>
        <w:ind w:firstLine="57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采购人委托评标委员会直接确定排名第一的中标候选人为中标人。</w:t>
      </w:r>
      <w:r/>
    </w:p>
    <w:p>
      <w:pPr>
        <w:ind w:firstLine="557"/>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（七）采购人代表宣布评标结果。</w:t>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（八）公告中标结果</w:t>
      </w:r>
      <w:r/>
    </w:p>
    <w:p>
      <w:pPr>
        <w:ind w:firstLine="57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自确定中标人之日起2个工作日内，在江苏政府采购网公告中标结果，公告期限为1个工作日。</w:t>
      </w:r>
      <w:r/>
    </w:p>
    <w:p>
      <w:pPr>
        <w:ind w:firstLine="562"/>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九</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发放中标通知书</w:t>
      </w:r>
      <w:r/>
    </w:p>
    <w:p>
      <w:pPr>
        <w:ind w:firstLine="56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公告中标结果的同时，</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采购人或采购代理机构向中标供应商发放中标通知书。</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中标通知书发出后，采购人不得违法改变中标结果，中标供应商无正当理由不得放弃中标。</w:t>
      </w:r>
      <w:r/>
    </w:p>
    <w:p>
      <w:pPr>
        <w:ind w:firstLine="48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中标供应商在中标结果公示结束后须提供叁套（一正二副）加盖红章的系统内打印的纸质响应文件给招标代理机构。</w:t>
      </w:r>
      <w:r/>
    </w:p>
    <w:p>
      <w:pPr>
        <w:spacing w:line="360" w:lineRule="auto"/>
        <w:rPr>
          <w:rFonts w:cs="宋体" w:asciiTheme="minorEastAsia" w:hAnsiTheme="minorEastAsia" w:eastAsiaTheme="minorEastAsia"/>
          <w:b/>
          <w:color w:val="000000" w:themeColor="text1"/>
          <w:sz w:val="30"/>
          <w:szCs w:val="30"/>
          <w14:textFill>
            <w14:solidFill>
              <w14:schemeClr w14:val="tx1"/>
            </w14:solidFill>
          </w14:textFill>
        </w:rPr>
      </w:pPr>
      <w:r>
        <w:rPr>
          <w:rFonts w:hint="eastAsia" w:cs="宋体" w:asciiTheme="minorEastAsia" w:hAnsiTheme="minorEastAsia" w:eastAsiaTheme="minorEastAsia"/>
          <w:b/>
          <w:color w:val="000000" w:themeColor="text1"/>
          <w:sz w:val="30"/>
          <w:szCs w:val="30"/>
          <w14:textFill>
            <w14:solidFill>
              <w14:schemeClr w14:val="tx1"/>
            </w14:solidFill>
          </w14:textFill>
        </w:rPr>
        <w:br w:type="page" w:clear="all"/>
      </w:r>
      <w:r/>
    </w:p>
    <w:p>
      <w:pPr>
        <w:jc w:val="cente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30"/>
          <w:szCs w:val="30"/>
          <w14:textFill>
            <w14:solidFill>
              <w14:schemeClr w14:val="tx1"/>
            </w14:solidFill>
          </w14:textFill>
        </w:rPr>
        <w:t xml:space="preserve">第五部分 投标文件格式</w:t>
      </w:r>
      <w:r/>
    </w:p>
    <w:p>
      <w:pPr>
        <w:ind w:firstLine="555"/>
        <w:jc w:val="left"/>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bookmarkStart w:id="60" w:name="_一、法定代表人授权书"/>
      <w:r/>
      <w:bookmarkStart w:id="61" w:name="_Toc3779"/>
      <w:r>
        <w:rPr>
          <w:rFonts w:hint="eastAsia" w:cs="宋体" w:asciiTheme="minorEastAsia" w:hAnsiTheme="minorEastAsia" w:eastAsiaTheme="minorEastAsia"/>
          <w:b/>
          <w:color w:val="000000" w:themeColor="text1"/>
          <w:sz w:val="24"/>
          <w:szCs w:val="24"/>
          <w14:textFill>
            <w14:solidFill>
              <w14:schemeClr w14:val="tx1"/>
            </w14:solidFill>
          </w14:textFill>
        </w:rPr>
        <w:t xml:space="preserve">投标文件由资格审查证明材料、符合性评审、商务技术标、价格标四部分组成。</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请投标人根据本招标文件的要求在以上</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四部分中</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分别上传响应的投标材料。</w:t>
      </w:r>
      <w:r/>
    </w:p>
    <w:p>
      <w:pP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一、资格审查证明材料（不能出现商务技术标、价格标）</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1.投标人符合《政府采购法》第二十二条规定条件的声明函（格式见附件1）；</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2.法定代表人身份证明书（格式见附件2）；</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3.法定代表人授权委托书原件，投标代表本人身份证复印件（格式见附件3）；</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bookmarkStart w:id="62" w:name="_Hlk176447553"/>
      <w:r>
        <w:rPr>
          <w:rFonts w:hint="eastAsia" w:cs="宋体" w:asciiTheme="minorEastAsia" w:hAnsiTheme="minorEastAsia" w:eastAsiaTheme="minorEastAsia"/>
          <w:color w:val="000000" w:themeColor="text1"/>
          <w:sz w:val="24"/>
          <w:szCs w:val="24"/>
          <w14:textFill>
            <w14:solidFill>
              <w14:schemeClr w14:val="tx1"/>
            </w14:solidFill>
          </w14:textFill>
        </w:rPr>
        <w:t xml:space="preserve">诚信承诺函</w:t>
      </w:r>
      <w:bookmarkEnd w:id="62"/>
      <w:r>
        <w:rPr>
          <w:rFonts w:hint="eastAsia" w:cs="宋体" w:asciiTheme="minorEastAsia" w:hAnsiTheme="minorEastAsia" w:eastAsiaTheme="minorEastAsia"/>
          <w:color w:val="000000" w:themeColor="text1"/>
          <w:sz w:val="24"/>
          <w:szCs w:val="24"/>
          <w14:textFill>
            <w14:solidFill>
              <w14:schemeClr w14:val="tx1"/>
            </w14:solidFill>
          </w14:textFill>
        </w:rPr>
        <w:t xml:space="preserve">（格式见附件4）；</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5.在“信用中国”网站（www.creditchina.gov.cn）查询，无被列入失信被执行人、重大税收违法案件当事人名单、政府采购严重失信行为记录名单；</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6.投标人认为其它需要提交的资格审查证明材料；</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7.中小微企业声明函（格式见附件5）或残疾人福利性单位声明函（格式见附件6）或监狱和戒毒企业证明材料（格式见附件7）（未提供的按无效投标处理）；</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（招标文件要求提供的资格审查证明材料中没有对应的接口上传的资料，可以在本部分的其他材料的接口中上传）</w:t>
      </w:r>
      <w:r/>
    </w:p>
    <w:p>
      <w:pPr>
        <w:spacing w:line="360" w:lineRule="auto"/>
        <w:rPr>
          <w:rFonts w:cs="宋体" w:asciiTheme="minorEastAsia" w:hAnsiTheme="minorEastAsia" w:eastAsiaTheme="minorEastAsia"/>
          <w:b/>
          <w:bCs/>
          <w:color w:val="000000" w:themeColor="text1"/>
          <w:sz w:val="24"/>
          <w:szCs w:val="24"/>
          <w:lang w:val="zh-CN"/>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二、符合性评审</w:t>
      </w:r>
      <w:r>
        <w:rPr>
          <w:rFonts w:cs="宋体" w:asciiTheme="minorEastAsia" w:hAnsiTheme="minorEastAsia" w:eastAsiaTheme="minorEastAsia"/>
          <w:b/>
          <w:bCs/>
          <w:color w:val="000000" w:themeColor="text1"/>
          <w:sz w:val="24"/>
          <w:szCs w:val="24"/>
          <w:lang w:val="zh-CN"/>
          <w14:textFill>
            <w14:solidFill>
              <w14:schemeClr w14:val="tx1"/>
            </w14:solidFill>
          </w14:textFill>
        </w:rPr>
        <w:t xml:space="preserve">（不能出现商务技术标、价格标）</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1.承诺函</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；（格式见附件</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8</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p>
    <w:p>
      <w:pPr>
        <w:ind w:firstLine="560"/>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2.其他招标文件要求的符合性证明材料，不提供或提供不全的按无效标处理。</w:t>
      </w:r>
      <w:r/>
    </w:p>
    <w:p>
      <w:pP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三、商务技术标（不能出现价格标）</w:t>
      </w:r>
      <w:r/>
    </w:p>
    <w:p>
      <w:pPr>
        <w:ind w:firstLine="56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rPr>
          <w:rFonts w:hint="eastAsia" w:cs="宋体" w:asciiTheme="minorEastAsia" w:hAnsiTheme="minorEastAsia" w:eastAsiaTheme="minorEastAsia"/>
          <w:bCs/>
          <w:color w:val="000000" w:themeColor="text1"/>
          <w:sz w:val="24"/>
          <w:szCs w:val="24"/>
          <w:lang w:val="zh-CN"/>
          <w14:textFill>
            <w14:solidFill>
              <w14:schemeClr w14:val="tx1"/>
            </w14:solidFill>
          </w14:textFill>
        </w:rPr>
        <w:t xml:space="preserve">.商务技术评分标准中须提供的相关得分佐证材料；</w:t>
      </w:r>
      <w:r/>
    </w:p>
    <w:p>
      <w:pPr>
        <w:ind w:firstLine="56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bCs/>
          <w:color w:val="000000" w:themeColor="text1"/>
          <w:sz w:val="24"/>
          <w:szCs w:val="24"/>
          <w:lang w:val="zh-CN"/>
          <w14:textFill>
            <w14:solidFill>
              <w14:schemeClr w14:val="tx1"/>
            </w14:solidFill>
          </w14:textFill>
        </w:rPr>
        <w:t xml:space="preserve">投标人认为需要提交的其他商务技术材料。</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（招标文件要求提供的</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商务技术标材料</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中没有对应的接口上传的资料，可以在本部分的其他材料的接口中上传）</w:t>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四、价格标</w:t>
      </w:r>
      <w:r/>
    </w:p>
    <w:p>
      <w:pPr>
        <w:ind w:firstLine="560"/>
        <w:spacing w:line="36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1.开标一览表（格式见苏采云系统内电子投标(响应)文件中表式）；</w:t>
      </w:r>
      <w:r/>
    </w:p>
    <w:p>
      <w:pPr>
        <w:ind w:firstLine="560"/>
        <w:spacing w:line="360" w:lineRule="auto"/>
        <w:rPr>
          <w:rFonts w:cs="宋体" w:asciiTheme="minorEastAsia" w:hAnsiTheme="minorEastAsia" w:eastAsiaTheme="minorEastAsia"/>
          <w:bCs/>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bCs/>
          <w:color w:val="000000" w:themeColor="text1"/>
          <w:sz w:val="24"/>
          <w:szCs w:val="24"/>
          <w:lang w:val="zh-CN"/>
          <w14:textFill>
            <w14:solidFill>
              <w14:schemeClr w14:val="tx1"/>
            </w14:solidFill>
          </w14:textFill>
        </w:rPr>
        <w:t xml:space="preserve">投标人认为需要提交的其他</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价格标</w:t>
      </w:r>
      <w:r>
        <w:rPr>
          <w:rFonts w:hint="eastAsia" w:cs="宋体" w:asciiTheme="minorEastAsia" w:hAnsiTheme="minorEastAsia" w:eastAsiaTheme="minorEastAsia"/>
          <w:bCs/>
          <w:color w:val="000000" w:themeColor="text1"/>
          <w:sz w:val="24"/>
          <w:szCs w:val="24"/>
          <w:lang w:val="zh-CN"/>
          <w14:textFill>
            <w14:solidFill>
              <w14:schemeClr w14:val="tx1"/>
            </w14:solidFill>
          </w14:textFill>
        </w:rPr>
        <w:t xml:space="preserve">材料。</w:t>
      </w:r>
      <w:r/>
    </w:p>
    <w:p>
      <w:pPr>
        <w:ind w:firstLine="480"/>
        <w:spacing w:line="36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（如招标文件要求提供的</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价格标资料</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中没有对应的接口上传的资料可以在本部分的其他材料的接口中上传）</w:t>
      </w:r>
      <w:bookmarkEnd w:id="60"/>
      <w:bookmarkEnd w:id="61"/>
      <w:r/>
    </w:p>
    <w:p>
      <w:pPr>
        <w:spacing w:line="36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cs="宋体" w:asciiTheme="minorEastAsia" w:hAnsiTheme="minorEastAsia" w:eastAsiaTheme="minorEastAsia"/>
          <w:color w:val="000000" w:themeColor="text1"/>
          <w:sz w:val="24"/>
          <w:szCs w:val="24"/>
          <w:lang w:val="zh-CN"/>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cs="宋体" w:asciiTheme="minorEastAsia" w:hAnsiTheme="minorEastAsia" w:eastAsiaTheme="minorEastAsia"/>
          <w:color w:val="000000" w:themeColor="text1"/>
          <w:sz w:val="24"/>
          <w:szCs w:val="24"/>
          <w:lang w:val="zh-CN"/>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cs="宋体" w:asciiTheme="minorEastAsia" w:hAnsiTheme="minorEastAsia" w:eastAsiaTheme="minorEastAsia"/>
          <w:color w:val="000000" w:themeColor="text1"/>
          <w:sz w:val="24"/>
          <w:szCs w:val="24"/>
          <w:lang w:val="zh-CN"/>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附件1</w:t>
      </w:r>
      <w:r/>
    </w:p>
    <w:p>
      <w:pPr>
        <w:pStyle w:val="726"/>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602"/>
        <w:jc w:val="cente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投标人符合《政府采购法》第二十二条规定条件的声明函</w:t>
      </w:r>
      <w:r/>
    </w:p>
    <w:p>
      <w:pPr>
        <w:ind w:firstLine="482"/>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cs="宋体" w:asciiTheme="minorEastAsia" w:hAnsiTheme="minorEastAsia" w:eastAsiaTheme="minorEastAsia"/>
          <w:b/>
          <w:bCs/>
          <w:color w:val="000000" w:themeColor="text1"/>
          <w:sz w:val="24"/>
          <w:szCs w:val="24"/>
          <w14:textFill>
            <w14:solidFill>
              <w14:schemeClr w14:val="tx1"/>
            </w14:solidFill>
          </w14:textFill>
        </w:rPr>
      </w:r>
      <w:r/>
    </w:p>
    <w:p>
      <w:pPr>
        <w:ind w:firstLine="480"/>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我单位参加</w:t>
      </w:r>
      <w:r>
        <w:rPr>
          <w:rFonts w:hint="eastAsia" w:cs="宋体" w:asciiTheme="minorEastAsia" w:hAnsiTheme="minorEastAsia" w:eastAsiaTheme="minorEastAsia"/>
          <w:bCs/>
          <w:color w:val="000000" w:themeColor="text1"/>
          <w:sz w:val="24"/>
          <w:szCs w:val="24"/>
          <w:u w:val="single"/>
          <w14:textFill>
            <w14:solidFill>
              <w14:schemeClr w14:val="tx1"/>
            </w14:solidFill>
          </w14:textFill>
        </w:rPr>
        <w:t xml:space="preserve">南通市海门区包场镇人民政府采购2026年污水处理设施运维服务项目</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（项目名称），</w:t>
      </w:r>
      <w:r>
        <w:rPr>
          <w:rFonts w:hint="eastAsia" w:cs="宋体" w:asciiTheme="minorEastAsia" w:hAnsiTheme="minorEastAsia" w:eastAsiaTheme="minorEastAsia"/>
          <w:bCs/>
          <w:color w:val="000000" w:themeColor="text1"/>
          <w:sz w:val="24"/>
          <w:szCs w:val="24"/>
          <w:u w:val="single"/>
          <w14:textFill>
            <w14:solidFill>
              <w14:schemeClr w14:val="tx1"/>
            </w14:solidFill>
          </w14:textFill>
        </w:rPr>
        <w:t xml:space="preserve">JSZC-320614-JDGS-G2026-0052</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（项目编号）投标活动。针对《中华人民共和国政府采购法》第二十二条规定做出如下声明：</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1.我单位具有独立承担民事责任的能力；</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2.我单位具有良好的商业信誉和健全的财务会计制度；</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3.我单位具有履行合同所必需的设备和专业技术能力；</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4.我单位有依法缴纳税收和社会保障资金的良好记录；</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6.我单位满足法律、行政法规规定的其他条件。</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r>
      <w:r/>
    </w:p>
    <w:p>
      <w:pPr>
        <w:ind w:firstLine="480"/>
        <w:jc w:val="center"/>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                                             承诺人名称（公章）：</w:t>
      </w:r>
      <w:r/>
    </w:p>
    <w:p>
      <w:pPr>
        <w:ind w:firstLine="480"/>
        <w:jc w:val="right"/>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r>
      <w:r/>
    </w:p>
    <w:p>
      <w:pPr>
        <w:ind w:firstLine="480"/>
        <w:jc w:val="right"/>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                               日期：   年   月   日</w:t>
      </w:r>
      <w:r/>
    </w:p>
    <w:p>
      <w:pPr>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br w:type="page" w:clear="all"/>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附件2</w:t>
      </w:r>
      <w:r/>
    </w:p>
    <w:p>
      <w:pPr>
        <w:pStyle w:val="1015"/>
        <w:ind w:firstLine="643"/>
        <w:jc w:val="center"/>
        <w:spacing w:line="360" w:lineRule="auto"/>
        <w:rPr>
          <w:rFonts w:cs="宋体" w:asciiTheme="minorEastAsia" w:hAnsiTheme="minorEastAsia" w:eastAsiaTheme="minorEastAsia"/>
          <w:b/>
          <w:bCs/>
          <w:color w:val="000000" w:themeColor="text1"/>
          <w:sz w:val="24"/>
          <w14:textFill>
            <w14:solidFill>
              <w14:schemeClr w14:val="tx1"/>
            </w14:solidFill>
          </w14:textFill>
        </w:rPr>
      </w:pPr>
      <w:r>
        <w:rPr>
          <w:rFonts w:hint="eastAsia" w:cs="宋体" w:asciiTheme="minorEastAsia" w:hAnsiTheme="minorEastAsia" w:eastAsiaTheme="minorEastAsia"/>
          <w:b/>
          <w:bCs/>
          <w:color w:val="000000" w:themeColor="text1"/>
          <w:sz w:val="24"/>
          <w14:textFill>
            <w14:solidFill>
              <w14:schemeClr w14:val="tx1"/>
            </w14:solidFill>
          </w14:textFill>
        </w:rPr>
        <w:t xml:space="preserve">法定代表人身份证明</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先生/女士： 现任我单位</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职务，为法定代表人，特此证明。</w:t>
      </w:r>
      <w:r/>
    </w:p>
    <w:p>
      <w:pPr>
        <w:ind w:firstLine="480"/>
        <w:spacing w:line="360" w:lineRule="auto"/>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身份证号码：</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p>
    <w:p>
      <w:pPr>
        <w:ind w:firstLine="480"/>
        <w:spacing w:line="360" w:lineRule="auto"/>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联系电话：</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  </w:t>
      </w:r>
      <w:r/>
    </w:p>
    <w:p>
      <w:pPr>
        <w:pStyle w:val="979"/>
        <w:ind w:firstLine="482"/>
        <w:spacing w:line="360" w:lineRule="auto"/>
        <w:rPr>
          <w:rFonts w:cs="宋体"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color w:val="000000" w:themeColor="text1"/>
          <w:sz w:val="24"/>
          <w14:textFill>
            <w14:solidFill>
              <w14:schemeClr w14:val="tx1"/>
            </w14:solidFill>
          </w14:textFill>
        </w:rPr>
        <w:t xml:space="preserve">注：提供法定代表人的身份证复印件盖公章。</w:t>
      </w:r>
      <w:r/>
    </w:p>
    <w:p>
      <w:pPr>
        <w:ind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pStyle w:val="766"/>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cs="宋体" w:asciiTheme="minorEastAsia" w:hAnsiTheme="minorEastAsia" w:eastAsiaTheme="minorEastAsia"/>
          <w:color w:val="000000" w:themeColor="text1"/>
          <w:sz w:val="24"/>
          <w:szCs w:val="24"/>
          <w:lang w:val="zh-CN"/>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cs="宋体" w:asciiTheme="minorEastAsia" w:hAnsiTheme="minorEastAsia" w:eastAsiaTheme="minorEastAsia"/>
          <w:color w:val="000000" w:themeColor="text1"/>
          <w:sz w:val="24"/>
          <w:szCs w:val="24"/>
          <w:lang w:val="zh-CN"/>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cs="宋体" w:asciiTheme="minorEastAsia" w:hAnsiTheme="minorEastAsia" w:eastAsiaTheme="minorEastAsia"/>
          <w:color w:val="000000" w:themeColor="text1"/>
          <w:sz w:val="24"/>
          <w:szCs w:val="24"/>
          <w:lang w:val="zh-CN"/>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cs="宋体" w:asciiTheme="minorEastAsia" w:hAnsiTheme="minorEastAsia" w:eastAsiaTheme="minorEastAsia"/>
          <w:color w:val="000000" w:themeColor="text1"/>
          <w:sz w:val="24"/>
          <w:szCs w:val="24"/>
          <w:lang w:val="zh-CN"/>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附件3</w:t>
      </w:r>
      <w:r/>
    </w:p>
    <w:p>
      <w:pPr>
        <w:ind w:firstLine="643"/>
        <w:jc w:val="cente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法定代表人授权委托书</w:t>
      </w:r>
      <w:r/>
    </w:p>
    <w:p>
      <w:pPr>
        <w:ind w:firstLine="64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本人 </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（姓名）系</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（授权单位名称）的法定代表人，现委托</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（姓名）（身份证号</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）为我方代理人，以我方名义全权处理与本次采购项目（编号：</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）有关的一切事务，其法律后果由我方承担。</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本授权书于</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年</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月</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日起生效。代理人无转委托权。</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代理人(被授权人)：</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。联系方式：</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      </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授权单位名称（盖章）：</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授权单位法定代表人（签字或盖章）：</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p>
    <w:p>
      <w:pPr>
        <w:ind w:firstLine="560"/>
        <w:jc w:val="righ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560"/>
        <w:jc w:val="righ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年</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月</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日</w:t>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注：提供代理人(被授权人)身份证复印件盖公章。</w:t>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pStyle w:val="766"/>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cs="宋体"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cs="宋体"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cs="宋体" w:asciiTheme="minorEastAsia" w:hAnsiTheme="minorEastAsia" w:eastAsiaTheme="minorEastAsia"/>
          <w:color w:val="000000" w:themeColor="text1"/>
          <w:sz w:val="24"/>
          <w:szCs w:val="24"/>
          <w14:textFill>
            <w14:solidFill>
              <w14:schemeClr w14:val="tx1"/>
            </w14:solidFill>
          </w14:textFill>
        </w:rPr>
      </w:r>
      <w:r/>
    </w:p>
    <w:p>
      <w:pPr>
        <w:contextualSpacing/>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附件4</w:t>
      </w:r>
      <w:r/>
    </w:p>
    <w:p>
      <w:pPr>
        <w:ind w:firstLine="482"/>
        <w:jc w:val="center"/>
        <w:spacing w:line="360" w:lineRule="auto"/>
        <w:widowControl/>
        <w:rPr>
          <w:rFonts w:cs="宋体" w:asciiTheme="minorEastAsia" w:hAnsiTheme="minorEastAsia" w:eastAsiaTheme="minorEastAsia"/>
          <w:b/>
          <w:color w:val="000000" w:themeColor="text1"/>
          <w:sz w:val="24"/>
          <w:szCs w:val="24"/>
          <w14:textFill>
            <w14:solidFill>
              <w14:schemeClr w14:val="tx1"/>
            </w14:solidFill>
          </w14:textFill>
        </w:rPr>
      </w:pPr>
      <w:r/>
      <w:bookmarkStart w:id="63" w:name="_Toc29991"/>
      <w:r/>
      <w:bookmarkStart w:id="64" w:name="_三、诚信承诺函"/>
      <w:r>
        <w:rPr>
          <w:rFonts w:hint="eastAsia" w:cs="宋体" w:asciiTheme="minorEastAsia" w:hAnsiTheme="minorEastAsia" w:eastAsiaTheme="minorEastAsia"/>
          <w:b/>
          <w:color w:val="000000" w:themeColor="text1"/>
          <w:sz w:val="24"/>
          <w:szCs w:val="24"/>
          <w14:textFill>
            <w14:solidFill>
              <w14:schemeClr w14:val="tx1"/>
            </w14:solidFill>
          </w14:textFill>
        </w:rPr>
        <w:t xml:space="preserve">诚信承诺函</w:t>
      </w:r>
      <w:bookmarkEnd w:id="63"/>
      <w:r/>
      <w:bookmarkEnd w:id="64"/>
      <w:r/>
      <w:r/>
    </w:p>
    <w:p>
      <w:pPr>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南通市海门区包场镇人民政府</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p>
    <w:p>
      <w:pPr>
        <w:ind w:firstLine="512"/>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pacing w:val="8"/>
          <w:sz w:val="24"/>
          <w:szCs w:val="24"/>
          <w14:textFill>
            <w14:solidFill>
              <w14:schemeClr w14:val="tx1"/>
            </w14:solidFill>
          </w14:textFill>
        </w:rPr>
        <w:t xml:space="preserve">我单位参与贵单位组织的</w:t>
      </w:r>
      <w:r>
        <w:rPr>
          <w:rFonts w:hint="eastAsia" w:cs="宋体" w:asciiTheme="minorEastAsia" w:hAnsiTheme="minorEastAsia" w:eastAsiaTheme="minorEastAsia"/>
          <w:bCs/>
          <w:color w:val="000000" w:themeColor="text1"/>
          <w:sz w:val="24"/>
          <w:szCs w:val="24"/>
          <w:u w:val="single"/>
          <w14:textFill>
            <w14:solidFill>
              <w14:schemeClr w14:val="tx1"/>
            </w14:solidFill>
          </w14:textFill>
        </w:rPr>
        <w:t xml:space="preserve"> 南通市海门区包场镇人民政府采购2026年污水处理设施运维服务项目</w:t>
      </w:r>
      <w:r>
        <w:rPr>
          <w:rFonts w:hint="eastAsia" w:cs="宋体" w:asciiTheme="minorEastAsia" w:hAnsiTheme="minorEastAsia" w:eastAsiaTheme="minorEastAsia"/>
          <w:bCs/>
          <w:color w:val="000000" w:themeColor="text1"/>
          <w:sz w:val="24"/>
          <w:szCs w:val="24"/>
          <w:u w:val="single"/>
          <w:lang w:eastAsia="zh-CN"/>
          <w14:textFill>
            <w14:solidFill>
              <w14:schemeClr w14:val="tx1"/>
            </w14:solidFill>
          </w14:textFill>
        </w:rPr>
        <w:t xml:space="preserve">（</w:t>
      </w:r>
      <w:r>
        <w:rPr>
          <w:rFonts w:hint="eastAsia" w:cs="宋体" w:asciiTheme="minorEastAsia" w:hAnsiTheme="minorEastAsia" w:eastAsiaTheme="minorEastAsia"/>
          <w:bCs/>
          <w:color w:val="000000" w:themeColor="text1"/>
          <w:sz w:val="24"/>
          <w:szCs w:val="24"/>
          <w:u w:val="single"/>
          <w14:textFill>
            <w14:solidFill>
              <w14:schemeClr w14:val="tx1"/>
            </w14:solidFill>
          </w14:textFill>
        </w:rPr>
        <w:t xml:space="preserve">JSZC-320614-JDGS-G2026-0052 </w:t>
      </w:r>
      <w:r>
        <w:rPr>
          <w:rFonts w:hint="eastAsia" w:cs="宋体" w:asciiTheme="minorEastAsia" w:hAnsiTheme="minorEastAsia" w:eastAsiaTheme="minorEastAsia"/>
          <w:bCs/>
          <w:color w:val="000000" w:themeColor="text1"/>
          <w:sz w:val="24"/>
          <w:szCs w:val="24"/>
          <w:u w:val="single"/>
          <w:lang w:eastAsia="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（项目名称</w:t>
      </w:r>
      <w:r>
        <w:rPr>
          <w:rFonts w:hint="eastAsia" w:cs="宋体" w:asciiTheme="minorEastAsia" w:hAnsiTheme="minorEastAsia" w:eastAsiaTheme="minorEastAsia"/>
          <w:color w:val="000000" w:themeColor="text1"/>
          <w:spacing w:val="8"/>
          <w:sz w:val="24"/>
          <w:szCs w:val="24"/>
          <w14:textFill>
            <w14:solidFill>
              <w14:schemeClr w14:val="tx1"/>
            </w14:solidFill>
          </w14:textFill>
        </w:rPr>
        <w:t xml:space="preserve">及编号</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）的投标，我单位</w:t>
      </w:r>
      <w:r>
        <w:rPr>
          <w:rFonts w:hint="eastAsia" w:cs="宋体" w:asciiTheme="minorEastAsia" w:hAnsiTheme="minorEastAsia" w:eastAsiaTheme="minorEastAsia"/>
          <w:color w:val="000000" w:themeColor="text1"/>
          <w:spacing w:val="8"/>
          <w:sz w:val="24"/>
          <w:szCs w:val="24"/>
          <w14:textFill>
            <w14:solidFill>
              <w14:schemeClr w14:val="tx1"/>
            </w14:solidFill>
          </w14:textFill>
        </w:rPr>
        <w:t xml:space="preserve">慎重</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作出以下承诺：</w:t>
      </w:r>
      <w:r/>
    </w:p>
    <w:p>
      <w:pPr>
        <w:ind w:firstLine="48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1.我单位参与本项目投标，提交的投标文件包括资格审查材料均真实可信。证件及有关附件是真实的，绝无提供虚假材料行为。</w:t>
      </w:r>
      <w:r/>
    </w:p>
    <w:p>
      <w:pPr>
        <w:ind w:firstLine="48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2.我单位参与本项目投标绝无借资质、挂靠行为。</w:t>
      </w:r>
      <w:r/>
    </w:p>
    <w:p>
      <w:pPr>
        <w:ind w:firstLine="48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3.本项目授权代表为本单位正式员工。</w:t>
      </w:r>
      <w:r/>
    </w:p>
    <w:p>
      <w:pPr>
        <w:ind w:firstLine="48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4.我单位遵守国家廉政相关规定，无失信、行贿等不良行为。</w:t>
      </w:r>
      <w:r/>
    </w:p>
    <w:p>
      <w:pPr>
        <w:ind w:firstLine="480"/>
        <w:jc w:val="left"/>
        <w:spacing w:line="360" w:lineRule="auto"/>
        <w:widowControl/>
        <w:rPr>
          <w:rFonts w:cs="宋体" w:asciiTheme="minorEastAsia" w:hAnsiTheme="minorEastAsia" w:eastAsiaTheme="minorEastAsia"/>
          <w:color w:val="000000" w:themeColor="text1"/>
          <w:sz w:val="24"/>
          <w:szCs w:val="24"/>
          <w:lang w:val="en-GB"/>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lang w:val="en-GB"/>
          <w14:textFill>
            <w14:solidFill>
              <w14:schemeClr w14:val="tx1"/>
            </w14:solidFill>
          </w14:textFill>
        </w:rPr>
        <w:t xml:space="preserve">我单位</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参与本项目</w:t>
      </w:r>
      <w:r>
        <w:rPr>
          <w:rFonts w:hint="eastAsia" w:cs="宋体" w:asciiTheme="minorEastAsia" w:hAnsiTheme="minorEastAsia" w:eastAsiaTheme="minorEastAsia"/>
          <w:color w:val="000000" w:themeColor="text1"/>
          <w:sz w:val="24"/>
          <w:szCs w:val="24"/>
          <w:lang w:val="en-GB"/>
          <w14:textFill>
            <w14:solidFill>
              <w14:schemeClr w14:val="tx1"/>
            </w14:solidFill>
          </w14:textFill>
        </w:rPr>
        <w:t xml:space="preserve">投标</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绝无</w:t>
      </w:r>
      <w:r>
        <w:rPr>
          <w:rFonts w:hint="eastAsia" w:cs="宋体" w:asciiTheme="minorEastAsia" w:hAnsiTheme="minorEastAsia" w:eastAsiaTheme="minorEastAsia"/>
          <w:color w:val="000000" w:themeColor="text1"/>
          <w:sz w:val="24"/>
          <w:szCs w:val="24"/>
          <w:lang w:val="en-GB"/>
          <w14:textFill>
            <w14:solidFill>
              <w14:schemeClr w14:val="tx1"/>
            </w14:solidFill>
          </w14:textFill>
        </w:rPr>
        <w:t xml:space="preserve">串标、围标等行为。</w:t>
      </w:r>
      <w:r/>
    </w:p>
    <w:p>
      <w:pPr>
        <w:ind w:firstLine="480"/>
        <w:jc w:val="left"/>
        <w:spacing w:line="360" w:lineRule="auto"/>
        <w:widowControl/>
        <w:rPr>
          <w:rFonts w:cs="宋体" w:asciiTheme="minorEastAsia" w:hAnsiTheme="minorEastAsia" w:eastAsiaTheme="minorEastAsia"/>
          <w:color w:val="000000" w:themeColor="text1"/>
          <w:sz w:val="24"/>
          <w:szCs w:val="24"/>
          <w:lang w:val="en-GB"/>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lang w:val="en-GB"/>
          <w14:textFill>
            <w14:solidFill>
              <w14:schemeClr w14:val="tx1"/>
            </w14:solidFill>
          </w14:textFill>
        </w:rPr>
        <w:t xml:space="preserve">我单位在参加政府采购活动前三年内，在经营活动中没有重大违法记录。</w:t>
      </w:r>
      <w:r/>
    </w:p>
    <w:p>
      <w:pPr>
        <w:ind w:firstLine="48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7.如中标，我单位</w:t>
      </w:r>
      <w:r>
        <w:rPr>
          <w:rFonts w:hint="eastAsia" w:cs="宋体" w:asciiTheme="minorEastAsia" w:hAnsiTheme="minorEastAsia" w:eastAsiaTheme="minorEastAsia"/>
          <w:color w:val="000000" w:themeColor="text1"/>
          <w:sz w:val="24"/>
          <w:szCs w:val="24"/>
          <w:lang w:val="en-GB"/>
          <w14:textFill>
            <w14:solidFill>
              <w14:schemeClr w14:val="tx1"/>
            </w14:solidFill>
          </w14:textFill>
        </w:rPr>
        <w:t xml:space="preserve">在中标公告发出之日起3日内领取中标通知书</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p>
    <w:p>
      <w:pPr>
        <w:ind w:firstLine="48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8.如中标，我单位将按照招标文件规定并在中标通知书规定的时限内与采购单位签订合同。</w:t>
      </w:r>
      <w:r/>
    </w:p>
    <w:p>
      <w:pPr>
        <w:ind w:firstLine="48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9.如中标，我单位将按照招标文件规定以及投标文件中承诺的相关事项向招标人提供完整相关证明材料或配合采购人做好相关工作。</w:t>
      </w:r>
      <w:r/>
    </w:p>
    <w:p>
      <w:pPr>
        <w:ind w:firstLine="480"/>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若我单位未能兑现以上承诺，愿意放弃本项目中标资格，愿意被招标人列入本单位政府采购黑名单，愿意接受招标人和监管部门的其它处罚，并愿意承担因违反上述承诺内容所引发的一切责任与后果。</w:t>
      </w:r>
      <w:r/>
    </w:p>
    <w:p>
      <w:pPr>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312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投标人（盖公章）： </w:t>
      </w:r>
      <w:r/>
    </w:p>
    <w:p>
      <w:pPr>
        <w:ind w:firstLine="312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法定代表人或授权代表（签字）：</w:t>
      </w:r>
      <w:r/>
    </w:p>
    <w:p>
      <w:pPr>
        <w:ind w:firstLine="312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年   月   日</w:t>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cs="宋体"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cs="宋体"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cs="宋体"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cs="宋体"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cs="宋体"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cs="宋体"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附件5</w:t>
      </w:r>
      <w:r/>
    </w:p>
    <w:p>
      <w:pPr>
        <w:ind w:firstLine="643"/>
        <w:jc w:val="center"/>
        <w:spacing w:line="360" w:lineRule="auto"/>
        <w:widowControl/>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中小企业声明函</w:t>
      </w:r>
      <w:r/>
    </w:p>
    <w:p>
      <w:pPr>
        <w:ind w:firstLine="56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cs="宋体" w:asciiTheme="minorEastAsia" w:hAnsiTheme="minorEastAsia" w:eastAsiaTheme="minorEastAsia"/>
          <w:bCs/>
          <w:color w:val="000000" w:themeColor="text1"/>
          <w:sz w:val="24"/>
          <w:szCs w:val="24"/>
          <w:u w:val="single"/>
          <w14:textFill>
            <w14:solidFill>
              <w14:schemeClr w14:val="tx1"/>
            </w14:solidFill>
          </w14:textFill>
        </w:rPr>
        <w:t xml:space="preserve">南通市海门区包场镇人民政府采购2026年污水处理设施运维服务项目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采购活动，服务全部由符合政策要求的中小企业承接。相关企业的具体情况如下：</w:t>
      </w:r>
      <w:r/>
    </w:p>
    <w:p>
      <w:pPr>
        <w:ind w:firstLine="560"/>
        <w:jc w:val="left"/>
        <w:spacing w:line="360" w:lineRule="auto"/>
        <w:widowControl/>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污水处理设施运维服务</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，属于</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其他未列明行业</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；承建（承接）企业为</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u w:val="single"/>
          <w:lang w:val="en-US"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（企业名称）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，从业人员</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人，属于</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（中型企业、小型企业、微型企业）</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p>
    <w:p>
      <w:pPr>
        <w:ind w:firstLine="56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本企业对上述声明内容的真实性负责。如有虚假，将依法承担相应责任。</w:t>
      </w:r>
      <w:r/>
    </w:p>
    <w:p>
      <w:pPr>
        <w:ind w:firstLine="504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504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企业名称（盖章）：</w:t>
      </w:r>
      <w:r/>
    </w:p>
    <w:p>
      <w:pPr>
        <w:ind w:firstLine="5040"/>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日期：</w:t>
      </w:r>
      <w:r/>
    </w:p>
    <w:p>
      <w:pPr>
        <w:pStyle w:val="726"/>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pStyle w:val="726"/>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pStyle w:val="726"/>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lang w:bidi="zh-CN"/>
          <w14:textFill>
            <w14:solidFill>
              <w14:schemeClr w14:val="tx1"/>
            </w14:solidFill>
          </w14:textFill>
        </w:rPr>
        <w:t xml:space="preserve">注：中标供应商为中小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after="120" w:line="360" w:lineRule="auto"/>
        <w:rPr>
          <w:rFonts w:cs="宋体" w:asciiTheme="minorEastAsia" w:hAnsiTheme="minorEastAsia" w:eastAsiaTheme="minorEastAsia"/>
          <w:b/>
          <w:color w:val="000000" w:themeColor="text1"/>
          <w:sz w:val="24"/>
          <w:szCs w:val="24"/>
          <w:lang w:bidi="zh-CN"/>
          <w14:textFill>
            <w14:solidFill>
              <w14:schemeClr w14:val="tx1"/>
            </w14:solidFill>
          </w14:textFill>
        </w:rPr>
      </w:pPr>
      <w:r>
        <w:rPr>
          <w:rFonts w:hint="eastAsia" w:cs="宋体" w:asciiTheme="minorEastAsia" w:hAnsiTheme="minorEastAsia" w:eastAsiaTheme="minorEastAsia"/>
          <w:b/>
          <w:color w:val="000000" w:themeColor="text1"/>
          <w:sz w:val="24"/>
          <w:szCs w:val="24"/>
          <w:lang w:bidi="zh-CN"/>
          <w14:textFill>
            <w14:solidFill>
              <w14:schemeClr w14:val="tx1"/>
            </w14:solidFill>
          </w14:textFill>
        </w:rPr>
        <w:t xml:space="preserve">根据工信部联企业[2011]300号文，关于中小企业划型标准规定：</w:t>
      </w:r>
      <w:r/>
    </w:p>
    <w:p>
      <w:pPr>
        <w:pStyle w:val="726"/>
        <w:ind w:firstLine="422"/>
        <w:spacing w:line="360" w:lineRule="auto"/>
        <w:rPr>
          <w:rFonts w:cs="宋体" w:asciiTheme="minorEastAsia" w:hAnsiTheme="minorEastAsia" w:eastAsiaTheme="minorEastAsia"/>
          <w:b/>
          <w:color w:val="000000" w:themeColor="text1"/>
          <w:sz w:val="24"/>
          <w:szCs w:val="24"/>
          <w:lang w:bidi="zh-CN"/>
          <w14:textFill>
            <w14:solidFill>
              <w14:schemeClr w14:val="tx1"/>
            </w14:solidFill>
          </w14:textFill>
        </w:rPr>
      </w:pPr>
      <w:r>
        <w:rPr>
          <w:rFonts w:hint="eastAsia" w:cs="宋体" w:asciiTheme="minorEastAsia" w:hAnsiTheme="minorEastAsia" w:eastAsiaTheme="minorEastAsia"/>
          <w:b/>
          <w:color w:val="000000" w:themeColor="text1"/>
          <w:sz w:val="24"/>
          <w:szCs w:val="24"/>
          <w:lang w:bidi="zh-CN"/>
          <w14:textFill>
            <w14:solidFill>
              <w14:schemeClr w14:val="tx1"/>
            </w14:solidFill>
          </w14:textFill>
        </w:rPr>
        <w:t xml:space="preserve">其他未列明行业。其他未列明行业。从业人员300人以下的为中小微型企业。其中，从业人员100人及以上的为中型企业；从业人员10人及以上的为小型企业；从业人员10人以下的为微型企业。</w:t>
      </w:r>
      <w:r/>
    </w:p>
    <w:p>
      <w:pPr>
        <w:pStyle w:val="726"/>
        <w:ind w:firstLine="411"/>
        <w:spacing w:line="360" w:lineRule="auto"/>
        <w:rPr>
          <w:rFonts w:cs="宋体" w:asciiTheme="minorEastAsia" w:hAnsiTheme="minorEastAsia" w:eastAsiaTheme="minorEastAsia"/>
          <w:b/>
          <w:color w:val="000000" w:themeColor="text1"/>
          <w:sz w:val="24"/>
          <w:szCs w:val="24"/>
          <w:lang w:bidi="zh-CN"/>
          <w14:textFill>
            <w14:solidFill>
              <w14:schemeClr w14:val="tx1"/>
            </w14:solidFill>
          </w14:textFill>
        </w:rPr>
      </w:pPr>
      <w:r>
        <w:rPr>
          <w:rFonts w:cs="宋体" w:asciiTheme="minorEastAsia" w:hAnsiTheme="minorEastAsia" w:eastAsiaTheme="minorEastAsia"/>
          <w:b/>
          <w:color w:val="000000" w:themeColor="text1"/>
          <w:sz w:val="24"/>
          <w:szCs w:val="24"/>
          <w:lang w:bidi="zh-CN"/>
          <w14:textFill>
            <w14:solidFill>
              <w14:schemeClr w14:val="tx1"/>
            </w14:solidFill>
          </w14:textFill>
        </w:rPr>
      </w:r>
      <w:r/>
    </w:p>
    <w:p>
      <w:pPr>
        <w:jc w:val="left"/>
        <w:spacing w:line="360" w:lineRule="auto"/>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cs="宋体" w:asciiTheme="minorEastAsia" w:hAnsiTheme="minorEastAsia" w:eastAsiaTheme="minorEastAsia"/>
          <w:b/>
          <w:bCs/>
          <w:color w:val="000000" w:themeColor="text1"/>
          <w:sz w:val="24"/>
          <w:szCs w:val="24"/>
          <w14:textFill>
            <w14:solidFill>
              <w14:schemeClr w14:val="tx1"/>
            </w14:solidFill>
          </w14:textFill>
        </w:rPr>
      </w:r>
      <w:r/>
    </w:p>
    <w:p>
      <w:pPr>
        <w:pStyle w:val="726"/>
        <w:spacing w:line="360" w:lineRule="auto"/>
        <w:rPr>
          <w:rFonts w:cs="宋体" w:asciiTheme="minorEastAsia" w:hAnsiTheme="minorEastAsia" w:eastAsiaTheme="minorEastAsia"/>
          <w:b/>
          <w:color w:val="000000" w:themeColor="text1"/>
          <w:sz w:val="24"/>
          <w:szCs w:val="24"/>
          <w:lang w:bidi="zh-CN"/>
          <w14:textFill>
            <w14:solidFill>
              <w14:schemeClr w14:val="tx1"/>
            </w14:solidFill>
          </w14:textFill>
        </w:rPr>
      </w:pPr>
      <w:r>
        <w:rPr>
          <w:rFonts w:cs="宋体" w:asciiTheme="minorEastAsia" w:hAnsiTheme="minorEastAsia" w:eastAsiaTheme="minorEastAsia"/>
          <w:b/>
          <w:color w:val="000000" w:themeColor="text1"/>
          <w:sz w:val="24"/>
          <w:szCs w:val="24"/>
          <w:lang w:bidi="zh-CN"/>
          <w14:textFill>
            <w14:solidFill>
              <w14:schemeClr w14:val="tx1"/>
            </w14:solidFill>
          </w14:textFill>
        </w:rPr>
      </w:r>
      <w:r/>
    </w:p>
    <w:p>
      <w:pPr>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br w:type="page" w:clear="all"/>
      </w:r>
      <w:r>
        <w:rPr>
          <w:rFonts w:hint="eastAsia" w:cs="宋体" w:asciiTheme="minorEastAsia" w:hAnsiTheme="minorEastAsia" w:eastAsiaTheme="minorEastAsia"/>
          <w:color w:val="000000" w:themeColor="text1"/>
          <w:sz w:val="24"/>
          <w:szCs w:val="24"/>
          <w14:textFill>
            <w14:solidFill>
              <w14:schemeClr w14:val="tx1"/>
            </w14:solidFill>
          </w14:textFill>
        </w:rPr>
        <w:t xml:space="preserve">附件6</w:t>
      </w:r>
      <w:r/>
    </w:p>
    <w:p>
      <w:pPr>
        <w:jc w:val="cente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残疾人福利性单位声明函</w:t>
      </w:r>
      <w:r/>
    </w:p>
    <w:p>
      <w:pPr>
        <w:pStyle w:val="763"/>
        <w:ind w:firstLine="240"/>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南通市海门区包场镇人民政府</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的</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南通市海门区包场镇人民政府采购2026年污水处理设施运维服务项目</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（项目编号：</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JSZC-320614-JDGS-G2026-0052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）的项目采购活动提供本单位制造的货物，或者提供其他残疾人福利性单位制造的货物（不包括使用非残疾人福利性单位注册商标的货物）。</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本单位对上述声明的真实性负责。如有虚假，将依法承担相应责任。</w:t>
      </w:r>
      <w:r/>
    </w:p>
    <w:p>
      <w:pPr>
        <w:jc w:val="center"/>
        <w:spacing w:line="360" w:lineRule="auto"/>
        <w:rPr>
          <w:rFonts w:cs="宋体" w:asciiTheme="minorEastAsia" w:hAnsiTheme="minorEastAsia" w:eastAsiaTheme="minorEastAsia"/>
          <w:color w:val="000000" w:themeColor="text1"/>
          <w:sz w:val="24"/>
          <w:szCs w:val="24"/>
          <w:lang w:bidi="zh-CN"/>
          <w14:textFill>
            <w14:solidFill>
              <w14:schemeClr w14:val="tx1"/>
            </w14:solidFill>
          </w14:textFill>
        </w:rPr>
        <w:outlineLvl w:val="0"/>
      </w:pPr>
      <w:r>
        <w:rPr>
          <w:rFonts w:cs="宋体" w:asciiTheme="minorEastAsia" w:hAnsiTheme="minorEastAsia" w:eastAsiaTheme="minorEastAsia"/>
          <w:color w:val="000000" w:themeColor="text1"/>
          <w:sz w:val="24"/>
          <w:szCs w:val="24"/>
          <w:lang w:bidi="zh-CN"/>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szCs w:val="24"/>
          <w:lang w:bidi="zh-CN"/>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lang w:bidi="zh-CN"/>
          <w14:textFill>
            <w14:solidFill>
              <w14:schemeClr w14:val="tx1"/>
            </w14:solidFill>
          </w14:textFill>
        </w:rPr>
        <w:t xml:space="preserve">           企业名称（盖章）：</w:t>
      </w:r>
      <w:r/>
    </w:p>
    <w:p>
      <w:pPr>
        <w:jc w:val="center"/>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lang w:bidi="zh-CN"/>
          <w14:textFill>
            <w14:solidFill>
              <w14:schemeClr w14:val="tx1"/>
            </w14:solidFill>
          </w14:textFill>
        </w:rPr>
        <w:t xml:space="preserve">日期：</w:t>
      </w:r>
      <w:r/>
    </w:p>
    <w:p>
      <w:pPr>
        <w:spacing w:line="360" w:lineRule="auto"/>
        <w:rPr>
          <w:rFonts w:cs="宋体" w:asciiTheme="minorEastAsia" w:hAnsiTheme="minorEastAsia" w:eastAsiaTheme="minorEastAsia"/>
          <w:b/>
          <w:color w:val="000000" w:themeColor="text1"/>
          <w:sz w:val="24"/>
          <w:szCs w:val="24"/>
          <w:lang w:bidi="zh-CN"/>
          <w14:textFill>
            <w14:solidFill>
              <w14:schemeClr w14:val="tx1"/>
            </w14:solidFill>
          </w14:textFill>
        </w:rPr>
        <w:outlineLvl w:val="0"/>
      </w:pPr>
      <w:r>
        <w:rPr>
          <w:rFonts w:cs="宋体" w:asciiTheme="minorEastAsia" w:hAnsiTheme="minorEastAsia" w:eastAsiaTheme="minorEastAsia"/>
          <w:b/>
          <w:color w:val="000000" w:themeColor="text1"/>
          <w:sz w:val="24"/>
          <w:szCs w:val="24"/>
          <w:lang w:bidi="zh-CN"/>
          <w14:textFill>
            <w14:solidFill>
              <w14:schemeClr w14:val="tx1"/>
            </w14:solidFill>
          </w14:textFill>
        </w:rPr>
      </w:r>
      <w:r/>
    </w:p>
    <w:p>
      <w:pPr>
        <w:spacing w:line="360" w:lineRule="auto"/>
        <w:rPr>
          <w:rFonts w:cs="宋体" w:asciiTheme="minorEastAsia" w:hAnsiTheme="minorEastAsia" w:eastAsiaTheme="minorEastAsia"/>
          <w:b/>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b/>
          <w:color w:val="000000" w:themeColor="text1"/>
          <w:sz w:val="24"/>
          <w:szCs w:val="24"/>
          <w:lang w:bidi="zh-CN"/>
          <w14:textFill>
            <w14:solidFill>
              <w14:schemeClr w14:val="tx1"/>
            </w14:solidFill>
          </w14:textFill>
        </w:rPr>
        <w:t xml:space="preserve">注：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br w:type="page" w:clear="all"/>
      </w:r>
      <w:r>
        <w:rPr>
          <w:rFonts w:hint="eastAsia" w:cs="宋体" w:asciiTheme="minorEastAsia" w:hAnsiTheme="minorEastAsia" w:eastAsiaTheme="minorEastAsia"/>
          <w:color w:val="000000" w:themeColor="text1"/>
          <w:sz w:val="24"/>
          <w:szCs w:val="24"/>
          <w14:textFill>
            <w14:solidFill>
              <w14:schemeClr w14:val="tx1"/>
            </w14:solidFill>
          </w14:textFill>
        </w:rPr>
        <w:t xml:space="preserve">附件7</w:t>
      </w:r>
      <w:r/>
    </w:p>
    <w:p>
      <w:pPr>
        <w:jc w:val="cente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outlineLvl w:val="3"/>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监狱和戒毒企业证明材料</w:t>
      </w:r>
      <w:r/>
    </w:p>
    <w:p>
      <w:pPr>
        <w:ind w:firstLine="495"/>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498"/>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（格式自拟）</w:t>
      </w:r>
      <w:r/>
    </w:p>
    <w:p>
      <w:pPr>
        <w:ind w:firstLine="495"/>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6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outlineLvl w:val="0"/>
      </w:pPr>
      <w:r>
        <w:rPr>
          <w:rFonts w:cs="宋体"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b/>
          <w:color w:val="000000" w:themeColor="text1"/>
          <w:sz w:val="24"/>
          <w:szCs w:val="24"/>
          <w14:textFill>
            <w14:solidFill>
              <w14:schemeClr w14:val="tx1"/>
            </w14:solidFill>
          </w14:textFill>
        </w:rPr>
        <w:outlineLvl w:val="0"/>
      </w:pPr>
      <w:r>
        <w:rPr>
          <w:rFonts w:hint="eastAsia" w:cs="宋体" w:asciiTheme="minorEastAsia" w:hAnsiTheme="minorEastAsia" w:eastAsiaTheme="minorEastAsia"/>
          <w:b/>
          <w:color w:val="000000" w:themeColor="text1"/>
          <w:sz w:val="24"/>
          <w:szCs w:val="24"/>
          <w:lang w:bidi="zh-CN"/>
          <w14:textFill>
            <w14:solidFill>
              <w14:schemeClr w14:val="tx1"/>
            </w14:solidFill>
          </w14:textFill>
        </w:rPr>
        <w:t xml:space="preserve">注：中标供应商为监狱企业的，此证明文件将随中标结果同时公告，接受社会监督。供应商按照本办法规定提供证明材料内容不实的，属于提供虚假材料谋取中标、成交，依照《中华人民共和国政府采购法》等国家有关规定追究相应责任。</w:t>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pStyle w:val="763"/>
        <w:ind w:firstLine="280"/>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br w:type="page" w:clear="all"/>
      </w:r>
      <w:r/>
    </w:p>
    <w:p>
      <w:pPr>
        <w:jc w:val="left"/>
        <w:spacing w:line="360" w:lineRule="auto"/>
        <w:rPr>
          <w:rFonts w:asciiTheme="minorEastAsia" w:hAnsiTheme="minorEastAsia" w:eastAsiaTheme="minorEastAsia"/>
          <w:color w:val="000000"/>
          <w:spacing w:val="8"/>
          <w:sz w:val="24"/>
          <w:szCs w:val="24"/>
        </w:rPr>
      </w:pPr>
      <w:r>
        <w:rPr>
          <w:rFonts w:hint="eastAsia" w:cs="宋体" w:asciiTheme="minorEastAsia" w:hAnsiTheme="minorEastAsia" w:eastAsiaTheme="minorEastAsia"/>
          <w:sz w:val="24"/>
          <w:szCs w:val="24"/>
        </w:rPr>
        <w:t xml:space="preserve">附件8</w:t>
      </w:r>
      <w:r/>
    </w:p>
    <w:p>
      <w:pPr>
        <w:contextualSpacing/>
        <w:jc w:val="center"/>
        <w:spacing w:line="460" w:lineRule="exact"/>
        <w:widowControl/>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承诺函</w:t>
      </w:r>
      <w:r/>
    </w:p>
    <w:p>
      <w:pPr>
        <w:contextualSpacing/>
        <w:spacing w:line="5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致：</w:t>
      </w:r>
      <w:r>
        <w:rPr>
          <w:rFonts w:hint="eastAsia" w:cs="宋体" w:asciiTheme="minorEastAsia" w:hAnsiTheme="minorEastAsia" w:eastAsiaTheme="minorEastAsia"/>
          <w:sz w:val="24"/>
          <w:szCs w:val="24"/>
          <w:u w:val="single"/>
        </w:rPr>
        <w:t xml:space="preserve">南通市海门区包场镇人民政府</w:t>
      </w:r>
      <w:r>
        <w:rPr>
          <w:rFonts w:hint="eastAsia" w:cs="宋体" w:asciiTheme="minorEastAsia" w:hAnsiTheme="minorEastAsia" w:eastAsiaTheme="minorEastAsia"/>
          <w:sz w:val="24"/>
          <w:szCs w:val="24"/>
        </w:rPr>
        <w:t xml:space="preserve">(采购人名称)</w:t>
      </w:r>
      <w:r/>
    </w:p>
    <w:p>
      <w:pPr>
        <w:contextualSpacing/>
        <w:ind w:firstLine="720"/>
        <w:spacing w:line="5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如我单位最终中标</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南通市海门区包场镇人民政府采购2026年污水处理设施运维服务项目</w:t>
      </w:r>
      <w:r>
        <w:rPr>
          <w:rFonts w:hint="eastAsia" w:cs="宋体" w:asciiTheme="minorEastAsia" w:hAnsiTheme="minorEastAsia" w:eastAsiaTheme="minorEastAsia"/>
          <w:color w:val="000000" w:themeColor="text1"/>
          <w:sz w:val="24"/>
          <w:szCs w:val="24"/>
          <w:u w:val="single"/>
          <w:lang w:eastAsia="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JSZC-320614-JDGS-G2026-0052</w:t>
      </w:r>
      <w:r>
        <w:rPr>
          <w:rFonts w:hint="eastAsia" w:cs="宋体" w:asciiTheme="minorEastAsia" w:hAnsiTheme="minorEastAsia" w:eastAsiaTheme="minorEastAsia"/>
          <w:color w:val="000000" w:themeColor="text1"/>
          <w:sz w:val="24"/>
          <w:szCs w:val="24"/>
          <w:u w:val="single"/>
          <w:lang w:eastAsia="zh-CN"/>
          <w14:textFill>
            <w14:solidFill>
              <w14:schemeClr w14:val="tx1"/>
            </w14:solidFill>
          </w14:textFill>
        </w:rPr>
        <w:t xml:space="preserve">）</w:t>
      </w:r>
      <w:r>
        <w:rPr>
          <w:rFonts w:hint="eastAsia" w:cs="宋体" w:asciiTheme="minorEastAsia" w:hAnsiTheme="minorEastAsia" w:eastAsiaTheme="minorEastAsia"/>
          <w:sz w:val="24"/>
          <w:szCs w:val="24"/>
          <w:u w:val="single"/>
        </w:rPr>
        <w:t xml:space="preserve">（</w:t>
      </w:r>
      <w:r>
        <w:rPr>
          <w:rFonts w:hint="eastAsia" w:cs="宋体" w:asciiTheme="minorEastAsia" w:hAnsiTheme="minorEastAsia" w:eastAsiaTheme="minorEastAsia"/>
          <w:sz w:val="24"/>
          <w:szCs w:val="24"/>
        </w:rPr>
        <w:t xml:space="preserve">采购项目名称及项目编号) ，愿作出如下郑重承诺:</w:t>
      </w:r>
      <w:r/>
    </w:p>
    <w:p>
      <w:pPr>
        <w:contextualSpacing/>
        <w:ind w:firstLine="720"/>
        <w:spacing w:line="5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1、我单位在服务期间，现场服务团队人员与我单位投标文件中拟派团队人员保持一致。</w:t>
      </w:r>
      <w:r/>
    </w:p>
    <w:p>
      <w:pPr>
        <w:contextualSpacing/>
        <w:ind w:firstLine="720"/>
        <w:spacing w:line="5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2、我单位在服务期间内保证平均每周至少1人2天驻场在采购人办公地点或者陪同采购人外出考察交流，因节假日以及与采购人事前沟通确认的不在此限。</w:t>
      </w:r>
      <w:r/>
    </w:p>
    <w:p>
      <w:pPr>
        <w:pStyle w:val="726"/>
        <w:rPr>
          <w:rFonts w:hint="default" w:eastAsiaTheme="minorEastAsia"/>
          <w:lang w:val="en-US" w:eastAsia="zh-CN"/>
        </w:rPr>
      </w:pPr>
      <w:r>
        <w:rPr>
          <w:rFonts w:hint="eastAsia" w:cs="宋体" w:asciiTheme="minorEastAsia" w:hAnsiTheme="minorEastAsia" w:eastAsiaTheme="minorEastAsia"/>
          <w:sz w:val="24"/>
          <w:szCs w:val="24"/>
          <w:lang w:val="en-US" w:eastAsia="zh-CN"/>
        </w:rPr>
        <w:t xml:space="preserve">      </w:t>
      </w:r>
      <w:r/>
    </w:p>
    <w:p>
      <w:pPr>
        <w:contextualSpacing/>
        <w:spacing w:after="120" w:line="52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contextualSpacing/>
        <w:spacing w:after="120" w:line="52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contextualSpacing/>
        <w:spacing w:line="520" w:lineRule="exact"/>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r>
      <w:r/>
    </w:p>
    <w:p>
      <w:pPr>
        <w:contextualSpacing/>
        <w:jc w:val="left"/>
        <w:spacing w:line="480" w:lineRule="auto"/>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p>
      <w:pPr>
        <w:contextualSpacing/>
        <w:jc w:val="left"/>
        <w:spacing w:line="480" w:lineRule="auto"/>
        <w:widowControl/>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p>
      <w:pPr>
        <w:contextualSpacing/>
        <w:ind w:firstLine="4968"/>
        <w:jc w:val="left"/>
        <w:spacing w:line="480" w:lineRule="auto"/>
        <w:widowControl/>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投标人（盖公章）：</w:t>
      </w:r>
      <w:r/>
    </w:p>
    <w:p>
      <w:pPr>
        <w:contextualSpacing/>
        <w:ind w:firstLine="5040"/>
        <w:jc w:val="left"/>
        <w:spacing w:line="480" w:lineRule="auto"/>
        <w:widowControl/>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法定代表人或授权代表（签字）：</w:t>
      </w:r>
      <w:r/>
    </w:p>
    <w:p>
      <w:pPr>
        <w:contextualSpacing/>
        <w:ind w:firstLine="5040"/>
        <w:jc w:val="left"/>
        <w:spacing w:line="480" w:lineRule="auto"/>
        <w:widowControl/>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年</w:t>
      </w:r>
      <w:r>
        <w:rPr>
          <w:rFonts w:hint="eastAsia" w:asciiTheme="minorEastAsia" w:hAnsiTheme="minorEastAsia" w:eastAsiaTheme="minorEastAsia"/>
          <w:color w:val="000000"/>
          <w:sz w:val="24"/>
          <w:szCs w:val="24"/>
          <w:lang w:val="en-US" w:eastAsia="zh-CN"/>
        </w:rPr>
        <w:t xml:space="preserve">  </w:t>
      </w:r>
      <w:r>
        <w:rPr>
          <w:rFonts w:hint="eastAsia" w:asciiTheme="minorEastAsia" w:hAnsiTheme="minorEastAsia" w:eastAsiaTheme="minorEastAsia"/>
          <w:color w:val="000000"/>
          <w:sz w:val="24"/>
          <w:szCs w:val="24"/>
        </w:rPr>
        <w:t xml:space="preserve">月</w:t>
      </w:r>
      <w:r>
        <w:rPr>
          <w:rFonts w:hint="eastAsia" w:asciiTheme="minorEastAsia" w:hAnsiTheme="minorEastAsia" w:eastAsiaTheme="minorEastAsia"/>
          <w:color w:val="000000"/>
          <w:sz w:val="24"/>
          <w:szCs w:val="24"/>
          <w:lang w:val="en-US" w:eastAsia="zh-CN"/>
        </w:rPr>
        <w:t xml:space="preserve">   </w:t>
      </w:r>
      <w:r>
        <w:rPr>
          <w:rFonts w:hint="eastAsia" w:asciiTheme="minorEastAsia" w:hAnsiTheme="minorEastAsia" w:eastAsiaTheme="minorEastAsia"/>
          <w:color w:val="000000"/>
          <w:sz w:val="24"/>
          <w:szCs w:val="24"/>
        </w:rPr>
        <w:t xml:space="preserve">日</w:t>
      </w:r>
      <w:r/>
    </w:p>
    <w:p>
      <w:pPr>
        <w:contextualSpacing/>
        <w:ind w:firstLine="5040"/>
        <w:jc w:val="left"/>
        <w:spacing w:line="480" w:lineRule="auto"/>
        <w:widowControl/>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contextualSpacing/>
        <w:ind w:firstLine="5040"/>
        <w:jc w:val="left"/>
        <w:spacing w:line="480" w:lineRule="auto"/>
        <w:widowControl/>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contextualSpacing/>
        <w:ind w:firstLine="5040"/>
        <w:jc w:val="left"/>
        <w:spacing w:line="480" w:lineRule="auto"/>
        <w:widowControl/>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contextualSpacing/>
        <w:ind w:firstLine="5040"/>
        <w:jc w:val="left"/>
        <w:spacing w:line="480" w:lineRule="auto"/>
        <w:widowControl/>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contextualSpacing/>
        <w:ind w:firstLine="5040"/>
        <w:jc w:val="left"/>
        <w:spacing w:line="480" w:lineRule="auto"/>
        <w:widowControl/>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contextualSpacing/>
        <w:ind w:firstLine="5040"/>
        <w:jc w:val="left"/>
        <w:spacing w:line="480" w:lineRule="auto"/>
        <w:widowControl/>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contextualSpacing/>
        <w:ind w:firstLine="5040"/>
        <w:jc w:val="left"/>
        <w:spacing w:line="480" w:lineRule="auto"/>
        <w:widowControl/>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contextualSpacing/>
        <w:ind w:firstLine="5040"/>
        <w:jc w:val="left"/>
        <w:spacing w:line="480" w:lineRule="auto"/>
        <w:widowControl/>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jc w:val="left"/>
        <w:spacing w:line="360" w:lineRule="auto"/>
        <w:widowControl/>
        <w:rPr>
          <w:rFonts w:cs="宋体" w:asciiTheme="minorEastAsia" w:hAnsiTheme="minorEastAsia" w:eastAsiaTheme="minorEastAsia"/>
          <w:b/>
          <w:bCs/>
          <w:sz w:val="28"/>
          <w:szCs w:val="28"/>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附件9</w:t>
      </w:r>
      <w:r/>
    </w:p>
    <w:p>
      <w:pPr>
        <w:jc w:val="center"/>
        <w:spacing w:line="360" w:lineRule="auto"/>
        <w:widowControl/>
        <w:rPr>
          <w:rFonts w:cs="宋体" w:asciiTheme="minorEastAsia" w:hAnsiTheme="minorEastAsia" w:eastAsiaTheme="minorEastAsia"/>
          <w:sz w:val="28"/>
          <w:szCs w:val="28"/>
        </w:rPr>
      </w:pPr>
      <w:r>
        <w:rPr>
          <w:rFonts w:hint="eastAsia" w:cs="宋体" w:asciiTheme="minorEastAsia" w:hAnsiTheme="minorEastAsia" w:eastAsiaTheme="minorEastAsia"/>
          <w:b/>
          <w:bCs/>
          <w:sz w:val="28"/>
          <w:szCs w:val="28"/>
        </w:rPr>
        <w:t xml:space="preserve">人</w:t>
      </w:r>
      <w:r>
        <w:rPr>
          <w:rFonts w:cs="Calibri" w:asciiTheme="minorEastAsia" w:hAnsiTheme="minorEastAsia" w:eastAsiaTheme="minorEastAsia"/>
          <w:b/>
          <w:bCs/>
          <w:sz w:val="28"/>
          <w:szCs w:val="28"/>
        </w:rPr>
        <w:t xml:space="preserve"> </w:t>
      </w:r>
      <w:r>
        <w:rPr>
          <w:rFonts w:hint="eastAsia" w:cs="宋体" w:asciiTheme="minorEastAsia" w:hAnsiTheme="minorEastAsia" w:eastAsiaTheme="minorEastAsia"/>
          <w:b/>
          <w:bCs/>
          <w:sz w:val="28"/>
          <w:szCs w:val="28"/>
        </w:rPr>
        <w:t xml:space="preserve">员</w:t>
      </w:r>
      <w:r>
        <w:rPr>
          <w:rFonts w:cs="Calibri" w:asciiTheme="minorEastAsia" w:hAnsiTheme="minorEastAsia" w:eastAsiaTheme="minorEastAsia"/>
          <w:b/>
          <w:bCs/>
          <w:sz w:val="28"/>
          <w:szCs w:val="28"/>
        </w:rPr>
        <w:t xml:space="preserve"> </w:t>
      </w:r>
      <w:r>
        <w:rPr>
          <w:rFonts w:hint="eastAsia" w:cs="宋体" w:asciiTheme="minorEastAsia" w:hAnsiTheme="minorEastAsia" w:eastAsiaTheme="minorEastAsia"/>
          <w:b/>
          <w:bCs/>
          <w:sz w:val="28"/>
          <w:szCs w:val="28"/>
        </w:rPr>
        <w:t xml:space="preserve">配</w:t>
      </w:r>
      <w:r>
        <w:rPr>
          <w:rFonts w:cs="Calibri" w:asciiTheme="minorEastAsia" w:hAnsiTheme="minorEastAsia" w:eastAsiaTheme="minorEastAsia"/>
          <w:b/>
          <w:bCs/>
          <w:sz w:val="28"/>
          <w:szCs w:val="28"/>
        </w:rPr>
        <w:t xml:space="preserve"> </w:t>
      </w:r>
      <w:r>
        <w:rPr>
          <w:rFonts w:hint="eastAsia" w:cs="宋体" w:asciiTheme="minorEastAsia" w:hAnsiTheme="minorEastAsia" w:eastAsiaTheme="minorEastAsia"/>
          <w:b/>
          <w:bCs/>
          <w:sz w:val="28"/>
          <w:szCs w:val="28"/>
        </w:rPr>
        <w:t xml:space="preserve">置</w:t>
      </w:r>
      <w:r>
        <w:rPr>
          <w:rFonts w:cs="Calibri" w:asciiTheme="minorEastAsia" w:hAnsiTheme="minorEastAsia" w:eastAsiaTheme="minorEastAsia"/>
          <w:b/>
          <w:bCs/>
          <w:sz w:val="28"/>
          <w:szCs w:val="28"/>
        </w:rPr>
        <w:t xml:space="preserve"> </w:t>
      </w:r>
      <w:r>
        <w:rPr>
          <w:rFonts w:hint="eastAsia" w:cs="宋体" w:asciiTheme="minorEastAsia" w:hAnsiTheme="minorEastAsia" w:eastAsiaTheme="minorEastAsia"/>
          <w:b/>
          <w:bCs/>
          <w:sz w:val="28"/>
          <w:szCs w:val="28"/>
        </w:rPr>
        <w:t xml:space="preserve">表</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926"/>
        <w:gridCol w:w="926"/>
        <w:gridCol w:w="926"/>
        <w:gridCol w:w="926"/>
        <w:gridCol w:w="926"/>
        <w:gridCol w:w="926"/>
        <w:gridCol w:w="1576"/>
        <w:gridCol w:w="1570"/>
      </w:tblGrid>
      <w:tr>
        <w:trPr>
          <w:trHeight w:val="849"/>
        </w:trPr>
        <w:tc>
          <w:tcPr>
            <w:tcW w:w="481" w:type="pct"/>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481" w:type="pct"/>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职位</w:t>
            </w:r>
            <w:r/>
          </w:p>
        </w:tc>
        <w:tc>
          <w:tcPr>
            <w:tcW w:w="481" w:type="pct"/>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姓名</w:t>
            </w:r>
            <w:r/>
          </w:p>
        </w:tc>
        <w:tc>
          <w:tcPr>
            <w:tcW w:w="481" w:type="pct"/>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性别</w:t>
            </w:r>
            <w:r/>
          </w:p>
        </w:tc>
        <w:tc>
          <w:tcPr>
            <w:tcW w:w="481" w:type="pct"/>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年龄</w:t>
            </w:r>
            <w:r/>
          </w:p>
        </w:tc>
        <w:tc>
          <w:tcPr>
            <w:tcW w:w="481" w:type="pct"/>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专业</w:t>
            </w:r>
            <w:r/>
          </w:p>
        </w:tc>
        <w:tc>
          <w:tcPr>
            <w:tcW w:w="481" w:type="pct"/>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证书</w:t>
            </w:r>
            <w:r/>
          </w:p>
        </w:tc>
        <w:tc>
          <w:tcPr>
            <w:tcW w:w="818" w:type="pct"/>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任职时间</w:t>
            </w:r>
            <w:r/>
          </w:p>
        </w:tc>
        <w:tc>
          <w:tcPr>
            <w:tcW w:w="815" w:type="pct"/>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联系方式</w:t>
            </w:r>
            <w:r/>
          </w:p>
        </w:tc>
      </w:tr>
      <w:tr>
        <w:trPr>
          <w:cantSplit/>
          <w:trHeight w:val="1660"/>
        </w:trPr>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center"/>
              <w:spacing w:line="360" w:lineRule="auto"/>
              <w:widowControl/>
              <w:rPr>
                <w:rFonts w:cs="等线" w:asciiTheme="minorEastAsia" w:hAnsiTheme="minorEastAsia" w:eastAsiaTheme="minorEastAsia"/>
                <w:sz w:val="24"/>
                <w:szCs w:val="24"/>
              </w:rPr>
            </w:pPr>
            <w:r>
              <w:rPr>
                <w:rFonts w:cs="等线"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81" w:type="pct"/>
            <w:vAlign w:val="center"/>
            <w:textDirection w:val="lrTb"/>
            <w:noWrap w:val="false"/>
          </w:tcPr>
          <w:p>
            <w:pPr>
              <w:jc w:val="center"/>
              <w:spacing w:line="360" w:lineRule="auto"/>
              <w:widowControl/>
              <w:rPr>
                <w:rFonts w:cs="等线" w:asciiTheme="minorEastAsia" w:hAnsiTheme="minorEastAsia" w:eastAsiaTheme="minorEastAsia"/>
                <w:sz w:val="24"/>
                <w:szCs w:val="24"/>
              </w:rPr>
            </w:pPr>
            <w:r>
              <w:rPr>
                <w:rFonts w:cs="等线"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81" w:type="pct"/>
            <w:vAlign w:val="center"/>
            <w:textDirection w:val="lrTb"/>
            <w:noWrap w:val="false"/>
          </w:tcPr>
          <w:p>
            <w:pPr>
              <w:jc w:val="center"/>
              <w:spacing w:line="360" w:lineRule="auto"/>
              <w:widowControl/>
              <w:rPr>
                <w:rFonts w:cs="等线" w:asciiTheme="minorEastAsia" w:hAnsiTheme="minorEastAsia" w:eastAsiaTheme="minorEastAsia"/>
                <w:sz w:val="24"/>
                <w:szCs w:val="24"/>
              </w:rPr>
            </w:pPr>
            <w:r>
              <w:rPr>
                <w:rFonts w:cs="等线"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15" w:type="pct"/>
            <w:vAlign w:val="center"/>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1660"/>
        </w:trPr>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center"/>
              <w:spacing w:line="360" w:lineRule="auto"/>
              <w:widowControl/>
              <w:rPr>
                <w:rFonts w:cs="等线" w:asciiTheme="minorEastAsia" w:hAnsiTheme="minorEastAsia" w:eastAsiaTheme="minorEastAsia"/>
                <w:sz w:val="24"/>
                <w:szCs w:val="24"/>
              </w:rPr>
            </w:pPr>
            <w:r>
              <w:rPr>
                <w:rFonts w:cs="等线"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81" w:type="pct"/>
            <w:vAlign w:val="center"/>
            <w:textDirection w:val="lrTb"/>
            <w:noWrap w:val="false"/>
          </w:tcPr>
          <w:p>
            <w:pPr>
              <w:jc w:val="center"/>
              <w:spacing w:line="360" w:lineRule="auto"/>
              <w:widowControl/>
              <w:rPr>
                <w:rFonts w:cs="等线" w:asciiTheme="minorEastAsia" w:hAnsiTheme="minorEastAsia" w:eastAsiaTheme="minorEastAsia"/>
                <w:sz w:val="24"/>
                <w:szCs w:val="24"/>
              </w:rPr>
            </w:pPr>
            <w:r>
              <w:rPr>
                <w:rFonts w:cs="等线"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81" w:type="pct"/>
            <w:vAlign w:val="center"/>
            <w:textDirection w:val="lrTb"/>
            <w:noWrap w:val="false"/>
          </w:tcPr>
          <w:p>
            <w:pPr>
              <w:jc w:val="center"/>
              <w:spacing w:line="360" w:lineRule="auto"/>
              <w:widowControl/>
              <w:rPr>
                <w:rFonts w:cs="等线" w:asciiTheme="minorEastAsia" w:hAnsiTheme="minorEastAsia" w:eastAsiaTheme="minorEastAsia"/>
                <w:sz w:val="24"/>
                <w:szCs w:val="24"/>
              </w:rPr>
            </w:pPr>
            <w:r>
              <w:rPr>
                <w:rFonts w:cs="等线"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15" w:type="pct"/>
            <w:vAlign w:val="center"/>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1660"/>
        </w:trPr>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center"/>
              <w:spacing w:line="360" w:lineRule="auto"/>
              <w:widowControl/>
              <w:rPr>
                <w:rFonts w:cs="等线" w:asciiTheme="minorEastAsia" w:hAnsiTheme="minorEastAsia" w:eastAsiaTheme="minorEastAsia"/>
                <w:sz w:val="24"/>
                <w:szCs w:val="24"/>
              </w:rPr>
            </w:pPr>
            <w:r>
              <w:rPr>
                <w:rFonts w:cs="等线"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81" w:type="pct"/>
            <w:vAlign w:val="center"/>
            <w:textDirection w:val="lrTb"/>
            <w:noWrap w:val="false"/>
          </w:tcPr>
          <w:p>
            <w:pPr>
              <w:jc w:val="center"/>
              <w:spacing w:line="360" w:lineRule="auto"/>
              <w:widowControl/>
              <w:rPr>
                <w:rFonts w:cs="等线" w:asciiTheme="minorEastAsia" w:hAnsiTheme="minorEastAsia" w:eastAsiaTheme="minorEastAsia"/>
                <w:sz w:val="24"/>
                <w:szCs w:val="24"/>
              </w:rPr>
            </w:pPr>
            <w:r>
              <w:rPr>
                <w:rFonts w:cs="等线"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81" w:type="pct"/>
            <w:vAlign w:val="center"/>
            <w:textDirection w:val="lrTb"/>
            <w:noWrap w:val="false"/>
          </w:tcPr>
          <w:p>
            <w:pPr>
              <w:jc w:val="center"/>
              <w:spacing w:line="360" w:lineRule="auto"/>
              <w:widowControl/>
              <w:rPr>
                <w:rFonts w:cs="等线" w:asciiTheme="minorEastAsia" w:hAnsiTheme="minorEastAsia" w:eastAsiaTheme="minorEastAsia"/>
                <w:sz w:val="24"/>
                <w:szCs w:val="24"/>
              </w:rPr>
            </w:pPr>
            <w:r>
              <w:rPr>
                <w:rFonts w:cs="等线"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15" w:type="pct"/>
            <w:vAlign w:val="center"/>
            <w:textDirection w:val="lrTb"/>
            <w:noWrap w:val="false"/>
          </w:tcPr>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日期：</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投标人全称（加盖公章）：</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法定代表人（或委托人）签字：</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填写说明：</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1、请提供人员</w:t>
      </w:r>
      <w:r>
        <w:rPr>
          <w:rFonts w:hint="eastAsia" w:cs="宋体" w:asciiTheme="minorEastAsia" w:hAnsiTheme="minorEastAsia" w:eastAsiaTheme="minorEastAsia"/>
          <w:sz w:val="24"/>
          <w:szCs w:val="24"/>
          <w:lang w:val="en-US" w:eastAsia="zh-CN"/>
        </w:rPr>
        <w:t xml:space="preserve">证书</w:t>
      </w:r>
      <w:r>
        <w:rPr>
          <w:rFonts w:hint="eastAsia" w:cs="宋体" w:asciiTheme="minorEastAsia" w:hAnsiTheme="minorEastAsia" w:eastAsiaTheme="minorEastAsia"/>
          <w:sz w:val="24"/>
          <w:szCs w:val="24"/>
        </w:rPr>
        <w:t xml:space="preserve">相关资格证明复印件</w:t>
      </w:r>
      <w:r>
        <w:rPr>
          <w:rFonts w:hint="eastAsia" w:cs="宋体" w:asciiTheme="minorEastAsia" w:hAnsiTheme="minorEastAsia" w:eastAsiaTheme="minorEastAsia"/>
          <w:sz w:val="24"/>
          <w:szCs w:val="24"/>
          <w:lang w:val="en-US" w:eastAsia="zh-CN"/>
        </w:rPr>
        <w:t xml:space="preserve">等</w:t>
      </w:r>
      <w:r>
        <w:rPr>
          <w:rFonts w:hint="eastAsia" w:cs="宋体" w:asciiTheme="minorEastAsia" w:hAnsiTheme="minorEastAsia" w:eastAsiaTheme="minorEastAsia"/>
          <w:sz w:val="24"/>
          <w:szCs w:val="24"/>
        </w:rPr>
        <w:t xml:space="preserve">。</w:t>
      </w:r>
      <w:r/>
    </w:p>
    <w:p>
      <w:pPr>
        <w:contextualSpacing/>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2、人员配置表必须加盖投标单位公章（复印件无效）。</w:t>
      </w:r>
      <w:r/>
    </w:p>
    <w:p>
      <w:pPr>
        <w:pStyle w:val="766"/>
        <w:rPr>
          <w:rFonts w:asciiTheme="minorEastAsia" w:hAnsiTheme="minorEastAsia" w:eastAsiaTheme="minorEastAsia"/>
        </w:rPr>
      </w:pPr>
      <w:r>
        <w:rPr>
          <w:rFonts w:asciiTheme="minorEastAsia" w:hAnsiTheme="minorEastAsia" w:eastAsiaTheme="minorEastAsia"/>
        </w:rPr>
      </w:r>
      <w:r/>
    </w:p>
    <w:p>
      <w:pPr>
        <w:contextualSpacing/>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br w:type="page" w:clear="all"/>
      </w:r>
      <w:r>
        <w:rPr>
          <w:rFonts w:hint="eastAsia" w:cs="宋体" w:asciiTheme="minorEastAsia" w:hAnsiTheme="minorEastAsia" w:eastAsiaTheme="minorEastAsia"/>
          <w:color w:val="000000" w:themeColor="text1"/>
          <w:sz w:val="24"/>
          <w:szCs w:val="24"/>
          <w14:textFill>
            <w14:solidFill>
              <w14:schemeClr w14:val="tx1"/>
            </w14:solidFill>
          </w14:textFill>
        </w:rPr>
        <w:t xml:space="preserve">附件10</w:t>
      </w:r>
      <w:r/>
    </w:p>
    <w:p>
      <w:pPr>
        <w:pStyle w:val="750"/>
        <w:jc w:val="center"/>
        <w:spacing w:line="360" w:lineRule="auto"/>
        <w:rPr>
          <w:rFonts w:asciiTheme="minorEastAsia" w:hAnsiTheme="minorEastAsia" w:eastAsiaTheme="minorEastAsia"/>
        </w:rPr>
      </w:pPr>
      <w:r>
        <w:rPr>
          <w:rStyle w:val="755"/>
          <w:rFonts w:asciiTheme="minorEastAsia" w:hAnsiTheme="minorEastAsia" w:eastAsiaTheme="minorEastAsia"/>
        </w:rPr>
        <w:t xml:space="preserve">开标一览表</w:t>
      </w:r>
      <w:r/>
    </w:p>
    <w:p>
      <w:pPr>
        <w:pStyle w:val="750"/>
        <w:spacing w:line="360" w:lineRule="auto"/>
        <w:rPr>
          <w:rFonts w:asciiTheme="minorEastAsia" w:hAnsiTheme="minorEastAsia" w:eastAsiaTheme="minorEastAsia"/>
          <w:u w:val="none"/>
        </w:rPr>
      </w:pPr>
      <w:r>
        <w:rPr>
          <w:rFonts w:asciiTheme="minorEastAsia" w:hAnsiTheme="minorEastAsia" w:eastAsiaTheme="minorEastAsia"/>
        </w:rPr>
        <w:t xml:space="preserve">项目编号 ：</w:t>
      </w:r>
      <w:r>
        <w:rPr>
          <w:rFonts w:hint="eastAsia" w:cs="宋体" w:asciiTheme="minorEastAsia" w:hAnsiTheme="minorEastAsia" w:eastAsiaTheme="minorEastAsia"/>
          <w:color w:val="000000" w:themeColor="text1"/>
          <w:sz w:val="24"/>
          <w:szCs w:val="24"/>
          <w:u w:val="none"/>
          <w14:textFill>
            <w14:solidFill>
              <w14:schemeClr w14:val="tx1"/>
            </w14:solidFill>
          </w14:textFill>
        </w:rPr>
        <w:t xml:space="preserve">JSZC-320614-JDGS-G2026-0052</w:t>
      </w:r>
      <w:r>
        <w:rPr>
          <w:rStyle w:val="1025"/>
          <w:rFonts w:hint="eastAsia" w:asciiTheme="minorEastAsia" w:hAnsiTheme="minorEastAsia" w:eastAsiaTheme="minorEastAsia"/>
          <w:u w:val="none"/>
        </w:rPr>
        <w:t xml:space="preserve"> </w:t>
      </w:r>
      <w:r/>
    </w:p>
    <w:p>
      <w:pPr>
        <w:pStyle w:val="750"/>
        <w:spacing w:line="360" w:lineRule="auto"/>
        <w:rPr>
          <w:rFonts w:asciiTheme="minorEastAsia" w:hAnsiTheme="minorEastAsia" w:eastAsiaTheme="minorEastAsia"/>
        </w:rPr>
      </w:pPr>
      <w:r>
        <w:rPr>
          <w:rFonts w:asciiTheme="minorEastAsia" w:hAnsiTheme="minorEastAsia" w:eastAsiaTheme="minorEastAsia"/>
        </w:rPr>
        <w:t xml:space="preserve">货币单位：人民币元</w:t>
      </w:r>
      <w:r/>
    </w:p>
    <w:p>
      <w:pPr>
        <w:pStyle w:val="750"/>
        <w:spacing w:line="360" w:lineRule="auto"/>
        <w:rPr>
          <w:rFonts w:asciiTheme="minorEastAsia" w:hAnsiTheme="minorEastAsia" w:eastAsiaTheme="minorEastAsia"/>
        </w:rPr>
      </w:pPr>
      <w:r>
        <w:rPr>
          <w:rFonts w:asciiTheme="minorEastAsia" w:hAnsiTheme="minorEastAsia" w:eastAsiaTheme="minorEastAsia"/>
        </w:rPr>
        <w:t xml:space="preserve"> </w:t>
      </w:r>
      <w:r/>
    </w:p>
    <w:tbl>
      <w:tblPr>
        <w:tblStyle w:val="72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40"/>
        <w:gridCol w:w="2840"/>
        <w:gridCol w:w="3644"/>
      </w:tblGrid>
      <w:tr>
        <w:trPr>
          <w:tblCellSpacing w:w="15" w:type="dxa"/>
        </w:trPr>
        <w:tc>
          <w:tcPr>
            <w:tcW w:w="3615" w:type="dxa"/>
            <w:vAlign w:val="center"/>
            <w:textDirection w:val="lrTb"/>
            <w:noWrap w:val="false"/>
          </w:tcPr>
          <w:p>
            <w:pPr>
              <w:pStyle w:val="750"/>
              <w:spacing w:line="360" w:lineRule="auto"/>
              <w:rPr>
                <w:rFonts w:asciiTheme="minorEastAsia" w:hAnsiTheme="minorEastAsia" w:eastAsiaTheme="minorEastAsia"/>
              </w:rPr>
            </w:pPr>
            <w:r>
              <w:rPr>
                <w:rFonts w:asciiTheme="minorEastAsia" w:hAnsiTheme="minorEastAsia" w:eastAsiaTheme="minorEastAsia"/>
              </w:rPr>
              <w:t xml:space="preserve"> 项目名称</w:t>
            </w:r>
            <w:r/>
          </w:p>
        </w:tc>
        <w:tc>
          <w:tcPr>
            <w:tcW w:w="3375" w:type="dxa"/>
            <w:vAlign w:val="center"/>
            <w:textDirection w:val="lrTb"/>
            <w:noWrap w:val="false"/>
          </w:tcPr>
          <w:p>
            <w:pPr>
              <w:pStyle w:val="750"/>
              <w:spacing w:line="360" w:lineRule="auto"/>
              <w:rPr>
                <w:rFonts w:asciiTheme="minorEastAsia" w:hAnsiTheme="minorEastAsia" w:eastAsiaTheme="minorEastAsia"/>
              </w:rPr>
            </w:pPr>
            <w:r>
              <w:rPr>
                <w:rFonts w:asciiTheme="minorEastAsia" w:hAnsiTheme="minorEastAsia" w:eastAsiaTheme="minorEastAsia"/>
              </w:rPr>
              <w:t xml:space="preserve">项目内容</w:t>
            </w:r>
            <w:r/>
          </w:p>
        </w:tc>
        <w:tc>
          <w:tcPr>
            <w:tcW w:w="4260" w:type="dxa"/>
            <w:vAlign w:val="center"/>
            <w:textDirection w:val="lrTb"/>
            <w:noWrap w:val="false"/>
          </w:tcPr>
          <w:p>
            <w:pPr>
              <w:pStyle w:val="750"/>
              <w:spacing w:line="360" w:lineRule="auto"/>
              <w:rPr>
                <w:rFonts w:asciiTheme="minorEastAsia" w:hAnsiTheme="minorEastAsia" w:eastAsiaTheme="minorEastAsia"/>
              </w:rPr>
            </w:pPr>
            <w:r>
              <w:rPr>
                <w:rFonts w:hint="eastAsia" w:asciiTheme="minorEastAsia" w:hAnsiTheme="minorEastAsia" w:eastAsiaTheme="minorEastAsia"/>
              </w:rPr>
              <w:t xml:space="preserve">总</w:t>
            </w:r>
            <w:r>
              <w:rPr>
                <w:rFonts w:asciiTheme="minorEastAsia" w:hAnsiTheme="minorEastAsia" w:eastAsiaTheme="minorEastAsia"/>
              </w:rPr>
              <w:t xml:space="preserve">价（小写）</w:t>
            </w:r>
            <w:r/>
          </w:p>
        </w:tc>
      </w:tr>
      <w:tr>
        <w:trPr>
          <w:tblCellSpacing w:w="15" w:type="dxa"/>
        </w:trPr>
        <w:tc>
          <w:tcPr>
            <w:tcW w:w="3615" w:type="dxa"/>
            <w:vAlign w:val="center"/>
            <w:textDirection w:val="lrTb"/>
            <w:noWrap w:val="false"/>
          </w:tcPr>
          <w:p>
            <w:pPr>
              <w:pStyle w:val="750"/>
              <w:spacing w:line="360" w:lineRule="auto"/>
              <w:rPr>
                <w:rFonts w:asciiTheme="minorEastAsia" w:hAnsiTheme="minorEastAsia" w:eastAsiaTheme="minorEastAsia"/>
              </w:rPr>
            </w:pPr>
            <w:r>
              <w:rPr>
                <w:rStyle w:val="1025"/>
                <w:rFonts w:asciiTheme="minorEastAsia" w:hAnsiTheme="minorEastAsia" w:eastAsiaTheme="minorEastAsia"/>
              </w:rPr>
              <w:t xml:space="preserve">项目名称</w:t>
            </w:r>
            <w:r>
              <w:rPr>
                <w:rFonts w:asciiTheme="minorEastAsia" w:hAnsiTheme="minorEastAsia" w:eastAsiaTheme="minorEastAsia"/>
              </w:rPr>
              <w:t xml:space="preserve"> </w:t>
            </w:r>
            <w:r/>
          </w:p>
        </w:tc>
        <w:tc>
          <w:tcPr>
            <w:tcW w:w="3375" w:type="dxa"/>
            <w:vAlign w:val="center"/>
            <w:textDirection w:val="lrTb"/>
            <w:noWrap w:val="false"/>
          </w:tcPr>
          <w:p>
            <w:pPr>
              <w:pStyle w:val="750"/>
              <w:spacing w:line="360" w:lineRule="auto"/>
              <w:rPr>
                <w:rFonts w:asciiTheme="minorEastAsia" w:hAnsiTheme="minorEastAsia" w:eastAsiaTheme="minorEastAsia"/>
              </w:rPr>
            </w:pPr>
            <w:r>
              <w:rPr>
                <w:rFonts w:asciiTheme="minorEastAsia" w:hAnsiTheme="minorEastAsia" w:eastAsiaTheme="minorEastAsia"/>
              </w:rPr>
              <w:t xml:space="preserve">详见投标文件</w:t>
            </w:r>
            <w:r/>
          </w:p>
        </w:tc>
        <w:tc>
          <w:tcPr>
            <w:tcW w:w="4260" w:type="dxa"/>
            <w:vAlign w:val="center"/>
            <w:textDirection w:val="lrTb"/>
            <w:noWrap w:val="false"/>
          </w:tcPr>
          <w:p>
            <w:pPr>
              <w:pStyle w:val="750"/>
              <w:spacing w:line="360" w:lineRule="auto"/>
              <w:rPr>
                <w:rFonts w:asciiTheme="minorEastAsia" w:hAnsiTheme="minorEastAsia" w:eastAsiaTheme="minorEastAsia"/>
              </w:rPr>
            </w:pPr>
            <w:r>
              <w:rPr>
                <w:rStyle w:val="1025"/>
                <w:rFonts w:asciiTheme="minorEastAsia" w:hAnsiTheme="minorEastAsia" w:eastAsiaTheme="minorEastAsia"/>
              </w:rPr>
              <mc:AlternateContent>
                <mc:Choice Requires="wpg">
                  <w:drawing>
                    <wp:inline xmlns:wp="http://schemas.openxmlformats.org/drawingml/2006/wordprocessingDrawing" distT="0" distB="0" distL="0" distR="0">
                      <wp:extent cx="635" cy="0"/>
                      <wp:effectExtent l="0" t="0" r="0" b="0"/>
                      <wp:docPr id="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color="#000000"/>
                  </w:pict>
                </mc:Fallback>
              </mc:AlternateContent>
            </w:r>
            <w:r>
              <w:rPr>
                <w:rFonts w:asciiTheme="minorEastAsia" w:hAnsiTheme="minorEastAsia" w:eastAsiaTheme="minorEastAsia"/>
              </w:rPr>
              <w:t xml:space="preserve">  元</w:t>
            </w:r>
            <w:r/>
          </w:p>
        </w:tc>
      </w:tr>
      <w:tr>
        <w:trPr>
          <w:tblCellSpacing w:w="15" w:type="dxa"/>
        </w:trPr>
        <w:tc>
          <w:tcPr>
            <w:tcW w:w="3615" w:type="dxa"/>
            <w:vAlign w:val="center"/>
            <w:textDirection w:val="lrTb"/>
            <w:noWrap w:val="false"/>
          </w:tcPr>
          <w:p>
            <w:pPr>
              <w:pStyle w:val="750"/>
              <w:spacing w:line="360" w:lineRule="auto"/>
              <w:rPr>
                <w:rFonts w:asciiTheme="minorEastAsia" w:hAnsiTheme="minorEastAsia" w:eastAsiaTheme="minorEastAsia"/>
              </w:rPr>
            </w:pPr>
            <w:r>
              <w:rPr>
                <w:rFonts w:hint="eastAsia" w:asciiTheme="minorEastAsia" w:hAnsiTheme="minorEastAsia" w:eastAsiaTheme="minorEastAsia"/>
              </w:rPr>
              <w:t xml:space="preserve">总</w:t>
            </w:r>
            <w:r>
              <w:rPr>
                <w:rFonts w:asciiTheme="minorEastAsia" w:hAnsiTheme="minorEastAsia" w:eastAsiaTheme="minorEastAsia"/>
              </w:rPr>
              <w:t xml:space="preserve">价（大写）：</w:t>
            </w:r>
            <w:r/>
          </w:p>
        </w:tc>
        <w:tc>
          <w:tcPr>
            <w:gridSpan w:val="2"/>
            <w:tcW w:w="7620" w:type="dxa"/>
            <w:vAlign w:val="center"/>
            <w:textDirection w:val="lrTb"/>
            <w:noWrap w:val="false"/>
          </w:tcPr>
          <w:p>
            <w:pPr>
              <w:pStyle w:val="750"/>
              <w:spacing w:line="360" w:lineRule="auto"/>
              <w:rPr>
                <w:rFonts w:asciiTheme="minorEastAsia" w:hAnsiTheme="minorEastAsia" w:eastAsiaTheme="minorEastAsia"/>
              </w:rPr>
            </w:pPr>
            <w:r>
              <w:rPr>
                <w:rStyle w:val="1025"/>
                <w:rFonts w:asciiTheme="minorEastAsia" w:hAnsiTheme="minorEastAsia" w:eastAsiaTheme="minorEastAsia"/>
              </w:rPr>
              <w:t xml:space="preserve">金额大写</w:t>
            </w:r>
            <w:r>
              <w:rPr>
                <w:rFonts w:asciiTheme="minorEastAsia" w:hAnsiTheme="minorEastAsia" w:eastAsiaTheme="minorEastAsia"/>
              </w:rPr>
              <w:t xml:space="preserve"> </w:t>
            </w:r>
            <w:r/>
          </w:p>
        </w:tc>
      </w:tr>
    </w:tbl>
    <w:p>
      <w:pPr>
        <w:pStyle w:val="750"/>
        <w:spacing w:line="360" w:lineRule="auto"/>
        <w:rPr>
          <w:rFonts w:asciiTheme="minorEastAsia" w:hAnsiTheme="minorEastAsia" w:eastAsiaTheme="minorEastAsia"/>
        </w:rPr>
      </w:pPr>
      <w:r>
        <w:rPr>
          <w:rFonts w:asciiTheme="minorEastAsia" w:hAnsiTheme="minorEastAsia" w:eastAsiaTheme="minorEastAsia"/>
        </w:rPr>
        <w:t xml:space="preserve"> </w:t>
      </w:r>
      <w:r/>
    </w:p>
    <w:p>
      <w:pPr>
        <w:pStyle w:val="750"/>
        <w:spacing w:line="360" w:lineRule="auto"/>
        <w:rPr>
          <w:rFonts w:asciiTheme="minorEastAsia" w:hAnsiTheme="minorEastAsia" w:eastAsiaTheme="minorEastAsia"/>
        </w:rPr>
      </w:pPr>
      <w:r>
        <w:rPr>
          <w:rFonts w:asciiTheme="minorEastAsia" w:hAnsiTheme="minorEastAsia" w:eastAsiaTheme="minorEastAsia"/>
        </w:rPr>
        <w:t xml:space="preserve">投标人盖章（公章）：</w:t>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contextualSpacing/>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contextualSpacing/>
        <w:ind w:firstLine="54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contextualSpacing/>
        <w:ind w:firstLine="54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contextualSpacing/>
        <w:ind w:firstLine="54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contextualSpacing/>
        <w:ind w:firstLine="54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contextualSpacing/>
        <w:ind w:firstLine="54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contextualSpacing/>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contextualSpacing/>
        <w:ind w:firstLine="540"/>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br w:type="page" w:clear="all"/>
      </w:r>
      <w:r/>
    </w:p>
    <w:p>
      <w:pPr>
        <w:rPr>
          <w:rFonts w:asciiTheme="minorEastAsia" w:hAnsiTheme="minorEastAsia" w:eastAsiaTheme="minorEastAsia"/>
        </w:rPr>
      </w:pPr>
      <w:r>
        <w:rPr>
          <w:rFonts w:asciiTheme="minorEastAsia" w:hAnsiTheme="minorEastAsia" w:eastAsiaTheme="minorEastAsia"/>
        </w:rPr>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附件11</w:t>
      </w:r>
      <w:r/>
    </w:p>
    <w:p>
      <w:pPr>
        <w:spacing w:line="360" w:lineRule="auto"/>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质疑函范本</w:t>
      </w:r>
      <w:r/>
    </w:p>
    <w:p>
      <w:pPr>
        <w:ind w:firstLine="560"/>
        <w:spacing w:before="240"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一、质疑供应商基本信息</w:t>
      </w:r>
      <w:r/>
    </w:p>
    <w:p>
      <w:pPr>
        <w:ind w:firstLine="560"/>
        <w:spacing w:line="360" w:lineRule="auto"/>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质疑供应商：</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地址：                邮编：</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联系电话：</w:t>
      </w:r>
      <w:r/>
    </w:p>
    <w:p>
      <w:pPr>
        <w:ind w:firstLine="560"/>
        <w:spacing w:line="360" w:lineRule="auto"/>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授权代表：</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联系电话：</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地址：                邮编：</w:t>
      </w:r>
      <w:r/>
    </w:p>
    <w:p>
      <w:pPr>
        <w:ind w:firstLine="56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二、质疑项目基本情况</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质疑项目的名称：</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质疑项目的编号：                包号：</w:t>
      </w:r>
      <w:r/>
    </w:p>
    <w:p>
      <w:pPr>
        <w:ind w:firstLine="560"/>
        <w:spacing w:line="360" w:lineRule="auto"/>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采购人名称：</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采购文件获取日期：</w:t>
      </w:r>
      <w:r/>
    </w:p>
    <w:p>
      <w:pPr>
        <w:ind w:firstLine="56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三、质疑事项具体内容</w:t>
      </w:r>
      <w:r/>
    </w:p>
    <w:p>
      <w:pPr>
        <w:ind w:firstLine="560"/>
        <w:spacing w:line="360" w:lineRule="auto"/>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质疑事项1：</w:t>
      </w:r>
      <w:r/>
    </w:p>
    <w:p>
      <w:pPr>
        <w:ind w:firstLine="560"/>
        <w:spacing w:line="360" w:lineRule="auto"/>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事实依据：</w:t>
      </w:r>
      <w:r/>
    </w:p>
    <w:p>
      <w:pPr>
        <w:ind w:firstLine="560"/>
        <w:spacing w:line="360" w:lineRule="auto"/>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法律依据：</w:t>
      </w:r>
      <w:r/>
    </w:p>
    <w:p>
      <w:pPr>
        <w:ind w:firstLine="560"/>
        <w:spacing w:line="360" w:lineRule="auto"/>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质疑事项2</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p>
    <w:p>
      <w:pPr>
        <w:ind w:firstLine="56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四、与质疑事项相关的质疑请求</w:t>
      </w:r>
      <w:r/>
    </w:p>
    <w:p>
      <w:pPr>
        <w:ind w:firstLine="560"/>
        <w:spacing w:line="360" w:lineRule="auto"/>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请求：</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签字（签章）：                   公章：                      </w:t>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56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日期：    </w:t>
      </w:r>
      <w:r/>
    </w:p>
    <w:p>
      <w:pP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p>
      <w:pPr>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质疑函制作说明：</w:t>
      </w:r>
      <w:r/>
    </w:p>
    <w:p>
      <w:pPr>
        <w:ind w:firstLine="56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1.供应商提出质疑时，应提交质疑函和必要的证明材料。</w:t>
      </w:r>
      <w:r/>
    </w:p>
    <w:p>
      <w:pPr>
        <w:ind w:firstLine="56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3.质疑供应商若对项目的某一分包进行质疑，质疑函中应列明具体分包号。</w:t>
      </w:r>
      <w:r/>
    </w:p>
    <w:p>
      <w:pPr>
        <w:ind w:firstLine="56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4.质疑函的质疑事项应具体、明确，并有必要的事实依据和法律依据。</w:t>
      </w:r>
      <w:r/>
    </w:p>
    <w:p>
      <w:pPr>
        <w:ind w:firstLine="56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5.质疑函的质疑请求应与质疑事项相关。</w:t>
      </w:r>
      <w:r/>
    </w:p>
    <w:p>
      <w:pPr>
        <w:ind w:firstLine="560"/>
        <w:jc w:val="left"/>
        <w:spacing w:line="360" w:lineRule="auto"/>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726"/>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sectPr>
      <w:headerReference w:type="default" r:id="rId11"/>
      <w:footerReference w:type="default" r:id="rId15"/>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Times">
    <w:panose1 w:val="02020603050405020304"/>
  </w:font>
  <w:font w:name="等线">
    <w:panose1 w:val="02010600030101010101"/>
  </w:font>
  <w:font w:name="仿宋">
    <w:panose1 w:val="02010609060101010101"/>
  </w:font>
  <w:font w:name="Tahoma">
    <w:panose1 w:val="020B0604030504040204"/>
  </w:font>
  <w:font w:name="Courier New">
    <w:panose1 w:val="02070309020205020404"/>
  </w:font>
  <w:font w:name="Calibri">
    <w:panose1 w:val="020F0502020204030204"/>
  </w:font>
  <w:font w:name="微软雅黑">
    <w:panose1 w:val="020B0503020204020204"/>
  </w:font>
  <w:font w:name="黑体">
    <w:panose1 w:val="02010609060101010101"/>
  </w:font>
  <w:font w:name="仿宋_GB2312">
    <w:panose1 w:val="02010609060101010101"/>
  </w:font>
  <w:font w:name="新宋体">
    <w:panose1 w:val="02010609030101010101"/>
  </w:font>
  <w:font w:name="Symbol">
    <w:panose1 w:val="05050102010706020507"/>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757"/>
        <w:sz w:val="18"/>
        <w:szCs w:val="22"/>
      </w:rPr>
      <w:framePr w:wrap="around" w:vAnchor="text" w:hAnchor="margin" w:xAlign="center" w:y="1"/>
    </w:pPr>
    <w:r>
      <w:rPr>
        <w:sz w:val="18"/>
        <w:szCs w:val="22"/>
      </w:rPr>
    </w:r>
    <w:r/>
  </w:p>
  <w:p>
    <w:pPr>
      <w:jc w:val="left"/>
      <w:rPr>
        <w:sz w:val="18"/>
        <w:szCs w:val="22"/>
      </w:rPr>
    </w:pPr>
    <w:r>
      <w:rPr>
        <w:sz w:val="18"/>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757"/>
        <w:sz w:val="18"/>
        <w:szCs w:val="22"/>
      </w:rPr>
      <w:framePr w:wrap="around" w:vAnchor="text" w:hAnchor="margin" w:xAlign="center" w:y="1"/>
    </w:pPr>
    <w:r>
      <w:rPr>
        <w:sz w:val="18"/>
        <w:szCs w:val="22"/>
      </w:rPr>
      <w:fldChar w:fldCharType="begin"/>
    </w:r>
    <w:r>
      <w:rPr>
        <w:rStyle w:val="757"/>
        <w:szCs w:val="22"/>
      </w:rPr>
      <w:instrText xml:space="preserve">PAGE  </w:instrText>
    </w:r>
    <w:r>
      <w:rPr>
        <w:sz w:val="18"/>
        <w:szCs w:val="22"/>
      </w:rPr>
      <w:fldChar w:fldCharType="end"/>
    </w:r>
    <w:r/>
  </w:p>
  <w:p>
    <w:pPr>
      <w:jc w:val="left"/>
      <w:rPr>
        <w:sz w:val="18"/>
        <w:szCs w:val="22"/>
      </w:rPr>
    </w:pPr>
    <w:r>
      <w:rPr>
        <w:sz w:val="18"/>
        <w:szCs w:val="2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22"/>
      </w:rPr>
    </w:pPr>
    <w:r>
      <w:rPr>
        <w:sz w:val="18"/>
        <w:szCs w:val="22"/>
      </w:rPr>
      <w:fldChar w:fldCharType="begin"/>
    </w:r>
    <w:r>
      <w:rPr>
        <w:sz w:val="18"/>
        <w:szCs w:val="22"/>
      </w:rPr>
      <w:instrText xml:space="preserve"> PAGE   \* MERGEFORMAT </w:instrText>
    </w:r>
    <w:r>
      <w:rPr>
        <w:sz w:val="18"/>
        <w:szCs w:val="22"/>
      </w:rPr>
      <w:fldChar w:fldCharType="separate"/>
    </w:r>
    <w:r>
      <w:rPr>
        <w:sz w:val="18"/>
        <w:szCs w:val="22"/>
        <w:lang w:val="zh-CN"/>
      </w:rPr>
      <w:t xml:space="preserve">1</w:t>
    </w:r>
    <w:r>
      <w:rPr>
        <w:sz w:val="18"/>
        <w:szCs w:val="22"/>
        <w:lang w:val="zh-CN"/>
      </w:rPr>
      <w:fldChar w:fldCharType="end"/>
    </w:r>
    <w:r/>
  </w:p>
  <w:p>
    <w:pPr>
      <w:jc w:val="left"/>
      <w:rPr>
        <w:sz w:val="18"/>
        <w:szCs w:val="22"/>
      </w:rPr>
    </w:pPr>
    <w:r>
      <w:rPr>
        <w:sz w:val="18"/>
        <w:szCs w:val="2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etween w:val="none" w:color="000000" w:sz="0" w:space="0"/>
      </w:pBdr>
      <w:framePr w:wrap="around" w:vAnchor="text" w:hAnchor="margin" w:xAlign="center" w:yAlign="top"/>
    </w:pPr>
    <w:r>
      <w:rPr>
        <w:rStyle w:val="960"/>
        <w:rFonts w:hint="eastAsia"/>
      </w:rPr>
      <w:t xml:space="preserve">第 </w:t>
    </w:r>
    <w:r>
      <w:rPr>
        <w:rFonts w:hint="eastAsia"/>
      </w:rPr>
      <w:fldChar w:fldCharType="begin"/>
    </w:r>
    <w:r>
      <w:rPr>
        <w:rStyle w:val="960"/>
        <w:rFonts w:hint="eastAsia"/>
      </w:rPr>
      <w:instrText xml:space="preserve"> PAGE  \* MERGEFORMAT </w:instrText>
    </w:r>
    <w:r>
      <w:rPr>
        <w:rFonts w:hint="eastAsia"/>
      </w:rPr>
      <w:fldChar w:fldCharType="separate"/>
    </w:r>
    <w:r>
      <w:t xml:space="preserve">50</w:t>
    </w:r>
    <w:r>
      <w:rPr>
        <w:rFonts w:hint="eastAsia"/>
      </w:rPr>
      <w:fldChar w:fldCharType="end"/>
    </w:r>
    <w:r>
      <w:rPr>
        <w:rStyle w:val="960"/>
        <w:rFonts w:hint="eastAsia"/>
      </w:rPr>
      <w:t xml:space="preserve"> 页 共 </w:t>
    </w:r>
    <w:r>
      <w:fldChar w:fldCharType="begin"/>
    </w:r>
    <w:r>
      <w:instrText xml:space="preserve">NUMPAGES \* MERGEFORMAT</w:instrText>
    </w:r>
    <w:r>
      <w:fldChar w:fldCharType="separate"/>
    </w:r>
    <w:r>
      <w:rPr>
        <w:rStyle w:val="960"/>
      </w:rPr>
      <w:t xml:space="preserve">54</w:t>
    </w:r>
    <w:r>
      <w:rPr>
        <w:rStyle w:val="960"/>
      </w:rPr>
      <w:fldChar w:fldCharType="end"/>
    </w:r>
    <w:r>
      <w:rPr>
        <w:rStyle w:val="960"/>
        <w:rFonts w:hint="eastAsia"/>
      </w:rPr>
      <w:t xml:space="preserve"> 页</w: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22"/>
      </w:rPr>
    </w:pPr>
    <w:r>
      <w:rPr>
        <w:sz w:val="18"/>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22"/>
      </w:rPr>
    </w:pPr>
    <w:r>
      <w:rPr>
        <w:sz w:val="18"/>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00"/>
      <w:isLgl w:val="false"/>
      <w:suff w:val="tab"/>
      <w:lvlText w:val="%1、"/>
      <w:lvlJc w:val="left"/>
      <w:pPr>
        <w:ind w:left="0" w:firstLine="4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994"/>
      <w:isLgl w:val="false"/>
      <w:suff w:val="tab"/>
      <w:lvlText w:val="第%1条"/>
      <w:lvlJc w:val="left"/>
      <w:pPr>
        <w:ind w:left="0" w:firstLine="0"/>
      </w:pPr>
    </w:lvl>
    <w:lvl w:ilvl="1">
      <w:start w:val="1"/>
      <w:numFmt w:val="decimal"/>
      <w:pStyle w:val="995"/>
      <w:isLgl w:val="false"/>
      <w:suff w:val="tab"/>
      <w:lvlText w:val="%1.%2"/>
      <w:lvlJc w:val="left"/>
      <w:pPr>
        <w:ind w:left="0" w:firstLine="0"/>
      </w:pPr>
    </w:lvl>
    <w:lvl w:ilvl="2">
      <w:start w:val="1"/>
      <w:numFmt w:val="decimal"/>
      <w:pStyle w:val="996"/>
      <w:isLgl w:val="false"/>
      <w:suff w:val="tab"/>
      <w:lvlText w:val="%1.%2.%3"/>
      <w:lvlJc w:val="left"/>
      <w:pPr>
        <w:ind w:left="426" w:firstLine="0"/>
      </w:pPr>
    </w:lvl>
    <w:lvl w:ilvl="3">
      <w:start w:val="1"/>
      <w:numFmt w:val="decimal"/>
      <w:pStyle w:val="997"/>
      <w:isLgl w:val="false"/>
      <w:suff w:val="tab"/>
      <w:lvlText w:val="（%4）"/>
      <w:lvlJc w:val="left"/>
      <w:pPr>
        <w:ind w:left="1135"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3">
    <w:multiLevelType w:val="hybridMultilevel"/>
    <w:lvl w:ilvl="0">
      <w:start w:val="1"/>
      <w:numFmt w:val="japaneseCounting"/>
      <w:isLgl w:val="false"/>
      <w:suff w:val="tab"/>
      <w:lvlText w:val="%1、"/>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pStyle w:val="999"/>
      <w:isLgl w:val="false"/>
      <w:suff w:val="tab"/>
      <w:lvlText w:val="附件%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998"/>
      <w:isLgl w:val="false"/>
      <w:suff w:val="tab"/>
      <w:lvlText w:val="第%1条"/>
      <w:lvlJc w:val="left"/>
      <w:pPr>
        <w:ind w:left="0" w:firstLine="0"/>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2836"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2">
    <w:name w:val="No Spacing"/>
    <w:uiPriority w:val="1"/>
    <w:qFormat/>
    <w:pPr>
      <w:spacing w:before="0" w:after="0" w:line="240" w:lineRule="auto"/>
    </w:pPr>
  </w:style>
  <w:style w:type="paragraph" w:styleId="37">
    <w:name w:val="Quote"/>
    <w:basedOn w:val="714"/>
    <w:next w:val="714"/>
    <w:link w:val="777"/>
    <w:uiPriority w:val="29"/>
    <w:qFormat/>
    <w:pPr>
      <w:ind w:left="720" w:right="720"/>
    </w:pPr>
    <w:rPr>
      <w:i/>
    </w:rPr>
  </w:style>
  <w:style w:type="paragraph" w:styleId="39">
    <w:name w:val="Intense Quote"/>
    <w:basedOn w:val="714"/>
    <w:next w:val="714"/>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4" w:default="1">
    <w:name w:val="Normal"/>
    <w:next w:val="726"/>
    <w:uiPriority w:val="0"/>
    <w:qFormat/>
    <w:pPr>
      <w:jc w:val="both"/>
      <w:widowControl w:val="off"/>
    </w:pPr>
    <w:rPr>
      <w:rFonts w:ascii="Times New Roman" w:hAnsi="Times New Roman" w:eastAsia="宋体" w:cs="Times New Roman"/>
      <w:sz w:val="21"/>
      <w:lang w:val="en-US" w:eastAsia="zh-CN" w:bidi="ar-SA"/>
    </w:rPr>
  </w:style>
  <w:style w:type="paragraph" w:styleId="715">
    <w:name w:val="Heading 1"/>
    <w:basedOn w:val="714"/>
    <w:next w:val="714"/>
    <w:link w:val="803"/>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804"/>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805"/>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uiPriority w:val="9"/>
    <w:qFormat/>
    <w:pPr>
      <w:jc w:val="center"/>
      <w:keepNext/>
      <w:outlineLvl w:val="3"/>
    </w:pPr>
    <w:rPr>
      <w:rFonts w:eastAsia="新宋体"/>
      <w:sz w:val="30"/>
      <w:szCs w:val="21"/>
    </w:rPr>
  </w:style>
  <w:style w:type="paragraph" w:styleId="719">
    <w:name w:val="Heading 5"/>
    <w:basedOn w:val="714"/>
    <w:next w:val="714"/>
    <w:link w:val="807"/>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808"/>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810"/>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811"/>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Body Text"/>
    <w:basedOn w:val="714"/>
    <w:next w:val="714"/>
    <w:link w:val="1019"/>
    <w:uiPriority w:val="0"/>
    <w:qFormat/>
    <w:pPr>
      <w:spacing w:after="120"/>
    </w:pPr>
  </w:style>
  <w:style w:type="paragraph" w:styleId="727">
    <w:name w:val="toc 7"/>
    <w:basedOn w:val="714"/>
    <w:next w:val="714"/>
    <w:uiPriority w:val="39"/>
    <w:unhideWhenUsed/>
    <w:qFormat/>
    <w:pPr>
      <w:ind w:left="1701"/>
      <w:spacing w:after="57"/>
    </w:pPr>
  </w:style>
  <w:style w:type="paragraph" w:styleId="728">
    <w:name w:val="Normal Indent"/>
    <w:basedOn w:val="714"/>
    <w:uiPriority w:val="99"/>
    <w:unhideWhenUsed/>
    <w:qFormat/>
    <w:pPr>
      <w:ind w:firstLine="420"/>
    </w:pPr>
    <w:rPr>
      <w:szCs w:val="24"/>
    </w:rPr>
  </w:style>
  <w:style w:type="paragraph" w:styleId="729">
    <w:name w:val="Caption"/>
    <w:basedOn w:val="714"/>
    <w:next w:val="714"/>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30">
    <w:name w:val="index 5"/>
    <w:basedOn w:val="714"/>
    <w:next w:val="714"/>
    <w:uiPriority w:val="99"/>
    <w:unhideWhenUsed/>
    <w:qFormat/>
    <w:pPr>
      <w:ind w:left="800"/>
    </w:pPr>
  </w:style>
  <w:style w:type="paragraph" w:styleId="731">
    <w:name w:val="Document Map"/>
    <w:basedOn w:val="714"/>
    <w:link w:val="1024"/>
    <w:uiPriority w:val="99"/>
    <w:unhideWhenUsed/>
    <w:qFormat/>
    <w:rPr>
      <w:rFonts w:ascii="Microsoft YaHei UI" w:eastAsia="Microsoft YaHei UI"/>
      <w:sz w:val="18"/>
      <w:szCs w:val="18"/>
    </w:rPr>
  </w:style>
  <w:style w:type="paragraph" w:styleId="732">
    <w:name w:val="annotation text"/>
    <w:basedOn w:val="714"/>
    <w:link w:val="1026"/>
    <w:uiPriority w:val="99"/>
    <w:unhideWhenUsed/>
    <w:qFormat/>
    <w:pPr>
      <w:jc w:val="left"/>
    </w:pPr>
  </w:style>
  <w:style w:type="paragraph" w:styleId="733">
    <w:name w:val="Body Text Indent"/>
    <w:basedOn w:val="714"/>
    <w:link w:val="1021"/>
    <w:uiPriority w:val="99"/>
    <w:unhideWhenUsed/>
    <w:qFormat/>
    <w:pPr>
      <w:ind w:left="420"/>
      <w:spacing w:after="120"/>
    </w:pPr>
  </w:style>
  <w:style w:type="paragraph" w:styleId="734">
    <w:name w:val="toc 5"/>
    <w:basedOn w:val="714"/>
    <w:next w:val="714"/>
    <w:uiPriority w:val="39"/>
    <w:unhideWhenUsed/>
    <w:qFormat/>
    <w:pPr>
      <w:ind w:left="1134"/>
      <w:spacing w:after="57"/>
    </w:pPr>
  </w:style>
  <w:style w:type="paragraph" w:styleId="735">
    <w:name w:val="toc 3"/>
    <w:basedOn w:val="714"/>
    <w:next w:val="714"/>
    <w:uiPriority w:val="39"/>
    <w:unhideWhenUsed/>
    <w:qFormat/>
    <w:pPr>
      <w:ind w:left="567"/>
      <w:spacing w:after="57"/>
    </w:pPr>
  </w:style>
  <w:style w:type="paragraph" w:styleId="736">
    <w:name w:val="Plain Text"/>
    <w:uiPriority w:val="0"/>
    <w:qFormat/>
    <w:pPr>
      <w:jc w:val="both"/>
      <w:spacing w:after="156" w:line="360" w:lineRule="auto"/>
    </w:pPr>
    <w:rPr>
      <w:rFonts w:ascii="宋体" w:hAnsi="宋体" w:eastAsia="宋体" w:cs="宋体"/>
      <w:sz w:val="24"/>
      <w:szCs w:val="24"/>
      <w:lang w:val="en-US" w:eastAsia="zh-CN" w:bidi="ar-SA"/>
    </w:rPr>
  </w:style>
  <w:style w:type="paragraph" w:styleId="737">
    <w:name w:val="toc 8"/>
    <w:basedOn w:val="714"/>
    <w:next w:val="714"/>
    <w:uiPriority w:val="39"/>
    <w:unhideWhenUsed/>
    <w:qFormat/>
    <w:pPr>
      <w:ind w:left="1984"/>
      <w:spacing w:after="57"/>
    </w:pPr>
  </w:style>
  <w:style w:type="paragraph" w:styleId="738">
    <w:name w:val="index 3"/>
    <w:basedOn w:val="714"/>
    <w:next w:val="714"/>
    <w:uiPriority w:val="99"/>
    <w:qFormat/>
    <w:pPr>
      <w:ind w:left="400"/>
    </w:pPr>
  </w:style>
  <w:style w:type="paragraph" w:styleId="739">
    <w:name w:val="endnote text"/>
    <w:basedOn w:val="714"/>
    <w:link w:val="929"/>
    <w:uiPriority w:val="99"/>
    <w:unhideWhenUsed/>
    <w:qFormat/>
    <w:rPr>
      <w:sz w:val="20"/>
    </w:rPr>
  </w:style>
  <w:style w:type="paragraph" w:styleId="740">
    <w:name w:val="Footer"/>
    <w:basedOn w:val="714"/>
    <w:link w:val="821"/>
    <w:uiPriority w:val="99"/>
    <w:unhideWhenUsed/>
    <w:qFormat/>
    <w:pPr>
      <w:tabs>
        <w:tab w:val="center" w:pos="7143" w:leader="none"/>
        <w:tab w:val="right" w:pos="14287" w:leader="none"/>
      </w:tabs>
    </w:pPr>
  </w:style>
  <w:style w:type="paragraph" w:styleId="741">
    <w:name w:val="Header"/>
    <w:basedOn w:val="714"/>
    <w:link w:val="819"/>
    <w:uiPriority w:val="99"/>
    <w:unhideWhenUsed/>
    <w:qFormat/>
    <w:pPr>
      <w:tabs>
        <w:tab w:val="center" w:pos="7143" w:leader="none"/>
        <w:tab w:val="right" w:pos="14287" w:leader="none"/>
      </w:tabs>
    </w:pPr>
  </w:style>
  <w:style w:type="paragraph" w:styleId="742">
    <w:name w:val="toc 1"/>
    <w:basedOn w:val="714"/>
    <w:next w:val="714"/>
    <w:uiPriority w:val="39"/>
    <w:unhideWhenUsed/>
    <w:qFormat/>
    <w:pPr>
      <w:spacing w:after="57"/>
    </w:pPr>
  </w:style>
  <w:style w:type="paragraph" w:styleId="743">
    <w:name w:val="toc 4"/>
    <w:basedOn w:val="714"/>
    <w:next w:val="714"/>
    <w:uiPriority w:val="39"/>
    <w:unhideWhenUsed/>
    <w:qFormat/>
    <w:pPr>
      <w:ind w:left="850"/>
      <w:spacing w:after="57"/>
    </w:pPr>
  </w:style>
  <w:style w:type="paragraph" w:styleId="744">
    <w:name w:val="Subtitle"/>
    <w:basedOn w:val="714"/>
    <w:next w:val="714"/>
    <w:link w:val="814"/>
    <w:uiPriority w:val="11"/>
    <w:qFormat/>
    <w:pPr>
      <w:spacing w:before="200" w:after="200"/>
    </w:pPr>
    <w:rPr>
      <w:sz w:val="24"/>
      <w:szCs w:val="24"/>
    </w:rPr>
  </w:style>
  <w:style w:type="paragraph" w:styleId="745">
    <w:name w:val="footnote text"/>
    <w:basedOn w:val="714"/>
    <w:link w:val="928"/>
    <w:uiPriority w:val="99"/>
    <w:unhideWhenUsed/>
    <w:qFormat/>
    <w:pPr>
      <w:spacing w:after="40"/>
    </w:pPr>
    <w:rPr>
      <w:sz w:val="18"/>
    </w:rPr>
  </w:style>
  <w:style w:type="paragraph" w:styleId="746">
    <w:name w:val="toc 6"/>
    <w:basedOn w:val="714"/>
    <w:next w:val="714"/>
    <w:uiPriority w:val="39"/>
    <w:unhideWhenUsed/>
    <w:qFormat/>
    <w:pPr>
      <w:ind w:left="1417"/>
      <w:spacing w:after="57"/>
    </w:pPr>
  </w:style>
  <w:style w:type="paragraph" w:styleId="747">
    <w:name w:val="table of figures"/>
    <w:basedOn w:val="714"/>
    <w:next w:val="714"/>
    <w:uiPriority w:val="99"/>
    <w:unhideWhenUsed/>
    <w:qFormat/>
  </w:style>
  <w:style w:type="paragraph" w:styleId="748">
    <w:name w:val="toc 2"/>
    <w:basedOn w:val="714"/>
    <w:next w:val="714"/>
    <w:uiPriority w:val="39"/>
    <w:unhideWhenUsed/>
    <w:qFormat/>
    <w:pPr>
      <w:ind w:left="283"/>
      <w:spacing w:after="57"/>
    </w:pPr>
  </w:style>
  <w:style w:type="paragraph" w:styleId="749">
    <w:name w:val="toc 9"/>
    <w:basedOn w:val="714"/>
    <w:next w:val="714"/>
    <w:uiPriority w:val="39"/>
    <w:unhideWhenUsed/>
    <w:qFormat/>
    <w:pPr>
      <w:ind w:left="2268"/>
      <w:spacing w:after="57"/>
    </w:pPr>
  </w:style>
  <w:style w:type="paragraph" w:styleId="750">
    <w:name w:val="Normal (Web)"/>
    <w:basedOn w:val="714"/>
    <w:uiPriority w:val="99"/>
    <w:qFormat/>
    <w:pPr>
      <w:jc w:val="left"/>
      <w:spacing w:before="100" w:beforeAutospacing="1" w:after="100" w:afterAutospacing="1"/>
      <w:widowControl/>
    </w:pPr>
    <w:rPr>
      <w:rFonts w:ascii="宋体" w:hAnsi="宋体" w:cs="宋体"/>
      <w:sz w:val="24"/>
      <w:szCs w:val="24"/>
    </w:rPr>
  </w:style>
  <w:style w:type="paragraph" w:styleId="751">
    <w:name w:val="Title"/>
    <w:basedOn w:val="714"/>
    <w:next w:val="714"/>
    <w:link w:val="813"/>
    <w:uiPriority w:val="10"/>
    <w:qFormat/>
    <w:pPr>
      <w:contextualSpacing/>
      <w:spacing w:before="300" w:after="200"/>
    </w:pPr>
    <w:rPr>
      <w:sz w:val="48"/>
      <w:szCs w:val="48"/>
    </w:rPr>
  </w:style>
  <w:style w:type="paragraph" w:styleId="752">
    <w:name w:val="annotation subject"/>
    <w:basedOn w:val="732"/>
    <w:next w:val="732"/>
    <w:link w:val="1027"/>
    <w:uiPriority w:val="99"/>
    <w:unhideWhenUsed/>
    <w:qFormat/>
    <w:rPr>
      <w:b/>
      <w:bCs/>
    </w:rPr>
  </w:style>
  <w:style w:type="paragraph" w:styleId="753">
    <w:name w:val="Body Text First Indent 2"/>
    <w:basedOn w:val="733"/>
    <w:link w:val="1022"/>
    <w:uiPriority w:val="99"/>
    <w:unhideWhenUsed/>
    <w:qFormat/>
    <w:pPr>
      <w:ind w:firstLine="420"/>
    </w:p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basedOn w:val="724"/>
    <w:uiPriority w:val="22"/>
    <w:qFormat/>
    <w:rPr>
      <w:b/>
    </w:rPr>
  </w:style>
  <w:style w:type="character" w:styleId="756">
    <w:name w:val="endnote reference"/>
    <w:uiPriority w:val="99"/>
    <w:unhideWhenUsed/>
    <w:qFormat/>
    <w:rPr>
      <w:vertAlign w:val="superscript"/>
    </w:rPr>
  </w:style>
  <w:style w:type="character" w:styleId="757">
    <w:name w:val="page number"/>
    <w:uiPriority w:val="0"/>
    <w:qFormat/>
  </w:style>
  <w:style w:type="character" w:styleId="758">
    <w:name w:val="FollowedHyperlink"/>
    <w:basedOn w:val="724"/>
    <w:uiPriority w:val="99"/>
    <w:unhideWhenUsed/>
    <w:qFormat/>
    <w:rPr>
      <w:color w:val="800080"/>
      <w:u w:val="single"/>
    </w:rPr>
  </w:style>
  <w:style w:type="character" w:styleId="759">
    <w:name w:val="Hyperlink"/>
    <w:uiPriority w:val="99"/>
    <w:unhideWhenUsed/>
    <w:qFormat/>
    <w:rPr>
      <w:color w:val="0000ff" w:themeColor="hyperlink"/>
      <w:u w:val="single"/>
      <w14:textFill>
        <w14:solidFill>
          <w14:schemeClr w14:val="hlink"/>
        </w14:solidFill>
      </w14:textFill>
    </w:rPr>
  </w:style>
  <w:style w:type="character" w:styleId="760">
    <w:name w:val="annotation reference"/>
    <w:basedOn w:val="724"/>
    <w:uiPriority w:val="99"/>
    <w:unhideWhenUsed/>
    <w:qFormat/>
    <w:rPr>
      <w:sz w:val="21"/>
      <w:szCs w:val="21"/>
    </w:rPr>
  </w:style>
  <w:style w:type="character" w:styleId="761">
    <w:name w:val="footnote reference"/>
    <w:uiPriority w:val="99"/>
    <w:unhideWhenUsed/>
    <w:qFormat/>
    <w:rPr>
      <w:vertAlign w:val="superscript"/>
    </w:rPr>
  </w:style>
  <w:style w:type="paragraph" w:styleId="762" w:customStyle="1">
    <w:name w:val="Default"/>
    <w:uiPriority w:val="0"/>
    <w:qFormat/>
    <w:pPr>
      <w:widowControl w:val="off"/>
    </w:pPr>
    <w:rPr>
      <w:rFonts w:ascii="仿宋_GB2312" w:hAnsi="Calibri" w:eastAsia="宋体" w:cs="仿宋_GB2312"/>
      <w:color w:val="000000"/>
      <w:sz w:val="24"/>
      <w:szCs w:val="24"/>
      <w:lang w:val="en-US" w:eastAsia="zh-CN" w:bidi="ar-SA"/>
    </w:rPr>
  </w:style>
  <w:style w:type="paragraph" w:styleId="763" w:customStyle="1">
    <w:name w:val="正文首行缩进1"/>
    <w:basedOn w:val="764"/>
    <w:uiPriority w:val="0"/>
    <w:qFormat/>
    <w:pPr>
      <w:ind w:firstLine="420"/>
    </w:pPr>
    <w:rPr>
      <w:szCs w:val="24"/>
    </w:rPr>
  </w:style>
  <w:style w:type="paragraph" w:styleId="764" w:customStyle="1">
    <w:name w:val="正文文本11"/>
    <w:basedOn w:val="714"/>
    <w:next w:val="765"/>
    <w:link w:val="942"/>
    <w:uiPriority w:val="0"/>
    <w:qFormat/>
    <w:pPr>
      <w:spacing w:after="120"/>
    </w:pPr>
  </w:style>
  <w:style w:type="paragraph" w:styleId="765" w:customStyle="1">
    <w:name w:val="正文文本 21"/>
    <w:basedOn w:val="714"/>
    <w:next w:val="764"/>
    <w:uiPriority w:val="99"/>
    <w:qFormat/>
    <w:pPr>
      <w:spacing w:after="120" w:line="480" w:lineRule="auto"/>
    </w:pPr>
    <w:rPr>
      <w:sz w:val="20"/>
    </w:rPr>
  </w:style>
  <w:style w:type="paragraph" w:styleId="766" w:customStyle="1">
    <w:name w:val="标题 11"/>
    <w:basedOn w:val="714"/>
    <w:next w:val="714"/>
    <w:link w:val="937"/>
    <w:uiPriority w:val="0"/>
    <w:qFormat/>
    <w:pPr>
      <w:keepLines/>
      <w:keepNext/>
      <w:spacing w:before="340" w:after="330" w:line="578" w:lineRule="atLeast"/>
      <w:outlineLvl w:val="0"/>
    </w:pPr>
    <w:rPr>
      <w:b/>
      <w:bCs/>
      <w:sz w:val="44"/>
      <w:szCs w:val="44"/>
    </w:rPr>
  </w:style>
  <w:style w:type="character" w:styleId="767" w:customStyle="1">
    <w:name w:val="Heading 1 Char"/>
    <w:basedOn w:val="724"/>
    <w:uiPriority w:val="9"/>
    <w:qFormat/>
    <w:rPr>
      <w:rFonts w:ascii="Arial" w:hAnsi="Arial" w:eastAsia="Arial" w:cs="Arial"/>
      <w:sz w:val="40"/>
      <w:szCs w:val="40"/>
    </w:rPr>
  </w:style>
  <w:style w:type="character" w:styleId="768" w:customStyle="1">
    <w:name w:val="Heading 2 Char"/>
    <w:basedOn w:val="724"/>
    <w:uiPriority w:val="9"/>
    <w:qFormat/>
    <w:rPr>
      <w:rFonts w:ascii="Arial" w:hAnsi="Arial" w:eastAsia="Arial" w:cs="Arial"/>
      <w:sz w:val="34"/>
    </w:rPr>
  </w:style>
  <w:style w:type="character" w:styleId="769" w:customStyle="1">
    <w:name w:val="Heading 3 Char"/>
    <w:basedOn w:val="724"/>
    <w:uiPriority w:val="9"/>
    <w:qFormat/>
    <w:rPr>
      <w:rFonts w:ascii="Arial" w:hAnsi="Arial" w:eastAsia="Arial" w:cs="Arial"/>
      <w:sz w:val="30"/>
      <w:szCs w:val="30"/>
    </w:rPr>
  </w:style>
  <w:style w:type="character" w:styleId="770" w:customStyle="1">
    <w:name w:val="Heading 5 Char"/>
    <w:basedOn w:val="724"/>
    <w:uiPriority w:val="9"/>
    <w:qFormat/>
    <w:rPr>
      <w:rFonts w:ascii="Arial" w:hAnsi="Arial" w:eastAsia="Arial" w:cs="Arial"/>
      <w:b/>
      <w:bCs/>
      <w:sz w:val="24"/>
      <w:szCs w:val="24"/>
    </w:rPr>
  </w:style>
  <w:style w:type="character" w:styleId="771" w:customStyle="1">
    <w:name w:val="Heading 6 Char"/>
    <w:basedOn w:val="724"/>
    <w:uiPriority w:val="9"/>
    <w:qFormat/>
    <w:rPr>
      <w:rFonts w:ascii="Arial" w:hAnsi="Arial" w:eastAsia="Arial" w:cs="Arial"/>
      <w:b/>
      <w:bCs/>
      <w:sz w:val="22"/>
      <w:szCs w:val="22"/>
    </w:rPr>
  </w:style>
  <w:style w:type="character" w:styleId="772" w:customStyle="1">
    <w:name w:val="Heading 7 Char"/>
    <w:basedOn w:val="724"/>
    <w:uiPriority w:val="9"/>
    <w:qFormat/>
    <w:rPr>
      <w:rFonts w:ascii="Arial" w:hAnsi="Arial" w:eastAsia="Arial" w:cs="Arial"/>
      <w:b/>
      <w:bCs/>
      <w:i/>
      <w:iCs/>
      <w:sz w:val="22"/>
      <w:szCs w:val="22"/>
    </w:rPr>
  </w:style>
  <w:style w:type="character" w:styleId="773" w:customStyle="1">
    <w:name w:val="Heading 8 Char"/>
    <w:basedOn w:val="724"/>
    <w:uiPriority w:val="9"/>
    <w:qFormat/>
    <w:rPr>
      <w:rFonts w:ascii="Arial" w:hAnsi="Arial" w:eastAsia="Arial" w:cs="Arial"/>
      <w:i/>
      <w:iCs/>
      <w:sz w:val="22"/>
      <w:szCs w:val="22"/>
    </w:rPr>
  </w:style>
  <w:style w:type="character" w:styleId="774" w:customStyle="1">
    <w:name w:val="Heading 9 Char"/>
    <w:basedOn w:val="724"/>
    <w:uiPriority w:val="9"/>
    <w:qFormat/>
    <w:rPr>
      <w:rFonts w:ascii="Arial" w:hAnsi="Arial" w:eastAsia="Arial" w:cs="Arial"/>
      <w:i/>
      <w:iCs/>
      <w:sz w:val="21"/>
      <w:szCs w:val="21"/>
    </w:rPr>
  </w:style>
  <w:style w:type="character" w:styleId="775" w:customStyle="1">
    <w:name w:val="Title Char"/>
    <w:basedOn w:val="724"/>
    <w:uiPriority w:val="10"/>
    <w:qFormat/>
    <w:rPr>
      <w:sz w:val="48"/>
      <w:szCs w:val="48"/>
    </w:rPr>
  </w:style>
  <w:style w:type="character" w:styleId="776" w:customStyle="1">
    <w:name w:val="Subtitle Char"/>
    <w:basedOn w:val="724"/>
    <w:uiPriority w:val="11"/>
    <w:qFormat/>
    <w:rPr>
      <w:sz w:val="24"/>
      <w:szCs w:val="24"/>
    </w:rPr>
  </w:style>
  <w:style w:type="character" w:styleId="777" w:customStyle="1">
    <w:name w:val="Quote Char"/>
    <w:uiPriority w:val="29"/>
    <w:qFormat/>
    <w:rPr>
      <w:i/>
    </w:rPr>
  </w:style>
  <w:style w:type="character" w:styleId="778" w:customStyle="1">
    <w:name w:val="Intense Quote Char"/>
    <w:uiPriority w:val="30"/>
    <w:qFormat/>
    <w:rPr>
      <w:i/>
    </w:rPr>
  </w:style>
  <w:style w:type="character" w:styleId="779" w:customStyle="1">
    <w:name w:val="Header Char"/>
    <w:basedOn w:val="724"/>
    <w:uiPriority w:val="99"/>
    <w:qFormat/>
  </w:style>
  <w:style w:type="character" w:styleId="780" w:customStyle="1">
    <w:name w:val="Caption Char"/>
    <w:uiPriority w:val="99"/>
    <w:qFormat/>
  </w:style>
  <w:style w:type="table" w:styleId="781" w:customStyle="1">
    <w:name w:val="无格式表格 1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72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72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72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网格表 2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网格表 3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网格表 41"/>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网格表 5 深色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网格表 6 彩色1"/>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网格表 7 彩色1"/>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清单表 1 浅色1"/>
    <w:basedOn w:val="72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清单表 21"/>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清单表 3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4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5 深色1"/>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清单表 6 彩色1"/>
    <w:basedOn w:val="72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清单表 7 彩色1"/>
    <w:basedOn w:val="72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标题1"/>
    <w:uiPriority w:val="39"/>
    <w:unhideWhenUsed/>
    <w:qFormat/>
    <w:rPr>
      <w:rFonts w:ascii="Times New Roman" w:hAnsi="Times New Roman" w:eastAsia="宋体" w:cs="Times New Roman"/>
      <w:lang w:val="en-US" w:eastAsia="zh-CN" w:bidi="ar-SA"/>
    </w:rPr>
  </w:style>
  <w:style w:type="character" w:styleId="803" w:customStyle="1">
    <w:name w:val="标题 1 字符"/>
    <w:link w:val="715"/>
    <w:uiPriority w:val="9"/>
    <w:qFormat/>
    <w:rPr>
      <w:rFonts w:ascii="Arial" w:hAnsi="Arial" w:eastAsia="Arial" w:cs="Arial"/>
      <w:sz w:val="40"/>
      <w:szCs w:val="40"/>
    </w:rPr>
  </w:style>
  <w:style w:type="character" w:styleId="804" w:customStyle="1">
    <w:name w:val="标题 2 字符"/>
    <w:link w:val="716"/>
    <w:uiPriority w:val="9"/>
    <w:qFormat/>
    <w:rPr>
      <w:rFonts w:ascii="Arial" w:hAnsi="Arial" w:eastAsia="Arial" w:cs="Arial"/>
      <w:sz w:val="34"/>
    </w:rPr>
  </w:style>
  <w:style w:type="character" w:styleId="805" w:customStyle="1">
    <w:name w:val="标题 3 字符"/>
    <w:link w:val="717"/>
    <w:uiPriority w:val="9"/>
    <w:qFormat/>
    <w:rPr>
      <w:rFonts w:ascii="Arial" w:hAnsi="Arial" w:eastAsia="Arial" w:cs="Arial"/>
      <w:sz w:val="30"/>
      <w:szCs w:val="30"/>
    </w:rPr>
  </w:style>
  <w:style w:type="character" w:styleId="806" w:customStyle="1">
    <w:name w:val="Heading 4 Char"/>
    <w:uiPriority w:val="9"/>
    <w:qFormat/>
    <w:rPr>
      <w:rFonts w:ascii="Arial" w:hAnsi="Arial" w:eastAsia="Arial" w:cs="Arial"/>
      <w:b/>
      <w:bCs/>
      <w:sz w:val="26"/>
      <w:szCs w:val="26"/>
    </w:rPr>
  </w:style>
  <w:style w:type="character" w:styleId="807" w:customStyle="1">
    <w:name w:val="标题 5 字符"/>
    <w:link w:val="719"/>
    <w:uiPriority w:val="9"/>
    <w:qFormat/>
    <w:rPr>
      <w:rFonts w:ascii="Arial" w:hAnsi="Arial" w:eastAsia="Arial" w:cs="Arial"/>
      <w:b/>
      <w:bCs/>
      <w:sz w:val="24"/>
      <w:szCs w:val="24"/>
    </w:rPr>
  </w:style>
  <w:style w:type="character" w:styleId="808" w:customStyle="1">
    <w:name w:val="标题 6 字符"/>
    <w:link w:val="720"/>
    <w:uiPriority w:val="9"/>
    <w:qFormat/>
    <w:rPr>
      <w:rFonts w:ascii="Arial" w:hAnsi="Arial" w:eastAsia="Arial" w:cs="Arial"/>
      <w:b/>
      <w:bCs/>
      <w:sz w:val="22"/>
      <w:szCs w:val="22"/>
    </w:rPr>
  </w:style>
  <w:style w:type="character" w:styleId="809" w:customStyle="1">
    <w:name w:val="标题 7 字符"/>
    <w:link w:val="721"/>
    <w:uiPriority w:val="9"/>
    <w:qFormat/>
    <w:rPr>
      <w:rFonts w:ascii="Arial" w:hAnsi="Arial" w:eastAsia="Arial" w:cs="Arial"/>
      <w:b/>
      <w:bCs/>
      <w:i/>
      <w:iCs/>
      <w:sz w:val="22"/>
      <w:szCs w:val="22"/>
    </w:rPr>
  </w:style>
  <w:style w:type="character" w:styleId="810" w:customStyle="1">
    <w:name w:val="标题 8 字符"/>
    <w:link w:val="722"/>
    <w:uiPriority w:val="9"/>
    <w:qFormat/>
    <w:rPr>
      <w:rFonts w:ascii="Arial" w:hAnsi="Arial" w:eastAsia="Arial" w:cs="Arial"/>
      <w:i/>
      <w:iCs/>
      <w:sz w:val="22"/>
      <w:szCs w:val="22"/>
    </w:rPr>
  </w:style>
  <w:style w:type="character" w:styleId="811" w:customStyle="1">
    <w:name w:val="标题 9 字符"/>
    <w:link w:val="723"/>
    <w:uiPriority w:val="9"/>
    <w:qFormat/>
    <w:rPr>
      <w:rFonts w:ascii="Arial" w:hAnsi="Arial" w:eastAsia="Arial" w:cs="Arial"/>
      <w:i/>
      <w:iCs/>
      <w:sz w:val="21"/>
      <w:szCs w:val="21"/>
    </w:rPr>
  </w:style>
  <w:style w:type="paragraph" w:styleId="812" w:customStyle="1">
    <w:name w:val="无间隔1"/>
    <w:uiPriority w:val="1"/>
    <w:qFormat/>
    <w:rPr>
      <w:rFonts w:ascii="Times New Roman" w:hAnsi="Times New Roman" w:eastAsia="宋体" w:cs="Times New Roman"/>
      <w:lang w:val="en-US" w:eastAsia="zh-CN" w:bidi="ar-SA"/>
    </w:rPr>
  </w:style>
  <w:style w:type="character" w:styleId="813" w:customStyle="1">
    <w:name w:val="标题 字符"/>
    <w:link w:val="751"/>
    <w:uiPriority w:val="10"/>
    <w:qFormat/>
    <w:rPr>
      <w:sz w:val="48"/>
      <w:szCs w:val="48"/>
    </w:rPr>
  </w:style>
  <w:style w:type="character" w:styleId="814" w:customStyle="1">
    <w:name w:val="副标题 字符"/>
    <w:link w:val="744"/>
    <w:uiPriority w:val="11"/>
    <w:qFormat/>
    <w:rPr>
      <w:sz w:val="24"/>
      <w:szCs w:val="24"/>
    </w:rPr>
  </w:style>
  <w:style w:type="paragraph" w:styleId="815" w:customStyle="1">
    <w:name w:val="引用1"/>
    <w:basedOn w:val="714"/>
    <w:next w:val="714"/>
    <w:link w:val="816"/>
    <w:uiPriority w:val="29"/>
    <w:qFormat/>
    <w:pPr>
      <w:ind w:left="720" w:right="720"/>
    </w:pPr>
    <w:rPr>
      <w:i/>
    </w:rPr>
  </w:style>
  <w:style w:type="character" w:styleId="816" w:customStyle="1">
    <w:name w:val="引用 字符"/>
    <w:link w:val="815"/>
    <w:uiPriority w:val="29"/>
    <w:qFormat/>
    <w:rPr>
      <w:i/>
    </w:rPr>
  </w:style>
  <w:style w:type="paragraph" w:styleId="817" w:customStyle="1">
    <w:name w:val="明显引用1"/>
    <w:basedOn w:val="714"/>
    <w:next w:val="714"/>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页眉 字符"/>
    <w:link w:val="741"/>
    <w:uiPriority w:val="99"/>
    <w:qFormat/>
  </w:style>
  <w:style w:type="character" w:styleId="820" w:customStyle="1">
    <w:name w:val="Footer Char"/>
    <w:uiPriority w:val="99"/>
    <w:qFormat/>
  </w:style>
  <w:style w:type="character" w:styleId="821" w:customStyle="1">
    <w:name w:val="页脚 字符"/>
    <w:link w:val="740"/>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脚注文本 字符"/>
    <w:link w:val="745"/>
    <w:uiPriority w:val="99"/>
    <w:qFormat/>
    <w:rPr>
      <w:sz w:val="18"/>
    </w:rPr>
  </w:style>
  <w:style w:type="character" w:styleId="929" w:customStyle="1">
    <w:name w:val="尾注文本 字符"/>
    <w:link w:val="739"/>
    <w:uiPriority w:val="99"/>
    <w:qFormat/>
    <w:rPr>
      <w:sz w:val="20"/>
    </w:rPr>
  </w:style>
  <w:style w:type="paragraph" w:styleId="930" w:customStyle="1">
    <w:name w:val="标题 21"/>
    <w:basedOn w:val="714"/>
    <w:next w:val="714"/>
    <w:uiPriority w:val="0"/>
    <w:qFormat/>
    <w:pPr>
      <w:jc w:val="center"/>
      <w:keepLines/>
      <w:keepNext/>
      <w:spacing w:before="120" w:after="120"/>
      <w:outlineLvl w:val="1"/>
    </w:pPr>
    <w:rPr>
      <w:rFonts w:ascii="Arial" w:hAnsi="Arial" w:eastAsia="黑体"/>
      <w:b/>
      <w:sz w:val="28"/>
      <w:szCs w:val="28"/>
    </w:rPr>
  </w:style>
  <w:style w:type="paragraph" w:styleId="931" w:customStyle="1">
    <w:name w:val="标题 311"/>
    <w:basedOn w:val="714"/>
    <w:next w:val="714"/>
    <w:uiPriority w:val="0"/>
    <w:qFormat/>
    <w:pPr>
      <w:keepLines/>
      <w:keepNext/>
      <w:spacing w:before="120" w:after="120"/>
      <w:outlineLvl w:val="2"/>
    </w:pPr>
    <w:rPr>
      <w:rFonts w:eastAsia="黑体"/>
      <w:b/>
      <w:sz w:val="32"/>
    </w:rPr>
  </w:style>
  <w:style w:type="paragraph" w:styleId="932" w:customStyle="1">
    <w:name w:val="标题 411"/>
    <w:basedOn w:val="714"/>
    <w:next w:val="933"/>
    <w:uiPriority w:val="1"/>
    <w:qFormat/>
    <w:pPr>
      <w:keepLines/>
      <w:keepNext/>
      <w:spacing w:before="280" w:after="290" w:line="376" w:lineRule="auto"/>
      <w:outlineLvl w:val="3"/>
    </w:pPr>
    <w:rPr>
      <w:rFonts w:ascii="Arial" w:hAnsi="Arial" w:eastAsia="黑体"/>
      <w:b/>
      <w:bCs/>
      <w:sz w:val="28"/>
      <w:szCs w:val="28"/>
    </w:rPr>
  </w:style>
  <w:style w:type="paragraph" w:styleId="933" w:customStyle="1">
    <w:name w:val="正文缩进1"/>
    <w:basedOn w:val="714"/>
    <w:link w:val="938"/>
    <w:uiPriority w:val="0"/>
    <w:qFormat/>
    <w:pPr>
      <w:ind w:firstLine="420"/>
    </w:pPr>
  </w:style>
  <w:style w:type="paragraph" w:styleId="934" w:customStyle="1">
    <w:name w:val="标题 51"/>
    <w:basedOn w:val="714"/>
    <w:next w:val="714"/>
    <w:uiPriority w:val="0"/>
    <w:qFormat/>
    <w:pPr>
      <w:ind w:firstLine="723"/>
      <w:jc w:val="left"/>
      <w:keepLines/>
      <w:keepNext/>
      <w:spacing w:before="280" w:after="290" w:line="372" w:lineRule="auto"/>
      <w:outlineLvl w:val="4"/>
    </w:pPr>
    <w:rPr>
      <w:rFonts w:ascii="宋体" w:hAnsi="宋体" w:cs="宋体"/>
      <w:b/>
      <w:sz w:val="28"/>
      <w:szCs w:val="22"/>
      <w:lang w:val="zh-CN" w:bidi="zh-CN"/>
    </w:rPr>
  </w:style>
  <w:style w:type="character" w:styleId="935" w:customStyle="1">
    <w:name w:val="默认段落字体1"/>
    <w:uiPriority w:val="0"/>
    <w:qFormat/>
  </w:style>
  <w:style w:type="table" w:styleId="936" w:customStyle="1">
    <w:name w:val="普通表格1"/>
    <w:uiPriority w:val="0"/>
    <w:semiHidden/>
    <w:qFormat/>
    <w:tblPr>
      <w:tblCellMar>
        <w:left w:w="0" w:type="dxa"/>
        <w:top w:w="0" w:type="dxa"/>
        <w:right w:w="0" w:type="dxa"/>
        <w:bottom w:w="0" w:type="dxa"/>
      </w:tblCellMar>
    </w:tblPr>
  </w:style>
  <w:style w:type="character" w:styleId="937" w:customStyle="1">
    <w:name w:val="标题 1 Char"/>
    <w:link w:val="766"/>
    <w:uiPriority w:val="0"/>
    <w:qFormat/>
    <w:rPr>
      <w:rFonts w:eastAsia="宋体"/>
      <w:b/>
      <w:bCs/>
      <w:sz w:val="44"/>
      <w:szCs w:val="44"/>
      <w:lang w:val="en-US" w:eastAsia="zh-CN" w:bidi="ar-SA"/>
    </w:rPr>
  </w:style>
  <w:style w:type="character" w:styleId="938" w:customStyle="1">
    <w:name w:val="正文缩进 Char1"/>
    <w:link w:val="933"/>
    <w:uiPriority w:val="0"/>
    <w:qFormat/>
    <w:rPr>
      <w:rFonts w:eastAsia="宋体"/>
      <w:sz w:val="21"/>
      <w:lang w:val="en-US" w:eastAsia="zh-CN" w:bidi="ar-SA"/>
    </w:rPr>
  </w:style>
  <w:style w:type="paragraph" w:styleId="939" w:customStyle="1">
    <w:name w:val="文档结构图1"/>
    <w:basedOn w:val="714"/>
    <w:uiPriority w:val="0"/>
    <w:semiHidden/>
    <w:qFormat/>
    <w:pPr>
      <w:shd w:val="clear" w:color="auto" w:fill="000080"/>
    </w:pPr>
  </w:style>
  <w:style w:type="paragraph" w:styleId="940" w:customStyle="1">
    <w:name w:val="批注文字1"/>
    <w:basedOn w:val="714"/>
    <w:uiPriority w:val="0"/>
    <w:qFormat/>
    <w:pPr>
      <w:jc w:val="left"/>
    </w:pPr>
  </w:style>
  <w:style w:type="paragraph" w:styleId="941" w:customStyle="1">
    <w:name w:val="结束语1"/>
    <w:basedOn w:val="714"/>
    <w:uiPriority w:val="0"/>
    <w:qFormat/>
    <w:pPr>
      <w:ind w:left="100"/>
    </w:pPr>
  </w:style>
  <w:style w:type="character" w:styleId="942" w:customStyle="1">
    <w:name w:val="正文文本 Char"/>
    <w:link w:val="764"/>
    <w:uiPriority w:val="0"/>
    <w:qFormat/>
    <w:rPr>
      <w:sz w:val="21"/>
    </w:rPr>
  </w:style>
  <w:style w:type="paragraph" w:styleId="943" w:customStyle="1">
    <w:name w:val="正文文本缩进1"/>
    <w:basedOn w:val="714"/>
    <w:uiPriority w:val="0"/>
    <w:qFormat/>
    <w:pPr>
      <w:ind w:left="765"/>
    </w:pPr>
    <w:rPr>
      <w:rFonts w:ascii="仿宋_GB2312" w:eastAsia="仿宋_GB2312"/>
      <w:sz w:val="28"/>
    </w:rPr>
  </w:style>
  <w:style w:type="paragraph" w:styleId="944" w:customStyle="1">
    <w:name w:val="寄信人地址1"/>
    <w:basedOn w:val="714"/>
    <w:uiPriority w:val="99"/>
    <w:qFormat/>
    <w:rPr>
      <w:rFonts w:ascii="Arial" w:hAnsi="Arial"/>
    </w:rPr>
  </w:style>
  <w:style w:type="paragraph" w:styleId="945" w:customStyle="1">
    <w:name w:val="索引 41"/>
    <w:basedOn w:val="714"/>
    <w:next w:val="714"/>
    <w:uiPriority w:val="0"/>
    <w:qFormat/>
    <w:pPr>
      <w:ind w:left="600"/>
    </w:pPr>
  </w:style>
  <w:style w:type="paragraph" w:styleId="946" w:customStyle="1">
    <w:name w:val="目录 51"/>
    <w:basedOn w:val="714"/>
    <w:next w:val="714"/>
    <w:uiPriority w:val="39"/>
    <w:unhideWhenUsed/>
    <w:qFormat/>
    <w:pPr>
      <w:ind w:left="1134"/>
      <w:spacing w:after="57"/>
    </w:pPr>
  </w:style>
  <w:style w:type="paragraph" w:styleId="947" w:customStyle="1">
    <w:name w:val="纯文本1"/>
    <w:basedOn w:val="714"/>
    <w:uiPriority w:val="0"/>
    <w:qFormat/>
    <w:pPr>
      <w:jc w:val="left"/>
      <w:widowControl/>
    </w:pPr>
    <w:rPr>
      <w:rFonts w:ascii="宋体" w:hAnsi="Courier New"/>
    </w:rPr>
  </w:style>
  <w:style w:type="paragraph" w:styleId="948" w:customStyle="1">
    <w:name w:val="索引 311"/>
    <w:basedOn w:val="714"/>
    <w:next w:val="714"/>
    <w:uiPriority w:val="0"/>
    <w:qFormat/>
    <w:pPr>
      <w:ind w:left="400"/>
    </w:pPr>
  </w:style>
  <w:style w:type="paragraph" w:styleId="949" w:customStyle="1">
    <w:name w:val="日期1"/>
    <w:basedOn w:val="714"/>
    <w:next w:val="714"/>
    <w:uiPriority w:val="0"/>
    <w:qFormat/>
    <w:pPr>
      <w:ind w:left="100"/>
    </w:pPr>
    <w:rPr>
      <w:szCs w:val="24"/>
    </w:rPr>
  </w:style>
  <w:style w:type="paragraph" w:styleId="950" w:customStyle="1">
    <w:name w:val="正文文本缩进 211"/>
    <w:basedOn w:val="714"/>
    <w:uiPriority w:val="0"/>
    <w:qFormat/>
    <w:pPr>
      <w:ind w:left="420"/>
      <w:spacing w:after="120" w:line="480" w:lineRule="auto"/>
    </w:pPr>
  </w:style>
  <w:style w:type="paragraph" w:styleId="951" w:customStyle="1">
    <w:name w:val="批注框文本1"/>
    <w:basedOn w:val="714"/>
    <w:uiPriority w:val="0"/>
    <w:semiHidden/>
    <w:qFormat/>
    <w:rPr>
      <w:sz w:val="18"/>
      <w:szCs w:val="18"/>
    </w:rPr>
  </w:style>
  <w:style w:type="paragraph" w:styleId="952" w:customStyle="1">
    <w:name w:val="页脚1"/>
    <w:basedOn w:val="714"/>
    <w:link w:val="953"/>
    <w:uiPriority w:val="0"/>
    <w:qFormat/>
    <w:pPr>
      <w:jc w:val="left"/>
      <w:tabs>
        <w:tab w:val="center" w:pos="4153" w:leader="none"/>
        <w:tab w:val="right" w:pos="8306" w:leader="none"/>
      </w:tabs>
    </w:pPr>
    <w:rPr>
      <w:sz w:val="18"/>
    </w:rPr>
  </w:style>
  <w:style w:type="character" w:styleId="953" w:customStyle="1">
    <w:name w:val="页脚 Char"/>
    <w:link w:val="952"/>
    <w:uiPriority w:val="0"/>
    <w:qFormat/>
    <w:rPr>
      <w:rFonts w:eastAsia="宋体"/>
      <w:sz w:val="18"/>
      <w:lang w:val="en-US" w:eastAsia="zh-CN" w:bidi="ar-SA"/>
    </w:rPr>
  </w:style>
  <w:style w:type="paragraph" w:styleId="954" w:customStyle="1">
    <w:name w:val="页眉1"/>
    <w:basedOn w:val="714"/>
    <w:link w:val="955"/>
    <w:uiPriority w:val="0"/>
    <w:qFormat/>
    <w:pPr>
      <w:jc w:val="center"/>
      <w:tabs>
        <w:tab w:val="center" w:pos="4153" w:leader="none"/>
        <w:tab w:val="right" w:pos="8306" w:leader="none"/>
      </w:tabs>
      <w:pBdr>
        <w:bottom w:val="single" w:color="000000" w:sz="6" w:space="1"/>
      </w:pBdr>
    </w:pPr>
    <w:rPr>
      <w:sz w:val="18"/>
    </w:rPr>
  </w:style>
  <w:style w:type="character" w:styleId="955" w:customStyle="1">
    <w:name w:val="页眉 Char"/>
    <w:link w:val="954"/>
    <w:uiPriority w:val="0"/>
    <w:qFormat/>
    <w:rPr>
      <w:rFonts w:eastAsia="宋体"/>
      <w:sz w:val="18"/>
      <w:lang w:val="en-US" w:eastAsia="zh-CN" w:bidi="ar-SA"/>
    </w:rPr>
  </w:style>
  <w:style w:type="paragraph" w:styleId="956" w:customStyle="1">
    <w:name w:val="目录 11"/>
    <w:basedOn w:val="714"/>
    <w:next w:val="714"/>
    <w:uiPriority w:val="1"/>
    <w:qFormat/>
    <w:pPr>
      <w:ind w:left="2878" w:right="1198" w:hanging="2879"/>
      <w:jc w:val="right"/>
      <w:spacing w:before="265" w:line="360" w:lineRule="auto"/>
    </w:pPr>
    <w:rPr>
      <w:rFonts w:ascii="宋体" w:hAnsi="宋体" w:cs="宋体"/>
      <w:sz w:val="28"/>
      <w:szCs w:val="28"/>
      <w:lang w:val="zh-CN" w:bidi="zh-CN"/>
    </w:rPr>
  </w:style>
  <w:style w:type="paragraph" w:styleId="957" w:customStyle="1">
    <w:name w:val="普通(网站)1"/>
    <w:basedOn w:val="714"/>
    <w:uiPriority w:val="0"/>
    <w:qFormat/>
    <w:pPr>
      <w:jc w:val="left"/>
      <w:spacing w:before="100" w:beforeAutospacing="1" w:after="100" w:afterAutospacing="1"/>
      <w:widowControl/>
    </w:pPr>
    <w:rPr>
      <w:rFonts w:ascii="宋体" w:hAnsi="宋体" w:cs="宋体"/>
      <w:sz w:val="24"/>
      <w:szCs w:val="24"/>
    </w:rPr>
  </w:style>
  <w:style w:type="paragraph" w:styleId="958" w:customStyle="1">
    <w:name w:val="正文首行缩进 21"/>
    <w:basedOn w:val="943"/>
    <w:uiPriority w:val="0"/>
    <w:qFormat/>
    <w:pPr>
      <w:ind w:firstLine="420"/>
    </w:pPr>
  </w:style>
  <w:style w:type="table" w:styleId="959" w:customStyle="1">
    <w:name w:val="网格型1"/>
    <w:basedOn w:val="936"/>
    <w:uiPriority w:val="99"/>
    <w:unhideWhenUsed/>
    <w:qFormat/>
    <w:pPr>
      <w:jc w:val="both"/>
      <w:widowControl w:val="off"/>
    </w:pPr>
    <w:tblPr/>
  </w:style>
  <w:style w:type="character" w:styleId="960" w:customStyle="1">
    <w:name w:val="页码1"/>
    <w:uiPriority w:val="0"/>
    <w:qFormat/>
  </w:style>
  <w:style w:type="character" w:styleId="961" w:customStyle="1">
    <w:name w:val="已访问的超链接1"/>
    <w:uiPriority w:val="0"/>
    <w:qFormat/>
    <w:rPr>
      <w:color w:val="954f72"/>
      <w:u w:val="single"/>
    </w:rPr>
  </w:style>
  <w:style w:type="character" w:styleId="962" w:customStyle="1">
    <w:name w:val="超链接1"/>
    <w:uiPriority w:val="0"/>
    <w:qFormat/>
    <w:rPr>
      <w:color w:val="333333"/>
      <w:u w:val="none"/>
    </w:rPr>
  </w:style>
  <w:style w:type="paragraph" w:styleId="963" w:customStyle="1">
    <w:name w:val="标题 31"/>
    <w:basedOn w:val="714"/>
    <w:next w:val="714"/>
    <w:uiPriority w:val="0"/>
    <w:qFormat/>
    <w:pPr>
      <w:keepLines/>
      <w:keepNext/>
      <w:spacing w:before="260" w:after="260" w:line="416" w:lineRule="auto"/>
      <w:outlineLvl w:val="2"/>
    </w:pPr>
    <w:rPr>
      <w:b/>
      <w:bCs/>
      <w:sz w:val="32"/>
      <w:szCs w:val="32"/>
    </w:rPr>
  </w:style>
  <w:style w:type="character" w:styleId="964" w:customStyle="1">
    <w:name w:val="font11"/>
    <w:uiPriority w:val="0"/>
    <w:qFormat/>
    <w:rPr>
      <w:rFonts w:ascii="Times New Roman" w:hAnsi="Times New Roman" w:cs="Times New Roman"/>
      <w:color w:val="000000"/>
      <w:sz w:val="24"/>
      <w:szCs w:val="24"/>
      <w:u w:val="none"/>
    </w:rPr>
  </w:style>
  <w:style w:type="character" w:styleId="965" w:customStyle="1">
    <w:name w:val="font21"/>
    <w:uiPriority w:val="0"/>
    <w:qFormat/>
    <w:rPr>
      <w:rFonts w:ascii="Times New Roman" w:hAnsi="Times New Roman" w:cs="Times New Roman"/>
      <w:color w:val="000000"/>
      <w:sz w:val="24"/>
      <w:szCs w:val="24"/>
      <w:u w:val="none"/>
    </w:rPr>
  </w:style>
  <w:style w:type="character" w:styleId="966" w:customStyle="1">
    <w:name w:val="标题 1 Char Char"/>
    <w:uiPriority w:val="0"/>
    <w:qFormat/>
    <w:rPr>
      <w:rFonts w:eastAsia="宋体"/>
      <w:b/>
      <w:spacing w:val="-2"/>
      <w:sz w:val="24"/>
      <w:lang w:val="en-US" w:eastAsia="zh-CN" w:bidi="ar-SA"/>
    </w:rPr>
  </w:style>
  <w:style w:type="character" w:styleId="967" w:customStyle="1">
    <w:name w:val="font01"/>
    <w:uiPriority w:val="0"/>
    <w:qFormat/>
    <w:rPr>
      <w:rFonts w:hint="eastAsia" w:ascii="宋体" w:hAnsi="宋体" w:eastAsia="宋体" w:cs="宋体"/>
      <w:color w:val="000000"/>
      <w:sz w:val="24"/>
      <w:szCs w:val="24"/>
      <w:u w:val="none"/>
    </w:rPr>
  </w:style>
  <w:style w:type="paragraph" w:styleId="968" w:customStyle="1">
    <w:name w:val="Char Char1"/>
    <w:basedOn w:val="714"/>
    <w:uiPriority w:val="0"/>
    <w:qFormat/>
    <w:rPr>
      <w:szCs w:val="24"/>
    </w:rPr>
  </w:style>
  <w:style w:type="paragraph" w:styleId="969" w:customStyle="1">
    <w:name w:val="reader-word-layer"/>
    <w:basedOn w:val="714"/>
    <w:uiPriority w:val="0"/>
    <w:qFormat/>
    <w:pPr>
      <w:jc w:val="left"/>
      <w:spacing w:before="100" w:beforeAutospacing="1" w:after="100" w:afterAutospacing="1"/>
      <w:widowControl/>
    </w:pPr>
    <w:rPr>
      <w:rFonts w:ascii="宋体" w:hAnsi="宋体" w:cs="宋体"/>
      <w:sz w:val="24"/>
      <w:szCs w:val="24"/>
    </w:rPr>
  </w:style>
  <w:style w:type="paragraph" w:styleId="970" w:customStyle="1">
    <w:name w:val="p0 paragraphindent"/>
    <w:basedOn w:val="714"/>
    <w:uiPriority w:val="0"/>
    <w:qFormat/>
    <w:pPr>
      <w:jc w:val="left"/>
      <w:spacing w:before="100" w:beforeAutospacing="1" w:after="100" w:afterAutospacing="1"/>
      <w:widowControl/>
    </w:pPr>
    <w:rPr>
      <w:rFonts w:ascii="宋体" w:hAnsi="宋体" w:cs="宋体"/>
      <w:sz w:val="24"/>
      <w:szCs w:val="24"/>
    </w:rPr>
  </w:style>
  <w:style w:type="paragraph" w:styleId="971" w:customStyle="1">
    <w:name w:val="正"/>
    <w:basedOn w:val="714"/>
    <w:uiPriority w:val="0"/>
    <w:qFormat/>
    <w:pPr>
      <w:ind w:left="360" w:hanging="360"/>
      <w:spacing w:line="360" w:lineRule="auto"/>
    </w:pPr>
    <w:rPr>
      <w:sz w:val="24"/>
      <w:szCs w:val="24"/>
    </w:rPr>
  </w:style>
  <w:style w:type="paragraph" w:styleId="972" w:customStyle="1">
    <w:name w:val="默认段落字体 Para Char Char Char Char"/>
    <w:basedOn w:val="714"/>
    <w:uiPriority w:val="0"/>
    <w:qFormat/>
  </w:style>
  <w:style w:type="paragraph" w:styleId="973" w:customStyle="1">
    <w:name w:val="Char Char Char Char"/>
    <w:basedOn w:val="939"/>
    <w:uiPriority w:val="0"/>
    <w:qFormat/>
    <w:rPr>
      <w:rFonts w:ascii="Tahoma" w:hAnsi="Tahoma"/>
      <w:sz w:val="24"/>
      <w:szCs w:val="24"/>
    </w:rPr>
  </w:style>
  <w:style w:type="paragraph" w:styleId="974" w:customStyle="1">
    <w:name w:val="p0"/>
    <w:uiPriority w:val="0"/>
    <w:qFormat/>
    <w:rPr>
      <w:rFonts w:ascii="Times New Roman" w:hAnsi="Times New Roman" w:eastAsia="宋体" w:cs="Times New Roman"/>
      <w:szCs w:val="21"/>
      <w:lang w:val="en-US" w:eastAsia="zh-CN" w:bidi="ar-SA"/>
    </w:rPr>
  </w:style>
  <w:style w:type="paragraph" w:styleId="975" w:customStyle="1">
    <w:name w:val="Char Char1 Char Char Char Char Char Char Char"/>
    <w:basedOn w:val="714"/>
    <w:uiPriority w:val="0"/>
    <w:qFormat/>
  </w:style>
  <w:style w:type="paragraph" w:styleId="976" w:customStyle="1">
    <w:name w:val="列出段落1"/>
    <w:basedOn w:val="714"/>
    <w:uiPriority w:val="34"/>
    <w:qFormat/>
    <w:pPr>
      <w:ind w:firstLine="420"/>
    </w:pPr>
    <w:rPr>
      <w:rFonts w:ascii="Calibri" w:hAnsi="Calibri"/>
      <w:szCs w:val="22"/>
    </w:rPr>
  </w:style>
  <w:style w:type="character" w:styleId="977" w:customStyle="1">
    <w:name w:val="正文缩进2格 Char"/>
    <w:link w:val="978"/>
    <w:uiPriority w:val="0"/>
    <w:qFormat/>
    <w:rPr>
      <w:rFonts w:ascii="仿宋_GB2312" w:hAnsi="宋体" w:eastAsia="仿宋_GB2312"/>
      <w:sz w:val="31"/>
      <w:szCs w:val="28"/>
    </w:rPr>
  </w:style>
  <w:style w:type="paragraph" w:styleId="978" w:customStyle="1">
    <w:name w:val="正文缩进2格"/>
    <w:basedOn w:val="714"/>
    <w:link w:val="977"/>
    <w:uiPriority w:val="0"/>
    <w:qFormat/>
    <w:pPr>
      <w:ind w:firstLine="639"/>
      <w:spacing w:line="600" w:lineRule="exact"/>
    </w:pPr>
    <w:rPr>
      <w:rFonts w:ascii="仿宋_GB2312" w:hAnsi="宋体" w:eastAsia="仿宋_GB2312"/>
      <w:sz w:val="31"/>
      <w:szCs w:val="28"/>
    </w:rPr>
  </w:style>
  <w:style w:type="paragraph" w:styleId="979" w:customStyle="1">
    <w:name w:val="正文_0_0"/>
    <w:basedOn w:val="714"/>
    <w:uiPriority w:val="0"/>
    <w:qFormat/>
    <w:rPr>
      <w:szCs w:val="24"/>
    </w:rPr>
  </w:style>
  <w:style w:type="character" w:styleId="980" w:customStyle="1">
    <w:name w:val="mini-outputtext1"/>
    <w:uiPriority w:val="0"/>
    <w:qFormat/>
  </w:style>
  <w:style w:type="paragraph" w:styleId="981" w:customStyle="1">
    <w:name w:val="普通正文"/>
    <w:basedOn w:val="714"/>
    <w:uiPriority w:val="0"/>
    <w:qFormat/>
    <w:pPr>
      <w:ind w:left="-2" w:right="120" w:firstLine="480"/>
      <w:jc w:val="center"/>
      <w:spacing w:before="120" w:after="120" w:line="360" w:lineRule="auto"/>
    </w:pPr>
    <w:rPr>
      <w:rFonts w:ascii="Arial" w:hAnsi="Arial"/>
      <w:sz w:val="24"/>
      <w:szCs w:val="24"/>
    </w:rPr>
  </w:style>
  <w:style w:type="paragraph" w:styleId="982" w:customStyle="1">
    <w:name w:val="_Style 2"/>
    <w:next w:val="714"/>
    <w:uiPriority w:val="0"/>
    <w:qFormat/>
    <w:pPr>
      <w:jc w:val="both"/>
      <w:widowControl w:val="off"/>
    </w:pPr>
    <w:rPr>
      <w:rFonts w:ascii="Times New Roman" w:hAnsi="Times New Roman" w:eastAsia="宋体" w:cs="Times New Roman"/>
      <w:sz w:val="21"/>
      <w:szCs w:val="22"/>
      <w:lang w:val="en-US" w:eastAsia="zh-CN" w:bidi="ar-SA"/>
    </w:rPr>
  </w:style>
  <w:style w:type="paragraph" w:styleId="983" w:customStyle="1">
    <w:name w:val="Table Paragraph"/>
    <w:basedOn w:val="714"/>
    <w:uiPriority w:val="1"/>
    <w:qFormat/>
    <w:rPr>
      <w:rFonts w:ascii="仿宋" w:hAnsi="仿宋" w:eastAsia="仿宋" w:cs="仿宋"/>
      <w:lang w:val="zh-CN" w:bidi="zh-CN"/>
    </w:rPr>
  </w:style>
  <w:style w:type="paragraph" w:styleId="984" w:customStyle="1">
    <w:name w:val="无间隔11"/>
    <w:uiPriority w:val="1"/>
    <w:qFormat/>
    <w:pPr>
      <w:jc w:val="both"/>
      <w:widowControl w:val="off"/>
    </w:pPr>
    <w:rPr>
      <w:rFonts w:ascii="微软雅黑" w:hAnsi="微软雅黑" w:eastAsia="微软雅黑" w:cs="Arial"/>
      <w:sz w:val="21"/>
      <w:szCs w:val="24"/>
      <w:lang w:val="en-US" w:eastAsia="zh-CN" w:bidi="ar-SA"/>
    </w:rPr>
  </w:style>
  <w:style w:type="character" w:styleId="985" w:customStyle="1">
    <w:name w:val="正文缩进 Char"/>
    <w:uiPriority w:val="0"/>
    <w:qFormat/>
    <w:rPr>
      <w:rFonts w:eastAsia="宋体"/>
      <w:sz w:val="21"/>
      <w:lang w:val="en-US" w:eastAsia="zh-CN" w:bidi="ar-SA"/>
    </w:rPr>
  </w:style>
  <w:style w:type="paragraph" w:styleId="986" w:customStyle="1">
    <w:name w:val="msonormalcxspmiddle"/>
    <w:basedOn w:val="714"/>
    <w:uiPriority w:val="0"/>
    <w:qFormat/>
    <w:pPr>
      <w:jc w:val="left"/>
      <w:spacing w:before="100" w:beforeAutospacing="1" w:after="100" w:afterAutospacing="1"/>
      <w:widowControl/>
    </w:pPr>
    <w:rPr>
      <w:rFonts w:ascii="宋体" w:hAnsi="宋体" w:cs="宋体"/>
      <w:sz w:val="24"/>
      <w:szCs w:val="24"/>
    </w:rPr>
  </w:style>
  <w:style w:type="paragraph" w:styleId="987" w:customStyle="1">
    <w:name w:val="_Style 60"/>
    <w:basedOn w:val="714"/>
    <w:uiPriority w:val="0"/>
    <w:qFormat/>
  </w:style>
  <w:style w:type="paragraph" w:styleId="988" w:customStyle="1">
    <w:name w:val="样式8"/>
    <w:basedOn w:val="714"/>
    <w:uiPriority w:val="0"/>
    <w:qFormat/>
    <w:pPr>
      <w:jc w:val="center"/>
      <w:keepLines/>
      <w:keepNext/>
      <w:spacing w:before="260" w:after="260"/>
      <w:outlineLvl w:val="1"/>
    </w:pPr>
    <w:rPr>
      <w:rFonts w:ascii="Arial" w:hAnsi="Arial" w:eastAsia="黑体"/>
      <w:b/>
      <w:bCs/>
      <w:sz w:val="72"/>
      <w:szCs w:val="32"/>
    </w:rPr>
  </w:style>
  <w:style w:type="character" w:styleId="989" w:customStyle="1">
    <w:name w:val="active"/>
    <w:uiPriority w:val="0"/>
    <w:qFormat/>
    <w:rPr>
      <w:color w:val="ffffff"/>
      <w:shd w:val="clear" w:color="auto" w:fill="0f5bb9"/>
    </w:rPr>
  </w:style>
  <w:style w:type="character" w:styleId="990" w:customStyle="1">
    <w:name w:val="active15"/>
    <w:uiPriority w:val="0"/>
    <w:qFormat/>
    <w:rPr>
      <w:color w:val="ffffff"/>
      <w:shd w:val="clear" w:color="auto" w:fill="0f5bb9"/>
    </w:rPr>
  </w:style>
  <w:style w:type="paragraph" w:styleId="991" w:customStyle="1">
    <w:name w:val="Main Title"/>
    <w:next w:val="714"/>
    <w:uiPriority w:val="0"/>
    <w:qFormat/>
    <w:pPr>
      <w:jc w:val="center"/>
      <w:spacing w:after="156" w:line="360" w:lineRule="auto"/>
    </w:pPr>
    <w:rPr>
      <w:rFonts w:ascii="黑体" w:hAnsi="黑体" w:eastAsia="黑体" w:cs="黑体"/>
      <w:b/>
      <w:sz w:val="36"/>
      <w:szCs w:val="22"/>
      <w:lang w:val="zh-CN" w:eastAsia="zh-CN" w:bidi="ar-SA"/>
    </w:rPr>
  </w:style>
  <w:style w:type="paragraph" w:styleId="992" w:customStyle="1">
    <w:name w:val="列表段落1"/>
    <w:basedOn w:val="714"/>
    <w:uiPriority w:val="34"/>
    <w:qFormat/>
    <w:pPr>
      <w:ind w:firstLine="420"/>
    </w:pPr>
  </w:style>
  <w:style w:type="paragraph" w:styleId="993" w:customStyle="1">
    <w:name w:val="TOC 标题111"/>
    <w:basedOn w:val="766"/>
    <w:next w:val="714"/>
    <w:uiPriority w:val="39"/>
    <w:qFormat/>
    <w:pPr>
      <w:spacing w:before="260" w:after="260" w:line="413" w:lineRule="auto"/>
    </w:pPr>
    <w:rPr>
      <w:rFonts w:ascii="宋体" w:hAnsi="宋体"/>
      <w:sz w:val="36"/>
      <w:lang w:val="zh-CN"/>
    </w:rPr>
  </w:style>
  <w:style w:type="paragraph" w:styleId="994" w:customStyle="1">
    <w:name w:val="通用标题2"/>
    <w:basedOn w:val="930"/>
    <w:next w:val="714"/>
    <w:uiPriority w:val="0"/>
    <w:qFormat/>
    <w:pPr>
      <w:numPr>
        <w:ilvl w:val="0"/>
        <w:numId w:val="1"/>
      </w:numPr>
      <w:keepLines w:val="0"/>
      <w:keepNext w:val="0"/>
      <w:spacing w:line="360" w:lineRule="auto"/>
      <w:tabs>
        <w:tab w:val="left" w:pos="993" w:leader="none"/>
      </w:tabs>
    </w:pPr>
    <w:rPr>
      <w:rFonts w:ascii="宋体" w:hAnsi="宋体" w:eastAsia="宋体"/>
    </w:rPr>
  </w:style>
  <w:style w:type="paragraph" w:styleId="995" w:customStyle="1">
    <w:name w:val="通用标题3"/>
    <w:next w:val="714"/>
    <w:uiPriority w:val="0"/>
    <w:qFormat/>
    <w:pPr>
      <w:numPr>
        <w:ilvl w:val="1"/>
        <w:numId w:val="1"/>
      </w:numPr>
      <w:ind w:firstLine="482"/>
      <w:jc w:val="both"/>
      <w:spacing w:after="156" w:line="360" w:lineRule="auto"/>
      <w:widowControl w:val="off"/>
      <w:tabs>
        <w:tab w:val="left" w:pos="709" w:leader="none"/>
      </w:tabs>
      <w:outlineLvl w:val="2"/>
    </w:pPr>
    <w:rPr>
      <w:rFonts w:ascii="宋体" w:hAnsi="宋体" w:eastAsia="宋体" w:cs="黑体"/>
      <w:b/>
      <w:sz w:val="24"/>
      <w:szCs w:val="24"/>
      <w:lang w:val="en-US" w:eastAsia="zh-CN" w:bidi="ar-SA"/>
    </w:rPr>
  </w:style>
  <w:style w:type="paragraph" w:styleId="996" w:customStyle="1">
    <w:name w:val="通用标题4"/>
    <w:next w:val="714"/>
    <w:uiPriority w:val="0"/>
    <w:qFormat/>
    <w:pPr>
      <w:numPr>
        <w:ilvl w:val="2"/>
        <w:numId w:val="1"/>
      </w:numPr>
      <w:ind w:left="0" w:firstLine="480"/>
      <w:jc w:val="both"/>
      <w:spacing w:after="156" w:line="360" w:lineRule="auto"/>
      <w:widowControl w:val="off"/>
      <w:tabs>
        <w:tab w:val="left" w:pos="709" w:leader="none"/>
      </w:tabs>
      <w:outlineLvl w:val="3"/>
    </w:pPr>
    <w:rPr>
      <w:rFonts w:ascii="宋体" w:hAnsi="宋体" w:eastAsia="宋体" w:cs="黑体"/>
      <w:sz w:val="24"/>
      <w:szCs w:val="24"/>
      <w:lang w:val="en-US" w:eastAsia="zh-CN" w:bidi="ar-SA"/>
    </w:rPr>
  </w:style>
  <w:style w:type="paragraph" w:styleId="997" w:customStyle="1">
    <w:name w:val="通用标题5"/>
    <w:uiPriority w:val="0"/>
    <w:qFormat/>
    <w:pPr>
      <w:numPr>
        <w:ilvl w:val="3"/>
        <w:numId w:val="1"/>
      </w:numPr>
      <w:ind w:left="0" w:firstLine="425"/>
      <w:jc w:val="both"/>
      <w:spacing w:after="156" w:line="360" w:lineRule="auto"/>
      <w:widowControl w:val="off"/>
      <w:tabs>
        <w:tab w:val="left" w:pos="1134" w:leader="none"/>
      </w:tabs>
    </w:pPr>
    <w:rPr>
      <w:rFonts w:ascii="宋体" w:hAnsi="宋体" w:eastAsia="宋体" w:cs="Times New Roman"/>
      <w:sz w:val="24"/>
      <w:szCs w:val="24"/>
      <w:lang w:val="en-US" w:eastAsia="zh-CN" w:bidi="ar-SA"/>
    </w:rPr>
  </w:style>
  <w:style w:type="paragraph" w:styleId="998" w:customStyle="1">
    <w:name w:val="专用标题2"/>
    <w:basedOn w:val="930"/>
    <w:next w:val="714"/>
    <w:uiPriority w:val="0"/>
    <w:qFormat/>
    <w:pPr>
      <w:numPr>
        <w:ilvl w:val="0"/>
        <w:numId w:val="2"/>
      </w:numPr>
      <w:spacing w:line="360" w:lineRule="auto"/>
      <w:tabs>
        <w:tab w:val="left" w:pos="993" w:leader="none"/>
      </w:tabs>
    </w:pPr>
    <w:rPr>
      <w:rFonts w:ascii="宋体" w:hAnsi="宋体" w:eastAsia="宋体" w:cs="Times"/>
    </w:rPr>
  </w:style>
  <w:style w:type="paragraph" w:styleId="999" w:customStyle="1">
    <w:name w:val="附件标题"/>
    <w:basedOn w:val="930"/>
    <w:next w:val="714"/>
    <w:uiPriority w:val="0"/>
    <w:qFormat/>
    <w:pPr>
      <w:numPr>
        <w:ilvl w:val="0"/>
        <w:numId w:val="3"/>
      </w:numPr>
      <w:ind w:left="0" w:firstLine="0"/>
      <w:spacing w:line="360" w:lineRule="auto"/>
      <w:tabs>
        <w:tab w:val="left" w:pos="1134" w:leader="none"/>
      </w:tabs>
    </w:pPr>
    <w:rPr>
      <w:rFonts w:ascii="宋体" w:hAnsi="宋体" w:eastAsia="宋体"/>
      <w:sz w:val="30"/>
      <w:szCs w:val="30"/>
    </w:rPr>
  </w:style>
  <w:style w:type="paragraph" w:styleId="1000" w:customStyle="1">
    <w:name w:val="附件标题1"/>
    <w:next w:val="714"/>
    <w:uiPriority w:val="0"/>
    <w:qFormat/>
    <w:pPr>
      <w:numPr>
        <w:ilvl w:val="0"/>
        <w:numId w:val="4"/>
      </w:numPr>
      <w:spacing w:after="156" w:line="360" w:lineRule="auto"/>
      <w:tabs>
        <w:tab w:val="left" w:pos="1134" w:leader="none"/>
      </w:tabs>
    </w:pPr>
    <w:rPr>
      <w:rFonts w:ascii="宋体" w:hAnsi="宋体" w:eastAsia="宋体" w:cs="黑体"/>
      <w:b/>
      <w:sz w:val="24"/>
      <w:szCs w:val="24"/>
      <w:lang w:val="en-US" w:eastAsia="zh-CN" w:bidi="ar-SA"/>
    </w:rPr>
  </w:style>
  <w:style w:type="paragraph" w:styleId="1001" w:customStyle="1">
    <w:name w:val="_Style 1"/>
    <w:uiPriority w:val="99"/>
    <w:qFormat/>
    <w:rPr>
      <w:rFonts w:ascii="Calibri" w:hAnsi="Calibri" w:eastAsia="宋体" w:cs="Times New Roman"/>
      <w:sz w:val="28"/>
      <w:szCs w:val="22"/>
      <w:lang w:val="en-US" w:eastAsia="zh-CN" w:bidi="ar-SA"/>
    </w:rPr>
  </w:style>
  <w:style w:type="paragraph" w:styleId="1002" w:customStyle="1">
    <w:name w:val="索引 31"/>
    <w:basedOn w:val="714"/>
    <w:next w:val="714"/>
    <w:uiPriority w:val="0"/>
    <w:qFormat/>
    <w:pPr>
      <w:ind w:left="400"/>
    </w:pPr>
  </w:style>
  <w:style w:type="paragraph" w:styleId="1003" w:customStyle="1">
    <w:name w:val="标题 41"/>
    <w:basedOn w:val="714"/>
    <w:next w:val="714"/>
    <w:link w:val="1020"/>
    <w:uiPriority w:val="0"/>
    <w:qFormat/>
    <w:pPr>
      <w:jc w:val="center"/>
      <w:keepNext/>
      <w:outlineLvl w:val="3"/>
    </w:pPr>
    <w:rPr>
      <w:rFonts w:eastAsia="新宋体"/>
      <w:sz w:val="30"/>
      <w:szCs w:val="21"/>
    </w:rPr>
  </w:style>
  <w:style w:type="paragraph" w:styleId="1004" w:customStyle="1">
    <w:name w:val="正文文本1"/>
    <w:basedOn w:val="714"/>
    <w:link w:val="1120"/>
    <w:uiPriority w:val="0"/>
    <w:qFormat/>
    <w:rPr>
      <w:rFonts w:ascii="仿宋_GB2312" w:eastAsia="仿宋_GB2312"/>
      <w:sz w:val="24"/>
    </w:rPr>
  </w:style>
  <w:style w:type="paragraph" w:styleId="1005"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paragraph" w:styleId="1006" w:customStyle="1">
    <w:name w:val="成文日期"/>
    <w:basedOn w:val="714"/>
    <w:uiPriority w:val="0"/>
    <w:qFormat/>
    <w:pPr>
      <w:ind w:right="400" w:firstLine="200"/>
      <w:jc w:val="right"/>
      <w:spacing w:line="570" w:lineRule="exact"/>
    </w:pPr>
    <w:rPr>
      <w:rFonts w:ascii="仿宋_GB2312" w:eastAsia="仿宋_GB2312"/>
      <w:sz w:val="32"/>
    </w:rPr>
  </w:style>
  <w:style w:type="paragraph" w:styleId="1007" w:customStyle="1">
    <w:name w:val="Footer1"/>
    <w:basedOn w:val="714"/>
    <w:uiPriority w:val="0"/>
    <w:qFormat/>
    <w:pPr>
      <w:tabs>
        <w:tab w:val="center" w:pos="4153" w:leader="none"/>
        <w:tab w:val="right" w:pos="8306" w:leader="none"/>
      </w:tabs>
    </w:pPr>
    <w:rPr>
      <w:sz w:val="18"/>
      <w:szCs w:val="18"/>
    </w:rPr>
  </w:style>
  <w:style w:type="paragraph" w:styleId="1008" w:customStyle="1">
    <w:name w:val="正文文本缩进 21"/>
    <w:basedOn w:val="714"/>
    <w:uiPriority w:val="0"/>
    <w:qFormat/>
    <w:pPr>
      <w:ind w:left="420"/>
      <w:spacing w:after="120" w:line="480" w:lineRule="auto"/>
    </w:pPr>
  </w:style>
  <w:style w:type="paragraph" w:styleId="1009" w:customStyle="1">
    <w:name w:val="style4"/>
    <w:basedOn w:val="714"/>
    <w:next w:val="1010"/>
    <w:uiPriority w:val="0"/>
    <w:qFormat/>
    <w:pPr>
      <w:spacing w:before="280" w:after="280"/>
      <w:widowControl/>
    </w:pPr>
    <w:rPr>
      <w:rFonts w:ascii="宋体"/>
      <w:sz w:val="18"/>
    </w:rPr>
  </w:style>
  <w:style w:type="paragraph" w:styleId="1010" w:customStyle="1">
    <w:name w:val="2"/>
    <w:next w:val="714"/>
    <w:uiPriority w:val="99"/>
    <w:qFormat/>
    <w:pPr>
      <w:jc w:val="both"/>
      <w:widowControl w:val="off"/>
    </w:pPr>
    <w:rPr>
      <w:rFonts w:ascii="Times New Roman" w:hAnsi="Times New Roman" w:eastAsia="宋体" w:cs="Times New Roman"/>
      <w:sz w:val="21"/>
      <w:szCs w:val="21"/>
      <w:lang w:val="en-US" w:eastAsia="zh-CN" w:bidi="ar-SA"/>
    </w:rPr>
  </w:style>
  <w:style w:type="character" w:styleId="1011" w:customStyle="1">
    <w:name w:val="font91"/>
    <w:basedOn w:val="935"/>
    <w:uiPriority w:val="0"/>
    <w:qFormat/>
    <w:rPr>
      <w:rFonts w:hint="eastAsia" w:ascii="宋体" w:hAnsi="宋体" w:eastAsia="宋体" w:cs="宋体"/>
      <w:color w:val="000000"/>
      <w:sz w:val="19"/>
      <w:szCs w:val="19"/>
      <w:u w:val="single"/>
    </w:rPr>
  </w:style>
  <w:style w:type="character" w:styleId="1012" w:customStyle="1">
    <w:name w:val="font112"/>
    <w:basedOn w:val="935"/>
    <w:uiPriority w:val="0"/>
    <w:qFormat/>
    <w:rPr>
      <w:rFonts w:hint="eastAsia" w:ascii="宋体" w:hAnsi="宋体" w:eastAsia="宋体" w:cs="宋体"/>
      <w:color w:val="000000"/>
      <w:sz w:val="12"/>
      <w:szCs w:val="12"/>
      <w:u w:val="none"/>
    </w:rPr>
  </w:style>
  <w:style w:type="character" w:styleId="1013" w:customStyle="1">
    <w:name w:val="font121"/>
    <w:basedOn w:val="935"/>
    <w:uiPriority w:val="0"/>
    <w:qFormat/>
    <w:rPr>
      <w:rFonts w:hint="eastAsia" w:ascii="宋体" w:hAnsi="宋体" w:eastAsia="宋体" w:cs="宋体"/>
      <w:color w:val="000000"/>
      <w:sz w:val="12"/>
      <w:szCs w:val="12"/>
      <w:u w:val="none"/>
    </w:rPr>
  </w:style>
  <w:style w:type="character" w:styleId="1014" w:customStyle="1">
    <w:name w:val="font161"/>
    <w:basedOn w:val="935"/>
    <w:uiPriority w:val="0"/>
    <w:qFormat/>
    <w:rPr>
      <w:rFonts w:hint="eastAsia" w:ascii="宋体" w:hAnsi="宋体" w:eastAsia="宋体" w:cs="宋体"/>
      <w:color w:val="000000"/>
      <w:sz w:val="12"/>
      <w:szCs w:val="12"/>
      <w:u w:val="none"/>
    </w:rPr>
  </w:style>
  <w:style w:type="paragraph" w:styleId="101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character" w:styleId="1016" w:customStyle="1">
    <w:name w:val="要点1"/>
    <w:basedOn w:val="935"/>
    <w:uiPriority w:val="0"/>
    <w:qFormat/>
    <w:rPr>
      <w:b/>
      <w:bCs/>
    </w:rPr>
  </w:style>
  <w:style w:type="character" w:styleId="1017" w:customStyle="1">
    <w:name w:val="font31"/>
    <w:basedOn w:val="724"/>
    <w:uiPriority w:val="0"/>
    <w:qFormat/>
    <w:rPr>
      <w:rFonts w:hint="eastAsia" w:ascii="宋体" w:hAnsi="宋体" w:eastAsia="宋体" w:cs="宋体"/>
      <w:color w:val="ff0000"/>
      <w:sz w:val="20"/>
      <w:szCs w:val="20"/>
      <w:u w:val="none"/>
    </w:rPr>
  </w:style>
  <w:style w:type="paragraph" w:styleId="1018" w:customStyle="1">
    <w:name w:val="正文（缩进）"/>
    <w:basedOn w:val="714"/>
    <w:uiPriority w:val="0"/>
    <w:qFormat/>
    <w:pPr>
      <w:ind w:firstLine="480"/>
    </w:pPr>
  </w:style>
  <w:style w:type="character" w:styleId="1019" w:customStyle="1">
    <w:name w:val="正文文本 字符"/>
    <w:basedOn w:val="724"/>
    <w:link w:val="726"/>
    <w:uiPriority w:val="0"/>
    <w:qFormat/>
    <w:rPr>
      <w:rFonts w:hint="default" w:ascii="Times New Roman" w:hAnsi="Times New Roman" w:eastAsia="楷体_GB2312" w:cs="Times New Roman"/>
      <w:sz w:val="26"/>
      <w:szCs w:val="24"/>
    </w:rPr>
  </w:style>
  <w:style w:type="character" w:styleId="1020" w:customStyle="1">
    <w:name w:val="标题 4 字符"/>
    <w:link w:val="1003"/>
    <w:uiPriority w:val="9"/>
    <w:qFormat/>
    <w:rPr>
      <w:rFonts w:eastAsia="新宋体"/>
      <w:sz w:val="30"/>
      <w:szCs w:val="21"/>
    </w:rPr>
  </w:style>
  <w:style w:type="character" w:styleId="1021" w:customStyle="1">
    <w:name w:val="正文文本缩进 字符"/>
    <w:basedOn w:val="724"/>
    <w:link w:val="733"/>
    <w:uiPriority w:val="99"/>
    <w:semiHidden/>
    <w:qFormat/>
    <w:rPr>
      <w:sz w:val="21"/>
    </w:rPr>
  </w:style>
  <w:style w:type="character" w:styleId="1022" w:customStyle="1">
    <w:name w:val="正文首行缩进 2 字符"/>
    <w:basedOn w:val="1021"/>
    <w:link w:val="753"/>
    <w:uiPriority w:val="99"/>
    <w:semiHidden/>
    <w:qFormat/>
    <w:rPr>
      <w:sz w:val="21"/>
    </w:rPr>
  </w:style>
  <w:style w:type="paragraph" w:styleId="1023" w:customStyle="1">
    <w:name w:val="Char Char Char Char1"/>
    <w:basedOn w:val="731"/>
    <w:uiPriority w:val="0"/>
    <w:qFormat/>
    <w:pPr>
      <w:shd w:val="clear" w:color="auto" w:fill="000080"/>
    </w:pPr>
    <w:rPr>
      <w:rFonts w:ascii="Tahoma" w:hAnsi="Tahoma" w:eastAsia="宋体"/>
      <w:sz w:val="24"/>
      <w:szCs w:val="24"/>
    </w:rPr>
  </w:style>
  <w:style w:type="character" w:styleId="1024" w:customStyle="1">
    <w:name w:val="文档结构图 字符"/>
    <w:basedOn w:val="724"/>
    <w:link w:val="731"/>
    <w:uiPriority w:val="99"/>
    <w:semiHidden/>
    <w:qFormat/>
    <w:rPr>
      <w:rFonts w:ascii="Microsoft YaHei UI" w:eastAsia="Microsoft YaHei UI"/>
      <w:sz w:val="18"/>
      <w:szCs w:val="18"/>
    </w:rPr>
  </w:style>
  <w:style w:type="character" w:styleId="1025" w:customStyle="1">
    <w:name w:val="custom-tag-placeholder-class"/>
    <w:basedOn w:val="724"/>
    <w:uiPriority w:val="0"/>
    <w:qFormat/>
  </w:style>
  <w:style w:type="character" w:styleId="1026" w:customStyle="1">
    <w:name w:val="批注文字 字符"/>
    <w:basedOn w:val="724"/>
    <w:link w:val="732"/>
    <w:uiPriority w:val="99"/>
    <w:semiHidden/>
    <w:qFormat/>
    <w:rPr>
      <w:sz w:val="21"/>
    </w:rPr>
  </w:style>
  <w:style w:type="character" w:styleId="1027" w:customStyle="1">
    <w:name w:val="批注主题 字符"/>
    <w:basedOn w:val="1026"/>
    <w:link w:val="752"/>
    <w:uiPriority w:val="99"/>
    <w:semiHidden/>
    <w:qFormat/>
    <w:rPr>
      <w:b/>
      <w:bCs/>
      <w:sz w:val="21"/>
    </w:rPr>
  </w:style>
  <w:style w:type="paragraph" w:styleId="1028" w:customStyle="1">
    <w:name w:val="段"/>
    <w:next w:val="714"/>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029" w:customStyle="1">
    <w:name w:val="未处理的提及1"/>
    <w:basedOn w:val="724"/>
    <w:uiPriority w:val="99"/>
    <w:unhideWhenUsed/>
    <w:qFormat/>
    <w:rPr>
      <w:color w:val="605e5c"/>
      <w:shd w:val="clear" w:color="auto" w:fill="e1dfdd"/>
    </w:rPr>
  </w:style>
  <w:style w:type="paragraph" w:styleId="1030" w:customStyle="1">
    <w:name w:val="msonormal"/>
    <w:basedOn w:val="714"/>
    <w:uiPriority w:val="0"/>
    <w:qFormat/>
    <w:pPr>
      <w:jc w:val="left"/>
      <w:spacing w:before="100" w:beforeAutospacing="1" w:after="100" w:afterAutospacing="1"/>
      <w:widowControl/>
    </w:pPr>
    <w:rPr>
      <w:rFonts w:ascii="宋体" w:hAnsi="宋体" w:cs="宋体"/>
      <w:sz w:val="24"/>
      <w:szCs w:val="24"/>
    </w:rPr>
  </w:style>
  <w:style w:type="paragraph" w:styleId="1031" w:customStyle="1">
    <w:name w:val="xl65"/>
    <w:basedOn w:val="714"/>
    <w:uiPriority w:val="0"/>
    <w:qFormat/>
    <w:pPr>
      <w:jc w:val="center"/>
      <w:spacing w:before="100" w:beforeAutospacing="1" w:after="100" w:afterAutospacing="1"/>
      <w:widowControl/>
    </w:pPr>
    <w:rPr>
      <w:rFonts w:ascii="宋体" w:hAnsi="宋体" w:cs="宋体"/>
      <w:sz w:val="24"/>
      <w:szCs w:val="24"/>
    </w:rPr>
  </w:style>
  <w:style w:type="paragraph" w:styleId="1032" w:customStyle="1">
    <w:name w:val="xl66"/>
    <w:basedOn w:val="714"/>
    <w:uiPriority w:val="0"/>
    <w:qFormat/>
    <w:pPr>
      <w:jc w:val="left"/>
      <w:spacing w:before="100" w:beforeAutospacing="1" w:after="100" w:afterAutospacing="1"/>
      <w:widowControl/>
    </w:pPr>
    <w:rPr>
      <w:rFonts w:ascii="宋体" w:hAnsi="宋体" w:cs="宋体"/>
      <w:sz w:val="24"/>
      <w:szCs w:val="24"/>
    </w:rPr>
  </w:style>
  <w:style w:type="paragraph" w:styleId="1033" w:customStyle="1">
    <w:name w:val="xl67"/>
    <w:basedOn w:val="714"/>
    <w:uiPriority w:val="0"/>
    <w:qFormat/>
    <w:pPr>
      <w:jc w:val="center"/>
      <w:spacing w:before="100" w:beforeAutospacing="1" w:after="100" w:afterAutospacing="1"/>
      <w:shd w:val="clear" w:color="000000" w:fill="ffffff"/>
      <w:widowControl/>
      <w:pBdr>
        <w:top w:val="single" w:color="000000" w:sz="4" w:space="0"/>
        <w:left w:val="single" w:color="auto" w:sz="4" w:space="0"/>
        <w:bottom w:val="single" w:color="auto" w:sz="4" w:space="0"/>
        <w:right w:val="single" w:color="auto" w:sz="4" w:space="0"/>
      </w:pBdr>
    </w:pPr>
    <w:rPr>
      <w:rFonts w:ascii="黑体" w:hAnsi="黑体" w:eastAsia="黑体" w:cs="宋体"/>
      <w:b/>
      <w:bCs/>
      <w:color w:val="000000"/>
      <w:sz w:val="18"/>
      <w:szCs w:val="18"/>
    </w:rPr>
  </w:style>
  <w:style w:type="paragraph" w:styleId="1034" w:customStyle="1">
    <w:name w:val="xl68"/>
    <w:basedOn w:val="714"/>
    <w:uiPriority w:val="0"/>
    <w:qFormat/>
    <w:pPr>
      <w:jc w:val="center"/>
      <w:spacing w:before="100" w:beforeAutospacing="1" w:after="100" w:afterAutospacing="1"/>
      <w:shd w:val="clear" w:color="000000" w:fill="ffffff"/>
      <w:widowControl/>
      <w:pBdr>
        <w:top w:val="single" w:color="000000" w:sz="4" w:space="0"/>
        <w:left w:val="single" w:color="auto" w:sz="4" w:space="0"/>
        <w:bottom w:val="single" w:color="auto" w:sz="4" w:space="0"/>
        <w:right w:val="single" w:color="000000" w:sz="4" w:space="0"/>
      </w:pBdr>
    </w:pPr>
    <w:rPr>
      <w:rFonts w:ascii="黑体" w:hAnsi="黑体" w:eastAsia="黑体" w:cs="宋体"/>
      <w:b/>
      <w:bCs/>
      <w:color w:val="000000"/>
      <w:sz w:val="18"/>
      <w:szCs w:val="18"/>
    </w:rPr>
  </w:style>
  <w:style w:type="paragraph" w:styleId="1035" w:customStyle="1">
    <w:name w:val="xl69"/>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36" w:customStyle="1">
    <w:name w:val="xl70"/>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宋体" w:hAnsi="宋体" w:cs="宋体"/>
      <w:color w:val="000000"/>
      <w:sz w:val="18"/>
      <w:szCs w:val="18"/>
    </w:rPr>
  </w:style>
  <w:style w:type="paragraph" w:styleId="1037" w:customStyle="1">
    <w:name w:val="xl71"/>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38" w:customStyle="1">
    <w:name w:val="xl72"/>
    <w:basedOn w:val="714"/>
    <w:uiPriority w:val="0"/>
    <w:qFormat/>
    <w:pPr>
      <w:spacing w:before="100" w:beforeAutospacing="1" w:after="100" w:afterAutospacing="1"/>
      <w:widowControl/>
    </w:pPr>
    <w:rPr>
      <w:rFonts w:ascii="宋体" w:hAnsi="宋体" w:cs="宋体"/>
      <w:color w:val="000000"/>
      <w:sz w:val="24"/>
      <w:szCs w:val="24"/>
    </w:rPr>
  </w:style>
  <w:style w:type="paragraph" w:styleId="1039" w:customStyle="1">
    <w:name w:val="xl73"/>
    <w:basedOn w:val="714"/>
    <w:uiPriority w:val="0"/>
    <w:qFormat/>
    <w:pPr>
      <w:jc w:val="center"/>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宋体" w:hAnsi="宋体" w:cs="宋体"/>
      <w:color w:val="000000"/>
      <w:sz w:val="18"/>
      <w:szCs w:val="18"/>
    </w:rPr>
  </w:style>
  <w:style w:type="paragraph" w:styleId="1040" w:customStyle="1">
    <w:name w:val="xl74"/>
    <w:basedOn w:val="714"/>
    <w:uiPriority w:val="0"/>
    <w:qFormat/>
    <w:pPr>
      <w:jc w:val="lef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宋体" w:hAnsi="宋体" w:cs="宋体"/>
      <w:color w:val="000000"/>
      <w:sz w:val="18"/>
      <w:szCs w:val="18"/>
    </w:rPr>
  </w:style>
  <w:style w:type="paragraph" w:styleId="1041" w:customStyle="1">
    <w:name w:val="xl75"/>
    <w:basedOn w:val="714"/>
    <w:uiPriority w:val="0"/>
    <w:qFormat/>
    <w:pPr>
      <w:jc w:val="center"/>
      <w:spacing w:before="100" w:beforeAutospacing="1" w:after="100" w:afterAutospacing="1"/>
      <w:widowControl/>
      <w:pBdr>
        <w:top w:val="single" w:color="auto" w:sz="4" w:space="0"/>
        <w:left w:val="single" w:color="auto" w:sz="4" w:space="0"/>
        <w:bottom w:val="single" w:color="000000" w:sz="4" w:space="0"/>
        <w:right w:val="single" w:color="000000" w:sz="4" w:space="0"/>
      </w:pBdr>
    </w:pPr>
    <w:rPr>
      <w:rFonts w:ascii="宋体" w:hAnsi="宋体" w:cs="宋体"/>
      <w:color w:val="000000"/>
      <w:sz w:val="18"/>
      <w:szCs w:val="18"/>
    </w:rPr>
  </w:style>
  <w:style w:type="paragraph" w:styleId="1042" w:customStyle="1">
    <w:name w:val="xl76"/>
    <w:basedOn w:val="71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043" w:customStyle="1">
    <w:name w:val="xl7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4" w:customStyle="1">
    <w:name w:val="xl7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5" w:customStyle="1">
    <w:name w:val="xl79"/>
    <w:basedOn w:val="714"/>
    <w:uiPriority w:val="0"/>
    <w:qFormat/>
    <w:pPr>
      <w:jc w:val="center"/>
      <w:spacing w:before="100" w:beforeAutospacing="1" w:after="100" w:afterAutospacing="1"/>
      <w:shd w:val="clear" w:color="000000" w:fill="ffffff"/>
      <w:widowControl/>
      <w:pBdr>
        <w:top w:val="single" w:color="000000" w:sz="4" w:space="0"/>
        <w:left w:val="single" w:color="auto" w:sz="4" w:space="0"/>
        <w:bottom w:val="single" w:color="auto" w:sz="4" w:space="0"/>
      </w:pBdr>
    </w:pPr>
    <w:rPr>
      <w:rFonts w:ascii="黑体" w:hAnsi="黑体" w:eastAsia="黑体" w:cs="宋体"/>
      <w:b/>
      <w:bCs/>
      <w:color w:val="000000"/>
      <w:sz w:val="18"/>
      <w:szCs w:val="18"/>
    </w:rPr>
  </w:style>
  <w:style w:type="paragraph" w:styleId="1046" w:customStyle="1">
    <w:name w:val="xl80"/>
    <w:basedOn w:val="714"/>
    <w:uiPriority w:val="0"/>
    <w:qFormat/>
    <w:pPr>
      <w:jc w:val="center"/>
      <w:spacing w:before="100" w:beforeAutospacing="1" w:after="100" w:afterAutospacing="1"/>
      <w:shd w:val="clear" w:color="000000" w:fill="ffffff"/>
      <w:widowControl/>
      <w:pBdr>
        <w:top w:val="single" w:color="000000" w:sz="4" w:space="0"/>
        <w:bottom w:val="single" w:color="auto" w:sz="4" w:space="0"/>
      </w:pBdr>
    </w:pPr>
    <w:rPr>
      <w:rFonts w:ascii="黑体" w:hAnsi="黑体" w:eastAsia="黑体" w:cs="宋体"/>
      <w:b/>
      <w:bCs/>
      <w:color w:val="000000"/>
      <w:sz w:val="18"/>
      <w:szCs w:val="18"/>
    </w:rPr>
  </w:style>
  <w:style w:type="paragraph" w:styleId="1047" w:customStyle="1">
    <w:name w:val="xl81"/>
    <w:basedOn w:val="714"/>
    <w:uiPriority w:val="0"/>
    <w:qFormat/>
    <w:pPr>
      <w:jc w:val="center"/>
      <w:spacing w:before="100" w:beforeAutospacing="1" w:after="100" w:afterAutospacing="1"/>
      <w:shd w:val="clear" w:color="000000" w:fill="ffffff"/>
      <w:widowControl/>
      <w:pBdr>
        <w:top w:val="single" w:color="000000" w:sz="4" w:space="0"/>
        <w:bottom w:val="single" w:color="auto" w:sz="4" w:space="0"/>
        <w:right w:val="single" w:color="000000" w:sz="4" w:space="0"/>
      </w:pBdr>
    </w:pPr>
    <w:rPr>
      <w:rFonts w:ascii="黑体" w:hAnsi="黑体" w:eastAsia="黑体" w:cs="宋体"/>
      <w:b/>
      <w:bCs/>
      <w:color w:val="000000"/>
      <w:sz w:val="18"/>
      <w:szCs w:val="18"/>
    </w:rPr>
  </w:style>
  <w:style w:type="paragraph" w:styleId="1048" w:customStyle="1">
    <w:name w:val="xl82"/>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49" w:customStyle="1">
    <w:name w:val="xl83"/>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宋体" w:hAnsi="宋体" w:cs="宋体"/>
      <w:b/>
      <w:bCs/>
      <w:sz w:val="24"/>
      <w:szCs w:val="24"/>
    </w:rPr>
  </w:style>
  <w:style w:type="table" w:styleId="1050" w:customStyle="1">
    <w:name w:val="网格表 6 彩色11"/>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1" w:customStyle="1">
    <w:name w:val="网格表 7 彩色11"/>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清单表 5 深色11"/>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清单表 6 彩色11"/>
    <w:basedOn w:val="72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4" w:customStyle="1">
    <w:name w:val="清单表 7 彩色11"/>
    <w:basedOn w:val="72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5" w:customStyle="1">
    <w:name w:val="Grid Table 6 Colorful - Accent 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6" w:customStyle="1">
    <w:name w:val="Grid Table 6 Colorful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7" w:customStyle="1">
    <w:name w:val="Grid Table 6 Colorful - Accent 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8" w:customStyle="1">
    <w:name w:val="Grid Table 6 Colorful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9" w:customStyle="1">
    <w:name w:val="Grid Table 7 Colorful - Accent 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0" w:customStyle="1">
    <w:name w:val="Grid Table 7 Colorful - Accent 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1" w:customStyle="1">
    <w:name w:val="Grid Table 7 Colorful - Accent 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2" w:customStyle="1">
    <w:name w:val="Grid Table 7 Colorful - Accent 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List Table 5 Dark - Accent 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6 Colorful - Accent 21"/>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0" w:customStyle="1">
    <w:name w:val="List Table 6 Colorful - Accent 31"/>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1" w:customStyle="1">
    <w:name w:val="List Table 6 Colorful - Accent 41"/>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2" w:customStyle="1">
    <w:name w:val="List Table 6 Colorful - Accent 51"/>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3" w:customStyle="1">
    <w:name w:val="List Table 6 Colorful - Accent 61"/>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4" w:customStyle="1">
    <w:name w:val="List Table 7 Colorful - Accent 21"/>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5" w:customStyle="1">
    <w:name w:val="List Table 7 Colorful - Accent 31"/>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6" w:customStyle="1">
    <w:name w:val="List Table 7 Colorful - Accent 4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7" w:customStyle="1">
    <w:name w:val="List Table 7 Colorful - Accent 5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8" w:customStyle="1">
    <w:name w:val="List Table 7 Colorful - Accent 6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1079" w:customStyle="1">
    <w:name w:val="TOC 标题11"/>
    <w:basedOn w:val="766"/>
    <w:next w:val="714"/>
    <w:uiPriority w:val="0"/>
    <w:qFormat/>
    <w:pPr>
      <w:spacing w:before="260" w:after="260" w:line="413" w:lineRule="auto"/>
    </w:pPr>
    <w:rPr>
      <w:rFonts w:ascii="宋体" w:hAnsi="宋体"/>
      <w:sz w:val="36"/>
      <w:lang w:val="zh-CN"/>
    </w:rPr>
  </w:style>
  <w:style w:type="character" w:styleId="1080" w:customStyle="1">
    <w:name w:val="未处理的提及11"/>
    <w:basedOn w:val="724"/>
    <w:uiPriority w:val="99"/>
    <w:unhideWhenUsed/>
    <w:qFormat/>
    <w:rPr>
      <w:color w:val="605e5c"/>
      <w:shd w:val="clear" w:color="auto" w:fill="e1dfdd"/>
    </w:rPr>
  </w:style>
  <w:style w:type="table" w:styleId="1081" w:customStyle="1">
    <w:name w:val="网格表 6 彩色12"/>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2" w:customStyle="1">
    <w:name w:val="网格表 7 彩色12"/>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3" w:customStyle="1">
    <w:name w:val="清单表 5 深色12"/>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清单表 6 彩色12"/>
    <w:basedOn w:val="72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5" w:customStyle="1">
    <w:name w:val="清单表 7 彩色12"/>
    <w:basedOn w:val="72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6" w:customStyle="1">
    <w:name w:val="Grid Table 6 Colorful - Accent 1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7" w:customStyle="1">
    <w:name w:val="Grid Table 6 Colorful - Accent 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8" w:customStyle="1">
    <w:name w:val="Grid Table 6 Colorful - Accent 3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89" w:customStyle="1">
    <w:name w:val="Grid Table 6 Colorful - Accent 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0" w:customStyle="1">
    <w:name w:val="Grid Table 7 Colorful - Accent 1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1" w:customStyle="1">
    <w:name w:val="Grid Table 7 Colorful - Accent 2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2" w:customStyle="1">
    <w:name w:val="Grid Table 7 Colorful - Accent 3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3" w:customStyle="1">
    <w:name w:val="Grid Table 7 Colorful - Accent 4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4" w:customStyle="1">
    <w:name w:val="List Table 5 Dark - Accent 1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2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3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4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5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6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6 Colorful - Accent 2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1" w:customStyle="1">
    <w:name w:val="List Table 6 Colorful - Accent 32"/>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2" w:customStyle="1">
    <w:name w:val="List Table 6 Colorful - Accent 42"/>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3" w:customStyle="1">
    <w:name w:val="List Table 6 Colorful - Accent 52"/>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4" w:customStyle="1">
    <w:name w:val="List Table 6 Colorful - Accent 62"/>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5" w:customStyle="1">
    <w:name w:val="List Table 7 Colorful - Accent 2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6" w:customStyle="1">
    <w:name w:val="List Table 7 Colorful - Accent 32"/>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7" w:customStyle="1">
    <w:name w:val="List Table 7 Colorful - Accent 42"/>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8" w:customStyle="1">
    <w:name w:val="List Table 7 Colorful - Accent 52"/>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9" w:customStyle="1">
    <w:name w:val="List Table 7 Colorful - Accent 62"/>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character" w:styleId="1110" w:customStyle="1">
    <w:name w:val="明显强调1"/>
    <w:basedOn w:val="724"/>
    <w:uiPriority w:val="21"/>
    <w:qFormat/>
    <w:rPr>
      <w:i/>
      <w:iCs/>
      <w:color w:val="2f5496"/>
    </w:rPr>
  </w:style>
  <w:style w:type="character" w:styleId="1111" w:customStyle="1">
    <w:name w:val="明显参考1"/>
    <w:basedOn w:val="724"/>
    <w:uiPriority w:val="32"/>
    <w:qFormat/>
    <w:rPr>
      <w:b/>
      <w:bCs/>
      <w:smallCaps/>
      <w:color w:val="2f5496"/>
      <w:spacing w:val="5"/>
    </w:rPr>
  </w:style>
  <w:style w:type="paragraph" w:styleId="1112" w:customStyle="1">
    <w:name w:val="xl63"/>
    <w:basedOn w:val="71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113" w:customStyle="1">
    <w:name w:val="xl6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character" w:styleId="1114" w:customStyle="1">
    <w:name w:val="明显强调2"/>
    <w:basedOn w:val="724"/>
    <w:uiPriority w:val="21"/>
    <w:qFormat/>
    <w:rPr>
      <w:i/>
      <w:iCs/>
      <w:color w:val="4f81bd" w:themeColor="accent1"/>
      <w14:textFill>
        <w14:solidFill>
          <w14:schemeClr w14:val="accent1"/>
        </w14:solidFill>
      </w14:textFill>
    </w:rPr>
  </w:style>
  <w:style w:type="character" w:styleId="1115" w:customStyle="1">
    <w:name w:val="明显参考2"/>
    <w:basedOn w:val="724"/>
    <w:uiPriority w:val="32"/>
    <w:qFormat/>
    <w:rPr>
      <w:b/>
      <w:bCs/>
      <w:smallCaps/>
      <w:color w:val="4f81bd" w:themeColor="accent1"/>
      <w:spacing w:val="5"/>
      <w14:textFill>
        <w14:solidFill>
          <w14:schemeClr w14:val="accent1"/>
        </w14:solidFill>
      </w14:textFill>
    </w:rPr>
  </w:style>
  <w:style w:type="paragraph" w:styleId="1116">
    <w:name w:val="List Paragraph"/>
    <w:basedOn w:val="714"/>
    <w:uiPriority w:val="99"/>
    <w:unhideWhenUsed/>
    <w:qFormat/>
    <w:pPr>
      <w:ind w:firstLine="420"/>
    </w:pPr>
  </w:style>
  <w:style w:type="table" w:styleId="1117" w:customStyle="1">
    <w:name w:val="Table Normal"/>
    <w:uiPriority w:val="0"/>
    <w:semiHidden/>
    <w:unhideWhenUsed/>
    <w:qFormat/>
    <w:tblPr>
      <w:tblCellMar>
        <w:left w:w="0" w:type="dxa"/>
        <w:top w:w="0" w:type="dxa"/>
        <w:right w:w="0" w:type="dxa"/>
        <w:bottom w:w="0" w:type="dxa"/>
      </w:tblCellMar>
    </w:tblPr>
  </w:style>
  <w:style w:type="paragraph" w:styleId="1118" w:customStyle="1">
    <w:name w:val="正文11"/>
    <w:next w:val="1004"/>
    <w:uiPriority w:val="0"/>
    <w:qFormat/>
    <w:pPr>
      <w:jc w:val="both"/>
      <w:widowControl w:val="off"/>
    </w:pPr>
    <w:rPr>
      <w:rFonts w:ascii="Calibri" w:hAnsi="Calibri" w:eastAsia="宋体" w:cs="Times New Roman"/>
      <w:sz w:val="21"/>
      <w:szCs w:val="21"/>
      <w:lang w:val="en-US" w:eastAsia="zh-CN" w:bidi="ar-SA"/>
    </w:rPr>
  </w:style>
  <w:style w:type="character" w:styleId="1119" w:customStyle="1">
    <w:name w:val="正文文本 + 9 pt1"/>
    <w:basedOn w:val="1120"/>
    <w:uiPriority w:val="0"/>
    <w:qFormat/>
    <w:rPr>
      <w:rFonts w:ascii="宋体" w:hAnsi="宋体" w:eastAsia="宋体" w:cs="宋体"/>
      <w:color w:val="000000"/>
      <w:spacing w:val="8"/>
      <w:position w:val="0"/>
      <w:sz w:val="18"/>
      <w:szCs w:val="18"/>
      <w:u w:val="none"/>
      <w:lang w:val="zh-TW"/>
    </w:rPr>
  </w:style>
  <w:style w:type="character" w:styleId="1120" w:customStyle="1">
    <w:name w:val="正文文本_"/>
    <w:basedOn w:val="724"/>
    <w:link w:val="1004"/>
    <w:uiPriority w:val="0"/>
    <w:qFormat/>
    <w:rPr>
      <w:rFonts w:ascii="仿宋_GB2312" w:eastAsia="仿宋_GB2312"/>
      <w:sz w:val="24"/>
    </w:rPr>
  </w:style>
  <w:style w:type="paragraph" w:styleId="1121" w:customStyle="1">
    <w:name w:val="正文文本 (3)"/>
    <w:basedOn w:val="714"/>
    <w:uiPriority w:val="0"/>
    <w:qFormat/>
    <w:pPr>
      <w:spacing w:before="2880" w:line="0" w:lineRule="atLeast"/>
      <w:shd w:val="clear" w:color="auto" w:fill="ffffff"/>
    </w:pPr>
    <w:rPr>
      <w:rFonts w:ascii="宋体" w:hAnsi="宋体" w:cs="宋体"/>
      <w:spacing w:val="8"/>
      <w:sz w:val="18"/>
      <w:szCs w:val="18"/>
    </w:rPr>
  </w:style>
  <w:style w:type="character" w:styleId="1122" w:customStyle="1">
    <w:name w:val="正文文本 + 9 pt2"/>
    <w:basedOn w:val="1120"/>
    <w:uiPriority w:val="0"/>
    <w:qFormat/>
    <w:rPr>
      <w:rFonts w:ascii="宋体" w:hAnsi="宋体" w:eastAsia="宋体" w:cs="宋体"/>
      <w:color w:val="000000"/>
      <w:spacing w:val="4"/>
      <w:position w:val="0"/>
      <w:sz w:val="18"/>
      <w:szCs w:val="18"/>
      <w:u w:val="none"/>
      <w:lang w:val="zh-TW"/>
    </w:rPr>
  </w:style>
  <w:style w:type="numbering" w:styleId="86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陈霞</cp:lastModifiedBy>
  <cp:revision>25</cp:revision>
  <dcterms:created xsi:type="dcterms:W3CDTF">2026-07-28T07:52:00Z</dcterms:created>
  <dcterms:modified xsi:type="dcterms:W3CDTF">2026-09-08T02:30:14Z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03175EB605C64651B664ADC97C4B673D_13</vt:lpwstr>
  </property>
  <property fmtid="{D5CDD505-2E9C-101B-9397-08002B2CF9AE}" pid="4" name="KSOTemplateDocerSaveRecord">
    <vt:lpwstr>eyJoZGlkIjoiNDg1ZmJhNmZhZTdjZGM3MWI3MWIxY2ExZTBhMDg4ZjAiLCJ1c2VySWQiOiIzNDcyMzM4MTEifQ==</vt:lpwstr>
  </property>
</Properties>
</file>