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9EC76">
      <w:pPr>
        <w:jc w:val="center"/>
        <w:rPr>
          <w:rFonts w:ascii="宋体" w:hAnsi="宋体" w:eastAsia="宋体" w:cs="宋体"/>
          <w:sz w:val="36"/>
          <w:szCs w:val="36"/>
        </w:rPr>
      </w:pPr>
      <w:r>
        <w:rPr>
          <w:rFonts w:hint="eastAsia" w:ascii="宋体" w:hAnsi="宋体" w:eastAsia="宋体" w:cs="宋体"/>
          <w:sz w:val="36"/>
          <w:szCs w:val="36"/>
        </w:rPr>
        <w:t>实训大楼1-3层实训室改造项目清单编制说明</w:t>
      </w:r>
    </w:p>
    <w:p w14:paraId="3CC15046">
      <w:pPr>
        <w:jc w:val="center"/>
        <w:rPr>
          <w:rFonts w:ascii="宋体" w:hAnsi="宋体" w:eastAsia="宋体" w:cs="宋体"/>
          <w:sz w:val="36"/>
          <w:szCs w:val="36"/>
        </w:rPr>
      </w:pPr>
      <w:bookmarkStart w:id="1" w:name="_GoBack"/>
      <w:bookmarkEnd w:id="1"/>
    </w:p>
    <w:p w14:paraId="0F0E2510">
      <w:pPr>
        <w:jc w:val="left"/>
        <w:rPr>
          <w:rFonts w:ascii="宋体" w:hAnsi="宋体" w:eastAsia="宋体" w:cs="宋体"/>
          <w:sz w:val="28"/>
          <w:szCs w:val="28"/>
        </w:rPr>
      </w:pPr>
      <w:r>
        <w:rPr>
          <w:rFonts w:hint="eastAsia" w:ascii="宋体" w:hAnsi="宋体" w:eastAsia="宋体" w:cs="宋体"/>
          <w:b/>
          <w:bCs/>
          <w:sz w:val="28"/>
          <w:szCs w:val="28"/>
        </w:rPr>
        <w:t>一、工程概况</w:t>
      </w:r>
      <w:r>
        <w:rPr>
          <w:rFonts w:hint="eastAsia" w:ascii="宋体" w:hAnsi="宋体" w:eastAsia="宋体" w:cs="宋体"/>
          <w:sz w:val="28"/>
          <w:szCs w:val="28"/>
        </w:rPr>
        <w:t xml:space="preserve"> </w:t>
      </w:r>
    </w:p>
    <w:p w14:paraId="2913333A">
      <w:pPr>
        <w:ind w:firstLine="560" w:firstLineChars="200"/>
        <w:jc w:val="left"/>
        <w:rPr>
          <w:rFonts w:ascii="宋体" w:hAnsi="宋体" w:eastAsia="宋体" w:cs="宋体"/>
          <w:sz w:val="28"/>
          <w:szCs w:val="28"/>
        </w:rPr>
      </w:pPr>
      <w:r>
        <w:rPr>
          <w:rFonts w:hint="eastAsia" w:ascii="宋体" w:hAnsi="宋体" w:eastAsia="宋体" w:cs="宋体"/>
          <w:sz w:val="28"/>
          <w:szCs w:val="28"/>
        </w:rPr>
        <w:t>实训大楼1-3层实训室改造项目位于无锡市广石路999号无锡市旅游商贸高等职业技术学校。</w:t>
      </w:r>
    </w:p>
    <w:p w14:paraId="3F2BB96C">
      <w:pPr>
        <w:jc w:val="left"/>
        <w:rPr>
          <w:rFonts w:ascii="宋体" w:hAnsi="宋体" w:eastAsia="宋体" w:cs="宋体"/>
          <w:b/>
          <w:bCs/>
          <w:sz w:val="28"/>
          <w:szCs w:val="28"/>
        </w:rPr>
      </w:pPr>
      <w:r>
        <w:rPr>
          <w:rFonts w:hint="eastAsia" w:ascii="宋体" w:hAnsi="宋体" w:eastAsia="宋体" w:cs="宋体"/>
          <w:b/>
          <w:bCs/>
          <w:sz w:val="28"/>
          <w:szCs w:val="28"/>
        </w:rPr>
        <w:t>二、编制范围</w:t>
      </w:r>
    </w:p>
    <w:p w14:paraId="2171B01F">
      <w:pPr>
        <w:ind w:firstLine="560" w:firstLineChars="200"/>
        <w:jc w:val="left"/>
        <w:rPr>
          <w:rFonts w:ascii="宋体" w:hAnsi="宋体" w:eastAsia="宋体" w:cs="宋体"/>
          <w:sz w:val="28"/>
          <w:szCs w:val="28"/>
        </w:rPr>
      </w:pPr>
      <w:r>
        <w:rPr>
          <w:rFonts w:hint="eastAsia" w:ascii="宋体" w:hAnsi="宋体" w:eastAsia="宋体" w:cs="宋体"/>
          <w:sz w:val="28"/>
          <w:szCs w:val="28"/>
        </w:rPr>
        <w:t>设计图纸范围内的全部内容</w:t>
      </w:r>
      <w:r>
        <w:rPr>
          <w:rFonts w:hint="eastAsia" w:ascii="宋体" w:hAnsi="宋体" w:eastAsia="宋体" w:cs="宋体"/>
          <w:sz w:val="28"/>
          <w:szCs w:val="28"/>
          <w:highlight w:val="none"/>
        </w:rPr>
        <w:t>:实训大楼1-3层实训室改造项目室内装饰改造、电气改造、给排水改造、消防喷淋改造等，</w:t>
      </w:r>
      <w:r>
        <w:rPr>
          <w:rFonts w:hint="eastAsia" w:ascii="宋体" w:hAnsi="宋体" w:eastAsia="宋体" w:cs="宋体"/>
          <w:sz w:val="28"/>
          <w:szCs w:val="28"/>
        </w:rPr>
        <w:t>具体内容详见工程量清单。</w:t>
      </w:r>
    </w:p>
    <w:p w14:paraId="72B4621A">
      <w:pPr>
        <w:jc w:val="left"/>
        <w:rPr>
          <w:rFonts w:ascii="宋体" w:hAnsi="宋体" w:eastAsia="宋体" w:cs="宋体"/>
          <w:b/>
          <w:bCs/>
          <w:sz w:val="28"/>
          <w:szCs w:val="28"/>
        </w:rPr>
      </w:pPr>
      <w:r>
        <w:rPr>
          <w:rFonts w:hint="eastAsia" w:ascii="宋体" w:hAnsi="宋体" w:eastAsia="宋体" w:cs="宋体"/>
          <w:b/>
          <w:bCs/>
          <w:sz w:val="28"/>
          <w:szCs w:val="28"/>
        </w:rPr>
        <w:t>三、编制依据</w:t>
      </w:r>
    </w:p>
    <w:p w14:paraId="1B734284">
      <w:pPr>
        <w:jc w:val="left"/>
        <w:rPr>
          <w:rFonts w:ascii="宋体" w:hAnsi="宋体" w:eastAsia="宋体" w:cs="宋体"/>
          <w:sz w:val="28"/>
          <w:szCs w:val="28"/>
        </w:rPr>
      </w:pPr>
      <w:r>
        <w:rPr>
          <w:rFonts w:hint="eastAsia" w:ascii="宋体" w:hAnsi="宋体" w:eastAsia="宋体" w:cs="宋体"/>
          <w:sz w:val="28"/>
          <w:szCs w:val="28"/>
        </w:rPr>
        <w:t>1、本工程招标文件、甲方提供的设计图纸及相关规范图集。</w:t>
      </w:r>
    </w:p>
    <w:p w14:paraId="5C7EE93C">
      <w:pPr>
        <w:jc w:val="left"/>
        <w:rPr>
          <w:rFonts w:ascii="宋体" w:hAnsi="宋体" w:eastAsia="宋体" w:cs="宋体"/>
          <w:sz w:val="28"/>
          <w:szCs w:val="28"/>
        </w:rPr>
      </w:pPr>
      <w:r>
        <w:rPr>
          <w:rFonts w:hint="eastAsia" w:ascii="宋体" w:hAnsi="宋体" w:eastAsia="宋体" w:cs="宋体"/>
          <w:sz w:val="28"/>
          <w:szCs w:val="28"/>
        </w:rPr>
        <w:t>2、《建设工程工程量清单计价标准》（GB/T 50500-2024）、《房屋建筑与装饰工程工程量计算标准》（GB/T 50854-2024）、《通用安装工程工程量计算标准》（GB/T 50856-2024）、《江苏省建筑与装饰工程消耗量》（2026版）、《江苏省通用安装工程消耗量》（2026版）、《江苏省建设工程费用参考》（2026）以及其它相关文件。</w:t>
      </w:r>
    </w:p>
    <w:p w14:paraId="786FE93E">
      <w:pPr>
        <w:jc w:val="left"/>
        <w:rPr>
          <w:rFonts w:ascii="宋体" w:hAnsi="宋体" w:eastAsia="宋体" w:cs="宋体"/>
          <w:sz w:val="28"/>
          <w:szCs w:val="28"/>
        </w:rPr>
      </w:pPr>
      <w:r>
        <w:rPr>
          <w:rFonts w:hint="eastAsia" w:ascii="宋体" w:hAnsi="宋体" w:eastAsia="宋体" w:cs="宋体"/>
          <w:sz w:val="28"/>
          <w:szCs w:val="28"/>
        </w:rPr>
        <w:t>3、苏建价〔2016〕154 号文《省住房城乡建设厅关于建筑业实施营改增后江苏省建设工程计价依据调整的通知》及苏建函价【2018】298号增值税计价政策调整的通知、苏建函价(2019)178号文《省住房城乡建设厅关于调整建设工程计价增值税税率的通知》以及其它相关文件。</w:t>
      </w:r>
    </w:p>
    <w:p w14:paraId="752217EA">
      <w:pPr>
        <w:jc w:val="left"/>
        <w:rPr>
          <w:rFonts w:ascii="宋体" w:hAnsi="宋体" w:eastAsia="宋体" w:cs="宋体"/>
          <w:sz w:val="28"/>
          <w:szCs w:val="28"/>
        </w:rPr>
      </w:pPr>
      <w:r>
        <w:rPr>
          <w:rFonts w:hint="eastAsia" w:ascii="宋体" w:hAnsi="宋体" w:eastAsia="宋体" w:cs="宋体"/>
          <w:b/>
          <w:bCs/>
          <w:sz w:val="28"/>
          <w:szCs w:val="28"/>
        </w:rPr>
        <w:t>四、工程质量</w:t>
      </w:r>
      <w:r>
        <w:rPr>
          <w:rFonts w:hint="eastAsia" w:ascii="宋体" w:hAnsi="宋体" w:eastAsia="宋体" w:cs="宋体"/>
          <w:sz w:val="28"/>
          <w:szCs w:val="28"/>
        </w:rPr>
        <w:t>：100%合格，一次性验收通过。</w:t>
      </w:r>
    </w:p>
    <w:p w14:paraId="46A00391">
      <w:pPr>
        <w:autoSpaceDE w:val="0"/>
        <w:autoSpaceDN w:val="0"/>
        <w:adjustRightInd w:val="0"/>
        <w:snapToGrid w:val="0"/>
        <w:spacing w:line="360" w:lineRule="auto"/>
        <w:rPr>
          <w:rFonts w:ascii="宋体" w:hAnsi="宋体" w:eastAsia="宋体" w:cs="宋体"/>
          <w:b/>
          <w:bCs/>
          <w:sz w:val="28"/>
          <w:szCs w:val="28"/>
        </w:rPr>
      </w:pPr>
      <w:r>
        <w:rPr>
          <w:rFonts w:hint="eastAsia" w:ascii="宋体" w:hAnsi="宋体" w:eastAsia="宋体" w:cs="宋体"/>
          <w:b/>
          <w:bCs/>
          <w:sz w:val="28"/>
          <w:szCs w:val="28"/>
        </w:rPr>
        <w:t>五、专业工程暂估价、暂列金额</w:t>
      </w:r>
    </w:p>
    <w:p w14:paraId="40294C7A">
      <w:pPr>
        <w:autoSpaceDE w:val="0"/>
        <w:autoSpaceDN w:val="0"/>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本项目暂列金额：无。</w:t>
      </w:r>
    </w:p>
    <w:p w14:paraId="4833D6EB">
      <w:pPr>
        <w:autoSpaceDE w:val="0"/>
        <w:autoSpaceDN w:val="0"/>
        <w:adjustRightInd w:val="0"/>
        <w:snapToGrid w:val="0"/>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本项目</w:t>
      </w:r>
      <w:r>
        <w:rPr>
          <w:rFonts w:hint="eastAsia" w:ascii="宋体" w:hAnsi="宋体" w:eastAsia="宋体" w:cs="宋体"/>
          <w:sz w:val="28"/>
          <w:szCs w:val="28"/>
          <w:lang w:eastAsia="zh-CN"/>
        </w:rPr>
        <w:t>专业</w:t>
      </w:r>
      <w:r>
        <w:rPr>
          <w:rFonts w:hint="eastAsia" w:ascii="宋体" w:hAnsi="宋体" w:eastAsia="宋体" w:cs="宋体"/>
          <w:sz w:val="28"/>
          <w:szCs w:val="28"/>
        </w:rPr>
        <w:t>工程暂估价：燃气工程 686000元（含税价）。</w:t>
      </w:r>
    </w:p>
    <w:p w14:paraId="08C1C41C">
      <w:pPr>
        <w:numPr>
          <w:ilvl w:val="0"/>
          <w:numId w:val="1"/>
        </w:numPr>
        <w:autoSpaceDE w:val="0"/>
        <w:autoSpaceDN w:val="0"/>
        <w:adjustRightInd w:val="0"/>
        <w:snapToGrid w:val="0"/>
        <w:spacing w:line="360" w:lineRule="auto"/>
        <w:rPr>
          <w:rFonts w:ascii="宋体" w:hAnsi="宋体" w:eastAsia="宋体" w:cs="宋体"/>
          <w:b/>
          <w:bCs/>
          <w:sz w:val="28"/>
          <w:szCs w:val="28"/>
        </w:rPr>
      </w:pPr>
      <w:r>
        <w:rPr>
          <w:rFonts w:hint="eastAsia" w:ascii="宋体" w:hAnsi="宋体" w:eastAsia="宋体" w:cs="宋体"/>
          <w:b/>
          <w:bCs/>
          <w:sz w:val="28"/>
          <w:szCs w:val="28"/>
        </w:rPr>
        <w:t>其他需说明的问题</w:t>
      </w:r>
    </w:p>
    <w:p w14:paraId="091AA6D4">
      <w:pPr>
        <w:autoSpaceDE w:val="0"/>
        <w:autoSpaceDN w:val="0"/>
        <w:adjustRightInd w:val="0"/>
        <w:snapToGrid w:val="0"/>
        <w:spacing w:line="360" w:lineRule="auto"/>
        <w:rPr>
          <w:rFonts w:ascii="宋体" w:hAnsi="宋体" w:eastAsia="宋体" w:cs="宋体"/>
          <w:sz w:val="28"/>
          <w:szCs w:val="28"/>
        </w:rPr>
      </w:pPr>
      <w:r>
        <w:rPr>
          <w:rFonts w:hint="eastAsia" w:ascii="宋体" w:hAnsi="宋体" w:eastAsia="宋体" w:cs="宋体"/>
          <w:sz w:val="28"/>
          <w:szCs w:val="28"/>
        </w:rPr>
        <w:t>1</w:t>
      </w:r>
      <w:r>
        <w:rPr>
          <w:rFonts w:ascii="宋体" w:hAnsi="宋体" w:eastAsia="宋体" w:cs="宋体"/>
          <w:sz w:val="28"/>
          <w:szCs w:val="28"/>
        </w:rPr>
        <w:t>、《江苏省建设工程工程量清单计价项目指引》中列举了各清单项目编码应有的工作内容，如无特殊说明，该工作内容即为工程量清单的工作内容，所有的工作内容所需费用均应包括在投标报价的综合单价内。凡说明了的工作内容均应包括在报价范围中；清单项目特征描述中没有体现完全的，施工过程中又必须发生的工作内容所需的费用结合相应的施工图应包括在投标报价的综合单价内。</w:t>
      </w:r>
    </w:p>
    <w:p w14:paraId="63013001">
      <w:pPr>
        <w:autoSpaceDE w:val="0"/>
        <w:autoSpaceDN w:val="0"/>
        <w:adjustRightInd w:val="0"/>
        <w:snapToGrid w:val="0"/>
        <w:spacing w:line="360" w:lineRule="auto"/>
        <w:rPr>
          <w:rFonts w:ascii="宋体" w:hAnsi="宋体" w:eastAsia="宋体" w:cs="宋体"/>
          <w:sz w:val="28"/>
          <w:szCs w:val="28"/>
        </w:rPr>
      </w:pPr>
      <w:r>
        <w:rPr>
          <w:rFonts w:hint="eastAsia" w:ascii="宋体" w:hAnsi="宋体" w:eastAsia="宋体" w:cs="宋体"/>
          <w:sz w:val="28"/>
          <w:szCs w:val="28"/>
        </w:rPr>
        <w:t>2</w:t>
      </w:r>
      <w:r>
        <w:rPr>
          <w:rFonts w:ascii="宋体" w:hAnsi="宋体" w:eastAsia="宋体" w:cs="宋体"/>
          <w:sz w:val="28"/>
          <w:szCs w:val="28"/>
        </w:rPr>
        <w:t>、投标人可根据施工组织设计采取的方案相应增加措施项目。设计图纸提供的施工方案仅为参考方案，投标人在报价时应结合本单位的具体情况，充分考虑各自实际的施工组织设计、施工方案及技术措施，据实报价，一旦中标，除非设计图纸发生重大变更导致施工方案变化，投标报价的施工方案费用均不再调整，因现场实际方案与投标报价时方案不一致引起的费用改变，也不再另计。</w:t>
      </w:r>
    </w:p>
    <w:p w14:paraId="74DC96A1">
      <w:pPr>
        <w:spacing w:line="360" w:lineRule="auto"/>
        <w:jc w:val="left"/>
        <w:rPr>
          <w:rFonts w:ascii="宋体" w:hAnsi="宋体" w:eastAsia="宋体" w:cs="宋体"/>
          <w:sz w:val="28"/>
          <w:szCs w:val="28"/>
        </w:rPr>
      </w:pPr>
      <w:r>
        <w:rPr>
          <w:rFonts w:hint="eastAsia" w:ascii="宋体" w:hAnsi="宋体" w:eastAsia="宋体" w:cs="宋体"/>
          <w:sz w:val="28"/>
          <w:szCs w:val="28"/>
        </w:rPr>
        <w:t>3、施工单位自行勘察现场情况，涉及二次搬运、垂直运输费等措施，都应列入投标报价内，结算不再调整。</w:t>
      </w:r>
    </w:p>
    <w:p w14:paraId="062D88EA">
      <w:pPr>
        <w:spacing w:line="360" w:lineRule="auto"/>
        <w:jc w:val="left"/>
        <w:rPr>
          <w:rFonts w:ascii="宋体" w:hAnsi="宋体" w:eastAsia="宋体" w:cs="宋体"/>
          <w:sz w:val="28"/>
          <w:szCs w:val="28"/>
        </w:rPr>
      </w:pPr>
      <w:r>
        <w:rPr>
          <w:rFonts w:hint="eastAsia" w:ascii="宋体" w:hAnsi="宋体" w:eastAsia="宋体" w:cs="宋体"/>
          <w:sz w:val="28"/>
          <w:szCs w:val="28"/>
        </w:rPr>
        <w:t>4、施工时满足环境保护要求，安全文明施工符合相关部门要求，充分考虑扬尘、淤泥、建筑垃圾、生活垃圾、杂填土弃运方式、交通路线及堆放场地等。</w:t>
      </w:r>
    </w:p>
    <w:p w14:paraId="730F71D7">
      <w:pPr>
        <w:spacing w:line="360" w:lineRule="auto"/>
        <w:jc w:val="left"/>
        <w:rPr>
          <w:rFonts w:ascii="宋体" w:hAnsi="宋体" w:eastAsia="宋体" w:cs="宋体"/>
          <w:sz w:val="28"/>
          <w:szCs w:val="28"/>
        </w:rPr>
      </w:pPr>
      <w:r>
        <w:rPr>
          <w:rFonts w:hint="eastAsia" w:ascii="宋体" w:hAnsi="宋体" w:eastAsia="宋体" w:cs="宋体"/>
          <w:sz w:val="28"/>
          <w:szCs w:val="28"/>
        </w:rPr>
        <w:t>5、施工过程中如发现造成施工区域以外的教室内其余部位有损坏的，则中标单位须负责修复或赔偿。</w:t>
      </w:r>
    </w:p>
    <w:p w14:paraId="7D9DF6BA">
      <w:pPr>
        <w:spacing w:line="360" w:lineRule="auto"/>
        <w:jc w:val="left"/>
        <w:rPr>
          <w:rFonts w:ascii="宋体" w:hAnsi="宋体" w:eastAsia="宋体" w:cs="宋体"/>
          <w:sz w:val="28"/>
          <w:szCs w:val="28"/>
        </w:rPr>
      </w:pPr>
      <w:r>
        <w:rPr>
          <w:rFonts w:hint="eastAsia" w:ascii="宋体" w:hAnsi="宋体" w:eastAsia="宋体" w:cs="宋体"/>
          <w:sz w:val="28"/>
          <w:szCs w:val="28"/>
        </w:rPr>
        <w:t>6、施工图、招标文件、技术要求、施工规范及工程量清单中的项目特征互为补充，均作为编制投标报价的依据，本项目清单描述做法与设计图纸不一致的以清单描述为主，建筑图纸做法中未明确或不完善事项以答疑、设计回复等为准，施工前对于不一致的情况，承包人需通知招标人，征得招标人同意后方可实施。</w:t>
      </w:r>
    </w:p>
    <w:p w14:paraId="5DBA9233">
      <w:pPr>
        <w:jc w:val="left"/>
        <w:rPr>
          <w:rFonts w:ascii="宋体" w:hAnsi="宋体" w:eastAsia="宋体" w:cs="宋体"/>
          <w:b/>
          <w:bCs/>
          <w:sz w:val="28"/>
          <w:szCs w:val="28"/>
        </w:rPr>
      </w:pPr>
      <w:r>
        <w:rPr>
          <w:rFonts w:hint="eastAsia" w:ascii="宋体" w:hAnsi="宋体" w:eastAsia="宋体" w:cs="宋体"/>
          <w:b/>
          <w:bCs/>
          <w:sz w:val="28"/>
          <w:szCs w:val="28"/>
        </w:rPr>
        <w:t>七、推荐的主要材料品牌表</w:t>
      </w:r>
    </w:p>
    <w:p w14:paraId="63FD6A9D">
      <w:pPr>
        <w:ind w:firstLine="560" w:firstLineChars="200"/>
        <w:jc w:val="left"/>
        <w:rPr>
          <w:rFonts w:ascii="宋体" w:hAnsi="宋体" w:eastAsia="宋体" w:cs="宋体"/>
          <w:sz w:val="28"/>
          <w:szCs w:val="28"/>
        </w:rPr>
      </w:pPr>
      <w:r>
        <w:rPr>
          <w:rFonts w:ascii="宋体" w:hAnsi="宋体" w:eastAsia="宋体" w:cs="宋体"/>
          <w:sz w:val="28"/>
          <w:szCs w:val="28"/>
        </w:rPr>
        <w:t>材料、设备品牌(或厂家)要求:招标人对本工程部分材料、设备设置了推荐的品牌(或厂家)(详见附表一:招标人推荐的品牌(或厂家)表)，招标文件中列明的品牌（或厂家）表是为阐明本项目中相应材料、设备的档次及用途。投标人拟增加厂家或品牌的，应在招标文件规定的澄清答疑期限结束之前提出，满足招标文件中明确的技术标准和质量要求，并由招标人同意。工程实施过程中，原则上采用招标人推荐的品牌（或厂家）或在招标文件规定的澄清答疑期限结束之前，投标人提出并经招标人同意的推荐品牌（或厂家）外增加的厂家或品牌，且同一材料、设备不可选多个品牌（或厂家）；但若列明品牌（或厂家）有哄抬物价之类的恶意行为发生，发包人有权弃用，并在不增加费用的基础上而另行选择推荐品牌（或厂家）以外的同档次材料、设备。如遇特殊情况，招标人有权指定使用推荐品牌（或厂家）中的任一品牌（或厂家），中标人不得对中标的综合单价再做调整。</w:t>
      </w:r>
    </w:p>
    <w:p w14:paraId="5F331D7F">
      <w:pPr>
        <w:pStyle w:val="5"/>
        <w:ind w:firstLine="0" w:firstLineChars="0"/>
        <w:rPr>
          <w:lang w:val="en-US"/>
        </w:rPr>
      </w:pPr>
      <w:r>
        <w:rPr>
          <w:rFonts w:hint="eastAsia" w:ascii="宋体" w:hAnsi="宋体" w:cs="宋体"/>
          <w:sz w:val="24"/>
          <w:szCs w:val="24"/>
          <w:lang w:val="en-US"/>
        </w:rPr>
        <w:t>附表：</w:t>
      </w:r>
    </w:p>
    <w:p w14:paraId="5E8889C2">
      <w:pPr>
        <w:spacing w:line="460" w:lineRule="exact"/>
        <w:jc w:val="center"/>
        <w:rPr>
          <w:rFonts w:ascii="宋体" w:hAnsi="宋体" w:cs="宋体"/>
          <w:b/>
          <w:bCs/>
          <w:sz w:val="32"/>
          <w:szCs w:val="32"/>
        </w:rPr>
      </w:pPr>
      <w:r>
        <w:rPr>
          <w:rFonts w:hint="eastAsia" w:ascii="宋体" w:hAnsi="宋体" w:cs="宋体"/>
          <w:b/>
          <w:bCs/>
          <w:sz w:val="32"/>
          <w:szCs w:val="32"/>
        </w:rPr>
        <w:t>主要材料品牌表</w:t>
      </w:r>
    </w:p>
    <w:tbl>
      <w:tblPr>
        <w:tblStyle w:val="3"/>
        <w:tblW w:w="8303" w:type="dxa"/>
        <w:tblInd w:w="93" w:type="dxa"/>
        <w:tblLayout w:type="fixed"/>
        <w:tblCellMar>
          <w:top w:w="0" w:type="dxa"/>
          <w:left w:w="108" w:type="dxa"/>
          <w:bottom w:w="0" w:type="dxa"/>
          <w:right w:w="108" w:type="dxa"/>
        </w:tblCellMar>
      </w:tblPr>
      <w:tblGrid>
        <w:gridCol w:w="2567"/>
        <w:gridCol w:w="4048"/>
        <w:gridCol w:w="1688"/>
      </w:tblGrid>
      <w:tr w14:paraId="2DFC2B62">
        <w:tblPrEx>
          <w:tblCellMar>
            <w:top w:w="0" w:type="dxa"/>
            <w:left w:w="108" w:type="dxa"/>
            <w:bottom w:w="0" w:type="dxa"/>
            <w:right w:w="108" w:type="dxa"/>
          </w:tblCellMar>
        </w:tblPrEx>
        <w:trPr>
          <w:trHeight w:val="213" w:hRule="atLeast"/>
        </w:trPr>
        <w:tc>
          <w:tcPr>
            <w:tcW w:w="2567" w:type="dxa"/>
            <w:tcBorders>
              <w:top w:val="single" w:color="auto" w:sz="4" w:space="0"/>
              <w:left w:val="single" w:color="auto" w:sz="4" w:space="0"/>
              <w:bottom w:val="single" w:color="auto" w:sz="4" w:space="0"/>
              <w:right w:val="single" w:color="auto" w:sz="4" w:space="0"/>
            </w:tcBorders>
            <w:vAlign w:val="center"/>
          </w:tcPr>
          <w:p w14:paraId="071ECF2A">
            <w:pPr>
              <w:widowControl/>
              <w:jc w:val="center"/>
              <w:rPr>
                <w:rFonts w:ascii="宋体" w:hAnsi="宋体" w:cs="宋体"/>
                <w:color w:val="000000"/>
                <w:kern w:val="0"/>
                <w:sz w:val="24"/>
              </w:rPr>
            </w:pPr>
            <w:bookmarkStart w:id="0" w:name="_Hlk139190481"/>
            <w:r>
              <w:rPr>
                <w:rFonts w:hint="eastAsia" w:ascii="宋体" w:hAnsi="宋体" w:cs="宋体"/>
                <w:color w:val="000000"/>
                <w:kern w:val="0"/>
                <w:sz w:val="24"/>
              </w:rPr>
              <w:t>材料名称</w:t>
            </w:r>
          </w:p>
        </w:tc>
        <w:tc>
          <w:tcPr>
            <w:tcW w:w="4048" w:type="dxa"/>
            <w:tcBorders>
              <w:top w:val="single" w:color="auto" w:sz="4" w:space="0"/>
              <w:left w:val="single" w:color="auto" w:sz="4" w:space="0"/>
              <w:bottom w:val="single" w:color="auto" w:sz="4" w:space="0"/>
              <w:right w:val="single" w:color="auto" w:sz="4" w:space="0"/>
            </w:tcBorders>
            <w:vAlign w:val="center"/>
          </w:tcPr>
          <w:p w14:paraId="411D0048">
            <w:pPr>
              <w:widowControl/>
              <w:jc w:val="center"/>
              <w:rPr>
                <w:rFonts w:ascii="宋体" w:hAnsi="宋体" w:cs="宋体"/>
                <w:color w:val="000000"/>
                <w:kern w:val="0"/>
                <w:sz w:val="24"/>
              </w:rPr>
            </w:pPr>
            <w:r>
              <w:rPr>
                <w:rFonts w:hint="eastAsia" w:ascii="宋体" w:hAnsi="宋体" w:cs="宋体"/>
                <w:color w:val="000000"/>
                <w:kern w:val="0"/>
                <w:sz w:val="24"/>
              </w:rPr>
              <w:t>材料品牌</w:t>
            </w:r>
          </w:p>
        </w:tc>
        <w:tc>
          <w:tcPr>
            <w:tcW w:w="1688" w:type="dxa"/>
            <w:tcBorders>
              <w:top w:val="single" w:color="auto" w:sz="4" w:space="0"/>
              <w:left w:val="single" w:color="auto" w:sz="4" w:space="0"/>
              <w:bottom w:val="single" w:color="auto" w:sz="4" w:space="0"/>
              <w:right w:val="single" w:color="auto" w:sz="4" w:space="0"/>
            </w:tcBorders>
            <w:vAlign w:val="center"/>
          </w:tcPr>
          <w:p w14:paraId="4BDA378A">
            <w:pPr>
              <w:widowControl/>
              <w:jc w:val="center"/>
              <w:rPr>
                <w:rFonts w:ascii="宋体" w:hAnsi="宋体" w:cs="宋体"/>
                <w:color w:val="000000"/>
                <w:kern w:val="0"/>
                <w:sz w:val="24"/>
              </w:rPr>
            </w:pPr>
            <w:r>
              <w:rPr>
                <w:rFonts w:hint="eastAsia" w:ascii="宋体" w:hAnsi="宋体" w:cs="宋体"/>
                <w:color w:val="000000"/>
                <w:kern w:val="0"/>
                <w:sz w:val="24"/>
              </w:rPr>
              <w:t>备注</w:t>
            </w:r>
          </w:p>
        </w:tc>
      </w:tr>
      <w:tr w14:paraId="7446504C">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0ECE1EA8">
            <w:pPr>
              <w:widowControl/>
              <w:jc w:val="left"/>
              <w:rPr>
                <w:sz w:val="24"/>
              </w:rPr>
            </w:pPr>
            <w:r>
              <w:rPr>
                <w:rFonts w:hint="eastAsia"/>
                <w:sz w:val="24"/>
              </w:rPr>
              <w:t>墙地砖</w:t>
            </w:r>
          </w:p>
        </w:tc>
        <w:tc>
          <w:tcPr>
            <w:tcW w:w="4048" w:type="dxa"/>
            <w:tcBorders>
              <w:top w:val="single" w:color="auto" w:sz="4" w:space="0"/>
              <w:left w:val="single" w:color="auto" w:sz="4" w:space="0"/>
              <w:bottom w:val="single" w:color="auto" w:sz="4" w:space="0"/>
              <w:right w:val="single" w:color="auto" w:sz="4" w:space="0"/>
            </w:tcBorders>
            <w:vAlign w:val="center"/>
          </w:tcPr>
          <w:p w14:paraId="248B704A">
            <w:pPr>
              <w:jc w:val="left"/>
              <w:rPr>
                <w:sz w:val="24"/>
              </w:rPr>
            </w:pPr>
            <w:r>
              <w:rPr>
                <w:rFonts w:hint="eastAsia"/>
                <w:sz w:val="24"/>
              </w:rPr>
              <w:t>冠军、蒙娜丽莎、东鹏</w:t>
            </w:r>
          </w:p>
        </w:tc>
        <w:tc>
          <w:tcPr>
            <w:tcW w:w="1688" w:type="dxa"/>
            <w:tcBorders>
              <w:top w:val="single" w:color="auto" w:sz="4" w:space="0"/>
              <w:left w:val="single" w:color="auto" w:sz="4" w:space="0"/>
              <w:bottom w:val="single" w:color="auto" w:sz="4" w:space="0"/>
              <w:right w:val="single" w:color="auto" w:sz="4" w:space="0"/>
            </w:tcBorders>
            <w:vAlign w:val="center"/>
          </w:tcPr>
          <w:p w14:paraId="5F9E0C1C">
            <w:pPr>
              <w:jc w:val="center"/>
              <w:rPr>
                <w:sz w:val="24"/>
              </w:rPr>
            </w:pPr>
          </w:p>
        </w:tc>
      </w:tr>
      <w:tr w14:paraId="5C8BEB07">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177A319D">
            <w:pPr>
              <w:widowControl/>
              <w:textAlignment w:val="center"/>
              <w:rPr>
                <w:sz w:val="24"/>
              </w:rPr>
            </w:pPr>
            <w:r>
              <w:rPr>
                <w:rFonts w:hint="eastAsia" w:ascii="宋体" w:hAnsi="宋体" w:cs="宋体"/>
                <w:kern w:val="0"/>
                <w:sz w:val="24"/>
                <w:lang w:bidi="ar"/>
              </w:rPr>
              <w:t>涂料</w:t>
            </w:r>
          </w:p>
        </w:tc>
        <w:tc>
          <w:tcPr>
            <w:tcW w:w="4048" w:type="dxa"/>
            <w:tcBorders>
              <w:top w:val="single" w:color="auto" w:sz="4" w:space="0"/>
              <w:left w:val="single" w:color="auto" w:sz="4" w:space="0"/>
              <w:bottom w:val="single" w:color="auto" w:sz="4" w:space="0"/>
              <w:right w:val="single" w:color="auto" w:sz="4" w:space="0"/>
            </w:tcBorders>
            <w:vAlign w:val="center"/>
          </w:tcPr>
          <w:p w14:paraId="0E04308B">
            <w:pPr>
              <w:widowControl/>
              <w:jc w:val="left"/>
              <w:textAlignment w:val="center"/>
              <w:rPr>
                <w:sz w:val="24"/>
              </w:rPr>
            </w:pPr>
            <w:r>
              <w:rPr>
                <w:rFonts w:hint="eastAsia"/>
                <w:sz w:val="24"/>
              </w:rPr>
              <w:t>多乐士、嘉宝莉、立邦</w:t>
            </w:r>
          </w:p>
        </w:tc>
        <w:tc>
          <w:tcPr>
            <w:tcW w:w="1688" w:type="dxa"/>
            <w:tcBorders>
              <w:top w:val="single" w:color="auto" w:sz="4" w:space="0"/>
              <w:left w:val="single" w:color="auto" w:sz="4" w:space="0"/>
              <w:bottom w:val="single" w:color="auto" w:sz="4" w:space="0"/>
              <w:right w:val="single" w:color="auto" w:sz="4" w:space="0"/>
            </w:tcBorders>
            <w:vAlign w:val="center"/>
          </w:tcPr>
          <w:p w14:paraId="54611294">
            <w:pPr>
              <w:widowControl/>
              <w:jc w:val="center"/>
              <w:textAlignment w:val="center"/>
              <w:rPr>
                <w:sz w:val="24"/>
              </w:rPr>
            </w:pPr>
          </w:p>
        </w:tc>
      </w:tr>
      <w:tr w14:paraId="6485AA6C">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3FACA5B6">
            <w:pPr>
              <w:widowControl/>
              <w:jc w:val="left"/>
              <w:rPr>
                <w:sz w:val="24"/>
              </w:rPr>
            </w:pPr>
            <w:r>
              <w:rPr>
                <w:rFonts w:hint="eastAsia"/>
                <w:sz w:val="24"/>
              </w:rPr>
              <w:t>防水涂料</w:t>
            </w:r>
          </w:p>
        </w:tc>
        <w:tc>
          <w:tcPr>
            <w:tcW w:w="4048" w:type="dxa"/>
            <w:tcBorders>
              <w:top w:val="single" w:color="auto" w:sz="4" w:space="0"/>
              <w:left w:val="single" w:color="auto" w:sz="4" w:space="0"/>
              <w:bottom w:val="single" w:color="auto" w:sz="4" w:space="0"/>
              <w:right w:val="single" w:color="auto" w:sz="4" w:space="0"/>
            </w:tcBorders>
            <w:vAlign w:val="center"/>
          </w:tcPr>
          <w:p w14:paraId="0EFDE874">
            <w:pPr>
              <w:jc w:val="left"/>
              <w:rPr>
                <w:sz w:val="24"/>
              </w:rPr>
            </w:pPr>
            <w:r>
              <w:rPr>
                <w:rFonts w:hint="eastAsia" w:ascii="宋体" w:hAnsi="宋体" w:eastAsia="宋体" w:cs="宋体"/>
                <w:kern w:val="0"/>
                <w:sz w:val="24"/>
              </w:rPr>
              <w:t>东方雨虹、科顺、禹王</w:t>
            </w:r>
          </w:p>
        </w:tc>
        <w:tc>
          <w:tcPr>
            <w:tcW w:w="1688" w:type="dxa"/>
            <w:tcBorders>
              <w:top w:val="single" w:color="auto" w:sz="4" w:space="0"/>
              <w:left w:val="single" w:color="auto" w:sz="4" w:space="0"/>
              <w:bottom w:val="single" w:color="auto" w:sz="4" w:space="0"/>
              <w:right w:val="single" w:color="auto" w:sz="4" w:space="0"/>
            </w:tcBorders>
            <w:vAlign w:val="center"/>
          </w:tcPr>
          <w:p w14:paraId="506C24FF">
            <w:pPr>
              <w:widowControl/>
              <w:jc w:val="center"/>
              <w:textAlignment w:val="center"/>
              <w:rPr>
                <w:sz w:val="24"/>
              </w:rPr>
            </w:pPr>
          </w:p>
        </w:tc>
      </w:tr>
      <w:tr w14:paraId="61820123">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2EA341F9">
            <w:pPr>
              <w:widowControl/>
              <w:jc w:val="left"/>
              <w:textAlignment w:val="center"/>
              <w:rPr>
                <w:sz w:val="24"/>
              </w:rPr>
            </w:pPr>
            <w:r>
              <w:rPr>
                <w:rFonts w:hint="eastAsia"/>
                <w:sz w:val="24"/>
              </w:rPr>
              <w:t>配电箱元器件</w:t>
            </w:r>
          </w:p>
        </w:tc>
        <w:tc>
          <w:tcPr>
            <w:tcW w:w="4048" w:type="dxa"/>
            <w:tcBorders>
              <w:top w:val="single" w:color="auto" w:sz="4" w:space="0"/>
              <w:left w:val="single" w:color="auto" w:sz="4" w:space="0"/>
              <w:bottom w:val="single" w:color="auto" w:sz="4" w:space="0"/>
              <w:right w:val="single" w:color="auto" w:sz="4" w:space="0"/>
            </w:tcBorders>
            <w:vAlign w:val="center"/>
          </w:tcPr>
          <w:p w14:paraId="0FA6BF30">
            <w:pPr>
              <w:widowControl/>
              <w:jc w:val="left"/>
              <w:textAlignment w:val="center"/>
              <w:rPr>
                <w:rFonts w:eastAsia="宋体"/>
                <w:sz w:val="24"/>
              </w:rPr>
            </w:pPr>
            <w:r>
              <w:rPr>
                <w:rFonts w:hint="eastAsia" w:ascii="宋体" w:hAnsi="宋体" w:cs="宋体"/>
                <w:color w:val="000000"/>
                <w:kern w:val="0"/>
                <w:sz w:val="24"/>
                <w:lang w:bidi="ar"/>
              </w:rPr>
              <w:t>正泰、德力西、施耐德</w:t>
            </w:r>
          </w:p>
        </w:tc>
        <w:tc>
          <w:tcPr>
            <w:tcW w:w="1688" w:type="dxa"/>
            <w:tcBorders>
              <w:top w:val="single" w:color="auto" w:sz="4" w:space="0"/>
              <w:left w:val="single" w:color="auto" w:sz="4" w:space="0"/>
              <w:bottom w:val="single" w:color="auto" w:sz="4" w:space="0"/>
              <w:right w:val="single" w:color="auto" w:sz="4" w:space="0"/>
            </w:tcBorders>
            <w:vAlign w:val="center"/>
          </w:tcPr>
          <w:p w14:paraId="05B00D38">
            <w:pPr>
              <w:widowControl/>
              <w:jc w:val="center"/>
              <w:textAlignment w:val="center"/>
              <w:rPr>
                <w:sz w:val="24"/>
              </w:rPr>
            </w:pPr>
          </w:p>
        </w:tc>
      </w:tr>
      <w:tr w14:paraId="7B6FA8F1">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0D354118">
            <w:pPr>
              <w:widowControl/>
              <w:jc w:val="left"/>
              <w:rPr>
                <w:sz w:val="24"/>
              </w:rPr>
            </w:pPr>
            <w:r>
              <w:rPr>
                <w:rFonts w:hint="eastAsia"/>
                <w:sz w:val="24"/>
              </w:rPr>
              <w:t>JDG镀锌电线管</w:t>
            </w:r>
          </w:p>
        </w:tc>
        <w:tc>
          <w:tcPr>
            <w:tcW w:w="4048" w:type="dxa"/>
            <w:tcBorders>
              <w:top w:val="single" w:color="auto" w:sz="4" w:space="0"/>
              <w:left w:val="single" w:color="auto" w:sz="4" w:space="0"/>
              <w:bottom w:val="single" w:color="auto" w:sz="4" w:space="0"/>
              <w:right w:val="single" w:color="auto" w:sz="4" w:space="0"/>
            </w:tcBorders>
            <w:vAlign w:val="center"/>
          </w:tcPr>
          <w:p w14:paraId="6C3CA0D2">
            <w:pPr>
              <w:rPr>
                <w:sz w:val="24"/>
              </w:rPr>
            </w:pPr>
            <w:r>
              <w:rPr>
                <w:rFonts w:hint="eastAsia"/>
                <w:sz w:val="24"/>
              </w:rPr>
              <w:t>友发、金洲、正大</w:t>
            </w:r>
          </w:p>
        </w:tc>
        <w:tc>
          <w:tcPr>
            <w:tcW w:w="1688" w:type="dxa"/>
            <w:tcBorders>
              <w:top w:val="single" w:color="auto" w:sz="4" w:space="0"/>
              <w:left w:val="single" w:color="auto" w:sz="4" w:space="0"/>
              <w:bottom w:val="single" w:color="auto" w:sz="4" w:space="0"/>
              <w:right w:val="single" w:color="auto" w:sz="4" w:space="0"/>
            </w:tcBorders>
            <w:vAlign w:val="center"/>
          </w:tcPr>
          <w:p w14:paraId="32D8A505">
            <w:pPr>
              <w:ind w:firstLine="480" w:firstLineChars="200"/>
              <w:jc w:val="left"/>
              <w:rPr>
                <w:sz w:val="24"/>
              </w:rPr>
            </w:pPr>
          </w:p>
        </w:tc>
      </w:tr>
      <w:tr w14:paraId="5A43BF77">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02677943">
            <w:pPr>
              <w:widowControl/>
              <w:jc w:val="left"/>
              <w:rPr>
                <w:sz w:val="24"/>
              </w:rPr>
            </w:pPr>
            <w:r>
              <w:rPr>
                <w:rFonts w:hint="eastAsia" w:eastAsia="宋体"/>
                <w:sz w:val="24"/>
              </w:rPr>
              <w:t>电线、电缆</w:t>
            </w:r>
          </w:p>
        </w:tc>
        <w:tc>
          <w:tcPr>
            <w:tcW w:w="4048" w:type="dxa"/>
            <w:tcBorders>
              <w:top w:val="single" w:color="auto" w:sz="4" w:space="0"/>
              <w:left w:val="single" w:color="auto" w:sz="4" w:space="0"/>
              <w:bottom w:val="single" w:color="auto" w:sz="4" w:space="0"/>
              <w:right w:val="single" w:color="auto" w:sz="4" w:space="0"/>
            </w:tcBorders>
            <w:vAlign w:val="center"/>
          </w:tcPr>
          <w:p w14:paraId="4A684620">
            <w:pPr>
              <w:jc w:val="left"/>
              <w:rPr>
                <w:sz w:val="24"/>
              </w:rPr>
            </w:pPr>
            <w:r>
              <w:rPr>
                <w:rFonts w:hint="eastAsia" w:eastAsia="宋体"/>
                <w:sz w:val="24"/>
              </w:rPr>
              <w:t>远东、江南、上上</w:t>
            </w:r>
          </w:p>
        </w:tc>
        <w:tc>
          <w:tcPr>
            <w:tcW w:w="1688" w:type="dxa"/>
            <w:tcBorders>
              <w:top w:val="single" w:color="auto" w:sz="4" w:space="0"/>
              <w:left w:val="single" w:color="auto" w:sz="4" w:space="0"/>
              <w:bottom w:val="single" w:color="auto" w:sz="4" w:space="0"/>
              <w:right w:val="single" w:color="auto" w:sz="4" w:space="0"/>
            </w:tcBorders>
            <w:vAlign w:val="center"/>
          </w:tcPr>
          <w:p w14:paraId="26B58B1C">
            <w:pPr>
              <w:ind w:firstLine="480" w:firstLineChars="200"/>
              <w:jc w:val="left"/>
              <w:rPr>
                <w:sz w:val="24"/>
              </w:rPr>
            </w:pPr>
          </w:p>
        </w:tc>
      </w:tr>
      <w:tr w14:paraId="66B5098C">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58912881">
            <w:pPr>
              <w:widowControl/>
              <w:jc w:val="left"/>
              <w:textAlignment w:val="center"/>
              <w:rPr>
                <w:sz w:val="24"/>
              </w:rPr>
            </w:pPr>
            <w:r>
              <w:rPr>
                <w:rFonts w:hint="eastAsia" w:ascii="宋体" w:hAnsi="宋体" w:cs="宋体"/>
                <w:sz w:val="24"/>
              </w:rPr>
              <w:t>灯具</w:t>
            </w:r>
          </w:p>
        </w:tc>
        <w:tc>
          <w:tcPr>
            <w:tcW w:w="4048" w:type="dxa"/>
            <w:tcBorders>
              <w:top w:val="single" w:color="auto" w:sz="4" w:space="0"/>
              <w:left w:val="single" w:color="auto" w:sz="4" w:space="0"/>
              <w:bottom w:val="single" w:color="auto" w:sz="4" w:space="0"/>
              <w:right w:val="single" w:color="auto" w:sz="4" w:space="0"/>
            </w:tcBorders>
            <w:vAlign w:val="center"/>
          </w:tcPr>
          <w:p w14:paraId="23D1C7D2">
            <w:pPr>
              <w:widowControl/>
              <w:jc w:val="left"/>
              <w:textAlignment w:val="center"/>
              <w:rPr>
                <w:sz w:val="24"/>
              </w:rPr>
            </w:pPr>
            <w:r>
              <w:rPr>
                <w:rFonts w:hint="eastAsia" w:ascii="宋体" w:hAnsi="宋体" w:cs="宋体"/>
                <w:sz w:val="24"/>
              </w:rPr>
              <w:t>三雄极光、雷士、欧普</w:t>
            </w:r>
          </w:p>
        </w:tc>
        <w:tc>
          <w:tcPr>
            <w:tcW w:w="1688" w:type="dxa"/>
            <w:tcBorders>
              <w:top w:val="single" w:color="auto" w:sz="4" w:space="0"/>
              <w:left w:val="single" w:color="auto" w:sz="4" w:space="0"/>
              <w:bottom w:val="single" w:color="auto" w:sz="4" w:space="0"/>
              <w:right w:val="single" w:color="auto" w:sz="4" w:space="0"/>
            </w:tcBorders>
            <w:vAlign w:val="center"/>
          </w:tcPr>
          <w:p w14:paraId="3DB084BE">
            <w:pPr>
              <w:ind w:firstLine="480" w:firstLineChars="200"/>
              <w:jc w:val="left"/>
              <w:rPr>
                <w:sz w:val="24"/>
              </w:rPr>
            </w:pPr>
          </w:p>
        </w:tc>
      </w:tr>
      <w:tr w14:paraId="4C10892E">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221EA772">
            <w:pPr>
              <w:widowControl/>
              <w:jc w:val="left"/>
              <w:textAlignment w:val="center"/>
              <w:rPr>
                <w:sz w:val="24"/>
              </w:rPr>
            </w:pPr>
            <w:r>
              <w:rPr>
                <w:rFonts w:hint="eastAsia" w:ascii="宋体" w:hAnsi="宋体" w:cs="宋体"/>
                <w:bCs/>
                <w:sz w:val="24"/>
              </w:rPr>
              <w:t>排气扇</w:t>
            </w:r>
          </w:p>
        </w:tc>
        <w:tc>
          <w:tcPr>
            <w:tcW w:w="4048" w:type="dxa"/>
            <w:tcBorders>
              <w:top w:val="single" w:color="auto" w:sz="4" w:space="0"/>
              <w:left w:val="single" w:color="auto" w:sz="4" w:space="0"/>
              <w:bottom w:val="single" w:color="auto" w:sz="4" w:space="0"/>
              <w:right w:val="single" w:color="auto" w:sz="4" w:space="0"/>
            </w:tcBorders>
            <w:vAlign w:val="center"/>
          </w:tcPr>
          <w:p w14:paraId="2321F1CE">
            <w:pPr>
              <w:widowControl/>
              <w:textAlignment w:val="center"/>
              <w:rPr>
                <w:sz w:val="24"/>
              </w:rPr>
            </w:pPr>
            <w:r>
              <w:rPr>
                <w:rFonts w:hint="eastAsia"/>
                <w:sz w:val="24"/>
              </w:rPr>
              <w:t>绿岛风、奥普、艾美特</w:t>
            </w:r>
          </w:p>
        </w:tc>
        <w:tc>
          <w:tcPr>
            <w:tcW w:w="1688" w:type="dxa"/>
            <w:tcBorders>
              <w:top w:val="single" w:color="auto" w:sz="4" w:space="0"/>
              <w:left w:val="single" w:color="auto" w:sz="4" w:space="0"/>
              <w:bottom w:val="single" w:color="auto" w:sz="4" w:space="0"/>
              <w:right w:val="single" w:color="auto" w:sz="4" w:space="0"/>
            </w:tcBorders>
            <w:vAlign w:val="center"/>
          </w:tcPr>
          <w:p w14:paraId="6DD0D82B">
            <w:pPr>
              <w:ind w:firstLine="480" w:firstLineChars="200"/>
              <w:jc w:val="left"/>
              <w:rPr>
                <w:sz w:val="24"/>
              </w:rPr>
            </w:pPr>
          </w:p>
        </w:tc>
      </w:tr>
      <w:tr w14:paraId="50F902A3">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64842405">
            <w:pPr>
              <w:widowControl/>
              <w:jc w:val="left"/>
              <w:rPr>
                <w:sz w:val="24"/>
              </w:rPr>
            </w:pPr>
            <w:r>
              <w:rPr>
                <w:rFonts w:hint="eastAsia"/>
                <w:sz w:val="24"/>
              </w:rPr>
              <w:t>PPR塑料管</w:t>
            </w:r>
          </w:p>
        </w:tc>
        <w:tc>
          <w:tcPr>
            <w:tcW w:w="4048" w:type="dxa"/>
            <w:tcBorders>
              <w:top w:val="single" w:color="auto" w:sz="4" w:space="0"/>
              <w:left w:val="single" w:color="auto" w:sz="4" w:space="0"/>
              <w:bottom w:val="single" w:color="auto" w:sz="4" w:space="0"/>
              <w:right w:val="single" w:color="auto" w:sz="4" w:space="0"/>
            </w:tcBorders>
            <w:vAlign w:val="center"/>
          </w:tcPr>
          <w:p w14:paraId="01412FB2">
            <w:pPr>
              <w:jc w:val="left"/>
              <w:rPr>
                <w:rFonts w:eastAsia="宋体"/>
                <w:sz w:val="24"/>
              </w:rPr>
            </w:pPr>
            <w:r>
              <w:rPr>
                <w:rFonts w:hint="eastAsia" w:ascii="宋体" w:hAnsi="宋体" w:eastAsia="宋体" w:cs="宋体"/>
                <w:kern w:val="0"/>
                <w:sz w:val="24"/>
              </w:rPr>
              <w:t>公元、联塑、中财</w:t>
            </w:r>
          </w:p>
        </w:tc>
        <w:tc>
          <w:tcPr>
            <w:tcW w:w="1688" w:type="dxa"/>
            <w:tcBorders>
              <w:top w:val="single" w:color="auto" w:sz="4" w:space="0"/>
              <w:left w:val="single" w:color="auto" w:sz="4" w:space="0"/>
              <w:bottom w:val="single" w:color="auto" w:sz="4" w:space="0"/>
              <w:right w:val="single" w:color="auto" w:sz="4" w:space="0"/>
            </w:tcBorders>
            <w:vAlign w:val="center"/>
          </w:tcPr>
          <w:p w14:paraId="4DA0D28A">
            <w:pPr>
              <w:ind w:firstLine="480" w:firstLineChars="200"/>
              <w:jc w:val="left"/>
              <w:rPr>
                <w:sz w:val="24"/>
              </w:rPr>
            </w:pPr>
          </w:p>
        </w:tc>
      </w:tr>
      <w:tr w14:paraId="3D07D2D5">
        <w:tblPrEx>
          <w:tblCellMar>
            <w:top w:w="0" w:type="dxa"/>
            <w:left w:w="108" w:type="dxa"/>
            <w:bottom w:w="0" w:type="dxa"/>
            <w:right w:w="108" w:type="dxa"/>
          </w:tblCellMar>
        </w:tblPrEx>
        <w:trPr>
          <w:trHeight w:val="421" w:hRule="atLeast"/>
        </w:trPr>
        <w:tc>
          <w:tcPr>
            <w:tcW w:w="2567" w:type="dxa"/>
            <w:tcBorders>
              <w:top w:val="single" w:color="auto" w:sz="4" w:space="0"/>
              <w:left w:val="single" w:color="auto" w:sz="4" w:space="0"/>
              <w:bottom w:val="single" w:color="auto" w:sz="4" w:space="0"/>
              <w:right w:val="single" w:color="auto" w:sz="4" w:space="0"/>
            </w:tcBorders>
            <w:vAlign w:val="center"/>
          </w:tcPr>
          <w:p w14:paraId="56538D7B">
            <w:pPr>
              <w:widowControl/>
              <w:jc w:val="left"/>
              <w:rPr>
                <w:sz w:val="24"/>
              </w:rPr>
            </w:pPr>
            <w:r>
              <w:rPr>
                <w:rFonts w:hint="eastAsia"/>
                <w:sz w:val="24"/>
              </w:rPr>
              <w:t>UPVC塑料管</w:t>
            </w:r>
          </w:p>
        </w:tc>
        <w:tc>
          <w:tcPr>
            <w:tcW w:w="4048" w:type="dxa"/>
            <w:tcBorders>
              <w:top w:val="single" w:color="auto" w:sz="4" w:space="0"/>
              <w:left w:val="single" w:color="auto" w:sz="4" w:space="0"/>
              <w:bottom w:val="single" w:color="auto" w:sz="4" w:space="0"/>
              <w:right w:val="single" w:color="auto" w:sz="4" w:space="0"/>
            </w:tcBorders>
            <w:vAlign w:val="center"/>
          </w:tcPr>
          <w:p w14:paraId="1C3DC6B0">
            <w:pPr>
              <w:jc w:val="left"/>
              <w:rPr>
                <w:sz w:val="24"/>
              </w:rPr>
            </w:pPr>
            <w:r>
              <w:rPr>
                <w:rFonts w:hint="eastAsia" w:ascii="宋体" w:hAnsi="宋体" w:eastAsia="宋体" w:cs="宋体"/>
                <w:kern w:val="0"/>
                <w:sz w:val="24"/>
              </w:rPr>
              <w:t>公元、联塑、中财</w:t>
            </w:r>
          </w:p>
        </w:tc>
        <w:tc>
          <w:tcPr>
            <w:tcW w:w="1688" w:type="dxa"/>
            <w:tcBorders>
              <w:top w:val="single" w:color="auto" w:sz="4" w:space="0"/>
              <w:left w:val="single" w:color="auto" w:sz="4" w:space="0"/>
              <w:bottom w:val="single" w:color="auto" w:sz="4" w:space="0"/>
              <w:right w:val="single" w:color="auto" w:sz="4" w:space="0"/>
            </w:tcBorders>
            <w:vAlign w:val="center"/>
          </w:tcPr>
          <w:p w14:paraId="0F684432">
            <w:pPr>
              <w:ind w:firstLine="480" w:firstLineChars="200"/>
              <w:jc w:val="left"/>
              <w:rPr>
                <w:sz w:val="24"/>
              </w:rPr>
            </w:pPr>
          </w:p>
        </w:tc>
      </w:tr>
      <w:bookmarkEnd w:id="0"/>
    </w:tbl>
    <w:p w14:paraId="28FADCB2">
      <w:pPr>
        <w:ind w:firstLine="560" w:firstLineChars="200"/>
        <w:jc w:val="left"/>
        <w:rPr>
          <w:rFonts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E4C23E"/>
    <w:multiLevelType w:val="singleLevel"/>
    <w:tmpl w:val="FCE4C23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C47"/>
    <w:rsid w:val="004C0EB2"/>
    <w:rsid w:val="00800A06"/>
    <w:rsid w:val="00B47C47"/>
    <w:rsid w:val="015C5E96"/>
    <w:rsid w:val="01CF35D0"/>
    <w:rsid w:val="02026E49"/>
    <w:rsid w:val="0366286F"/>
    <w:rsid w:val="037B1445"/>
    <w:rsid w:val="042B2438"/>
    <w:rsid w:val="096856B8"/>
    <w:rsid w:val="09BB5443"/>
    <w:rsid w:val="0C665099"/>
    <w:rsid w:val="0C673A60"/>
    <w:rsid w:val="0F501F02"/>
    <w:rsid w:val="16856BDE"/>
    <w:rsid w:val="19902E8B"/>
    <w:rsid w:val="1C450915"/>
    <w:rsid w:val="1C4A7CD9"/>
    <w:rsid w:val="1C6C1521"/>
    <w:rsid w:val="1D34223E"/>
    <w:rsid w:val="20BD3C4E"/>
    <w:rsid w:val="249330D5"/>
    <w:rsid w:val="25A86C12"/>
    <w:rsid w:val="29AA0009"/>
    <w:rsid w:val="2B3641E4"/>
    <w:rsid w:val="2BE15334"/>
    <w:rsid w:val="2D411B9C"/>
    <w:rsid w:val="2EBD258D"/>
    <w:rsid w:val="337C2651"/>
    <w:rsid w:val="345F5801"/>
    <w:rsid w:val="34647FB1"/>
    <w:rsid w:val="386D3243"/>
    <w:rsid w:val="3A0C2048"/>
    <w:rsid w:val="3DC05407"/>
    <w:rsid w:val="41462D95"/>
    <w:rsid w:val="435440C1"/>
    <w:rsid w:val="4EA50C1B"/>
    <w:rsid w:val="4ED84B4D"/>
    <w:rsid w:val="4FDE5E9A"/>
    <w:rsid w:val="502F475C"/>
    <w:rsid w:val="535449BE"/>
    <w:rsid w:val="55E53BB3"/>
    <w:rsid w:val="58816FA9"/>
    <w:rsid w:val="595079D6"/>
    <w:rsid w:val="5A516EA5"/>
    <w:rsid w:val="5D9C58DF"/>
    <w:rsid w:val="5F680993"/>
    <w:rsid w:val="60A96349"/>
    <w:rsid w:val="60DF6DB5"/>
    <w:rsid w:val="63EF5E7A"/>
    <w:rsid w:val="6FC565D0"/>
    <w:rsid w:val="713C0B14"/>
    <w:rsid w:val="750B717B"/>
    <w:rsid w:val="767825EE"/>
    <w:rsid w:val="78702585"/>
    <w:rsid w:val="7CCC5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Autospacing="1" w:afterAutospacing="1"/>
      <w:jc w:val="left"/>
    </w:pPr>
    <w:rPr>
      <w:rFonts w:cs="Times New Roman"/>
      <w:kern w:val="0"/>
      <w:sz w:val="24"/>
    </w:rPr>
  </w:style>
  <w:style w:type="paragraph" w:customStyle="1" w:styleId="5">
    <w:name w:val="首行缩进"/>
    <w:basedOn w:val="1"/>
    <w:qFormat/>
    <w:uiPriority w:val="0"/>
    <w:pPr>
      <w:ind w:firstLine="480" w:firstLineChars="200"/>
    </w:pPr>
    <w:rPr>
      <w:szCs w:val="20"/>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1680</Words>
  <Characters>1767</Characters>
  <Lines>13</Lines>
  <Paragraphs>3</Paragraphs>
  <TotalTime>4</TotalTime>
  <ScaleCrop>false</ScaleCrop>
  <LinksUpToDate>false</LinksUpToDate>
  <CharactersWithSpaces>1773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2026-08-20T06:15:00Z</dcterms:created>
  <dc:creator>38435</dc:creator>
  <cp:lastModifiedBy>Administrator</cp:lastModifiedBy>
  <dcterms:modified xsi:type="dcterms:W3CDTF">2026-09-07T01:37:01Z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eyJoZGlkIjoiMjcxM2RmM2UyYmY2YTU2ZTNkMWM1OTU2MmM2YmYwNDEiLCJ1c2VySWQiOiIxNjEzMjQ2NzY3In0=</vt:lpwstr>
  </property>
  <property fmtid="{D5CDD505-2E9C-101B-9397-08002B2CF9AE}" pid="4" name="ICV">
    <vt:lpwstr>00F60C3FEB51423C953C53DA63EA62DC_12</vt:lpwstr>
  </property>
</Properties>
</file>